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D6930" w14:textId="77777777" w:rsidR="00C70FB8" w:rsidRPr="00103A0B" w:rsidRDefault="00C70FB8" w:rsidP="00CD5919">
      <w:pPr>
        <w:spacing w:line="360" w:lineRule="auto"/>
        <w:jc w:val="center"/>
        <w:rPr>
          <w:rFonts w:ascii="Arial" w:hAnsi="Arial" w:cs="Arial"/>
          <w:sz w:val="42"/>
          <w:szCs w:val="42"/>
        </w:rPr>
      </w:pPr>
      <w:r w:rsidRPr="00103A0B">
        <w:rPr>
          <w:rFonts w:ascii="Arial" w:hAnsi="Arial" w:cs="Arial"/>
          <w:sz w:val="42"/>
          <w:szCs w:val="42"/>
        </w:rPr>
        <w:t>A Psychological Exploration of Factors Which Affect the Uptake and Retention of Diabetes Prevention Programmes</w:t>
      </w:r>
    </w:p>
    <w:p w14:paraId="346C5F96" w14:textId="557CE72C" w:rsidR="003D3DA8" w:rsidRPr="00103A0B" w:rsidRDefault="003D3DA8" w:rsidP="00CD5919">
      <w:pPr>
        <w:spacing w:line="360" w:lineRule="auto"/>
        <w:jc w:val="center"/>
        <w:rPr>
          <w:rFonts w:ascii="Arial" w:hAnsi="Arial" w:cs="Arial"/>
        </w:rPr>
      </w:pPr>
    </w:p>
    <w:p w14:paraId="61377DA5" w14:textId="2B547492" w:rsidR="003D3DA8" w:rsidRPr="00103A0B" w:rsidRDefault="00E706D0" w:rsidP="00CD5919">
      <w:pPr>
        <w:spacing w:line="360" w:lineRule="auto"/>
        <w:jc w:val="center"/>
        <w:rPr>
          <w:rFonts w:ascii="Arial" w:hAnsi="Arial" w:cs="Arial"/>
          <w:sz w:val="24"/>
          <w:szCs w:val="24"/>
        </w:rPr>
      </w:pPr>
      <w:r w:rsidRPr="00103A0B">
        <w:rPr>
          <w:rFonts w:ascii="Arial" w:hAnsi="Arial" w:cs="Arial"/>
          <w:sz w:val="24"/>
          <w:szCs w:val="24"/>
        </w:rPr>
        <w:t>Sonia Begum</w:t>
      </w:r>
    </w:p>
    <w:p w14:paraId="28DF8919" w14:textId="6CBC9117" w:rsidR="003D3DA8" w:rsidRPr="00103A0B" w:rsidRDefault="003D3DA8" w:rsidP="00CD5919">
      <w:pPr>
        <w:spacing w:line="360" w:lineRule="auto"/>
        <w:jc w:val="center"/>
        <w:rPr>
          <w:rFonts w:ascii="Arial" w:eastAsia="Times New Roman" w:hAnsi="Arial" w:cs="Arial"/>
          <w:sz w:val="24"/>
          <w:szCs w:val="24"/>
        </w:rPr>
      </w:pPr>
      <w:r w:rsidRPr="00103A0B">
        <w:rPr>
          <w:rFonts w:ascii="Arial" w:eastAsia="Times New Roman" w:hAnsi="Arial" w:cs="Arial"/>
          <w:sz w:val="24"/>
          <w:szCs w:val="24"/>
        </w:rPr>
        <w:t>A thesis submitted in partial fulfilment of the requirement of Staffordshi</w:t>
      </w:r>
      <w:r w:rsidRPr="00103A0B">
        <w:rPr>
          <w:rFonts w:ascii="Arial" w:hAnsi="Arial" w:cs="Arial"/>
          <w:sz w:val="24"/>
          <w:szCs w:val="24"/>
        </w:rPr>
        <w:t xml:space="preserve">re University for the degree of </w:t>
      </w:r>
      <w:r w:rsidRPr="00103A0B">
        <w:rPr>
          <w:rFonts w:ascii="Arial" w:eastAsia="Times New Roman" w:hAnsi="Arial" w:cs="Arial"/>
          <w:sz w:val="24"/>
          <w:szCs w:val="24"/>
        </w:rPr>
        <w:t>Doctor of Philosophy</w:t>
      </w:r>
      <w:r w:rsidR="00CD1894" w:rsidRPr="00103A0B">
        <w:rPr>
          <w:rFonts w:ascii="Arial" w:eastAsia="Times New Roman" w:hAnsi="Arial" w:cs="Arial"/>
          <w:sz w:val="24"/>
          <w:szCs w:val="24"/>
        </w:rPr>
        <w:t>.</w:t>
      </w:r>
    </w:p>
    <w:p w14:paraId="229B4E0A" w14:textId="77777777" w:rsidR="003D3DA8" w:rsidRPr="00103A0B" w:rsidRDefault="003D3DA8" w:rsidP="00CD5919">
      <w:pPr>
        <w:spacing w:line="360" w:lineRule="auto"/>
        <w:jc w:val="center"/>
        <w:rPr>
          <w:rFonts w:ascii="Arial" w:eastAsia="Times New Roman" w:hAnsi="Arial" w:cs="Arial"/>
          <w:sz w:val="24"/>
          <w:szCs w:val="24"/>
        </w:rPr>
      </w:pPr>
    </w:p>
    <w:p w14:paraId="3B0D93D3" w14:textId="77777777" w:rsidR="003D3DA8" w:rsidRPr="00103A0B" w:rsidRDefault="003D3DA8" w:rsidP="00CD5919">
      <w:pPr>
        <w:spacing w:line="360" w:lineRule="auto"/>
        <w:jc w:val="center"/>
        <w:rPr>
          <w:rFonts w:ascii="Arial" w:eastAsia="Times New Roman" w:hAnsi="Arial" w:cs="Arial"/>
          <w:sz w:val="24"/>
          <w:szCs w:val="24"/>
        </w:rPr>
      </w:pPr>
    </w:p>
    <w:p w14:paraId="12ECD65A" w14:textId="38BA9AD8" w:rsidR="003D3DA8" w:rsidRPr="00103A0B" w:rsidRDefault="009250AE" w:rsidP="00CD5919">
      <w:pPr>
        <w:spacing w:line="360" w:lineRule="auto"/>
        <w:jc w:val="center"/>
        <w:rPr>
          <w:rFonts w:ascii="Arial" w:hAnsi="Arial" w:cs="Arial"/>
          <w:b/>
          <w:sz w:val="32"/>
          <w:szCs w:val="32"/>
        </w:rPr>
      </w:pPr>
      <w:bookmarkStart w:id="0" w:name="_Toc354334772"/>
      <w:bookmarkStart w:id="1" w:name="_Toc354334917"/>
      <w:bookmarkStart w:id="2" w:name="_Toc354335062"/>
      <w:bookmarkStart w:id="3" w:name="_Toc354335207"/>
      <w:bookmarkStart w:id="4" w:name="_Toc354335352"/>
      <w:bookmarkStart w:id="5" w:name="_Toc354335497"/>
      <w:bookmarkStart w:id="6" w:name="_Toc354335642"/>
      <w:r w:rsidRPr="00103A0B">
        <w:rPr>
          <w:rFonts w:ascii="Arial" w:hAnsi="Arial" w:cs="Arial"/>
          <w:b/>
          <w:sz w:val="32"/>
          <w:szCs w:val="32"/>
        </w:rPr>
        <w:t xml:space="preserve">September </w:t>
      </w:r>
      <w:r w:rsidR="003D3DA8" w:rsidRPr="00103A0B">
        <w:rPr>
          <w:rFonts w:ascii="Arial" w:hAnsi="Arial" w:cs="Arial"/>
          <w:b/>
          <w:sz w:val="32"/>
          <w:szCs w:val="32"/>
        </w:rPr>
        <w:t>20</w:t>
      </w:r>
      <w:bookmarkEnd w:id="0"/>
      <w:bookmarkEnd w:id="1"/>
      <w:bookmarkEnd w:id="2"/>
      <w:bookmarkEnd w:id="3"/>
      <w:bookmarkEnd w:id="4"/>
      <w:bookmarkEnd w:id="5"/>
      <w:bookmarkEnd w:id="6"/>
      <w:r w:rsidR="003D3DA8" w:rsidRPr="00103A0B">
        <w:rPr>
          <w:rFonts w:ascii="Arial" w:hAnsi="Arial" w:cs="Arial"/>
          <w:b/>
          <w:sz w:val="32"/>
          <w:szCs w:val="32"/>
        </w:rPr>
        <w:t>21</w:t>
      </w:r>
    </w:p>
    <w:p w14:paraId="0C276FD1" w14:textId="5FF959E6" w:rsidR="003D3DA8" w:rsidRPr="00103A0B" w:rsidRDefault="003D3DA8" w:rsidP="00CD5919">
      <w:pPr>
        <w:spacing w:line="360" w:lineRule="auto"/>
        <w:jc w:val="both"/>
        <w:rPr>
          <w:rFonts w:ascii="Arial" w:hAnsi="Arial" w:cs="Arial"/>
        </w:rPr>
      </w:pPr>
    </w:p>
    <w:p w14:paraId="75F7B1BD" w14:textId="3A6A9F0A" w:rsidR="003D3DA8" w:rsidRPr="00103A0B" w:rsidRDefault="003D3DA8" w:rsidP="00CD5919">
      <w:pPr>
        <w:spacing w:line="360" w:lineRule="auto"/>
        <w:jc w:val="both"/>
        <w:rPr>
          <w:rFonts w:ascii="Arial" w:hAnsi="Arial" w:cs="Arial"/>
        </w:rPr>
      </w:pPr>
    </w:p>
    <w:p w14:paraId="27641462" w14:textId="456EAD99" w:rsidR="003D3DA8" w:rsidRPr="00103A0B" w:rsidRDefault="003D3DA8" w:rsidP="00CD5919">
      <w:pPr>
        <w:spacing w:line="360" w:lineRule="auto"/>
        <w:jc w:val="both"/>
        <w:rPr>
          <w:rFonts w:ascii="Arial" w:hAnsi="Arial" w:cs="Arial"/>
        </w:rPr>
      </w:pPr>
    </w:p>
    <w:p w14:paraId="684960A1" w14:textId="620CF320" w:rsidR="003D3DA8" w:rsidRPr="00103A0B" w:rsidRDefault="003D3DA8" w:rsidP="00CD5919">
      <w:pPr>
        <w:spacing w:line="360" w:lineRule="auto"/>
        <w:jc w:val="both"/>
        <w:rPr>
          <w:rFonts w:ascii="Arial" w:hAnsi="Arial" w:cs="Arial"/>
        </w:rPr>
      </w:pPr>
    </w:p>
    <w:p w14:paraId="25D80F62" w14:textId="6CD2E6A2" w:rsidR="003D3DA8" w:rsidRPr="00103A0B" w:rsidRDefault="003D3DA8" w:rsidP="00CD5919">
      <w:pPr>
        <w:spacing w:line="360" w:lineRule="auto"/>
        <w:jc w:val="both"/>
        <w:rPr>
          <w:rFonts w:ascii="Arial" w:hAnsi="Arial" w:cs="Arial"/>
        </w:rPr>
      </w:pPr>
    </w:p>
    <w:p w14:paraId="7CF9F9A0" w14:textId="77777777" w:rsidR="00247893" w:rsidRPr="00103A0B" w:rsidRDefault="00247893" w:rsidP="00CD5919">
      <w:pPr>
        <w:spacing w:line="360" w:lineRule="auto"/>
        <w:jc w:val="both"/>
        <w:rPr>
          <w:rFonts w:ascii="Arial" w:hAnsi="Arial" w:cs="Arial"/>
        </w:rPr>
      </w:pPr>
    </w:p>
    <w:p w14:paraId="32A67E67" w14:textId="77777777" w:rsidR="00731909" w:rsidRPr="00103A0B" w:rsidRDefault="00731909" w:rsidP="004B0521">
      <w:pPr>
        <w:pStyle w:val="Heading1"/>
        <w:keepNext/>
        <w:keepLines/>
        <w:numPr>
          <w:ilvl w:val="0"/>
          <w:numId w:val="0"/>
        </w:numPr>
        <w:rPr>
          <w:rFonts w:ascii="Arial" w:hAnsi="Arial" w:cs="Arial"/>
        </w:rPr>
        <w:sectPr w:rsidR="00731909" w:rsidRPr="00103A0B" w:rsidSect="007E7233">
          <w:footerReference w:type="default" r:id="rId11"/>
          <w:pgSz w:w="11906" w:h="16838"/>
          <w:pgMar w:top="1440" w:right="1440" w:bottom="1440" w:left="1440" w:header="709" w:footer="709" w:gutter="0"/>
          <w:pgNumType w:fmt="lowerRoman" w:start="1"/>
          <w:cols w:space="708"/>
          <w:titlePg/>
          <w:docGrid w:linePitch="360"/>
        </w:sectPr>
      </w:pPr>
      <w:bookmarkStart w:id="7" w:name="_Toc354351540"/>
      <w:bookmarkStart w:id="8" w:name="_Toc354352319"/>
      <w:bookmarkStart w:id="9" w:name="_Toc354352474"/>
      <w:bookmarkStart w:id="10" w:name="_Toc354352629"/>
      <w:bookmarkStart w:id="11" w:name="_Ref354734947"/>
      <w:bookmarkStart w:id="12" w:name="_Toc363208526"/>
    </w:p>
    <w:p w14:paraId="71A2A9E7" w14:textId="6290C33A" w:rsidR="003D3DA8" w:rsidRPr="00103A0B" w:rsidRDefault="003D3DA8" w:rsidP="004B0521">
      <w:pPr>
        <w:pStyle w:val="Heading1"/>
        <w:keepNext/>
        <w:keepLines/>
        <w:numPr>
          <w:ilvl w:val="0"/>
          <w:numId w:val="0"/>
        </w:numPr>
        <w:rPr>
          <w:rFonts w:ascii="Arial" w:hAnsi="Arial" w:cs="Arial"/>
        </w:rPr>
      </w:pPr>
      <w:bookmarkStart w:id="13" w:name="_Toc151548283"/>
      <w:r w:rsidRPr="00103A0B">
        <w:rPr>
          <w:rFonts w:ascii="Arial" w:hAnsi="Arial" w:cs="Arial"/>
        </w:rPr>
        <w:lastRenderedPageBreak/>
        <w:t>Acknowledgements</w:t>
      </w:r>
      <w:bookmarkEnd w:id="7"/>
      <w:bookmarkEnd w:id="8"/>
      <w:bookmarkEnd w:id="9"/>
      <w:bookmarkEnd w:id="10"/>
      <w:bookmarkEnd w:id="11"/>
      <w:bookmarkEnd w:id="12"/>
      <w:bookmarkEnd w:id="13"/>
    </w:p>
    <w:p w14:paraId="79030DFE" w14:textId="7527B0E5" w:rsidR="00C073D6" w:rsidRPr="00103A0B" w:rsidRDefault="00C073D6" w:rsidP="00C000E0">
      <w:pPr>
        <w:spacing w:line="360" w:lineRule="auto"/>
        <w:jc w:val="center"/>
        <w:rPr>
          <w:rFonts w:ascii="Arial" w:hAnsi="Arial" w:cs="Arial"/>
          <w:sz w:val="24"/>
          <w:szCs w:val="24"/>
        </w:rPr>
      </w:pPr>
      <w:r w:rsidRPr="00103A0B">
        <w:rPr>
          <w:rFonts w:ascii="Arial" w:hAnsi="Arial" w:cs="Arial"/>
          <w:sz w:val="24"/>
          <w:szCs w:val="24"/>
        </w:rPr>
        <w:t xml:space="preserve">‘In the name of </w:t>
      </w:r>
      <w:r w:rsidR="003C28AC" w:rsidRPr="00103A0B">
        <w:rPr>
          <w:rFonts w:ascii="Arial" w:hAnsi="Arial" w:cs="Arial"/>
          <w:sz w:val="24"/>
          <w:szCs w:val="24"/>
        </w:rPr>
        <w:t>Allah</w:t>
      </w:r>
      <w:r w:rsidRPr="00103A0B">
        <w:rPr>
          <w:rFonts w:ascii="Arial" w:hAnsi="Arial" w:cs="Arial"/>
          <w:sz w:val="24"/>
          <w:szCs w:val="24"/>
        </w:rPr>
        <w:t xml:space="preserve">, the </w:t>
      </w:r>
      <w:r w:rsidR="00A00ADD" w:rsidRPr="00103A0B">
        <w:rPr>
          <w:rFonts w:ascii="Arial" w:hAnsi="Arial" w:cs="Arial"/>
          <w:sz w:val="24"/>
          <w:szCs w:val="24"/>
        </w:rPr>
        <w:t>M</w:t>
      </w:r>
      <w:r w:rsidRPr="00103A0B">
        <w:rPr>
          <w:rFonts w:ascii="Arial" w:hAnsi="Arial" w:cs="Arial"/>
          <w:sz w:val="24"/>
          <w:szCs w:val="24"/>
        </w:rPr>
        <w:t>ost merciful</w:t>
      </w:r>
      <w:r w:rsidR="00A00ADD" w:rsidRPr="00103A0B">
        <w:rPr>
          <w:rFonts w:ascii="Arial" w:hAnsi="Arial" w:cs="Arial"/>
          <w:sz w:val="24"/>
          <w:szCs w:val="24"/>
        </w:rPr>
        <w:t>,</w:t>
      </w:r>
      <w:r w:rsidRPr="00103A0B">
        <w:rPr>
          <w:rFonts w:ascii="Arial" w:hAnsi="Arial" w:cs="Arial"/>
          <w:sz w:val="24"/>
          <w:szCs w:val="24"/>
        </w:rPr>
        <w:t xml:space="preserve"> the </w:t>
      </w:r>
      <w:r w:rsidR="00A00ADD" w:rsidRPr="00103A0B">
        <w:rPr>
          <w:rFonts w:ascii="Arial" w:hAnsi="Arial" w:cs="Arial"/>
          <w:sz w:val="24"/>
          <w:szCs w:val="24"/>
        </w:rPr>
        <w:t>M</w:t>
      </w:r>
      <w:r w:rsidRPr="00103A0B">
        <w:rPr>
          <w:rFonts w:ascii="Arial" w:hAnsi="Arial" w:cs="Arial"/>
          <w:sz w:val="24"/>
          <w:szCs w:val="24"/>
        </w:rPr>
        <w:t>ost compassionate’</w:t>
      </w:r>
    </w:p>
    <w:p w14:paraId="344C63EF" w14:textId="66483A4D" w:rsidR="003D3DA8" w:rsidRPr="00103A0B" w:rsidRDefault="00C073D6" w:rsidP="00CD5919">
      <w:pPr>
        <w:spacing w:line="360" w:lineRule="auto"/>
        <w:jc w:val="both"/>
        <w:rPr>
          <w:rFonts w:ascii="Arial" w:hAnsi="Arial" w:cs="Arial"/>
          <w:sz w:val="24"/>
          <w:szCs w:val="24"/>
        </w:rPr>
      </w:pPr>
      <w:r w:rsidRPr="00103A0B">
        <w:rPr>
          <w:rFonts w:ascii="Arial" w:hAnsi="Arial" w:cs="Arial"/>
          <w:sz w:val="24"/>
          <w:szCs w:val="24"/>
        </w:rPr>
        <w:t xml:space="preserve">I feel blessed by </w:t>
      </w:r>
      <w:r w:rsidR="003C28AC" w:rsidRPr="00103A0B">
        <w:rPr>
          <w:rFonts w:ascii="Arial" w:hAnsi="Arial" w:cs="Arial"/>
          <w:sz w:val="24"/>
          <w:szCs w:val="24"/>
        </w:rPr>
        <w:t>Allah</w:t>
      </w:r>
      <w:r w:rsidRPr="00103A0B">
        <w:rPr>
          <w:rFonts w:ascii="Arial" w:hAnsi="Arial" w:cs="Arial"/>
          <w:sz w:val="24"/>
          <w:szCs w:val="24"/>
        </w:rPr>
        <w:t xml:space="preserve"> Most High to have this great opportunity to conduct and write my thesis as well as achieving all that I have in my life. I am grateful and thankful to Him and pray for His continuous blessings and forgiveness for any shortcomings. </w:t>
      </w:r>
    </w:p>
    <w:p w14:paraId="1E04D06C" w14:textId="5897B481" w:rsidR="00C073D6" w:rsidRPr="00103A0B" w:rsidRDefault="00C073D6" w:rsidP="00CD5919">
      <w:pPr>
        <w:spacing w:line="360" w:lineRule="auto"/>
        <w:jc w:val="both"/>
        <w:rPr>
          <w:rFonts w:ascii="Arial" w:hAnsi="Arial" w:cs="Arial"/>
          <w:sz w:val="24"/>
          <w:szCs w:val="24"/>
        </w:rPr>
      </w:pPr>
      <w:r w:rsidRPr="00103A0B">
        <w:rPr>
          <w:rFonts w:ascii="Arial" w:hAnsi="Arial" w:cs="Arial"/>
          <w:sz w:val="24"/>
          <w:szCs w:val="24"/>
        </w:rPr>
        <w:t>There are many people I would like to thank who have supported me in different ways along my PhD journey. I would like to thank my family for their unwavering support throughout my PhD years; my parents Altaf and Sakina for a beautiful upbringing, always encouraging me and my siblings to pursue higher education and</w:t>
      </w:r>
      <w:r w:rsidR="00D92C8B" w:rsidRPr="00103A0B">
        <w:rPr>
          <w:rFonts w:ascii="Arial" w:hAnsi="Arial" w:cs="Arial"/>
          <w:sz w:val="24"/>
          <w:szCs w:val="24"/>
        </w:rPr>
        <w:t xml:space="preserve"> to</w:t>
      </w:r>
      <w:r w:rsidRPr="00103A0B">
        <w:rPr>
          <w:rFonts w:ascii="Arial" w:hAnsi="Arial" w:cs="Arial"/>
          <w:sz w:val="24"/>
          <w:szCs w:val="24"/>
        </w:rPr>
        <w:t xml:space="preserve"> </w:t>
      </w:r>
      <w:r w:rsidR="00D2202D" w:rsidRPr="00103A0B">
        <w:rPr>
          <w:rFonts w:ascii="Arial" w:hAnsi="Arial" w:cs="Arial"/>
          <w:sz w:val="24"/>
          <w:szCs w:val="24"/>
        </w:rPr>
        <w:t xml:space="preserve">make most of the opportunities that they never had. To my brother Naveed who encouraged me to apply for a PhD in the first place and always aim higher, to my sisters Nadia, </w:t>
      </w:r>
      <w:proofErr w:type="spellStart"/>
      <w:r w:rsidR="00D2202D" w:rsidRPr="00103A0B">
        <w:rPr>
          <w:rFonts w:ascii="Arial" w:hAnsi="Arial" w:cs="Arial"/>
          <w:sz w:val="24"/>
          <w:szCs w:val="24"/>
        </w:rPr>
        <w:t>Annissa</w:t>
      </w:r>
      <w:proofErr w:type="spellEnd"/>
      <w:r w:rsidR="00D2202D" w:rsidRPr="00103A0B">
        <w:rPr>
          <w:rFonts w:ascii="Arial" w:hAnsi="Arial" w:cs="Arial"/>
          <w:sz w:val="24"/>
          <w:szCs w:val="24"/>
        </w:rPr>
        <w:t xml:space="preserve">, </w:t>
      </w:r>
      <w:proofErr w:type="gramStart"/>
      <w:r w:rsidR="00D2202D" w:rsidRPr="00103A0B">
        <w:rPr>
          <w:rFonts w:ascii="Arial" w:hAnsi="Arial" w:cs="Arial"/>
          <w:sz w:val="24"/>
          <w:szCs w:val="24"/>
        </w:rPr>
        <w:t>Neelam</w:t>
      </w:r>
      <w:proofErr w:type="gramEnd"/>
      <w:r w:rsidR="00D2202D" w:rsidRPr="00103A0B">
        <w:rPr>
          <w:rFonts w:ascii="Arial" w:hAnsi="Arial" w:cs="Arial"/>
          <w:sz w:val="24"/>
          <w:szCs w:val="24"/>
        </w:rPr>
        <w:t xml:space="preserve"> and </w:t>
      </w:r>
      <w:proofErr w:type="spellStart"/>
      <w:r w:rsidR="00D2202D" w:rsidRPr="00103A0B">
        <w:rPr>
          <w:rFonts w:ascii="Arial" w:hAnsi="Arial" w:cs="Arial"/>
          <w:sz w:val="24"/>
          <w:szCs w:val="24"/>
        </w:rPr>
        <w:t>Saarah</w:t>
      </w:r>
      <w:proofErr w:type="spellEnd"/>
      <w:r w:rsidR="00D2202D" w:rsidRPr="00103A0B">
        <w:rPr>
          <w:rFonts w:ascii="Arial" w:hAnsi="Arial" w:cs="Arial"/>
          <w:sz w:val="24"/>
          <w:szCs w:val="24"/>
        </w:rPr>
        <w:t xml:space="preserve"> for all their time, support, encouragement, all those hot meals, and many hours of unpaid babysitting! To my husband Abrar for supporting me too and </w:t>
      </w:r>
      <w:r w:rsidR="003D748F" w:rsidRPr="00103A0B">
        <w:rPr>
          <w:rFonts w:ascii="Arial" w:hAnsi="Arial" w:cs="Arial"/>
          <w:sz w:val="24"/>
          <w:szCs w:val="24"/>
        </w:rPr>
        <w:t>my sons</w:t>
      </w:r>
      <w:r w:rsidR="00D2202D" w:rsidRPr="00103A0B">
        <w:rPr>
          <w:rFonts w:ascii="Arial" w:hAnsi="Arial" w:cs="Arial"/>
          <w:sz w:val="24"/>
          <w:szCs w:val="24"/>
        </w:rPr>
        <w:t xml:space="preserve"> </w:t>
      </w:r>
      <w:proofErr w:type="spellStart"/>
      <w:r w:rsidR="00D2202D" w:rsidRPr="00103A0B">
        <w:rPr>
          <w:rFonts w:ascii="Arial" w:hAnsi="Arial" w:cs="Arial"/>
          <w:sz w:val="24"/>
          <w:szCs w:val="24"/>
        </w:rPr>
        <w:t>Ibraheem</w:t>
      </w:r>
      <w:proofErr w:type="spellEnd"/>
      <w:r w:rsidR="009D1D80" w:rsidRPr="00103A0B">
        <w:rPr>
          <w:rFonts w:ascii="Arial" w:hAnsi="Arial" w:cs="Arial"/>
          <w:sz w:val="24"/>
          <w:szCs w:val="24"/>
        </w:rPr>
        <w:t xml:space="preserve"> and Musa</w:t>
      </w:r>
      <w:r w:rsidR="00D2202D" w:rsidRPr="00103A0B">
        <w:rPr>
          <w:rFonts w:ascii="Arial" w:hAnsi="Arial" w:cs="Arial"/>
          <w:sz w:val="24"/>
          <w:szCs w:val="24"/>
        </w:rPr>
        <w:t xml:space="preserve"> for </w:t>
      </w:r>
      <w:r w:rsidR="009D1D80" w:rsidRPr="00103A0B">
        <w:rPr>
          <w:rFonts w:ascii="Arial" w:hAnsi="Arial" w:cs="Arial"/>
          <w:sz w:val="24"/>
          <w:szCs w:val="24"/>
        </w:rPr>
        <w:t xml:space="preserve">always </w:t>
      </w:r>
      <w:r w:rsidR="00D2202D" w:rsidRPr="00103A0B">
        <w:rPr>
          <w:rFonts w:ascii="Arial" w:hAnsi="Arial" w:cs="Arial"/>
          <w:sz w:val="24"/>
          <w:szCs w:val="24"/>
        </w:rPr>
        <w:t xml:space="preserve">keeping me smiling. I love you all and I am forever grateful. </w:t>
      </w:r>
    </w:p>
    <w:p w14:paraId="435D2820" w14:textId="49004F19" w:rsidR="00D2202D" w:rsidRPr="00103A0B" w:rsidRDefault="00D2202D" w:rsidP="00CD5919">
      <w:pPr>
        <w:spacing w:line="360" w:lineRule="auto"/>
        <w:jc w:val="both"/>
        <w:rPr>
          <w:rFonts w:ascii="Arial" w:hAnsi="Arial" w:cs="Arial"/>
          <w:sz w:val="24"/>
          <w:szCs w:val="24"/>
        </w:rPr>
      </w:pPr>
      <w:r w:rsidRPr="00103A0B">
        <w:rPr>
          <w:rFonts w:ascii="Arial" w:hAnsi="Arial" w:cs="Arial"/>
          <w:sz w:val="24"/>
          <w:szCs w:val="24"/>
        </w:rPr>
        <w:t>I would like to thank my supervisors, Dr Rachel Povey, Professor Christopher Gidlow</w:t>
      </w:r>
      <w:r w:rsidR="007456B0" w:rsidRPr="00103A0B">
        <w:rPr>
          <w:rFonts w:ascii="Arial" w:hAnsi="Arial" w:cs="Arial"/>
          <w:sz w:val="24"/>
          <w:szCs w:val="24"/>
        </w:rPr>
        <w:t xml:space="preserve"> and</w:t>
      </w:r>
      <w:r w:rsidRPr="00103A0B">
        <w:rPr>
          <w:rFonts w:ascii="Arial" w:hAnsi="Arial" w:cs="Arial"/>
          <w:sz w:val="24"/>
          <w:szCs w:val="24"/>
        </w:rPr>
        <w:t xml:space="preserve"> Dr Naomi Ellis for their unwavering support, </w:t>
      </w:r>
      <w:proofErr w:type="gramStart"/>
      <w:r w:rsidRPr="00103A0B">
        <w:rPr>
          <w:rFonts w:ascii="Arial" w:hAnsi="Arial" w:cs="Arial"/>
          <w:sz w:val="24"/>
          <w:szCs w:val="24"/>
        </w:rPr>
        <w:t>advice</w:t>
      </w:r>
      <w:proofErr w:type="gramEnd"/>
      <w:r w:rsidRPr="00103A0B">
        <w:rPr>
          <w:rFonts w:ascii="Arial" w:hAnsi="Arial" w:cs="Arial"/>
          <w:sz w:val="24"/>
          <w:szCs w:val="24"/>
        </w:rPr>
        <w:t xml:space="preserve"> and </w:t>
      </w:r>
      <w:r w:rsidR="00D92C8B" w:rsidRPr="00103A0B">
        <w:rPr>
          <w:rFonts w:ascii="Arial" w:hAnsi="Arial" w:cs="Arial"/>
          <w:sz w:val="24"/>
          <w:szCs w:val="24"/>
        </w:rPr>
        <w:t>encouragement</w:t>
      </w:r>
      <w:r w:rsidRPr="00103A0B">
        <w:rPr>
          <w:rFonts w:ascii="Arial" w:hAnsi="Arial" w:cs="Arial"/>
          <w:sz w:val="24"/>
          <w:szCs w:val="24"/>
        </w:rPr>
        <w:t>. Without them, this PhD would not be possible. I am thankful for all the support in publishing papers which I never thought is possible for someone like me. I am grateful for all the</w:t>
      </w:r>
      <w:r w:rsidR="0002431B" w:rsidRPr="00103A0B">
        <w:rPr>
          <w:rFonts w:ascii="Arial" w:hAnsi="Arial" w:cs="Arial"/>
          <w:sz w:val="24"/>
          <w:szCs w:val="24"/>
        </w:rPr>
        <w:t>ir</w:t>
      </w:r>
      <w:r w:rsidRPr="00103A0B">
        <w:rPr>
          <w:rFonts w:ascii="Arial" w:hAnsi="Arial" w:cs="Arial"/>
          <w:sz w:val="24"/>
          <w:szCs w:val="24"/>
        </w:rPr>
        <w:t xml:space="preserve"> feedback and support, and I hope I c</w:t>
      </w:r>
      <w:r w:rsidR="00D92C8B" w:rsidRPr="00103A0B">
        <w:rPr>
          <w:rFonts w:ascii="Arial" w:hAnsi="Arial" w:cs="Arial"/>
          <w:sz w:val="24"/>
          <w:szCs w:val="24"/>
        </w:rPr>
        <w:t>a</w:t>
      </w:r>
      <w:r w:rsidRPr="00103A0B">
        <w:rPr>
          <w:rFonts w:ascii="Arial" w:hAnsi="Arial" w:cs="Arial"/>
          <w:sz w:val="24"/>
          <w:szCs w:val="24"/>
        </w:rPr>
        <w:t xml:space="preserve">n become a good academic like them one day. </w:t>
      </w:r>
      <w:r w:rsidR="004D1B86" w:rsidRPr="00103A0B">
        <w:rPr>
          <w:rFonts w:ascii="Arial" w:hAnsi="Arial" w:cs="Arial"/>
          <w:sz w:val="24"/>
          <w:szCs w:val="24"/>
        </w:rPr>
        <w:t xml:space="preserve">I would like to thank </w:t>
      </w:r>
      <w:proofErr w:type="gramStart"/>
      <w:r w:rsidR="004D1B86" w:rsidRPr="00103A0B">
        <w:rPr>
          <w:rFonts w:ascii="Arial" w:hAnsi="Arial" w:cs="Arial"/>
          <w:sz w:val="24"/>
          <w:szCs w:val="24"/>
        </w:rPr>
        <w:t>all of</w:t>
      </w:r>
      <w:proofErr w:type="gramEnd"/>
      <w:r w:rsidR="004D1B86" w:rsidRPr="00103A0B">
        <w:rPr>
          <w:rFonts w:ascii="Arial" w:hAnsi="Arial" w:cs="Arial"/>
          <w:sz w:val="24"/>
          <w:szCs w:val="24"/>
        </w:rPr>
        <w:t xml:space="preserve"> my PhD colleagues for all their support and advice during my journey. </w:t>
      </w:r>
      <w:r w:rsidR="00D92C8B" w:rsidRPr="00103A0B">
        <w:rPr>
          <w:rFonts w:ascii="Arial" w:hAnsi="Arial" w:cs="Arial"/>
          <w:sz w:val="24"/>
          <w:szCs w:val="24"/>
        </w:rPr>
        <w:t xml:space="preserve">I would like to thank Staffordshire </w:t>
      </w:r>
      <w:r w:rsidR="00C64190" w:rsidRPr="00103A0B">
        <w:rPr>
          <w:rFonts w:ascii="Arial" w:hAnsi="Arial" w:cs="Arial"/>
          <w:sz w:val="24"/>
          <w:szCs w:val="24"/>
        </w:rPr>
        <w:t>U</w:t>
      </w:r>
      <w:r w:rsidR="00D92C8B" w:rsidRPr="00103A0B">
        <w:rPr>
          <w:rFonts w:ascii="Arial" w:hAnsi="Arial" w:cs="Arial"/>
          <w:sz w:val="24"/>
          <w:szCs w:val="24"/>
        </w:rPr>
        <w:t xml:space="preserve">niversity for their financial support and to the Psychology </w:t>
      </w:r>
      <w:r w:rsidR="00C64190" w:rsidRPr="00103A0B">
        <w:rPr>
          <w:rFonts w:ascii="Arial" w:hAnsi="Arial" w:cs="Arial"/>
          <w:sz w:val="24"/>
          <w:szCs w:val="24"/>
        </w:rPr>
        <w:t>D</w:t>
      </w:r>
      <w:r w:rsidR="00D92C8B" w:rsidRPr="00103A0B">
        <w:rPr>
          <w:rFonts w:ascii="Arial" w:hAnsi="Arial" w:cs="Arial"/>
          <w:sz w:val="24"/>
          <w:szCs w:val="24"/>
        </w:rPr>
        <w:t xml:space="preserve">epartment for financially supporting me to present my research at various conferences. </w:t>
      </w:r>
    </w:p>
    <w:p w14:paraId="54929907" w14:textId="5D3B1EE9" w:rsidR="00D2202D" w:rsidRPr="00103A0B" w:rsidRDefault="00D2202D" w:rsidP="00CD5919">
      <w:pPr>
        <w:spacing w:line="360" w:lineRule="auto"/>
        <w:jc w:val="both"/>
        <w:rPr>
          <w:rFonts w:ascii="Arial" w:hAnsi="Arial" w:cs="Arial"/>
          <w:sz w:val="24"/>
          <w:szCs w:val="24"/>
        </w:rPr>
      </w:pPr>
      <w:r w:rsidRPr="00103A0B">
        <w:rPr>
          <w:rFonts w:ascii="Arial" w:hAnsi="Arial" w:cs="Arial"/>
          <w:sz w:val="24"/>
          <w:szCs w:val="24"/>
        </w:rPr>
        <w:t xml:space="preserve">I would also like to thank </w:t>
      </w:r>
      <w:r w:rsidR="005307BF" w:rsidRPr="00103A0B">
        <w:rPr>
          <w:rFonts w:ascii="Arial" w:hAnsi="Arial" w:cs="Arial"/>
          <w:sz w:val="24"/>
          <w:szCs w:val="24"/>
        </w:rPr>
        <w:t>the Local Provider</w:t>
      </w:r>
      <w:r w:rsidRPr="00103A0B">
        <w:rPr>
          <w:rFonts w:ascii="Arial" w:hAnsi="Arial" w:cs="Arial"/>
          <w:sz w:val="24"/>
          <w:szCs w:val="24"/>
        </w:rPr>
        <w:t xml:space="preserve">, particularly Dr Paul Chadwick for all </w:t>
      </w:r>
      <w:r w:rsidR="0002431B" w:rsidRPr="00103A0B">
        <w:rPr>
          <w:rFonts w:ascii="Arial" w:hAnsi="Arial" w:cs="Arial"/>
          <w:sz w:val="24"/>
          <w:szCs w:val="24"/>
        </w:rPr>
        <w:t>the</w:t>
      </w:r>
      <w:r w:rsidRPr="00103A0B">
        <w:rPr>
          <w:rFonts w:ascii="Arial" w:hAnsi="Arial" w:cs="Arial"/>
          <w:sz w:val="24"/>
          <w:szCs w:val="24"/>
        </w:rPr>
        <w:t xml:space="preserve"> support and assisting me with data collection and write up of some of the papers.</w:t>
      </w:r>
      <w:r w:rsidR="00D92C8B" w:rsidRPr="00103A0B">
        <w:rPr>
          <w:rFonts w:ascii="Arial" w:hAnsi="Arial" w:cs="Arial"/>
          <w:sz w:val="24"/>
          <w:szCs w:val="24"/>
        </w:rPr>
        <w:t xml:space="preserve"> </w:t>
      </w:r>
      <w:r w:rsidR="0002431B" w:rsidRPr="00103A0B">
        <w:rPr>
          <w:rFonts w:ascii="Arial" w:hAnsi="Arial" w:cs="Arial"/>
          <w:sz w:val="24"/>
          <w:szCs w:val="24"/>
        </w:rPr>
        <w:t xml:space="preserve">Finally, </w:t>
      </w:r>
      <w:r w:rsidR="00D92C8B" w:rsidRPr="00103A0B">
        <w:rPr>
          <w:rFonts w:ascii="Arial" w:hAnsi="Arial" w:cs="Arial"/>
          <w:sz w:val="24"/>
          <w:szCs w:val="24"/>
        </w:rPr>
        <w:t xml:space="preserve">I would like to thank all the participants for their time in completing questionnaires and taking part in interviews.  </w:t>
      </w:r>
    </w:p>
    <w:p w14:paraId="327FD44D" w14:textId="6D004CD6" w:rsidR="003D3DA8" w:rsidRPr="00103A0B" w:rsidRDefault="003D3DA8" w:rsidP="00CD5919">
      <w:pPr>
        <w:spacing w:line="360" w:lineRule="auto"/>
        <w:jc w:val="both"/>
        <w:rPr>
          <w:rFonts w:ascii="Arial" w:hAnsi="Arial" w:cs="Arial"/>
        </w:rPr>
      </w:pPr>
    </w:p>
    <w:p w14:paraId="013AC8F8" w14:textId="473C7D2D" w:rsidR="0002431B" w:rsidRPr="00103A0B" w:rsidRDefault="0002431B" w:rsidP="00CD5919">
      <w:pPr>
        <w:jc w:val="both"/>
        <w:rPr>
          <w:lang w:bidi="en-US"/>
        </w:rPr>
      </w:pPr>
    </w:p>
    <w:p w14:paraId="769B1232" w14:textId="77777777" w:rsidR="0002431B" w:rsidRPr="00103A0B" w:rsidRDefault="0002431B" w:rsidP="00CD5919">
      <w:pPr>
        <w:jc w:val="both"/>
        <w:rPr>
          <w:lang w:bidi="en-US"/>
        </w:rPr>
      </w:pPr>
    </w:p>
    <w:sdt>
      <w:sdtPr>
        <w:rPr>
          <w:rFonts w:ascii="Arial" w:eastAsiaTheme="minorHAnsi" w:hAnsi="Arial" w:cs="Arial"/>
          <w:color w:val="auto"/>
          <w:sz w:val="22"/>
          <w:szCs w:val="22"/>
          <w:lang w:val="en-GB"/>
        </w:rPr>
        <w:id w:val="-961111748"/>
        <w:docPartObj>
          <w:docPartGallery w:val="Table of Contents"/>
          <w:docPartUnique/>
        </w:docPartObj>
      </w:sdtPr>
      <w:sdtEndPr>
        <w:rPr>
          <w:b/>
          <w:bCs/>
          <w:noProof/>
          <w:sz w:val="24"/>
          <w:szCs w:val="24"/>
        </w:rPr>
      </w:sdtEndPr>
      <w:sdtContent>
        <w:p w14:paraId="0A976BDE" w14:textId="12C3247D" w:rsidR="002D3F5D" w:rsidRPr="00103A0B" w:rsidRDefault="002D3F5D" w:rsidP="00CD5919">
          <w:pPr>
            <w:pStyle w:val="TOCHeading"/>
            <w:spacing w:line="360" w:lineRule="auto"/>
            <w:jc w:val="both"/>
            <w:rPr>
              <w:rStyle w:val="Heading1Char"/>
              <w:rFonts w:ascii="Arial" w:hAnsi="Arial" w:cs="Arial"/>
            </w:rPr>
          </w:pPr>
          <w:r w:rsidRPr="00103A0B">
            <w:rPr>
              <w:rStyle w:val="Heading1Char"/>
              <w:rFonts w:ascii="Arial" w:hAnsi="Arial" w:cs="Arial"/>
            </w:rPr>
            <w:t>Contents</w:t>
          </w:r>
        </w:p>
        <w:p w14:paraId="18583979" w14:textId="59709ADE" w:rsidR="005D0A3A" w:rsidRPr="00103A0B" w:rsidRDefault="002D3F5D">
          <w:pPr>
            <w:pStyle w:val="TOC1"/>
            <w:tabs>
              <w:tab w:val="right" w:leader="dot" w:pos="9016"/>
            </w:tabs>
            <w:rPr>
              <w:rFonts w:ascii="Arial" w:eastAsiaTheme="minorEastAsia" w:hAnsi="Arial" w:cs="Arial"/>
              <w:noProof/>
              <w:sz w:val="24"/>
              <w:szCs w:val="24"/>
              <w:lang w:eastAsia="en-GB"/>
            </w:rPr>
          </w:pPr>
          <w:r w:rsidRPr="00103A0B">
            <w:rPr>
              <w:rFonts w:ascii="Arial" w:hAnsi="Arial" w:cs="Arial"/>
              <w:sz w:val="24"/>
              <w:szCs w:val="24"/>
            </w:rPr>
            <w:fldChar w:fldCharType="begin"/>
          </w:r>
          <w:r w:rsidRPr="00103A0B">
            <w:rPr>
              <w:rFonts w:ascii="Arial" w:hAnsi="Arial" w:cs="Arial"/>
              <w:sz w:val="24"/>
              <w:szCs w:val="24"/>
            </w:rPr>
            <w:instrText xml:space="preserve"> TOC \o "1-3" \h \z \u </w:instrText>
          </w:r>
          <w:r w:rsidRPr="00103A0B">
            <w:rPr>
              <w:rFonts w:ascii="Arial" w:hAnsi="Arial" w:cs="Arial"/>
              <w:sz w:val="24"/>
              <w:szCs w:val="24"/>
            </w:rPr>
            <w:fldChar w:fldCharType="separate"/>
          </w:r>
          <w:hyperlink w:anchor="_Toc151548284" w:history="1">
            <w:r w:rsidR="005D0A3A" w:rsidRPr="00103A0B">
              <w:rPr>
                <w:rStyle w:val="Hyperlink"/>
                <w:rFonts w:ascii="Arial" w:hAnsi="Arial" w:cs="Arial"/>
                <w:noProof/>
                <w:sz w:val="24"/>
                <w:szCs w:val="24"/>
                <w:lang w:bidi="en-US"/>
              </w:rPr>
              <w:t>Abstract</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_Toc151548284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i</w:t>
            </w:r>
            <w:r w:rsidR="005D0A3A" w:rsidRPr="00103A0B">
              <w:rPr>
                <w:rFonts w:ascii="Arial" w:hAnsi="Arial" w:cs="Arial"/>
                <w:noProof/>
                <w:webHidden/>
                <w:sz w:val="24"/>
                <w:szCs w:val="24"/>
              </w:rPr>
              <w:fldChar w:fldCharType="end"/>
            </w:r>
          </w:hyperlink>
        </w:p>
        <w:p w14:paraId="0BA19321" w14:textId="63A20CBA"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285" w:history="1">
            <w:r w:rsidR="005D0A3A" w:rsidRPr="00103A0B">
              <w:rPr>
                <w:rStyle w:val="Hyperlink"/>
                <w:rFonts w:ascii="Arial" w:hAnsi="Arial" w:cs="Arial"/>
                <w:noProof/>
                <w:sz w:val="24"/>
                <w:szCs w:val="24"/>
                <w:lang w:bidi="en-US"/>
              </w:rPr>
              <w:t>List of Tables</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_Toc151548285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ii</w:t>
            </w:r>
            <w:r w:rsidR="005D0A3A" w:rsidRPr="00103A0B">
              <w:rPr>
                <w:rFonts w:ascii="Arial" w:hAnsi="Arial" w:cs="Arial"/>
                <w:noProof/>
                <w:webHidden/>
                <w:sz w:val="24"/>
                <w:szCs w:val="24"/>
              </w:rPr>
              <w:fldChar w:fldCharType="end"/>
            </w:r>
          </w:hyperlink>
        </w:p>
        <w:p w14:paraId="509606FE" w14:textId="5FC87633"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286" w:history="1">
            <w:r w:rsidR="005D0A3A" w:rsidRPr="00103A0B">
              <w:rPr>
                <w:rStyle w:val="Hyperlink"/>
                <w:rFonts w:ascii="Arial" w:hAnsi="Arial" w:cs="Arial"/>
                <w:noProof/>
                <w:sz w:val="24"/>
                <w:szCs w:val="24"/>
                <w:lang w:bidi="en-US"/>
              </w:rPr>
              <w:t>List of Figures</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_Toc151548286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iii</w:t>
            </w:r>
            <w:r w:rsidR="005D0A3A" w:rsidRPr="00103A0B">
              <w:rPr>
                <w:rFonts w:ascii="Arial" w:hAnsi="Arial" w:cs="Arial"/>
                <w:noProof/>
                <w:webHidden/>
                <w:sz w:val="24"/>
                <w:szCs w:val="24"/>
              </w:rPr>
              <w:fldChar w:fldCharType="end"/>
            </w:r>
          </w:hyperlink>
        </w:p>
        <w:p w14:paraId="26972C58" w14:textId="5C3AB402"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287" w:history="1">
            <w:r w:rsidR="005D0A3A" w:rsidRPr="00103A0B">
              <w:rPr>
                <w:rStyle w:val="Hyperlink"/>
                <w:rFonts w:ascii="Arial" w:hAnsi="Arial" w:cs="Arial"/>
                <w:noProof/>
                <w:sz w:val="24"/>
                <w:szCs w:val="24"/>
                <w:lang w:bidi="en-US"/>
              </w:rPr>
              <w:t>List of Appendices</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_Toc151548287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iv</w:t>
            </w:r>
            <w:r w:rsidR="005D0A3A" w:rsidRPr="00103A0B">
              <w:rPr>
                <w:rFonts w:ascii="Arial" w:hAnsi="Arial" w:cs="Arial"/>
                <w:noProof/>
                <w:webHidden/>
                <w:sz w:val="24"/>
                <w:szCs w:val="24"/>
              </w:rPr>
              <w:fldChar w:fldCharType="end"/>
            </w:r>
          </w:hyperlink>
        </w:p>
        <w:p w14:paraId="108CFF4B" w14:textId="06D77153"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288" w:history="1">
            <w:r w:rsidR="005D0A3A" w:rsidRPr="00103A0B">
              <w:rPr>
                <w:rStyle w:val="Hyperlink"/>
                <w:rFonts w:ascii="Arial" w:hAnsi="Arial" w:cs="Arial"/>
                <w:noProof/>
                <w:sz w:val="24"/>
                <w:szCs w:val="24"/>
                <w:lang w:bidi="en-US"/>
              </w:rPr>
              <w:t>List of Outputs</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_Toc151548288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vi</w:t>
            </w:r>
            <w:r w:rsidR="005D0A3A" w:rsidRPr="00103A0B">
              <w:rPr>
                <w:rFonts w:ascii="Arial" w:hAnsi="Arial" w:cs="Arial"/>
                <w:noProof/>
                <w:webHidden/>
                <w:sz w:val="24"/>
                <w:szCs w:val="24"/>
              </w:rPr>
              <w:fldChar w:fldCharType="end"/>
            </w:r>
          </w:hyperlink>
        </w:p>
        <w:p w14:paraId="0C2A9320" w14:textId="6A2C2CAC"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289" w:history="1">
            <w:r w:rsidR="005D0A3A" w:rsidRPr="00103A0B">
              <w:rPr>
                <w:rStyle w:val="Hyperlink"/>
                <w:rFonts w:ascii="Arial" w:hAnsi="Arial" w:cs="Arial"/>
                <w:noProof/>
                <w:sz w:val="24"/>
                <w:szCs w:val="24"/>
                <w:lang w:bidi="en-US"/>
              </w:rPr>
              <w:t>List of Acronyms</w:t>
            </w:r>
            <w:r w:rsidR="005D0A3A" w:rsidRPr="00103A0B">
              <w:rPr>
                <w:rFonts w:ascii="Arial" w:hAnsi="Arial" w:cs="Arial"/>
                <w:noProof/>
                <w:webHidden/>
                <w:sz w:val="24"/>
                <w:szCs w:val="24"/>
              </w:rPr>
              <w:tab/>
            </w:r>
            <w:r w:rsidR="00F5102D" w:rsidRPr="00103A0B">
              <w:rPr>
                <w:rFonts w:ascii="Arial" w:hAnsi="Arial" w:cs="Arial"/>
                <w:noProof/>
                <w:webHidden/>
                <w:sz w:val="24"/>
                <w:szCs w:val="24"/>
              </w:rPr>
              <w:t>ix</w:t>
            </w:r>
          </w:hyperlink>
        </w:p>
        <w:p w14:paraId="585AF2EA" w14:textId="52CD959E"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290" w:history="1">
            <w:r w:rsidR="005D0A3A" w:rsidRPr="00103A0B">
              <w:rPr>
                <w:rStyle w:val="Hyperlink"/>
                <w:rFonts w:ascii="Arial" w:hAnsi="Arial" w:cs="Arial"/>
                <w:noProof/>
                <w:sz w:val="24"/>
                <w:szCs w:val="24"/>
                <w:lang w:bidi="en-US"/>
              </w:rPr>
              <w:t>Glossary</w:t>
            </w:r>
            <w:r w:rsidR="005D0A3A" w:rsidRPr="00103A0B">
              <w:rPr>
                <w:rFonts w:ascii="Arial" w:hAnsi="Arial" w:cs="Arial"/>
                <w:noProof/>
                <w:webHidden/>
                <w:sz w:val="24"/>
                <w:szCs w:val="24"/>
              </w:rPr>
              <w:tab/>
            </w:r>
            <w:r w:rsidR="00F5102D" w:rsidRPr="00103A0B">
              <w:rPr>
                <w:rFonts w:ascii="Arial" w:hAnsi="Arial" w:cs="Arial"/>
                <w:noProof/>
                <w:webHidden/>
                <w:sz w:val="24"/>
                <w:szCs w:val="24"/>
              </w:rPr>
              <w:t>xi</w:t>
            </w:r>
          </w:hyperlink>
        </w:p>
        <w:p w14:paraId="3425CF01" w14:textId="350EDBAE"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291" w:history="1">
            <w:r w:rsidR="005D0A3A" w:rsidRPr="00103A0B">
              <w:rPr>
                <w:rStyle w:val="Hyperlink"/>
                <w:rFonts w:ascii="Arial" w:hAnsi="Arial" w:cs="Arial"/>
                <w:noProof/>
                <w:sz w:val="24"/>
                <w:szCs w:val="24"/>
                <w:lang w:bidi="en-US"/>
              </w:rPr>
              <w:t>Chapter 1: Literature Review</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_Toc151548291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1</w:t>
            </w:r>
            <w:r w:rsidR="005D0A3A" w:rsidRPr="00103A0B">
              <w:rPr>
                <w:rFonts w:ascii="Arial" w:hAnsi="Arial" w:cs="Arial"/>
                <w:noProof/>
                <w:webHidden/>
                <w:sz w:val="24"/>
                <w:szCs w:val="24"/>
              </w:rPr>
              <w:fldChar w:fldCharType="end"/>
            </w:r>
          </w:hyperlink>
        </w:p>
        <w:p w14:paraId="29832498" w14:textId="00B80C2B" w:rsidR="005D0A3A" w:rsidRPr="00103A0B" w:rsidRDefault="00000000">
          <w:pPr>
            <w:pStyle w:val="TOC2"/>
            <w:tabs>
              <w:tab w:val="left" w:pos="960"/>
            </w:tabs>
            <w:rPr>
              <w:rFonts w:eastAsiaTheme="minorEastAsia"/>
              <w:sz w:val="24"/>
              <w:szCs w:val="24"/>
              <w:lang w:eastAsia="en-GB" w:bidi="ar-SA"/>
            </w:rPr>
          </w:pPr>
          <w:hyperlink w:anchor="_Toc151548292" w:history="1">
            <w:r w:rsidR="005D0A3A" w:rsidRPr="00103A0B">
              <w:rPr>
                <w:rStyle w:val="Hyperlink"/>
                <w:snapToGrid w:val="0"/>
                <w:w w:val="0"/>
                <w:sz w:val="24"/>
                <w:szCs w:val="24"/>
              </w:rPr>
              <w:t>1.1</w:t>
            </w:r>
            <w:r w:rsidR="005D0A3A" w:rsidRPr="00103A0B">
              <w:rPr>
                <w:rFonts w:eastAsiaTheme="minorEastAsia"/>
                <w:sz w:val="24"/>
                <w:szCs w:val="24"/>
                <w:lang w:eastAsia="en-GB" w:bidi="ar-SA"/>
              </w:rPr>
              <w:tab/>
            </w:r>
            <w:r w:rsidR="005D0A3A" w:rsidRPr="00103A0B">
              <w:rPr>
                <w:rStyle w:val="Hyperlink"/>
                <w:sz w:val="24"/>
                <w:szCs w:val="24"/>
              </w:rPr>
              <w:t>Policy and Position Statements around Diabetes Prevention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_Toc151548292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w:t>
            </w:r>
            <w:r w:rsidR="005D0A3A" w:rsidRPr="00103A0B">
              <w:rPr>
                <w:webHidden/>
                <w:sz w:val="24"/>
                <w:szCs w:val="24"/>
              </w:rPr>
              <w:fldChar w:fldCharType="end"/>
            </w:r>
          </w:hyperlink>
        </w:p>
        <w:p w14:paraId="271F9CC8" w14:textId="35E2256B" w:rsidR="005D0A3A" w:rsidRPr="00103A0B" w:rsidRDefault="00000000">
          <w:pPr>
            <w:pStyle w:val="TOC2"/>
            <w:tabs>
              <w:tab w:val="left" w:pos="960"/>
            </w:tabs>
            <w:rPr>
              <w:rFonts w:eastAsiaTheme="minorEastAsia"/>
              <w:sz w:val="24"/>
              <w:szCs w:val="24"/>
              <w:lang w:eastAsia="en-GB" w:bidi="ar-SA"/>
            </w:rPr>
          </w:pPr>
          <w:hyperlink w:anchor="_Toc151548293" w:history="1">
            <w:r w:rsidR="005D0A3A" w:rsidRPr="00103A0B">
              <w:rPr>
                <w:rStyle w:val="Hyperlink"/>
                <w:snapToGrid w:val="0"/>
                <w:w w:val="0"/>
                <w:sz w:val="24"/>
                <w:szCs w:val="24"/>
              </w:rPr>
              <w:t>1.2</w:t>
            </w:r>
            <w:r w:rsidR="005D0A3A" w:rsidRPr="00103A0B">
              <w:rPr>
                <w:rFonts w:eastAsiaTheme="minorEastAsia"/>
                <w:sz w:val="24"/>
                <w:szCs w:val="24"/>
                <w:lang w:eastAsia="en-GB" w:bidi="ar-SA"/>
              </w:rPr>
              <w:tab/>
            </w:r>
            <w:r w:rsidR="005D0A3A" w:rsidRPr="00103A0B">
              <w:rPr>
                <w:rStyle w:val="Hyperlink"/>
                <w:sz w:val="24"/>
                <w:szCs w:val="24"/>
              </w:rPr>
              <w:t>Defining Prediabetes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_Toc151548293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3</w:t>
            </w:r>
            <w:r w:rsidR="005D0A3A" w:rsidRPr="00103A0B">
              <w:rPr>
                <w:webHidden/>
                <w:sz w:val="24"/>
                <w:szCs w:val="24"/>
              </w:rPr>
              <w:fldChar w:fldCharType="end"/>
            </w:r>
          </w:hyperlink>
        </w:p>
        <w:p w14:paraId="02CE7C07" w14:textId="0BDA0E61" w:rsidR="005D0A3A" w:rsidRPr="00103A0B" w:rsidRDefault="00000000">
          <w:pPr>
            <w:pStyle w:val="TOC2"/>
            <w:tabs>
              <w:tab w:val="left" w:pos="960"/>
            </w:tabs>
            <w:rPr>
              <w:rFonts w:eastAsiaTheme="minorEastAsia"/>
              <w:sz w:val="24"/>
              <w:szCs w:val="24"/>
              <w:lang w:eastAsia="en-GB" w:bidi="ar-SA"/>
            </w:rPr>
          </w:pPr>
          <w:hyperlink w:anchor="_Toc151548294" w:history="1">
            <w:r w:rsidR="005D0A3A" w:rsidRPr="00103A0B">
              <w:rPr>
                <w:rStyle w:val="Hyperlink"/>
                <w:snapToGrid w:val="0"/>
                <w:w w:val="0"/>
                <w:sz w:val="24"/>
                <w:szCs w:val="24"/>
              </w:rPr>
              <w:t>1.3</w:t>
            </w:r>
            <w:r w:rsidR="005D0A3A" w:rsidRPr="00103A0B">
              <w:rPr>
                <w:rFonts w:eastAsiaTheme="minorEastAsia"/>
                <w:sz w:val="24"/>
                <w:szCs w:val="24"/>
                <w:lang w:eastAsia="en-GB" w:bidi="ar-SA"/>
              </w:rPr>
              <w:tab/>
            </w:r>
            <w:r w:rsidR="005D0A3A" w:rsidRPr="00103A0B">
              <w:rPr>
                <w:rStyle w:val="Hyperlink"/>
                <w:sz w:val="24"/>
                <w:szCs w:val="24"/>
              </w:rPr>
              <w:t>Importance of Uptake and Retention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_Toc151548294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4</w:t>
            </w:r>
            <w:r w:rsidR="005D0A3A" w:rsidRPr="00103A0B">
              <w:rPr>
                <w:webHidden/>
                <w:sz w:val="24"/>
                <w:szCs w:val="24"/>
              </w:rPr>
              <w:fldChar w:fldCharType="end"/>
            </w:r>
          </w:hyperlink>
        </w:p>
        <w:p w14:paraId="4678C414" w14:textId="64B538EC" w:rsidR="005D0A3A" w:rsidRPr="00103A0B" w:rsidRDefault="00000000">
          <w:pPr>
            <w:pStyle w:val="TOC2"/>
            <w:tabs>
              <w:tab w:val="left" w:pos="960"/>
            </w:tabs>
            <w:rPr>
              <w:rFonts w:eastAsiaTheme="minorEastAsia"/>
              <w:sz w:val="24"/>
              <w:szCs w:val="24"/>
              <w:lang w:eastAsia="en-GB" w:bidi="ar-SA"/>
            </w:rPr>
          </w:pPr>
          <w:hyperlink w:anchor="_Toc151548295" w:history="1">
            <w:r w:rsidR="005D0A3A" w:rsidRPr="00103A0B">
              <w:rPr>
                <w:rStyle w:val="Hyperlink"/>
                <w:rFonts w:eastAsia="Times New Roman"/>
                <w:snapToGrid w:val="0"/>
                <w:w w:val="0"/>
                <w:sz w:val="24"/>
                <w:szCs w:val="24"/>
              </w:rPr>
              <w:t>1.4</w:t>
            </w:r>
            <w:r w:rsidR="005D0A3A" w:rsidRPr="00103A0B">
              <w:rPr>
                <w:rFonts w:eastAsiaTheme="minorEastAsia"/>
                <w:sz w:val="24"/>
                <w:szCs w:val="24"/>
                <w:lang w:eastAsia="en-GB" w:bidi="ar-SA"/>
              </w:rPr>
              <w:tab/>
            </w:r>
            <w:r w:rsidR="005D0A3A" w:rsidRPr="00103A0B">
              <w:rPr>
                <w:rStyle w:val="Hyperlink"/>
                <w:rFonts w:eastAsia="Times New Roman"/>
                <w:sz w:val="24"/>
                <w:szCs w:val="24"/>
              </w:rPr>
              <w:t>Defining Uptake</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_Toc151548295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5</w:t>
            </w:r>
            <w:r w:rsidR="005D0A3A" w:rsidRPr="00103A0B">
              <w:rPr>
                <w:webHidden/>
                <w:sz w:val="24"/>
                <w:szCs w:val="24"/>
              </w:rPr>
              <w:fldChar w:fldCharType="end"/>
            </w:r>
          </w:hyperlink>
        </w:p>
        <w:p w14:paraId="2206FB34" w14:textId="55E7060E" w:rsidR="005D0A3A" w:rsidRPr="00103A0B" w:rsidRDefault="00000000">
          <w:pPr>
            <w:pStyle w:val="TOC2"/>
            <w:tabs>
              <w:tab w:val="left" w:pos="960"/>
            </w:tabs>
            <w:rPr>
              <w:rFonts w:eastAsiaTheme="minorEastAsia"/>
              <w:sz w:val="24"/>
              <w:szCs w:val="24"/>
              <w:lang w:eastAsia="en-GB" w:bidi="ar-SA"/>
            </w:rPr>
          </w:pPr>
          <w:hyperlink w:anchor="_Toc151548296" w:history="1">
            <w:r w:rsidR="005D0A3A" w:rsidRPr="00103A0B">
              <w:rPr>
                <w:rStyle w:val="Hyperlink"/>
                <w:rFonts w:eastAsia="Times New Roman"/>
                <w:snapToGrid w:val="0"/>
                <w:w w:val="0"/>
                <w:sz w:val="24"/>
                <w:szCs w:val="24"/>
              </w:rPr>
              <w:t>1.5</w:t>
            </w:r>
            <w:r w:rsidR="005D0A3A" w:rsidRPr="00103A0B">
              <w:rPr>
                <w:rFonts w:eastAsiaTheme="minorEastAsia"/>
                <w:sz w:val="24"/>
                <w:szCs w:val="24"/>
                <w:lang w:eastAsia="en-GB" w:bidi="ar-SA"/>
              </w:rPr>
              <w:tab/>
            </w:r>
            <w:r w:rsidR="005D0A3A" w:rsidRPr="00103A0B">
              <w:rPr>
                <w:rStyle w:val="Hyperlink"/>
                <w:rFonts w:eastAsia="Times New Roman"/>
                <w:sz w:val="24"/>
                <w:szCs w:val="24"/>
              </w:rPr>
              <w:t>Defining Retention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_Toc151548296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5</w:t>
            </w:r>
            <w:r w:rsidR="005D0A3A" w:rsidRPr="00103A0B">
              <w:rPr>
                <w:webHidden/>
                <w:sz w:val="24"/>
                <w:szCs w:val="24"/>
              </w:rPr>
              <w:fldChar w:fldCharType="end"/>
            </w:r>
          </w:hyperlink>
        </w:p>
        <w:p w14:paraId="00DFAC65" w14:textId="48EC01AA" w:rsidR="005D0A3A" w:rsidRPr="00103A0B" w:rsidRDefault="00000000">
          <w:pPr>
            <w:pStyle w:val="TOC2"/>
            <w:tabs>
              <w:tab w:val="left" w:pos="960"/>
            </w:tabs>
            <w:rPr>
              <w:rFonts w:eastAsiaTheme="minorEastAsia"/>
              <w:sz w:val="24"/>
              <w:szCs w:val="24"/>
              <w:lang w:eastAsia="en-GB" w:bidi="ar-SA"/>
            </w:rPr>
          </w:pPr>
          <w:hyperlink w:anchor="_Toc151548297" w:history="1">
            <w:r w:rsidR="005D0A3A" w:rsidRPr="00103A0B">
              <w:rPr>
                <w:rStyle w:val="Hyperlink"/>
                <w:snapToGrid w:val="0"/>
                <w:w w:val="0"/>
                <w:sz w:val="24"/>
                <w:szCs w:val="24"/>
              </w:rPr>
              <w:t>1.6</w:t>
            </w:r>
            <w:r w:rsidR="005D0A3A" w:rsidRPr="00103A0B">
              <w:rPr>
                <w:rFonts w:eastAsiaTheme="minorEastAsia"/>
                <w:sz w:val="24"/>
                <w:szCs w:val="24"/>
                <w:lang w:eastAsia="en-GB" w:bidi="ar-SA"/>
              </w:rPr>
              <w:tab/>
            </w:r>
            <w:r w:rsidR="005D0A3A" w:rsidRPr="00103A0B">
              <w:rPr>
                <w:rStyle w:val="Hyperlink"/>
                <w:sz w:val="24"/>
                <w:szCs w:val="24"/>
              </w:rPr>
              <w:t>Modifiable Factors Affecting Uptake and Retention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_Toc151548297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6</w:t>
            </w:r>
            <w:r w:rsidR="005D0A3A" w:rsidRPr="00103A0B">
              <w:rPr>
                <w:webHidden/>
                <w:sz w:val="24"/>
                <w:szCs w:val="24"/>
              </w:rPr>
              <w:fldChar w:fldCharType="end"/>
            </w:r>
          </w:hyperlink>
        </w:p>
        <w:p w14:paraId="1FE56281" w14:textId="08A36D7A" w:rsidR="005D0A3A" w:rsidRPr="00103A0B" w:rsidRDefault="00000000">
          <w:pPr>
            <w:pStyle w:val="TOC2"/>
            <w:tabs>
              <w:tab w:val="left" w:pos="960"/>
            </w:tabs>
            <w:rPr>
              <w:rFonts w:eastAsiaTheme="minorEastAsia"/>
              <w:sz w:val="24"/>
              <w:szCs w:val="24"/>
              <w:lang w:eastAsia="en-GB" w:bidi="ar-SA"/>
            </w:rPr>
          </w:pPr>
          <w:hyperlink w:anchor="_Toc151548298" w:history="1">
            <w:r w:rsidR="005D0A3A" w:rsidRPr="00103A0B">
              <w:rPr>
                <w:rStyle w:val="Hyperlink"/>
                <w:snapToGrid w:val="0"/>
                <w:w w:val="0"/>
                <w:sz w:val="24"/>
                <w:szCs w:val="24"/>
              </w:rPr>
              <w:t>1.7</w:t>
            </w:r>
            <w:r w:rsidR="005D0A3A" w:rsidRPr="00103A0B">
              <w:rPr>
                <w:rFonts w:eastAsiaTheme="minorEastAsia"/>
                <w:sz w:val="24"/>
                <w:szCs w:val="24"/>
                <w:lang w:eastAsia="en-GB" w:bidi="ar-SA"/>
              </w:rPr>
              <w:tab/>
            </w:r>
            <w:r w:rsidR="005D0A3A" w:rsidRPr="00103A0B">
              <w:rPr>
                <w:rStyle w:val="Hyperlink"/>
                <w:sz w:val="24"/>
                <w:szCs w:val="24"/>
              </w:rPr>
              <w:t>Non-modifiable Factors Affecting Uptake and Retention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_Toc151548298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10</w:t>
            </w:r>
            <w:r w:rsidR="005D0A3A" w:rsidRPr="00103A0B">
              <w:rPr>
                <w:webHidden/>
                <w:sz w:val="24"/>
                <w:szCs w:val="24"/>
              </w:rPr>
              <w:fldChar w:fldCharType="end"/>
            </w:r>
          </w:hyperlink>
        </w:p>
        <w:p w14:paraId="3E00B11A" w14:textId="443E315A" w:rsidR="005D0A3A" w:rsidRPr="00103A0B" w:rsidRDefault="00000000">
          <w:pPr>
            <w:pStyle w:val="TOC2"/>
            <w:tabs>
              <w:tab w:val="left" w:pos="960"/>
            </w:tabs>
            <w:rPr>
              <w:rFonts w:eastAsiaTheme="minorEastAsia"/>
              <w:sz w:val="24"/>
              <w:szCs w:val="24"/>
              <w:lang w:eastAsia="en-GB" w:bidi="ar-SA"/>
            </w:rPr>
          </w:pPr>
          <w:hyperlink w:anchor="_Toc151548299" w:history="1">
            <w:r w:rsidR="005D0A3A" w:rsidRPr="00103A0B">
              <w:rPr>
                <w:rStyle w:val="Hyperlink"/>
                <w:snapToGrid w:val="0"/>
                <w:w w:val="0"/>
                <w:sz w:val="24"/>
                <w:szCs w:val="24"/>
              </w:rPr>
              <w:t>1.8</w:t>
            </w:r>
            <w:r w:rsidR="005D0A3A" w:rsidRPr="00103A0B">
              <w:rPr>
                <w:rFonts w:eastAsiaTheme="minorEastAsia"/>
                <w:sz w:val="24"/>
                <w:szCs w:val="24"/>
                <w:lang w:eastAsia="en-GB" w:bidi="ar-SA"/>
              </w:rPr>
              <w:tab/>
            </w:r>
            <w:r w:rsidR="005D0A3A" w:rsidRPr="00103A0B">
              <w:rPr>
                <w:rStyle w:val="Hyperlink"/>
                <w:sz w:val="24"/>
                <w:szCs w:val="24"/>
              </w:rPr>
              <w:t>Summary</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_Toc151548299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13</w:t>
            </w:r>
            <w:r w:rsidR="005D0A3A" w:rsidRPr="00103A0B">
              <w:rPr>
                <w:webHidden/>
                <w:sz w:val="24"/>
                <w:szCs w:val="24"/>
              </w:rPr>
              <w:fldChar w:fldCharType="end"/>
            </w:r>
          </w:hyperlink>
        </w:p>
        <w:p w14:paraId="3B97074D" w14:textId="4A173A26" w:rsidR="005D0A3A" w:rsidRPr="00103A0B" w:rsidRDefault="00000000">
          <w:pPr>
            <w:pStyle w:val="TOC2"/>
            <w:tabs>
              <w:tab w:val="left" w:pos="960"/>
            </w:tabs>
            <w:rPr>
              <w:rFonts w:eastAsiaTheme="minorEastAsia"/>
              <w:sz w:val="24"/>
              <w:szCs w:val="24"/>
              <w:lang w:eastAsia="en-GB" w:bidi="ar-SA"/>
            </w:rPr>
          </w:pPr>
          <w:hyperlink w:anchor="_Toc151548300" w:history="1">
            <w:r w:rsidR="005D0A3A" w:rsidRPr="00103A0B">
              <w:rPr>
                <w:rStyle w:val="Hyperlink"/>
                <w:snapToGrid w:val="0"/>
                <w:w w:val="0"/>
                <w:sz w:val="24"/>
                <w:szCs w:val="24"/>
              </w:rPr>
              <w:t>1.9</w:t>
            </w:r>
            <w:r w:rsidR="005D0A3A" w:rsidRPr="00103A0B">
              <w:rPr>
                <w:rFonts w:eastAsiaTheme="minorEastAsia"/>
                <w:sz w:val="24"/>
                <w:szCs w:val="24"/>
                <w:lang w:eastAsia="en-GB" w:bidi="ar-SA"/>
              </w:rPr>
              <w:tab/>
            </w:r>
            <w:r w:rsidR="005D0A3A" w:rsidRPr="00103A0B">
              <w:rPr>
                <w:rStyle w:val="Hyperlink"/>
                <w:sz w:val="24"/>
                <w:szCs w:val="24"/>
              </w:rPr>
              <w:t>Aims of Thesis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_Toc151548300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14</w:t>
            </w:r>
            <w:r w:rsidR="005D0A3A" w:rsidRPr="00103A0B">
              <w:rPr>
                <w:webHidden/>
                <w:sz w:val="24"/>
                <w:szCs w:val="24"/>
              </w:rPr>
              <w:fldChar w:fldCharType="end"/>
            </w:r>
          </w:hyperlink>
        </w:p>
        <w:p w14:paraId="2BFFF6D5" w14:textId="0D5D3BD5" w:rsidR="005D0A3A" w:rsidRPr="00103A0B" w:rsidRDefault="00000000">
          <w:pPr>
            <w:pStyle w:val="TOC2"/>
            <w:tabs>
              <w:tab w:val="left" w:pos="960"/>
            </w:tabs>
            <w:rPr>
              <w:rFonts w:eastAsiaTheme="minorEastAsia"/>
              <w:sz w:val="24"/>
              <w:szCs w:val="24"/>
              <w:lang w:eastAsia="en-GB" w:bidi="ar-SA"/>
            </w:rPr>
          </w:pPr>
          <w:hyperlink w:anchor="_Toc151548301" w:history="1">
            <w:r w:rsidR="005D0A3A" w:rsidRPr="00103A0B">
              <w:rPr>
                <w:rStyle w:val="Hyperlink"/>
                <w:snapToGrid w:val="0"/>
                <w:w w:val="0"/>
                <w:sz w:val="24"/>
                <w:szCs w:val="24"/>
              </w:rPr>
              <w:t>1.10</w:t>
            </w:r>
            <w:r w:rsidR="005D0A3A" w:rsidRPr="00103A0B">
              <w:rPr>
                <w:rFonts w:eastAsiaTheme="minorEastAsia"/>
                <w:sz w:val="24"/>
                <w:szCs w:val="24"/>
                <w:lang w:eastAsia="en-GB" w:bidi="ar-SA"/>
              </w:rPr>
              <w:tab/>
            </w:r>
            <w:r w:rsidR="005D0A3A" w:rsidRPr="00103A0B">
              <w:rPr>
                <w:rStyle w:val="Hyperlink"/>
                <w:sz w:val="24"/>
                <w:szCs w:val="24"/>
              </w:rPr>
              <w:t>Objectives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_Toc151548301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14</w:t>
            </w:r>
            <w:r w:rsidR="005D0A3A" w:rsidRPr="00103A0B">
              <w:rPr>
                <w:webHidden/>
                <w:sz w:val="24"/>
                <w:szCs w:val="24"/>
              </w:rPr>
              <w:fldChar w:fldCharType="end"/>
            </w:r>
          </w:hyperlink>
        </w:p>
        <w:p w14:paraId="15AD0566" w14:textId="3F2C9BAE" w:rsidR="005D0A3A" w:rsidRPr="00103A0B" w:rsidRDefault="00000000">
          <w:pPr>
            <w:pStyle w:val="TOC2"/>
            <w:tabs>
              <w:tab w:val="left" w:pos="960"/>
            </w:tabs>
            <w:rPr>
              <w:rFonts w:eastAsiaTheme="minorEastAsia"/>
              <w:sz w:val="24"/>
              <w:szCs w:val="24"/>
              <w:lang w:eastAsia="en-GB" w:bidi="ar-SA"/>
            </w:rPr>
          </w:pPr>
          <w:hyperlink w:anchor="_Toc151548302" w:history="1">
            <w:r w:rsidR="005D0A3A" w:rsidRPr="00103A0B">
              <w:rPr>
                <w:rStyle w:val="Hyperlink"/>
                <w:snapToGrid w:val="0"/>
                <w:w w:val="0"/>
                <w:sz w:val="24"/>
                <w:szCs w:val="24"/>
              </w:rPr>
              <w:t>1.11</w:t>
            </w:r>
            <w:r w:rsidR="005D0A3A" w:rsidRPr="00103A0B">
              <w:rPr>
                <w:rFonts w:eastAsiaTheme="minorEastAsia"/>
                <w:sz w:val="24"/>
                <w:szCs w:val="24"/>
                <w:lang w:eastAsia="en-GB" w:bidi="ar-SA"/>
              </w:rPr>
              <w:tab/>
            </w:r>
            <w:r w:rsidR="005D0A3A" w:rsidRPr="00103A0B">
              <w:rPr>
                <w:rStyle w:val="Hyperlink"/>
                <w:sz w:val="24"/>
                <w:szCs w:val="24"/>
              </w:rPr>
              <w:t>Outline of Thesis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_Toc151548302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15</w:t>
            </w:r>
            <w:r w:rsidR="005D0A3A" w:rsidRPr="00103A0B">
              <w:rPr>
                <w:webHidden/>
                <w:sz w:val="24"/>
                <w:szCs w:val="24"/>
              </w:rPr>
              <w:fldChar w:fldCharType="end"/>
            </w:r>
          </w:hyperlink>
        </w:p>
        <w:p w14:paraId="29B4E07D" w14:textId="2ADD7155"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303" w:history="1">
            <w:r w:rsidR="005D0A3A" w:rsidRPr="00103A0B">
              <w:rPr>
                <w:rStyle w:val="Hyperlink"/>
                <w:rFonts w:ascii="Arial" w:eastAsia="Times New Roman" w:hAnsi="Arial" w:cs="Arial"/>
                <w:noProof/>
                <w:sz w:val="24"/>
                <w:szCs w:val="24"/>
                <w:lang w:eastAsia="en-GB" w:bidi="en-US"/>
              </w:rPr>
              <w:t>Chapter 2: A Systematic Review of Recruitment Strategies and Behaviour Change Techniques in Group-Based Diabetes Prevention Programmes Focusing on Uptake and Retention.</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_Toc151548303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17</w:t>
            </w:r>
            <w:r w:rsidR="005D0A3A" w:rsidRPr="00103A0B">
              <w:rPr>
                <w:rFonts w:ascii="Arial" w:hAnsi="Arial" w:cs="Arial"/>
                <w:noProof/>
                <w:webHidden/>
                <w:sz w:val="24"/>
                <w:szCs w:val="24"/>
              </w:rPr>
              <w:fldChar w:fldCharType="end"/>
            </w:r>
          </w:hyperlink>
        </w:p>
        <w:p w14:paraId="1B14EB5C" w14:textId="4DB5F76C" w:rsidR="005D0A3A" w:rsidRPr="00103A0B" w:rsidRDefault="00000000">
          <w:pPr>
            <w:pStyle w:val="TOC3"/>
            <w:tabs>
              <w:tab w:val="right" w:leader="dot" w:pos="9016"/>
            </w:tabs>
            <w:rPr>
              <w:rFonts w:ascii="Arial" w:hAnsi="Arial" w:cs="Arial"/>
              <w:noProof/>
              <w:sz w:val="24"/>
              <w:szCs w:val="24"/>
              <w:lang w:val="en-GB" w:eastAsia="en-GB"/>
            </w:rPr>
          </w:pPr>
          <w:hyperlink w:anchor="_Toc151548304" w:history="1">
            <w:r w:rsidR="005D0A3A" w:rsidRPr="00103A0B">
              <w:rPr>
                <w:rStyle w:val="Hyperlink"/>
                <w:rFonts w:ascii="Arial" w:eastAsia="Times New Roman" w:hAnsi="Arial" w:cs="Arial"/>
                <w:noProof/>
                <w:sz w:val="24"/>
                <w:szCs w:val="24"/>
                <w:lang w:eastAsia="en-GB" w:bidi="en-US"/>
              </w:rPr>
              <w:t xml:space="preserve">2.1 </w:t>
            </w:r>
            <w:r w:rsidR="005D0A3A" w:rsidRPr="00103A0B">
              <w:rPr>
                <w:rStyle w:val="Hyperlink"/>
                <w:rFonts w:ascii="Arial" w:hAnsi="Arial" w:cs="Arial"/>
                <w:noProof/>
                <w:sz w:val="24"/>
                <w:szCs w:val="24"/>
                <w:lang w:bidi="en-US"/>
              </w:rPr>
              <w:t>Introduction</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_Toc151548304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17</w:t>
            </w:r>
            <w:r w:rsidR="005D0A3A" w:rsidRPr="00103A0B">
              <w:rPr>
                <w:rFonts w:ascii="Arial" w:hAnsi="Arial" w:cs="Arial"/>
                <w:noProof/>
                <w:webHidden/>
                <w:sz w:val="24"/>
                <w:szCs w:val="24"/>
              </w:rPr>
              <w:fldChar w:fldCharType="end"/>
            </w:r>
          </w:hyperlink>
        </w:p>
        <w:p w14:paraId="0C95FAFF" w14:textId="4AD8AD36" w:rsidR="005D0A3A" w:rsidRPr="00103A0B" w:rsidRDefault="00000000">
          <w:pPr>
            <w:pStyle w:val="TOC3"/>
            <w:tabs>
              <w:tab w:val="right" w:leader="dot" w:pos="9016"/>
            </w:tabs>
            <w:rPr>
              <w:rFonts w:ascii="Arial" w:hAnsi="Arial" w:cs="Arial"/>
              <w:noProof/>
              <w:sz w:val="24"/>
              <w:szCs w:val="24"/>
              <w:lang w:val="en-GB" w:eastAsia="en-GB"/>
            </w:rPr>
          </w:pPr>
          <w:hyperlink w:anchor="_Toc151548305" w:history="1">
            <w:r w:rsidR="005D0A3A" w:rsidRPr="00103A0B">
              <w:rPr>
                <w:rStyle w:val="Hyperlink"/>
                <w:rFonts w:ascii="Arial" w:hAnsi="Arial" w:cs="Arial"/>
                <w:noProof/>
                <w:sz w:val="24"/>
                <w:szCs w:val="24"/>
                <w:lang w:bidi="en-US"/>
              </w:rPr>
              <w:t>2.2 Methods</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_Toc151548305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19</w:t>
            </w:r>
            <w:r w:rsidR="005D0A3A" w:rsidRPr="00103A0B">
              <w:rPr>
                <w:rFonts w:ascii="Arial" w:hAnsi="Arial" w:cs="Arial"/>
                <w:noProof/>
                <w:webHidden/>
                <w:sz w:val="24"/>
                <w:szCs w:val="24"/>
              </w:rPr>
              <w:fldChar w:fldCharType="end"/>
            </w:r>
          </w:hyperlink>
        </w:p>
        <w:p w14:paraId="2D96AB16" w14:textId="7BB99E58" w:rsidR="005D0A3A" w:rsidRPr="00103A0B" w:rsidRDefault="00000000">
          <w:pPr>
            <w:pStyle w:val="TOC3"/>
            <w:tabs>
              <w:tab w:val="right" w:leader="dot" w:pos="9016"/>
            </w:tabs>
            <w:rPr>
              <w:rFonts w:ascii="Arial" w:hAnsi="Arial" w:cs="Arial"/>
              <w:noProof/>
              <w:sz w:val="24"/>
              <w:szCs w:val="24"/>
              <w:lang w:val="en-GB" w:eastAsia="en-GB"/>
            </w:rPr>
          </w:pPr>
          <w:hyperlink w:anchor="_Toc151548307" w:history="1">
            <w:r w:rsidR="005D0A3A" w:rsidRPr="00103A0B">
              <w:rPr>
                <w:rStyle w:val="Hyperlink"/>
                <w:rFonts w:ascii="Arial" w:eastAsia="Times New Roman" w:hAnsi="Arial" w:cs="Arial"/>
                <w:noProof/>
                <w:sz w:val="24"/>
                <w:szCs w:val="24"/>
                <w:lang w:bidi="en-US"/>
              </w:rPr>
              <w:t>2.3 Results</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_Toc151548307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24</w:t>
            </w:r>
            <w:r w:rsidR="005D0A3A" w:rsidRPr="00103A0B">
              <w:rPr>
                <w:rFonts w:ascii="Arial" w:hAnsi="Arial" w:cs="Arial"/>
                <w:noProof/>
                <w:webHidden/>
                <w:sz w:val="24"/>
                <w:szCs w:val="24"/>
              </w:rPr>
              <w:fldChar w:fldCharType="end"/>
            </w:r>
          </w:hyperlink>
        </w:p>
        <w:p w14:paraId="082E3B3E" w14:textId="6C260DD8" w:rsidR="005D0A3A" w:rsidRPr="00103A0B" w:rsidRDefault="00000000">
          <w:pPr>
            <w:pStyle w:val="TOC3"/>
            <w:tabs>
              <w:tab w:val="right" w:leader="dot" w:pos="9016"/>
            </w:tabs>
            <w:rPr>
              <w:rFonts w:ascii="Arial" w:hAnsi="Arial" w:cs="Arial"/>
              <w:noProof/>
              <w:sz w:val="24"/>
              <w:szCs w:val="24"/>
              <w:lang w:val="en-GB" w:eastAsia="en-GB"/>
            </w:rPr>
          </w:pPr>
          <w:hyperlink w:anchor="_Toc151548308" w:history="1">
            <w:r w:rsidR="005D0A3A" w:rsidRPr="00103A0B">
              <w:rPr>
                <w:rStyle w:val="Hyperlink"/>
                <w:rFonts w:ascii="Arial" w:eastAsia="Times New Roman" w:hAnsi="Arial" w:cs="Arial"/>
                <w:noProof/>
                <w:sz w:val="24"/>
                <w:szCs w:val="24"/>
                <w:lang w:bidi="en-US"/>
              </w:rPr>
              <w:t>2.4 Discussion</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_Toc151548308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40</w:t>
            </w:r>
            <w:r w:rsidR="005D0A3A" w:rsidRPr="00103A0B">
              <w:rPr>
                <w:rFonts w:ascii="Arial" w:hAnsi="Arial" w:cs="Arial"/>
                <w:noProof/>
                <w:webHidden/>
                <w:sz w:val="24"/>
                <w:szCs w:val="24"/>
              </w:rPr>
              <w:fldChar w:fldCharType="end"/>
            </w:r>
          </w:hyperlink>
        </w:p>
        <w:p w14:paraId="70A3819A" w14:textId="70EDE091"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309" w:history="1">
            <w:r w:rsidR="005D0A3A" w:rsidRPr="00103A0B">
              <w:rPr>
                <w:rStyle w:val="Hyperlink"/>
                <w:rFonts w:ascii="Arial" w:hAnsi="Arial" w:cs="Arial"/>
                <w:noProof/>
                <w:sz w:val="24"/>
                <w:szCs w:val="24"/>
                <w:lang w:bidi="en-US"/>
              </w:rPr>
              <w:t>Chapter 3: Methodology</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_Toc151548309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46</w:t>
            </w:r>
            <w:r w:rsidR="005D0A3A" w:rsidRPr="00103A0B">
              <w:rPr>
                <w:rFonts w:ascii="Arial" w:hAnsi="Arial" w:cs="Arial"/>
                <w:noProof/>
                <w:webHidden/>
                <w:sz w:val="24"/>
                <w:szCs w:val="24"/>
              </w:rPr>
              <w:fldChar w:fldCharType="end"/>
            </w:r>
          </w:hyperlink>
        </w:p>
        <w:p w14:paraId="4BAFE71B" w14:textId="7C60F857" w:rsidR="005D0A3A" w:rsidRPr="00103A0B" w:rsidRDefault="00000000">
          <w:pPr>
            <w:pStyle w:val="TOC2"/>
            <w:rPr>
              <w:rFonts w:eastAsiaTheme="minorEastAsia"/>
              <w:sz w:val="24"/>
              <w:szCs w:val="24"/>
              <w:lang w:eastAsia="en-GB" w:bidi="ar-SA"/>
            </w:rPr>
          </w:pPr>
          <w:hyperlink w:anchor="_Toc151548310" w:history="1">
            <w:r w:rsidR="005D0A3A" w:rsidRPr="00103A0B">
              <w:rPr>
                <w:rStyle w:val="Hyperlink"/>
                <w:sz w:val="24"/>
                <w:szCs w:val="24"/>
              </w:rPr>
              <w:t>3.1 Introduction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_Toc151548310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46</w:t>
            </w:r>
            <w:r w:rsidR="005D0A3A" w:rsidRPr="00103A0B">
              <w:rPr>
                <w:webHidden/>
                <w:sz w:val="24"/>
                <w:szCs w:val="24"/>
              </w:rPr>
              <w:fldChar w:fldCharType="end"/>
            </w:r>
          </w:hyperlink>
        </w:p>
        <w:p w14:paraId="3641E1E2" w14:textId="17D6414F" w:rsidR="005D0A3A" w:rsidRPr="00103A0B" w:rsidRDefault="00000000">
          <w:pPr>
            <w:pStyle w:val="TOC2"/>
            <w:rPr>
              <w:rFonts w:eastAsiaTheme="minorEastAsia"/>
              <w:sz w:val="24"/>
              <w:szCs w:val="24"/>
              <w:lang w:eastAsia="en-GB" w:bidi="ar-SA"/>
            </w:rPr>
          </w:pPr>
          <w:hyperlink w:anchor="_Toc151548311" w:history="1">
            <w:r w:rsidR="005D0A3A" w:rsidRPr="00103A0B">
              <w:rPr>
                <w:rStyle w:val="Hyperlink"/>
                <w:sz w:val="24"/>
                <w:szCs w:val="24"/>
              </w:rPr>
              <w:t>3.2 Qualitative Studies (Chapters 5 and 6)</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_Toc151548311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48</w:t>
            </w:r>
            <w:r w:rsidR="005D0A3A" w:rsidRPr="00103A0B">
              <w:rPr>
                <w:webHidden/>
                <w:sz w:val="24"/>
                <w:szCs w:val="24"/>
              </w:rPr>
              <w:fldChar w:fldCharType="end"/>
            </w:r>
          </w:hyperlink>
        </w:p>
        <w:p w14:paraId="1883643C" w14:textId="214F320F" w:rsidR="005D0A3A" w:rsidRPr="00103A0B" w:rsidRDefault="00000000">
          <w:pPr>
            <w:pStyle w:val="TOC2"/>
            <w:rPr>
              <w:rFonts w:eastAsiaTheme="minorEastAsia"/>
              <w:sz w:val="24"/>
              <w:szCs w:val="24"/>
              <w:lang w:eastAsia="en-GB" w:bidi="ar-SA"/>
            </w:rPr>
          </w:pPr>
          <w:hyperlink w:anchor="_Toc151548312" w:history="1">
            <w:r w:rsidR="005D0A3A" w:rsidRPr="00103A0B">
              <w:rPr>
                <w:rStyle w:val="Hyperlink"/>
                <w:sz w:val="24"/>
                <w:szCs w:val="24"/>
              </w:rPr>
              <w:t>3.3 Quantitative Study (Chapter 7)</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_Toc151548312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60</w:t>
            </w:r>
            <w:r w:rsidR="005D0A3A" w:rsidRPr="00103A0B">
              <w:rPr>
                <w:webHidden/>
                <w:sz w:val="24"/>
                <w:szCs w:val="24"/>
              </w:rPr>
              <w:fldChar w:fldCharType="end"/>
            </w:r>
          </w:hyperlink>
        </w:p>
        <w:p w14:paraId="03A91011" w14:textId="5E75122C" w:rsidR="005D0A3A" w:rsidRPr="00103A0B" w:rsidRDefault="00000000">
          <w:pPr>
            <w:pStyle w:val="TOC2"/>
            <w:rPr>
              <w:rFonts w:eastAsiaTheme="minorEastAsia"/>
              <w:sz w:val="24"/>
              <w:szCs w:val="24"/>
              <w:lang w:eastAsia="en-GB" w:bidi="ar-SA"/>
            </w:rPr>
          </w:pPr>
          <w:hyperlink w:anchor="_Toc151548313" w:history="1">
            <w:r w:rsidR="005D0A3A" w:rsidRPr="00103A0B">
              <w:rPr>
                <w:rStyle w:val="Hyperlink"/>
                <w:sz w:val="24"/>
                <w:szCs w:val="24"/>
              </w:rPr>
              <w:t>3.4 Summary</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_Toc151548313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61</w:t>
            </w:r>
            <w:r w:rsidR="005D0A3A" w:rsidRPr="00103A0B">
              <w:rPr>
                <w:webHidden/>
                <w:sz w:val="24"/>
                <w:szCs w:val="24"/>
              </w:rPr>
              <w:fldChar w:fldCharType="end"/>
            </w:r>
          </w:hyperlink>
        </w:p>
        <w:p w14:paraId="07DA0D7B" w14:textId="2A26457A"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314" w:history="1">
            <w:r w:rsidR="005D0A3A" w:rsidRPr="00103A0B">
              <w:rPr>
                <w:rStyle w:val="Hyperlink"/>
                <w:rFonts w:ascii="Arial" w:hAnsi="Arial" w:cs="Arial"/>
                <w:noProof/>
                <w:sz w:val="24"/>
                <w:szCs w:val="24"/>
                <w:lang w:bidi="en-US"/>
              </w:rPr>
              <w:t>Chapter 4: Contextualisation and Background to Research</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_Toc151548314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62</w:t>
            </w:r>
            <w:r w:rsidR="005D0A3A" w:rsidRPr="00103A0B">
              <w:rPr>
                <w:rFonts w:ascii="Arial" w:hAnsi="Arial" w:cs="Arial"/>
                <w:noProof/>
                <w:webHidden/>
                <w:sz w:val="24"/>
                <w:szCs w:val="24"/>
              </w:rPr>
              <w:fldChar w:fldCharType="end"/>
            </w:r>
          </w:hyperlink>
        </w:p>
        <w:p w14:paraId="5343EF17" w14:textId="37D6A4A1" w:rsidR="005D0A3A" w:rsidRPr="00103A0B" w:rsidRDefault="00000000">
          <w:pPr>
            <w:pStyle w:val="TOC2"/>
            <w:rPr>
              <w:rFonts w:eastAsiaTheme="minorEastAsia"/>
              <w:sz w:val="24"/>
              <w:szCs w:val="24"/>
              <w:lang w:eastAsia="en-GB" w:bidi="ar-SA"/>
            </w:rPr>
          </w:pPr>
          <w:hyperlink w:anchor="_Toc151548315" w:history="1">
            <w:r w:rsidR="005D0A3A" w:rsidRPr="00103A0B">
              <w:rPr>
                <w:rStyle w:val="Hyperlink"/>
                <w:sz w:val="24"/>
                <w:szCs w:val="24"/>
              </w:rPr>
              <w:t>4.1 Introduction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_Toc151548315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62</w:t>
            </w:r>
            <w:r w:rsidR="005D0A3A" w:rsidRPr="00103A0B">
              <w:rPr>
                <w:webHidden/>
                <w:sz w:val="24"/>
                <w:szCs w:val="24"/>
              </w:rPr>
              <w:fldChar w:fldCharType="end"/>
            </w:r>
          </w:hyperlink>
        </w:p>
        <w:p w14:paraId="7038232A" w14:textId="27887997" w:rsidR="005D0A3A" w:rsidRPr="00103A0B" w:rsidRDefault="00000000">
          <w:pPr>
            <w:pStyle w:val="TOC2"/>
            <w:rPr>
              <w:rFonts w:eastAsiaTheme="minorEastAsia"/>
              <w:sz w:val="24"/>
              <w:szCs w:val="24"/>
              <w:lang w:eastAsia="en-GB" w:bidi="ar-SA"/>
            </w:rPr>
          </w:pPr>
          <w:hyperlink w:anchor="_Toc151548316" w:history="1">
            <w:r w:rsidR="005D0A3A" w:rsidRPr="00103A0B">
              <w:rPr>
                <w:rStyle w:val="Hyperlink"/>
                <w:sz w:val="24"/>
                <w:szCs w:val="24"/>
              </w:rPr>
              <w:t>4.2 Overview of the NHSDPP</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_Toc151548316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62</w:t>
            </w:r>
            <w:r w:rsidR="005D0A3A" w:rsidRPr="00103A0B">
              <w:rPr>
                <w:webHidden/>
                <w:sz w:val="24"/>
                <w:szCs w:val="24"/>
              </w:rPr>
              <w:fldChar w:fldCharType="end"/>
            </w:r>
          </w:hyperlink>
        </w:p>
        <w:p w14:paraId="34A9EBFC" w14:textId="7ECE2066" w:rsidR="005D0A3A" w:rsidRPr="00103A0B" w:rsidRDefault="00000000">
          <w:pPr>
            <w:pStyle w:val="TOC2"/>
            <w:rPr>
              <w:rFonts w:eastAsiaTheme="minorEastAsia"/>
              <w:sz w:val="24"/>
              <w:szCs w:val="24"/>
              <w:lang w:eastAsia="en-GB" w:bidi="ar-SA"/>
            </w:rPr>
          </w:pPr>
          <w:hyperlink w:anchor="_Toc151548317" w:history="1">
            <w:r w:rsidR="005D0A3A" w:rsidRPr="00103A0B">
              <w:rPr>
                <w:rStyle w:val="Hyperlink"/>
                <w:sz w:val="24"/>
                <w:szCs w:val="24"/>
              </w:rPr>
              <w:t>4.3 Details of the Local Provider NHSDPP</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_Toc151548317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64</w:t>
            </w:r>
            <w:r w:rsidR="005D0A3A" w:rsidRPr="00103A0B">
              <w:rPr>
                <w:webHidden/>
                <w:sz w:val="24"/>
                <w:szCs w:val="24"/>
              </w:rPr>
              <w:fldChar w:fldCharType="end"/>
            </w:r>
          </w:hyperlink>
        </w:p>
        <w:p w14:paraId="75CEE169" w14:textId="4EEDB849" w:rsidR="005D0A3A" w:rsidRPr="00103A0B" w:rsidRDefault="00000000">
          <w:pPr>
            <w:pStyle w:val="TOC2"/>
            <w:rPr>
              <w:rFonts w:eastAsiaTheme="minorEastAsia"/>
              <w:sz w:val="24"/>
              <w:szCs w:val="24"/>
              <w:lang w:eastAsia="en-GB" w:bidi="ar-SA"/>
            </w:rPr>
          </w:pPr>
          <w:hyperlink w:anchor="_Toc151548318" w:history="1">
            <w:r w:rsidR="005D0A3A" w:rsidRPr="00103A0B">
              <w:rPr>
                <w:rStyle w:val="Hyperlink"/>
                <w:sz w:val="24"/>
                <w:szCs w:val="24"/>
              </w:rPr>
              <w:t>4.4 Profile of Southwark, London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_Toc151548318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67</w:t>
            </w:r>
            <w:r w:rsidR="005D0A3A" w:rsidRPr="00103A0B">
              <w:rPr>
                <w:webHidden/>
                <w:sz w:val="24"/>
                <w:szCs w:val="24"/>
              </w:rPr>
              <w:fldChar w:fldCharType="end"/>
            </w:r>
          </w:hyperlink>
        </w:p>
        <w:p w14:paraId="1CAA6232" w14:textId="371A6E66"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319" w:history="1">
            <w:r w:rsidR="005D0A3A" w:rsidRPr="00103A0B">
              <w:rPr>
                <w:rStyle w:val="Hyperlink"/>
                <w:rFonts w:ascii="Arial" w:hAnsi="Arial" w:cs="Arial"/>
                <w:noProof/>
                <w:sz w:val="24"/>
                <w:szCs w:val="24"/>
                <w:lang w:bidi="en-US"/>
              </w:rPr>
              <w:t>Chapter 5: Influences of Decisions to Attend a National Diabetes Prevention Programme</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_Toc151548319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70</w:t>
            </w:r>
            <w:r w:rsidR="005D0A3A" w:rsidRPr="00103A0B">
              <w:rPr>
                <w:rFonts w:ascii="Arial" w:hAnsi="Arial" w:cs="Arial"/>
                <w:noProof/>
                <w:webHidden/>
                <w:sz w:val="24"/>
                <w:szCs w:val="24"/>
              </w:rPr>
              <w:fldChar w:fldCharType="end"/>
            </w:r>
          </w:hyperlink>
        </w:p>
        <w:p w14:paraId="4F85E51D" w14:textId="2E83E509" w:rsidR="005D0A3A" w:rsidRPr="00103A0B" w:rsidRDefault="00000000">
          <w:pPr>
            <w:pStyle w:val="TOC2"/>
            <w:rPr>
              <w:rFonts w:eastAsiaTheme="minorEastAsia"/>
              <w:sz w:val="24"/>
              <w:szCs w:val="24"/>
              <w:lang w:eastAsia="en-GB" w:bidi="ar-SA"/>
            </w:rPr>
          </w:pPr>
          <w:hyperlink w:anchor="_Toc151548320" w:history="1">
            <w:r w:rsidR="005D0A3A" w:rsidRPr="00103A0B">
              <w:rPr>
                <w:rStyle w:val="Hyperlink"/>
                <w:sz w:val="24"/>
                <w:szCs w:val="24"/>
              </w:rPr>
              <w:t>5.1 Introduction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_Toc151548320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70</w:t>
            </w:r>
            <w:r w:rsidR="005D0A3A" w:rsidRPr="00103A0B">
              <w:rPr>
                <w:webHidden/>
                <w:sz w:val="24"/>
                <w:szCs w:val="24"/>
              </w:rPr>
              <w:fldChar w:fldCharType="end"/>
            </w:r>
          </w:hyperlink>
        </w:p>
        <w:p w14:paraId="5EB37847" w14:textId="22105E98" w:rsidR="005D0A3A" w:rsidRPr="00103A0B" w:rsidRDefault="00000000">
          <w:pPr>
            <w:pStyle w:val="TOC2"/>
            <w:rPr>
              <w:rFonts w:eastAsiaTheme="minorEastAsia"/>
              <w:sz w:val="24"/>
              <w:szCs w:val="24"/>
              <w:lang w:eastAsia="en-GB" w:bidi="ar-SA"/>
            </w:rPr>
          </w:pPr>
          <w:hyperlink w:anchor="_Toc151548321" w:history="1">
            <w:r w:rsidR="005D0A3A" w:rsidRPr="00103A0B">
              <w:rPr>
                <w:rStyle w:val="Hyperlink"/>
                <w:sz w:val="24"/>
                <w:szCs w:val="24"/>
              </w:rPr>
              <w:t>5.2 Material and Methods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_Toc151548321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72</w:t>
            </w:r>
            <w:r w:rsidR="005D0A3A" w:rsidRPr="00103A0B">
              <w:rPr>
                <w:webHidden/>
                <w:sz w:val="24"/>
                <w:szCs w:val="24"/>
              </w:rPr>
              <w:fldChar w:fldCharType="end"/>
            </w:r>
          </w:hyperlink>
        </w:p>
        <w:p w14:paraId="261A2778" w14:textId="3E3AA85A" w:rsidR="005D0A3A" w:rsidRPr="00103A0B" w:rsidRDefault="00000000">
          <w:pPr>
            <w:pStyle w:val="TOC2"/>
            <w:rPr>
              <w:rFonts w:eastAsiaTheme="minorEastAsia"/>
              <w:sz w:val="24"/>
              <w:szCs w:val="24"/>
              <w:lang w:eastAsia="en-GB" w:bidi="ar-SA"/>
            </w:rPr>
          </w:pPr>
          <w:hyperlink w:anchor="_Toc151548322" w:history="1">
            <w:r w:rsidR="005D0A3A" w:rsidRPr="00103A0B">
              <w:rPr>
                <w:rStyle w:val="Hyperlink"/>
                <w:sz w:val="24"/>
                <w:szCs w:val="24"/>
              </w:rPr>
              <w:t>5.3 Results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_Toc151548322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74</w:t>
            </w:r>
            <w:r w:rsidR="005D0A3A" w:rsidRPr="00103A0B">
              <w:rPr>
                <w:webHidden/>
                <w:sz w:val="24"/>
                <w:szCs w:val="24"/>
              </w:rPr>
              <w:fldChar w:fldCharType="end"/>
            </w:r>
          </w:hyperlink>
        </w:p>
        <w:p w14:paraId="5468DABE" w14:textId="220C4AE8" w:rsidR="005D0A3A" w:rsidRPr="00103A0B" w:rsidRDefault="00000000">
          <w:pPr>
            <w:pStyle w:val="TOC2"/>
            <w:rPr>
              <w:rFonts w:eastAsiaTheme="minorEastAsia"/>
              <w:sz w:val="24"/>
              <w:szCs w:val="24"/>
              <w:lang w:eastAsia="en-GB" w:bidi="ar-SA"/>
            </w:rPr>
          </w:pPr>
          <w:hyperlink w:anchor="_Toc151548323" w:history="1">
            <w:r w:rsidR="005D0A3A" w:rsidRPr="00103A0B">
              <w:rPr>
                <w:rStyle w:val="Hyperlink"/>
                <w:sz w:val="24"/>
                <w:szCs w:val="24"/>
              </w:rPr>
              <w:t>5.4 Discussion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_Toc151548323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81</w:t>
            </w:r>
            <w:r w:rsidR="005D0A3A" w:rsidRPr="00103A0B">
              <w:rPr>
                <w:webHidden/>
                <w:sz w:val="24"/>
                <w:szCs w:val="24"/>
              </w:rPr>
              <w:fldChar w:fldCharType="end"/>
            </w:r>
          </w:hyperlink>
        </w:p>
        <w:p w14:paraId="559C950C" w14:textId="1388907E"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324" w:history="1">
            <w:r w:rsidR="005D0A3A" w:rsidRPr="00103A0B">
              <w:rPr>
                <w:rStyle w:val="Hyperlink"/>
                <w:rFonts w:ascii="Arial" w:hAnsi="Arial" w:cs="Arial"/>
                <w:noProof/>
                <w:sz w:val="24"/>
                <w:szCs w:val="24"/>
                <w:lang w:bidi="en-US"/>
              </w:rPr>
              <w:t>Chapter 6: “It’s a Bad Sickness”: A Qualitative Study of Completers’ and Non-Completers’ Experiences of a Diabetes Prevention Programme in England</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_Toc151548324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85</w:t>
            </w:r>
            <w:r w:rsidR="005D0A3A" w:rsidRPr="00103A0B">
              <w:rPr>
                <w:rFonts w:ascii="Arial" w:hAnsi="Arial" w:cs="Arial"/>
                <w:noProof/>
                <w:webHidden/>
                <w:sz w:val="24"/>
                <w:szCs w:val="24"/>
              </w:rPr>
              <w:fldChar w:fldCharType="end"/>
            </w:r>
          </w:hyperlink>
        </w:p>
        <w:p w14:paraId="730EC805" w14:textId="5D0C08B8" w:rsidR="005D0A3A" w:rsidRPr="00103A0B" w:rsidRDefault="00000000">
          <w:pPr>
            <w:pStyle w:val="TOC2"/>
            <w:rPr>
              <w:rFonts w:eastAsiaTheme="minorEastAsia"/>
              <w:sz w:val="24"/>
              <w:szCs w:val="24"/>
              <w:lang w:eastAsia="en-GB" w:bidi="ar-SA"/>
            </w:rPr>
          </w:pPr>
          <w:hyperlink w:anchor="_Toc151548325" w:history="1">
            <w:r w:rsidR="005D0A3A" w:rsidRPr="00103A0B">
              <w:rPr>
                <w:rStyle w:val="Hyperlink"/>
                <w:sz w:val="24"/>
                <w:szCs w:val="24"/>
              </w:rPr>
              <w:t>6.1 Introduction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_Toc151548325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85</w:t>
            </w:r>
            <w:r w:rsidR="005D0A3A" w:rsidRPr="00103A0B">
              <w:rPr>
                <w:webHidden/>
                <w:sz w:val="24"/>
                <w:szCs w:val="24"/>
              </w:rPr>
              <w:fldChar w:fldCharType="end"/>
            </w:r>
          </w:hyperlink>
        </w:p>
        <w:p w14:paraId="191C5FC8" w14:textId="554CAE15" w:rsidR="005D0A3A" w:rsidRPr="00103A0B" w:rsidRDefault="00000000">
          <w:pPr>
            <w:pStyle w:val="TOC2"/>
            <w:rPr>
              <w:rFonts w:eastAsiaTheme="minorEastAsia"/>
              <w:sz w:val="24"/>
              <w:szCs w:val="24"/>
              <w:lang w:eastAsia="en-GB" w:bidi="ar-SA"/>
            </w:rPr>
          </w:pPr>
          <w:hyperlink w:anchor="_Toc151548326" w:history="1">
            <w:r w:rsidR="005D0A3A" w:rsidRPr="00103A0B">
              <w:rPr>
                <w:rStyle w:val="Hyperlink"/>
                <w:sz w:val="24"/>
                <w:szCs w:val="24"/>
              </w:rPr>
              <w:t>6.2 Material and Methods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_Toc151548326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87</w:t>
            </w:r>
            <w:r w:rsidR="005D0A3A" w:rsidRPr="00103A0B">
              <w:rPr>
                <w:webHidden/>
                <w:sz w:val="24"/>
                <w:szCs w:val="24"/>
              </w:rPr>
              <w:fldChar w:fldCharType="end"/>
            </w:r>
          </w:hyperlink>
        </w:p>
        <w:p w14:paraId="709327C9" w14:textId="06DFA731" w:rsidR="005D0A3A" w:rsidRPr="00103A0B" w:rsidRDefault="00000000">
          <w:pPr>
            <w:pStyle w:val="TOC2"/>
            <w:rPr>
              <w:rFonts w:eastAsiaTheme="minorEastAsia"/>
              <w:sz w:val="24"/>
              <w:szCs w:val="24"/>
              <w:lang w:eastAsia="en-GB" w:bidi="ar-SA"/>
            </w:rPr>
          </w:pPr>
          <w:hyperlink w:anchor="_Toc151548327" w:history="1">
            <w:r w:rsidR="005D0A3A" w:rsidRPr="00103A0B">
              <w:rPr>
                <w:rStyle w:val="Hyperlink"/>
                <w:sz w:val="24"/>
                <w:szCs w:val="24"/>
              </w:rPr>
              <w:t>6.3 Results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_Toc151548327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88</w:t>
            </w:r>
            <w:r w:rsidR="005D0A3A" w:rsidRPr="00103A0B">
              <w:rPr>
                <w:webHidden/>
                <w:sz w:val="24"/>
                <w:szCs w:val="24"/>
              </w:rPr>
              <w:fldChar w:fldCharType="end"/>
            </w:r>
          </w:hyperlink>
        </w:p>
        <w:p w14:paraId="586A49B2" w14:textId="731DFAE8" w:rsidR="005D0A3A" w:rsidRPr="00103A0B" w:rsidRDefault="00000000">
          <w:pPr>
            <w:pStyle w:val="TOC2"/>
            <w:rPr>
              <w:rFonts w:eastAsiaTheme="minorEastAsia"/>
              <w:sz w:val="24"/>
              <w:szCs w:val="24"/>
              <w:lang w:eastAsia="en-GB" w:bidi="ar-SA"/>
            </w:rPr>
          </w:pPr>
          <w:hyperlink w:anchor="_Toc151548328" w:history="1">
            <w:r w:rsidR="005D0A3A" w:rsidRPr="00103A0B">
              <w:rPr>
                <w:rStyle w:val="Hyperlink"/>
                <w:sz w:val="24"/>
                <w:szCs w:val="24"/>
              </w:rPr>
              <w:t>6.4 Discussion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_Toc151548328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99</w:t>
            </w:r>
            <w:r w:rsidR="005D0A3A" w:rsidRPr="00103A0B">
              <w:rPr>
                <w:webHidden/>
                <w:sz w:val="24"/>
                <w:szCs w:val="24"/>
              </w:rPr>
              <w:fldChar w:fldCharType="end"/>
            </w:r>
          </w:hyperlink>
        </w:p>
        <w:p w14:paraId="009A1F4A" w14:textId="41E90D89"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329" w:history="1">
            <w:r w:rsidR="005D0A3A" w:rsidRPr="00103A0B">
              <w:rPr>
                <w:rStyle w:val="Hyperlink"/>
                <w:rFonts w:ascii="Arial" w:hAnsi="Arial" w:cs="Arial"/>
                <w:noProof/>
                <w:sz w:val="24"/>
                <w:szCs w:val="24"/>
                <w:lang w:bidi="en-US"/>
              </w:rPr>
              <w:t>Chapter 7: The Effects of Illness Perceptions, Self-Efficacy and Mental Wellbeing Scores on Uptake and Completion of a Diabetes Prevention Programme in England</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_Toc151548329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103</w:t>
            </w:r>
            <w:r w:rsidR="005D0A3A" w:rsidRPr="00103A0B">
              <w:rPr>
                <w:rFonts w:ascii="Arial" w:hAnsi="Arial" w:cs="Arial"/>
                <w:noProof/>
                <w:webHidden/>
                <w:sz w:val="24"/>
                <w:szCs w:val="24"/>
              </w:rPr>
              <w:fldChar w:fldCharType="end"/>
            </w:r>
          </w:hyperlink>
        </w:p>
        <w:p w14:paraId="33AF0365" w14:textId="388AF382" w:rsidR="005D0A3A" w:rsidRPr="00103A0B" w:rsidRDefault="00000000">
          <w:pPr>
            <w:pStyle w:val="TOC2"/>
            <w:rPr>
              <w:rFonts w:eastAsiaTheme="minorEastAsia"/>
              <w:sz w:val="24"/>
              <w:szCs w:val="24"/>
              <w:lang w:eastAsia="en-GB" w:bidi="ar-SA"/>
            </w:rPr>
          </w:pPr>
          <w:hyperlink w:anchor="_Toc151548330" w:history="1">
            <w:r w:rsidR="005D0A3A" w:rsidRPr="00103A0B">
              <w:rPr>
                <w:rStyle w:val="Hyperlink"/>
                <w:sz w:val="24"/>
                <w:szCs w:val="24"/>
              </w:rPr>
              <w:t>7.1 Introduction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_Toc151548330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103</w:t>
            </w:r>
            <w:r w:rsidR="005D0A3A" w:rsidRPr="00103A0B">
              <w:rPr>
                <w:webHidden/>
                <w:sz w:val="24"/>
                <w:szCs w:val="24"/>
              </w:rPr>
              <w:fldChar w:fldCharType="end"/>
            </w:r>
          </w:hyperlink>
        </w:p>
        <w:p w14:paraId="5C22054B" w14:textId="0BFCC4F6" w:rsidR="005D0A3A" w:rsidRPr="00103A0B" w:rsidRDefault="00000000">
          <w:pPr>
            <w:pStyle w:val="TOC2"/>
            <w:rPr>
              <w:rFonts w:eastAsiaTheme="minorEastAsia"/>
              <w:sz w:val="24"/>
              <w:szCs w:val="24"/>
              <w:lang w:eastAsia="en-GB" w:bidi="ar-SA"/>
            </w:rPr>
          </w:pPr>
          <w:hyperlink w:anchor="_Toc151548331" w:history="1">
            <w:r w:rsidR="005D0A3A" w:rsidRPr="00103A0B">
              <w:rPr>
                <w:rStyle w:val="Hyperlink"/>
                <w:sz w:val="24"/>
                <w:szCs w:val="24"/>
              </w:rPr>
              <w:t>7.2 Subjects, Materials and Methods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_Toc151548331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106</w:t>
            </w:r>
            <w:r w:rsidR="005D0A3A" w:rsidRPr="00103A0B">
              <w:rPr>
                <w:webHidden/>
                <w:sz w:val="24"/>
                <w:szCs w:val="24"/>
              </w:rPr>
              <w:fldChar w:fldCharType="end"/>
            </w:r>
          </w:hyperlink>
        </w:p>
        <w:p w14:paraId="2031FE27" w14:textId="0CE71E3F" w:rsidR="005D0A3A" w:rsidRPr="00103A0B" w:rsidRDefault="00000000">
          <w:pPr>
            <w:pStyle w:val="TOC2"/>
            <w:rPr>
              <w:rFonts w:eastAsiaTheme="minorEastAsia"/>
              <w:sz w:val="24"/>
              <w:szCs w:val="24"/>
              <w:lang w:eastAsia="en-GB" w:bidi="ar-SA"/>
            </w:rPr>
          </w:pPr>
          <w:hyperlink w:anchor="_Toc151548332" w:history="1">
            <w:r w:rsidR="005D0A3A" w:rsidRPr="00103A0B">
              <w:rPr>
                <w:rStyle w:val="Hyperlink"/>
                <w:sz w:val="24"/>
                <w:szCs w:val="24"/>
              </w:rPr>
              <w:t>7.3 Results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_Toc151548332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109</w:t>
            </w:r>
            <w:r w:rsidR="005D0A3A" w:rsidRPr="00103A0B">
              <w:rPr>
                <w:webHidden/>
                <w:sz w:val="24"/>
                <w:szCs w:val="24"/>
              </w:rPr>
              <w:fldChar w:fldCharType="end"/>
            </w:r>
          </w:hyperlink>
        </w:p>
        <w:p w14:paraId="38EFEF8A" w14:textId="70EFE5A2" w:rsidR="005D0A3A" w:rsidRPr="00103A0B" w:rsidRDefault="00000000">
          <w:pPr>
            <w:pStyle w:val="TOC2"/>
            <w:rPr>
              <w:rFonts w:eastAsiaTheme="minorEastAsia"/>
              <w:sz w:val="24"/>
              <w:szCs w:val="24"/>
              <w:lang w:eastAsia="en-GB" w:bidi="ar-SA"/>
            </w:rPr>
          </w:pPr>
          <w:hyperlink w:anchor="_Toc151548333" w:history="1">
            <w:r w:rsidR="005D0A3A" w:rsidRPr="00103A0B">
              <w:rPr>
                <w:rStyle w:val="Hyperlink"/>
                <w:sz w:val="24"/>
                <w:szCs w:val="24"/>
              </w:rPr>
              <w:t>7.4 Discussion</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_Toc151548333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117</w:t>
            </w:r>
            <w:r w:rsidR="005D0A3A" w:rsidRPr="00103A0B">
              <w:rPr>
                <w:webHidden/>
                <w:sz w:val="24"/>
                <w:szCs w:val="24"/>
              </w:rPr>
              <w:fldChar w:fldCharType="end"/>
            </w:r>
          </w:hyperlink>
        </w:p>
        <w:p w14:paraId="67C56503" w14:textId="7D01185B"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334" w:history="1">
            <w:r w:rsidR="005D0A3A" w:rsidRPr="00103A0B">
              <w:rPr>
                <w:rStyle w:val="Hyperlink"/>
                <w:rFonts w:ascii="Arial" w:hAnsi="Arial" w:cs="Arial"/>
                <w:noProof/>
                <w:sz w:val="24"/>
                <w:szCs w:val="24"/>
                <w:lang w:eastAsia="en-GB" w:bidi="en-US"/>
              </w:rPr>
              <w:t>Chapter 8: Discussion</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_Toc151548334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122</w:t>
            </w:r>
            <w:r w:rsidR="005D0A3A" w:rsidRPr="00103A0B">
              <w:rPr>
                <w:rFonts w:ascii="Arial" w:hAnsi="Arial" w:cs="Arial"/>
                <w:noProof/>
                <w:webHidden/>
                <w:sz w:val="24"/>
                <w:szCs w:val="24"/>
              </w:rPr>
              <w:fldChar w:fldCharType="end"/>
            </w:r>
          </w:hyperlink>
        </w:p>
        <w:p w14:paraId="1AC102CD" w14:textId="601BD373" w:rsidR="005D0A3A" w:rsidRPr="00103A0B" w:rsidRDefault="00000000">
          <w:pPr>
            <w:pStyle w:val="TOC2"/>
            <w:rPr>
              <w:rFonts w:eastAsiaTheme="minorEastAsia"/>
              <w:sz w:val="24"/>
              <w:szCs w:val="24"/>
              <w:lang w:eastAsia="en-GB" w:bidi="ar-SA"/>
            </w:rPr>
          </w:pPr>
          <w:hyperlink w:anchor="_Toc151548335" w:history="1">
            <w:r w:rsidR="005D0A3A" w:rsidRPr="00103A0B">
              <w:rPr>
                <w:rStyle w:val="Hyperlink"/>
                <w:sz w:val="24"/>
                <w:szCs w:val="24"/>
              </w:rPr>
              <w:t>8.1 Summary of Findings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_Toc151548335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122</w:t>
            </w:r>
            <w:r w:rsidR="005D0A3A" w:rsidRPr="00103A0B">
              <w:rPr>
                <w:webHidden/>
                <w:sz w:val="24"/>
                <w:szCs w:val="24"/>
              </w:rPr>
              <w:fldChar w:fldCharType="end"/>
            </w:r>
          </w:hyperlink>
        </w:p>
        <w:p w14:paraId="79953CB9" w14:textId="0F640E60" w:rsidR="005D0A3A" w:rsidRPr="00103A0B" w:rsidRDefault="00000000">
          <w:pPr>
            <w:pStyle w:val="TOC2"/>
            <w:rPr>
              <w:rFonts w:eastAsiaTheme="minorEastAsia"/>
              <w:sz w:val="24"/>
              <w:szCs w:val="24"/>
              <w:lang w:eastAsia="en-GB" w:bidi="ar-SA"/>
            </w:rPr>
          </w:pPr>
          <w:hyperlink w:anchor="_Toc151548336" w:history="1">
            <w:r w:rsidR="005D0A3A" w:rsidRPr="00103A0B">
              <w:rPr>
                <w:rStyle w:val="Hyperlink"/>
                <w:sz w:val="24"/>
                <w:szCs w:val="24"/>
              </w:rPr>
              <w:t>8.2. Evaluation of Aims and Objectives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_Toc151548336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123</w:t>
            </w:r>
            <w:r w:rsidR="005D0A3A" w:rsidRPr="00103A0B">
              <w:rPr>
                <w:webHidden/>
                <w:sz w:val="24"/>
                <w:szCs w:val="24"/>
              </w:rPr>
              <w:fldChar w:fldCharType="end"/>
            </w:r>
          </w:hyperlink>
        </w:p>
        <w:p w14:paraId="6D4785A2" w14:textId="27BABDB1" w:rsidR="005D0A3A" w:rsidRPr="00103A0B" w:rsidRDefault="00000000">
          <w:pPr>
            <w:pStyle w:val="TOC2"/>
            <w:rPr>
              <w:rFonts w:eastAsiaTheme="minorEastAsia"/>
              <w:sz w:val="24"/>
              <w:szCs w:val="24"/>
              <w:lang w:eastAsia="en-GB" w:bidi="ar-SA"/>
            </w:rPr>
          </w:pPr>
          <w:hyperlink w:anchor="_Toc151548337" w:history="1">
            <w:r w:rsidR="005D0A3A" w:rsidRPr="00103A0B">
              <w:rPr>
                <w:rStyle w:val="Hyperlink"/>
                <w:sz w:val="24"/>
                <w:szCs w:val="24"/>
              </w:rPr>
              <w:t>8.3. Theoretical Implications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_Toc151548337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132</w:t>
            </w:r>
            <w:r w:rsidR="005D0A3A" w:rsidRPr="00103A0B">
              <w:rPr>
                <w:webHidden/>
                <w:sz w:val="24"/>
                <w:szCs w:val="24"/>
              </w:rPr>
              <w:fldChar w:fldCharType="end"/>
            </w:r>
          </w:hyperlink>
        </w:p>
        <w:p w14:paraId="6BDE7E93" w14:textId="2C3875C9" w:rsidR="005D0A3A" w:rsidRPr="00103A0B" w:rsidRDefault="00000000">
          <w:pPr>
            <w:pStyle w:val="TOC2"/>
            <w:rPr>
              <w:rFonts w:eastAsiaTheme="minorEastAsia"/>
              <w:sz w:val="24"/>
              <w:szCs w:val="24"/>
              <w:lang w:eastAsia="en-GB" w:bidi="ar-SA"/>
            </w:rPr>
          </w:pPr>
          <w:hyperlink w:anchor="_Toc151548338" w:history="1">
            <w:r w:rsidR="005D0A3A" w:rsidRPr="00103A0B">
              <w:rPr>
                <w:rStyle w:val="Hyperlink"/>
                <w:sz w:val="24"/>
                <w:szCs w:val="24"/>
              </w:rPr>
              <w:t>8.4. Strengths and Limitations of this Research</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_Toc151548338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138</w:t>
            </w:r>
            <w:r w:rsidR="005D0A3A" w:rsidRPr="00103A0B">
              <w:rPr>
                <w:webHidden/>
                <w:sz w:val="24"/>
                <w:szCs w:val="24"/>
              </w:rPr>
              <w:fldChar w:fldCharType="end"/>
            </w:r>
          </w:hyperlink>
        </w:p>
        <w:p w14:paraId="51AACECE" w14:textId="0175A7D6" w:rsidR="005D0A3A" w:rsidRPr="00103A0B" w:rsidRDefault="00000000">
          <w:pPr>
            <w:pStyle w:val="TOC2"/>
            <w:rPr>
              <w:rFonts w:eastAsiaTheme="minorEastAsia"/>
              <w:sz w:val="24"/>
              <w:szCs w:val="24"/>
              <w:lang w:eastAsia="en-GB" w:bidi="ar-SA"/>
            </w:rPr>
          </w:pPr>
          <w:hyperlink w:anchor="_Toc151548339" w:history="1">
            <w:r w:rsidR="005D0A3A" w:rsidRPr="00103A0B">
              <w:rPr>
                <w:rStyle w:val="Hyperlink"/>
                <w:sz w:val="24"/>
                <w:szCs w:val="24"/>
              </w:rPr>
              <w:t>8.5. Future Research</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_Toc151548339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140</w:t>
            </w:r>
            <w:r w:rsidR="005D0A3A" w:rsidRPr="00103A0B">
              <w:rPr>
                <w:webHidden/>
                <w:sz w:val="24"/>
                <w:szCs w:val="24"/>
              </w:rPr>
              <w:fldChar w:fldCharType="end"/>
            </w:r>
          </w:hyperlink>
        </w:p>
        <w:p w14:paraId="20CC82FD" w14:textId="228A4D7A" w:rsidR="005D0A3A" w:rsidRPr="00103A0B" w:rsidRDefault="00000000">
          <w:pPr>
            <w:pStyle w:val="TOC2"/>
            <w:rPr>
              <w:rFonts w:eastAsiaTheme="minorEastAsia"/>
              <w:sz w:val="24"/>
              <w:szCs w:val="24"/>
              <w:lang w:eastAsia="en-GB" w:bidi="ar-SA"/>
            </w:rPr>
          </w:pPr>
          <w:hyperlink w:anchor="_Toc151548340" w:history="1">
            <w:r w:rsidR="005D0A3A" w:rsidRPr="00103A0B">
              <w:rPr>
                <w:rStyle w:val="Hyperlink"/>
                <w:sz w:val="24"/>
                <w:szCs w:val="24"/>
              </w:rPr>
              <w:t>8.6. Recommendations for Practice</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_Toc151548340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141</w:t>
            </w:r>
            <w:r w:rsidR="005D0A3A" w:rsidRPr="00103A0B">
              <w:rPr>
                <w:webHidden/>
                <w:sz w:val="24"/>
                <w:szCs w:val="24"/>
              </w:rPr>
              <w:fldChar w:fldCharType="end"/>
            </w:r>
          </w:hyperlink>
        </w:p>
        <w:p w14:paraId="60C9E8B1" w14:textId="1199D033" w:rsidR="005D0A3A" w:rsidRPr="00103A0B" w:rsidRDefault="00000000">
          <w:pPr>
            <w:pStyle w:val="TOC2"/>
            <w:rPr>
              <w:rFonts w:eastAsiaTheme="minorEastAsia"/>
              <w:sz w:val="24"/>
              <w:szCs w:val="24"/>
              <w:lang w:eastAsia="en-GB" w:bidi="ar-SA"/>
            </w:rPr>
          </w:pPr>
          <w:hyperlink w:anchor="_Toc151548341" w:history="1">
            <w:r w:rsidR="005D0A3A" w:rsidRPr="00103A0B">
              <w:rPr>
                <w:rStyle w:val="Hyperlink"/>
                <w:sz w:val="24"/>
                <w:szCs w:val="24"/>
              </w:rPr>
              <w:t>8.7 Impact of Research</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_Toc151548341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145</w:t>
            </w:r>
            <w:r w:rsidR="005D0A3A" w:rsidRPr="00103A0B">
              <w:rPr>
                <w:webHidden/>
                <w:sz w:val="24"/>
                <w:szCs w:val="24"/>
              </w:rPr>
              <w:fldChar w:fldCharType="end"/>
            </w:r>
          </w:hyperlink>
        </w:p>
        <w:p w14:paraId="3CF0C4C3" w14:textId="052B0550" w:rsidR="005D0A3A" w:rsidRPr="00103A0B" w:rsidRDefault="00000000">
          <w:pPr>
            <w:pStyle w:val="TOC2"/>
            <w:rPr>
              <w:rFonts w:eastAsiaTheme="minorEastAsia"/>
              <w:sz w:val="24"/>
              <w:szCs w:val="24"/>
              <w:lang w:eastAsia="en-GB" w:bidi="ar-SA"/>
            </w:rPr>
          </w:pPr>
          <w:hyperlink w:anchor="_Toc151548342" w:history="1">
            <w:r w:rsidR="005D0A3A" w:rsidRPr="00103A0B">
              <w:rPr>
                <w:rStyle w:val="Hyperlink"/>
                <w:sz w:val="24"/>
                <w:szCs w:val="24"/>
              </w:rPr>
              <w:t>8.8. Researcher Reflections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_Toc151548342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145</w:t>
            </w:r>
            <w:r w:rsidR="005D0A3A" w:rsidRPr="00103A0B">
              <w:rPr>
                <w:webHidden/>
                <w:sz w:val="24"/>
                <w:szCs w:val="24"/>
              </w:rPr>
              <w:fldChar w:fldCharType="end"/>
            </w:r>
          </w:hyperlink>
        </w:p>
        <w:p w14:paraId="7BB94D58" w14:textId="4CFE7478" w:rsidR="005D0A3A" w:rsidRPr="00103A0B" w:rsidRDefault="00000000">
          <w:pPr>
            <w:pStyle w:val="TOC2"/>
            <w:rPr>
              <w:rFonts w:eastAsiaTheme="minorEastAsia"/>
              <w:sz w:val="24"/>
              <w:szCs w:val="24"/>
              <w:lang w:eastAsia="en-GB" w:bidi="ar-SA"/>
            </w:rPr>
          </w:pPr>
          <w:hyperlink w:anchor="_Toc151548343" w:history="1">
            <w:r w:rsidR="005D0A3A" w:rsidRPr="00103A0B">
              <w:rPr>
                <w:rStyle w:val="Hyperlink"/>
                <w:sz w:val="24"/>
                <w:szCs w:val="24"/>
              </w:rPr>
              <w:t>8.9. Conclusions</w:t>
            </w:r>
            <w:r w:rsidR="005D0A3A" w:rsidRPr="00103A0B">
              <w:rPr>
                <w:webHidden/>
                <w:sz w:val="24"/>
                <w:szCs w:val="24"/>
              </w:rPr>
              <w:tab/>
            </w:r>
            <w:r w:rsidR="005D0A3A" w:rsidRPr="00103A0B">
              <w:rPr>
                <w:webHidden/>
                <w:sz w:val="24"/>
                <w:szCs w:val="24"/>
              </w:rPr>
              <w:fldChar w:fldCharType="begin"/>
            </w:r>
            <w:r w:rsidR="005D0A3A" w:rsidRPr="00103A0B">
              <w:rPr>
                <w:webHidden/>
                <w:sz w:val="24"/>
                <w:szCs w:val="24"/>
              </w:rPr>
              <w:instrText xml:space="preserve"> PAGEREF _Toc151548343 \h </w:instrText>
            </w:r>
            <w:r w:rsidR="005D0A3A" w:rsidRPr="00103A0B">
              <w:rPr>
                <w:webHidden/>
                <w:sz w:val="24"/>
                <w:szCs w:val="24"/>
              </w:rPr>
            </w:r>
            <w:r w:rsidR="005D0A3A" w:rsidRPr="00103A0B">
              <w:rPr>
                <w:webHidden/>
                <w:sz w:val="24"/>
                <w:szCs w:val="24"/>
              </w:rPr>
              <w:fldChar w:fldCharType="separate"/>
            </w:r>
            <w:r w:rsidR="005D0A3A" w:rsidRPr="00103A0B">
              <w:rPr>
                <w:webHidden/>
                <w:sz w:val="24"/>
                <w:szCs w:val="24"/>
              </w:rPr>
              <w:t>148</w:t>
            </w:r>
            <w:r w:rsidR="005D0A3A" w:rsidRPr="00103A0B">
              <w:rPr>
                <w:webHidden/>
                <w:sz w:val="24"/>
                <w:szCs w:val="24"/>
              </w:rPr>
              <w:fldChar w:fldCharType="end"/>
            </w:r>
          </w:hyperlink>
        </w:p>
        <w:p w14:paraId="0ED92760" w14:textId="726A3C24" w:rsidR="005D0A3A" w:rsidRPr="00103A0B" w:rsidRDefault="00000000">
          <w:pPr>
            <w:pStyle w:val="TOC1"/>
            <w:tabs>
              <w:tab w:val="right" w:leader="dot" w:pos="9016"/>
            </w:tabs>
            <w:rPr>
              <w:rFonts w:ascii="Arial" w:eastAsiaTheme="minorEastAsia" w:hAnsi="Arial" w:cs="Arial"/>
              <w:noProof/>
              <w:sz w:val="24"/>
              <w:szCs w:val="24"/>
              <w:lang w:eastAsia="en-GB"/>
            </w:rPr>
          </w:pPr>
          <w:hyperlink w:anchor="_Toc151548344" w:history="1">
            <w:r w:rsidR="005D0A3A" w:rsidRPr="00103A0B">
              <w:rPr>
                <w:rStyle w:val="Hyperlink"/>
                <w:rFonts w:ascii="Arial" w:hAnsi="Arial" w:cs="Arial"/>
                <w:noProof/>
                <w:sz w:val="24"/>
                <w:szCs w:val="24"/>
                <w:lang w:eastAsia="en-GB" w:bidi="en-US"/>
              </w:rPr>
              <w:t>References</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_Toc151548344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150</w:t>
            </w:r>
            <w:r w:rsidR="005D0A3A" w:rsidRPr="00103A0B">
              <w:rPr>
                <w:rFonts w:ascii="Arial" w:hAnsi="Arial" w:cs="Arial"/>
                <w:noProof/>
                <w:webHidden/>
                <w:sz w:val="24"/>
                <w:szCs w:val="24"/>
              </w:rPr>
              <w:fldChar w:fldCharType="end"/>
            </w:r>
          </w:hyperlink>
        </w:p>
        <w:p w14:paraId="5F299335" w14:textId="1DA09C74" w:rsidR="00247893" w:rsidRPr="00103A0B" w:rsidRDefault="00000000" w:rsidP="005D0A3A">
          <w:pPr>
            <w:pStyle w:val="TOC1"/>
            <w:tabs>
              <w:tab w:val="right" w:leader="dot" w:pos="9016"/>
            </w:tabs>
            <w:rPr>
              <w:rFonts w:ascii="Arial" w:eastAsiaTheme="minorEastAsia" w:hAnsi="Arial" w:cs="Arial"/>
              <w:noProof/>
              <w:sz w:val="24"/>
              <w:szCs w:val="24"/>
              <w:lang w:eastAsia="en-GB"/>
            </w:rPr>
          </w:pPr>
          <w:hyperlink w:anchor="_Toc151548345" w:history="1">
            <w:r w:rsidR="005D0A3A" w:rsidRPr="00103A0B">
              <w:rPr>
                <w:rStyle w:val="Hyperlink"/>
                <w:rFonts w:ascii="Arial" w:hAnsi="Arial" w:cs="Arial"/>
                <w:noProof/>
                <w:sz w:val="24"/>
                <w:szCs w:val="24"/>
                <w:lang w:bidi="en-US"/>
              </w:rPr>
              <w:t>Appendices</w:t>
            </w:r>
            <w:r w:rsidR="005D0A3A" w:rsidRPr="00103A0B">
              <w:rPr>
                <w:rFonts w:ascii="Arial" w:hAnsi="Arial" w:cs="Arial"/>
                <w:noProof/>
                <w:webHidden/>
                <w:sz w:val="24"/>
                <w:szCs w:val="24"/>
              </w:rPr>
              <w:tab/>
            </w:r>
            <w:r w:rsidR="005D0A3A" w:rsidRPr="00103A0B">
              <w:rPr>
                <w:rFonts w:ascii="Arial" w:hAnsi="Arial" w:cs="Arial"/>
                <w:noProof/>
                <w:webHidden/>
                <w:sz w:val="24"/>
                <w:szCs w:val="24"/>
              </w:rPr>
              <w:fldChar w:fldCharType="begin"/>
            </w:r>
            <w:r w:rsidR="005D0A3A" w:rsidRPr="00103A0B">
              <w:rPr>
                <w:rFonts w:ascii="Arial" w:hAnsi="Arial" w:cs="Arial"/>
                <w:noProof/>
                <w:webHidden/>
                <w:sz w:val="24"/>
                <w:szCs w:val="24"/>
              </w:rPr>
              <w:instrText xml:space="preserve"> PAGEREF _Toc151548345 \h </w:instrText>
            </w:r>
            <w:r w:rsidR="005D0A3A" w:rsidRPr="00103A0B">
              <w:rPr>
                <w:rFonts w:ascii="Arial" w:hAnsi="Arial" w:cs="Arial"/>
                <w:noProof/>
                <w:webHidden/>
                <w:sz w:val="24"/>
                <w:szCs w:val="24"/>
              </w:rPr>
            </w:r>
            <w:r w:rsidR="005D0A3A" w:rsidRPr="00103A0B">
              <w:rPr>
                <w:rFonts w:ascii="Arial" w:hAnsi="Arial" w:cs="Arial"/>
                <w:noProof/>
                <w:webHidden/>
                <w:sz w:val="24"/>
                <w:szCs w:val="24"/>
              </w:rPr>
              <w:fldChar w:fldCharType="separate"/>
            </w:r>
            <w:r w:rsidR="005D0A3A" w:rsidRPr="00103A0B">
              <w:rPr>
                <w:rFonts w:ascii="Arial" w:hAnsi="Arial" w:cs="Arial"/>
                <w:noProof/>
                <w:webHidden/>
                <w:sz w:val="24"/>
                <w:szCs w:val="24"/>
              </w:rPr>
              <w:t>179</w:t>
            </w:r>
            <w:r w:rsidR="005D0A3A" w:rsidRPr="00103A0B">
              <w:rPr>
                <w:rFonts w:ascii="Arial" w:hAnsi="Arial" w:cs="Arial"/>
                <w:noProof/>
                <w:webHidden/>
                <w:sz w:val="24"/>
                <w:szCs w:val="24"/>
              </w:rPr>
              <w:fldChar w:fldCharType="end"/>
            </w:r>
          </w:hyperlink>
          <w:r w:rsidR="002D3F5D" w:rsidRPr="00103A0B">
            <w:rPr>
              <w:rFonts w:ascii="Arial" w:hAnsi="Arial" w:cs="Arial"/>
              <w:b/>
              <w:bCs/>
              <w:noProof/>
              <w:sz w:val="24"/>
              <w:szCs w:val="24"/>
            </w:rPr>
            <w:fldChar w:fldCharType="end"/>
          </w:r>
        </w:p>
      </w:sdtContent>
    </w:sdt>
    <w:bookmarkStart w:id="14" w:name="_Toc363208528" w:displacedByCustomXml="prev"/>
    <w:p w14:paraId="5D71D62D" w14:textId="188064EB" w:rsidR="0002431B" w:rsidRPr="00103A0B" w:rsidRDefault="0002431B" w:rsidP="00CD5919">
      <w:pPr>
        <w:jc w:val="both"/>
        <w:rPr>
          <w:rFonts w:ascii="Arial" w:hAnsi="Arial" w:cs="Arial"/>
          <w:sz w:val="24"/>
          <w:szCs w:val="24"/>
          <w:lang w:bidi="en-US"/>
        </w:rPr>
      </w:pPr>
    </w:p>
    <w:p w14:paraId="02BAFD21" w14:textId="77777777" w:rsidR="007E7233" w:rsidRPr="00103A0B" w:rsidRDefault="007E7233" w:rsidP="00CD5919">
      <w:pPr>
        <w:jc w:val="both"/>
        <w:rPr>
          <w:lang w:bidi="en-US"/>
        </w:rPr>
      </w:pPr>
    </w:p>
    <w:p w14:paraId="3B65276E" w14:textId="77777777" w:rsidR="00731909" w:rsidRPr="00103A0B" w:rsidRDefault="00731909" w:rsidP="007456B0">
      <w:pPr>
        <w:pStyle w:val="Heading1"/>
        <w:keepLines/>
        <w:numPr>
          <w:ilvl w:val="0"/>
          <w:numId w:val="0"/>
        </w:numPr>
        <w:rPr>
          <w:rFonts w:ascii="Arial" w:hAnsi="Arial" w:cs="Arial"/>
        </w:rPr>
        <w:sectPr w:rsidR="00731909" w:rsidRPr="00103A0B" w:rsidSect="007E7233">
          <w:pgSz w:w="11906" w:h="16838"/>
          <w:pgMar w:top="1440" w:right="1440" w:bottom="1440" w:left="1440" w:header="709" w:footer="709" w:gutter="0"/>
          <w:pgNumType w:fmt="lowerRoman" w:start="1"/>
          <w:cols w:space="708"/>
          <w:titlePg/>
          <w:docGrid w:linePitch="360"/>
        </w:sectPr>
      </w:pPr>
    </w:p>
    <w:p w14:paraId="19BABB2C" w14:textId="39E51FB7" w:rsidR="003D3DA8" w:rsidRPr="00103A0B" w:rsidRDefault="003D3DA8" w:rsidP="007456B0">
      <w:pPr>
        <w:pStyle w:val="Heading1"/>
        <w:keepLines/>
        <w:numPr>
          <w:ilvl w:val="0"/>
          <w:numId w:val="0"/>
        </w:numPr>
        <w:rPr>
          <w:rFonts w:ascii="Arial" w:hAnsi="Arial" w:cs="Arial"/>
        </w:rPr>
      </w:pPr>
      <w:bookmarkStart w:id="15" w:name="_Toc151548284"/>
      <w:r w:rsidRPr="00103A0B">
        <w:rPr>
          <w:rFonts w:ascii="Arial" w:hAnsi="Arial" w:cs="Arial"/>
        </w:rPr>
        <w:lastRenderedPageBreak/>
        <w:t>Abstrac</w:t>
      </w:r>
      <w:bookmarkEnd w:id="14"/>
      <w:r w:rsidRPr="00103A0B">
        <w:rPr>
          <w:rFonts w:ascii="Arial" w:hAnsi="Arial" w:cs="Arial"/>
        </w:rPr>
        <w:t>t</w:t>
      </w:r>
      <w:bookmarkEnd w:id="15"/>
    </w:p>
    <w:p w14:paraId="6BD885A6" w14:textId="262679AB" w:rsidR="004E0154" w:rsidRPr="00103A0B" w:rsidRDefault="009250AE" w:rsidP="004E0154">
      <w:pPr>
        <w:spacing w:line="360" w:lineRule="auto"/>
        <w:jc w:val="both"/>
        <w:rPr>
          <w:rFonts w:ascii="Arial" w:hAnsi="Arial" w:cs="Arial"/>
          <w:sz w:val="24"/>
          <w:szCs w:val="24"/>
        </w:rPr>
      </w:pPr>
      <w:r w:rsidRPr="00103A0B">
        <w:rPr>
          <w:rFonts w:ascii="Arial" w:hAnsi="Arial" w:cs="Arial"/>
          <w:b/>
          <w:bCs/>
          <w:sz w:val="24"/>
          <w:szCs w:val="24"/>
          <w:lang w:bidi="en-US"/>
        </w:rPr>
        <w:t>Aims:</w:t>
      </w:r>
      <w:r w:rsidR="007F4208" w:rsidRPr="00103A0B">
        <w:rPr>
          <w:rFonts w:ascii="Arial" w:hAnsi="Arial" w:cs="Arial"/>
          <w:sz w:val="24"/>
          <w:szCs w:val="24"/>
          <w:lang w:bidi="en-US"/>
        </w:rPr>
        <w:t xml:space="preserve"> </w:t>
      </w:r>
      <w:bookmarkStart w:id="16" w:name="_Hlk78106248"/>
      <w:r w:rsidR="00B00DAC" w:rsidRPr="00103A0B">
        <w:rPr>
          <w:rFonts w:ascii="Arial" w:hAnsi="Arial" w:cs="Arial"/>
          <w:sz w:val="24"/>
          <w:szCs w:val="24"/>
        </w:rPr>
        <w:t>T</w:t>
      </w:r>
      <w:r w:rsidR="00211F99" w:rsidRPr="00103A0B">
        <w:rPr>
          <w:rFonts w:ascii="Arial" w:hAnsi="Arial" w:cs="Arial"/>
          <w:sz w:val="24"/>
          <w:szCs w:val="24"/>
        </w:rPr>
        <w:t>he overall aims of this thesis are t</w:t>
      </w:r>
      <w:r w:rsidR="0092713E" w:rsidRPr="00103A0B">
        <w:rPr>
          <w:rFonts w:ascii="Arial" w:hAnsi="Arial" w:cs="Arial"/>
          <w:sz w:val="24"/>
          <w:szCs w:val="24"/>
        </w:rPr>
        <w:t xml:space="preserve">o investigate which factors </w:t>
      </w:r>
      <w:r w:rsidR="00211F99" w:rsidRPr="00103A0B">
        <w:rPr>
          <w:rFonts w:ascii="Arial" w:hAnsi="Arial" w:cs="Arial"/>
          <w:sz w:val="24"/>
          <w:szCs w:val="24"/>
        </w:rPr>
        <w:t xml:space="preserve">are </w:t>
      </w:r>
      <w:r w:rsidR="0092713E" w:rsidRPr="00103A0B">
        <w:rPr>
          <w:rFonts w:ascii="Arial" w:hAnsi="Arial" w:cs="Arial"/>
          <w:sz w:val="24"/>
          <w:szCs w:val="24"/>
        </w:rPr>
        <w:t xml:space="preserve">associated with </w:t>
      </w:r>
      <w:r w:rsidR="00211F99" w:rsidRPr="00103A0B">
        <w:rPr>
          <w:rFonts w:ascii="Arial" w:hAnsi="Arial" w:cs="Arial"/>
          <w:sz w:val="24"/>
          <w:szCs w:val="24"/>
        </w:rPr>
        <w:t xml:space="preserve">higher uptake and retention of </w:t>
      </w:r>
      <w:r w:rsidR="00A32C3C" w:rsidRPr="00103A0B">
        <w:rPr>
          <w:rFonts w:ascii="Arial" w:hAnsi="Arial" w:cs="Arial"/>
          <w:sz w:val="24"/>
          <w:szCs w:val="24"/>
        </w:rPr>
        <w:t>Diabetes Prevention Programmes (</w:t>
      </w:r>
      <w:r w:rsidR="00211F99" w:rsidRPr="00103A0B">
        <w:rPr>
          <w:rFonts w:ascii="Arial" w:hAnsi="Arial" w:cs="Arial"/>
          <w:sz w:val="24"/>
          <w:szCs w:val="24"/>
        </w:rPr>
        <w:t>DPPs</w:t>
      </w:r>
      <w:r w:rsidR="00A32C3C" w:rsidRPr="00103A0B">
        <w:rPr>
          <w:rFonts w:ascii="Arial" w:hAnsi="Arial" w:cs="Arial"/>
          <w:sz w:val="24"/>
          <w:szCs w:val="24"/>
        </w:rPr>
        <w:t>)</w:t>
      </w:r>
      <w:r w:rsidR="00211F99" w:rsidRPr="00103A0B">
        <w:rPr>
          <w:rFonts w:ascii="Arial" w:hAnsi="Arial" w:cs="Arial"/>
          <w:sz w:val="24"/>
          <w:szCs w:val="24"/>
        </w:rPr>
        <w:t xml:space="preserve">, </w:t>
      </w:r>
      <w:proofErr w:type="gramStart"/>
      <w:r w:rsidR="00211F99" w:rsidRPr="00103A0B">
        <w:rPr>
          <w:rFonts w:ascii="Arial" w:hAnsi="Arial" w:cs="Arial"/>
          <w:sz w:val="24"/>
          <w:szCs w:val="24"/>
        </w:rPr>
        <w:t>and also</w:t>
      </w:r>
      <w:proofErr w:type="gramEnd"/>
      <w:r w:rsidR="00211F99" w:rsidRPr="00103A0B">
        <w:rPr>
          <w:rFonts w:ascii="Arial" w:hAnsi="Arial" w:cs="Arial"/>
          <w:sz w:val="24"/>
          <w:szCs w:val="24"/>
        </w:rPr>
        <w:t xml:space="preserve"> to examine the role of modifiable psychological factors in predicting uptake and completion of the NHSDPP in England. This includes a qualitative exploration of influences on attendance and completion for a DPP in Southwark. </w:t>
      </w:r>
      <w:r w:rsidR="00211F99" w:rsidRPr="00103A0B">
        <w:rPr>
          <w:rFonts w:ascii="Arial" w:hAnsi="Arial" w:cs="Arial"/>
          <w:b/>
          <w:bCs/>
          <w:sz w:val="24"/>
          <w:szCs w:val="24"/>
          <w:lang w:bidi="en-US"/>
        </w:rPr>
        <w:t>Methods:</w:t>
      </w:r>
      <w:r w:rsidR="00211F99" w:rsidRPr="00103A0B">
        <w:rPr>
          <w:rFonts w:ascii="Arial" w:hAnsi="Arial" w:cs="Arial"/>
          <w:sz w:val="24"/>
          <w:szCs w:val="24"/>
          <w:lang w:bidi="en-US"/>
        </w:rPr>
        <w:t xml:space="preserve"> This thesis consists of: (</w:t>
      </w:r>
      <w:proofErr w:type="spellStart"/>
      <w:r w:rsidR="00211F99" w:rsidRPr="00103A0B">
        <w:rPr>
          <w:rFonts w:ascii="Arial" w:hAnsi="Arial" w:cs="Arial"/>
          <w:sz w:val="24"/>
          <w:szCs w:val="24"/>
          <w:lang w:bidi="en-US"/>
        </w:rPr>
        <w:t>i</w:t>
      </w:r>
      <w:proofErr w:type="spellEnd"/>
      <w:r w:rsidR="00211F99" w:rsidRPr="00103A0B">
        <w:rPr>
          <w:rFonts w:ascii="Arial" w:hAnsi="Arial" w:cs="Arial"/>
          <w:sz w:val="24"/>
          <w:szCs w:val="24"/>
          <w:lang w:bidi="en-US"/>
        </w:rPr>
        <w:t xml:space="preserve">) a systematic review identifying recruitment strategies associated with high uptake and behaviour change techniques (BCTs) associated with high levels of retention in group-based DPPs; (ii) two qualitative studies which explore key influences on whether or not participants from </w:t>
      </w:r>
      <w:r w:rsidR="00211F99" w:rsidRPr="00103A0B">
        <w:rPr>
          <w:rFonts w:ascii="Arial" w:hAnsi="Arial" w:cs="Arial"/>
          <w:sz w:val="24"/>
          <w:szCs w:val="24"/>
        </w:rPr>
        <w:t>ethnically diverse backgrounds attend and complete a DPP in a socioeconomically deprived area;</w:t>
      </w:r>
      <w:r w:rsidR="00211F99" w:rsidRPr="00103A0B">
        <w:rPr>
          <w:rFonts w:ascii="Arial" w:hAnsi="Arial" w:cs="Arial"/>
          <w:sz w:val="24"/>
          <w:szCs w:val="24"/>
          <w:lang w:bidi="en-US"/>
        </w:rPr>
        <w:t xml:space="preserve"> and (iii) a quantitative study investigating whether </w:t>
      </w:r>
      <w:r w:rsidR="00211F99" w:rsidRPr="00103A0B">
        <w:rPr>
          <w:rFonts w:ascii="Arial" w:hAnsi="Arial" w:cs="Arial"/>
          <w:sz w:val="24"/>
          <w:szCs w:val="24"/>
          <w:lang w:val="en-US"/>
        </w:rPr>
        <w:t>psychological variables predict uptake and/or completion of a DPP, independent from other possible non-modifiable factors</w:t>
      </w:r>
      <w:r w:rsidR="00211F99" w:rsidRPr="00103A0B">
        <w:rPr>
          <w:rFonts w:ascii="Arial" w:hAnsi="Arial" w:cs="Arial"/>
          <w:sz w:val="24"/>
          <w:szCs w:val="24"/>
          <w:lang w:bidi="en-US"/>
        </w:rPr>
        <w:t xml:space="preserve">. </w:t>
      </w:r>
      <w:r w:rsidR="00211F99" w:rsidRPr="00103A0B">
        <w:rPr>
          <w:rFonts w:ascii="Arial" w:hAnsi="Arial" w:cs="Arial"/>
          <w:b/>
          <w:bCs/>
          <w:sz w:val="24"/>
          <w:szCs w:val="24"/>
          <w:lang w:bidi="en-US"/>
        </w:rPr>
        <w:t>Results:</w:t>
      </w:r>
      <w:r w:rsidR="00211F99" w:rsidRPr="00103A0B">
        <w:rPr>
          <w:rFonts w:ascii="Arial" w:hAnsi="Arial" w:cs="Arial"/>
          <w:sz w:val="24"/>
          <w:szCs w:val="24"/>
          <w:lang w:bidi="en-US"/>
        </w:rPr>
        <w:t xml:space="preserve"> Regarding attendance, a</w:t>
      </w:r>
      <w:r w:rsidR="00211F99" w:rsidRPr="00103A0B">
        <w:rPr>
          <w:rFonts w:ascii="Arial" w:hAnsi="Arial" w:cs="Arial"/>
          <w:sz w:val="24"/>
          <w:szCs w:val="24"/>
        </w:rPr>
        <w:t xml:space="preserve"> range of recruitment strategies were used making it difficult to discern associations with uptake rates. Qualitative data found how understanding type 2 diabetes, making lifestyle changes, comparisons with others, having support and self-perceptions can affect motivations to attend, with accessibility and practicalities influencing both motivation and attendance. The quantitative study identified how illness perceptions, mental wellbeing, </w:t>
      </w:r>
      <w:proofErr w:type="gramStart"/>
      <w:r w:rsidR="00211F99" w:rsidRPr="00103A0B">
        <w:rPr>
          <w:rFonts w:ascii="Arial" w:hAnsi="Arial" w:cs="Arial"/>
          <w:sz w:val="24"/>
          <w:szCs w:val="24"/>
        </w:rPr>
        <w:t>age</w:t>
      </w:r>
      <w:proofErr w:type="gramEnd"/>
      <w:r w:rsidR="00211F99" w:rsidRPr="00103A0B">
        <w:rPr>
          <w:rFonts w:ascii="Arial" w:hAnsi="Arial" w:cs="Arial"/>
          <w:sz w:val="24"/>
          <w:szCs w:val="24"/>
        </w:rPr>
        <w:t xml:space="preserve"> and deprivation were significant predictors of uptake. Regarding completion, programmes with high retention were more likely to have specific BCTs, such as problem-solving.</w:t>
      </w:r>
      <w:r w:rsidR="00474286" w:rsidRPr="00103A0B">
        <w:rPr>
          <w:rFonts w:ascii="Arial" w:hAnsi="Arial" w:cs="Arial"/>
          <w:sz w:val="24"/>
          <w:szCs w:val="24"/>
        </w:rPr>
        <w:t xml:space="preserve"> </w:t>
      </w:r>
      <w:r w:rsidR="00211F99" w:rsidRPr="00103A0B">
        <w:rPr>
          <w:rFonts w:ascii="Arial" w:hAnsi="Arial" w:cs="Arial"/>
          <w:sz w:val="24"/>
          <w:szCs w:val="24"/>
        </w:rPr>
        <w:t xml:space="preserve">Qualitative data found that DPP completion was related to beliefs relating to illness threat, programme perceptions, influence from family and friends, lifestyle changes, and practicalities, in addition to motivation and communication issues. The quantitative study identified how those with higher self-efficacy, who were younger and/or from a specific area (West Yorkshire) were less likely to complete a DPP. </w:t>
      </w:r>
      <w:r w:rsidR="00211F99" w:rsidRPr="00103A0B">
        <w:rPr>
          <w:rFonts w:ascii="Arial" w:hAnsi="Arial" w:cs="Arial"/>
          <w:b/>
          <w:bCs/>
          <w:sz w:val="24"/>
          <w:szCs w:val="24"/>
          <w:lang w:bidi="en-US"/>
        </w:rPr>
        <w:t>Conclusions:</w:t>
      </w:r>
      <w:r w:rsidR="00211F99" w:rsidRPr="00103A0B">
        <w:rPr>
          <w:rFonts w:ascii="Arial" w:hAnsi="Arial" w:cs="Arial"/>
          <w:sz w:val="24"/>
          <w:szCs w:val="24"/>
          <w:lang w:bidi="en-US"/>
        </w:rPr>
        <w:t xml:space="preserve"> </w:t>
      </w:r>
      <w:r w:rsidR="00211F99" w:rsidRPr="00103A0B">
        <w:rPr>
          <w:rFonts w:ascii="Arial" w:hAnsi="Arial" w:cs="Arial"/>
          <w:sz w:val="24"/>
          <w:szCs w:val="24"/>
        </w:rPr>
        <w:t xml:space="preserve">The findings have identified a range of different influences on attendance and completion of a DPP. Understanding these various influences when organising and delivering sessions will contribute towards maximising response, </w:t>
      </w:r>
      <w:proofErr w:type="gramStart"/>
      <w:r w:rsidR="00211F99" w:rsidRPr="00103A0B">
        <w:rPr>
          <w:rFonts w:ascii="Arial" w:hAnsi="Arial" w:cs="Arial"/>
          <w:sz w:val="24"/>
          <w:szCs w:val="24"/>
        </w:rPr>
        <w:t>uptake</w:t>
      </w:r>
      <w:proofErr w:type="gramEnd"/>
      <w:r w:rsidR="00211F99" w:rsidRPr="00103A0B">
        <w:rPr>
          <w:rFonts w:ascii="Arial" w:hAnsi="Arial" w:cs="Arial"/>
          <w:sz w:val="24"/>
          <w:szCs w:val="24"/>
        </w:rPr>
        <w:t xml:space="preserve"> and retention rates, thus improving programme viability.</w:t>
      </w:r>
    </w:p>
    <w:p w14:paraId="542CB542" w14:textId="77777777" w:rsidR="004E0154" w:rsidRPr="00103A0B" w:rsidRDefault="004E0154" w:rsidP="00240265">
      <w:pPr>
        <w:spacing w:line="360" w:lineRule="auto"/>
        <w:rPr>
          <w:rFonts w:ascii="Arial" w:hAnsi="Arial" w:cs="Arial"/>
          <w:sz w:val="24"/>
          <w:szCs w:val="24"/>
        </w:rPr>
      </w:pPr>
    </w:p>
    <w:p w14:paraId="1950DE53" w14:textId="6C8C0F1D" w:rsidR="00247893" w:rsidRPr="00103A0B" w:rsidRDefault="00211F99" w:rsidP="00240265">
      <w:pPr>
        <w:spacing w:line="360" w:lineRule="auto"/>
        <w:rPr>
          <w:rFonts w:ascii="Arial" w:hAnsi="Arial" w:cs="Arial"/>
          <w:sz w:val="24"/>
          <w:szCs w:val="24"/>
        </w:rPr>
      </w:pPr>
      <w:r w:rsidRPr="00103A0B">
        <w:rPr>
          <w:rFonts w:ascii="Arial" w:hAnsi="Arial" w:cs="Arial"/>
          <w:sz w:val="24"/>
          <w:szCs w:val="24"/>
        </w:rPr>
        <w:t xml:space="preserve"> </w:t>
      </w:r>
      <w:bookmarkEnd w:id="16"/>
    </w:p>
    <w:p w14:paraId="5D863FE7" w14:textId="631B55CB" w:rsidR="003D3DA8" w:rsidRPr="00103A0B" w:rsidRDefault="003D3DA8" w:rsidP="00474286">
      <w:pPr>
        <w:pStyle w:val="Heading1"/>
        <w:keepLines/>
        <w:numPr>
          <w:ilvl w:val="0"/>
          <w:numId w:val="0"/>
        </w:numPr>
        <w:ind w:left="431" w:hanging="431"/>
        <w:rPr>
          <w:rFonts w:ascii="Arial" w:hAnsi="Arial" w:cs="Arial"/>
        </w:rPr>
      </w:pPr>
      <w:bookmarkStart w:id="17" w:name="_Toc354351543"/>
      <w:bookmarkStart w:id="18" w:name="_Toc354352322"/>
      <w:bookmarkStart w:id="19" w:name="_Toc354352477"/>
      <w:bookmarkStart w:id="20" w:name="_Toc354352632"/>
      <w:bookmarkStart w:id="21" w:name="_Toc363208529"/>
      <w:bookmarkStart w:id="22" w:name="_Toc151548285"/>
      <w:bookmarkStart w:id="23" w:name="_Hlk81066838"/>
      <w:r w:rsidRPr="00103A0B">
        <w:rPr>
          <w:rFonts w:ascii="Arial" w:hAnsi="Arial" w:cs="Arial"/>
        </w:rPr>
        <w:lastRenderedPageBreak/>
        <w:t>List of Tables</w:t>
      </w:r>
      <w:bookmarkEnd w:id="17"/>
      <w:bookmarkEnd w:id="18"/>
      <w:bookmarkEnd w:id="19"/>
      <w:bookmarkEnd w:id="20"/>
      <w:bookmarkEnd w:id="21"/>
      <w:bookmarkEnd w:id="22"/>
    </w:p>
    <w:tbl>
      <w:tblPr>
        <w:tblStyle w:val="TableGrid"/>
        <w:tblW w:w="0" w:type="auto"/>
        <w:tblLook w:val="04A0" w:firstRow="1" w:lastRow="0" w:firstColumn="1" w:lastColumn="0" w:noHBand="0" w:noVBand="1"/>
      </w:tblPr>
      <w:tblGrid>
        <w:gridCol w:w="1951"/>
        <w:gridCol w:w="4961"/>
        <w:gridCol w:w="2104"/>
      </w:tblGrid>
      <w:tr w:rsidR="00486402" w:rsidRPr="00103A0B" w14:paraId="65635771" w14:textId="77777777" w:rsidTr="00E56395">
        <w:tc>
          <w:tcPr>
            <w:tcW w:w="1951" w:type="dxa"/>
            <w:tcBorders>
              <w:top w:val="single" w:sz="4" w:space="0" w:color="auto"/>
              <w:left w:val="single" w:sz="4" w:space="0" w:color="auto"/>
              <w:bottom w:val="single" w:sz="4" w:space="0" w:color="auto"/>
              <w:right w:val="single" w:sz="4" w:space="0" w:color="auto"/>
            </w:tcBorders>
          </w:tcPr>
          <w:p w14:paraId="446BA93F" w14:textId="77777777" w:rsidR="00486402" w:rsidRPr="00103A0B" w:rsidRDefault="00486402" w:rsidP="00CD5919">
            <w:pPr>
              <w:jc w:val="both"/>
              <w:rPr>
                <w:rFonts w:ascii="Arial" w:hAnsi="Arial" w:cs="Arial"/>
                <w:b/>
                <w:bCs/>
                <w:sz w:val="24"/>
                <w:szCs w:val="24"/>
                <w:lang w:bidi="en-US"/>
              </w:rPr>
            </w:pPr>
            <w:r w:rsidRPr="00103A0B">
              <w:rPr>
                <w:rFonts w:ascii="Arial" w:hAnsi="Arial" w:cs="Arial"/>
                <w:b/>
                <w:bCs/>
                <w:sz w:val="24"/>
                <w:szCs w:val="24"/>
                <w:lang w:bidi="en-US"/>
              </w:rPr>
              <w:t>Table Number</w:t>
            </w:r>
          </w:p>
          <w:p w14:paraId="7148BDBC" w14:textId="77777777" w:rsidR="00486402" w:rsidRPr="00103A0B" w:rsidRDefault="00486402" w:rsidP="00CD5919">
            <w:pPr>
              <w:jc w:val="both"/>
              <w:rPr>
                <w:rFonts w:ascii="Arial" w:hAnsi="Arial" w:cs="Arial"/>
                <w:b/>
                <w:bCs/>
                <w:sz w:val="24"/>
                <w:szCs w:val="24"/>
                <w:lang w:bidi="en-US"/>
              </w:rPr>
            </w:pPr>
          </w:p>
        </w:tc>
        <w:tc>
          <w:tcPr>
            <w:tcW w:w="4961" w:type="dxa"/>
            <w:tcBorders>
              <w:top w:val="single" w:sz="4" w:space="0" w:color="auto"/>
              <w:left w:val="single" w:sz="4" w:space="0" w:color="auto"/>
              <w:bottom w:val="single" w:sz="4" w:space="0" w:color="auto"/>
              <w:right w:val="single" w:sz="4" w:space="0" w:color="auto"/>
            </w:tcBorders>
          </w:tcPr>
          <w:p w14:paraId="0EA3CC10" w14:textId="77777777" w:rsidR="00486402" w:rsidRPr="00103A0B" w:rsidRDefault="00486402" w:rsidP="00CD5919">
            <w:pPr>
              <w:jc w:val="both"/>
              <w:rPr>
                <w:rFonts w:ascii="Arial" w:hAnsi="Arial" w:cs="Arial"/>
                <w:b/>
                <w:bCs/>
                <w:sz w:val="24"/>
                <w:szCs w:val="24"/>
                <w:lang w:bidi="en-US"/>
              </w:rPr>
            </w:pPr>
            <w:r w:rsidRPr="00103A0B">
              <w:rPr>
                <w:rFonts w:ascii="Arial" w:hAnsi="Arial" w:cs="Arial"/>
                <w:b/>
                <w:bCs/>
                <w:sz w:val="24"/>
                <w:szCs w:val="24"/>
                <w:lang w:bidi="en-US"/>
              </w:rPr>
              <w:t>Table Name (Chapter Number)</w:t>
            </w:r>
          </w:p>
          <w:p w14:paraId="3CD8318B" w14:textId="77777777" w:rsidR="00486402" w:rsidRPr="00103A0B" w:rsidRDefault="00486402" w:rsidP="00CD5919">
            <w:pPr>
              <w:jc w:val="both"/>
              <w:rPr>
                <w:rFonts w:ascii="Arial" w:hAnsi="Arial" w:cs="Arial"/>
                <w:b/>
                <w:bCs/>
                <w:sz w:val="24"/>
                <w:szCs w:val="24"/>
                <w:lang w:bidi="en-US"/>
              </w:rPr>
            </w:pPr>
          </w:p>
        </w:tc>
        <w:tc>
          <w:tcPr>
            <w:tcW w:w="2104" w:type="dxa"/>
            <w:tcBorders>
              <w:top w:val="single" w:sz="4" w:space="0" w:color="auto"/>
              <w:left w:val="single" w:sz="4" w:space="0" w:color="auto"/>
              <w:bottom w:val="single" w:sz="4" w:space="0" w:color="auto"/>
              <w:right w:val="single" w:sz="4" w:space="0" w:color="auto"/>
            </w:tcBorders>
            <w:hideMark/>
          </w:tcPr>
          <w:p w14:paraId="4CF17005" w14:textId="77777777" w:rsidR="00486402" w:rsidRPr="00103A0B" w:rsidRDefault="00486402" w:rsidP="00CD5919">
            <w:pPr>
              <w:jc w:val="both"/>
              <w:rPr>
                <w:rFonts w:ascii="Arial" w:hAnsi="Arial" w:cs="Arial"/>
                <w:b/>
                <w:bCs/>
                <w:sz w:val="24"/>
                <w:szCs w:val="24"/>
                <w:lang w:bidi="en-US"/>
              </w:rPr>
            </w:pPr>
            <w:r w:rsidRPr="00103A0B">
              <w:rPr>
                <w:rFonts w:ascii="Arial" w:hAnsi="Arial" w:cs="Arial"/>
                <w:b/>
                <w:bCs/>
                <w:sz w:val="24"/>
                <w:szCs w:val="24"/>
                <w:lang w:bidi="en-US"/>
              </w:rPr>
              <w:t>Page Number/s</w:t>
            </w:r>
          </w:p>
        </w:tc>
      </w:tr>
      <w:tr w:rsidR="00486402" w:rsidRPr="00103A0B" w14:paraId="65A0D4BF" w14:textId="77777777" w:rsidTr="00E56395">
        <w:tc>
          <w:tcPr>
            <w:tcW w:w="1951" w:type="dxa"/>
            <w:tcBorders>
              <w:top w:val="single" w:sz="4" w:space="0" w:color="auto"/>
              <w:left w:val="single" w:sz="4" w:space="0" w:color="auto"/>
              <w:bottom w:val="single" w:sz="4" w:space="0" w:color="auto"/>
              <w:right w:val="single" w:sz="4" w:space="0" w:color="auto"/>
            </w:tcBorders>
            <w:hideMark/>
          </w:tcPr>
          <w:p w14:paraId="2F1E6BE9" w14:textId="77777777" w:rsidR="00486402" w:rsidRPr="00103A0B" w:rsidRDefault="00486402" w:rsidP="00CD5919">
            <w:pPr>
              <w:jc w:val="both"/>
              <w:rPr>
                <w:rFonts w:ascii="Arial" w:hAnsi="Arial" w:cs="Arial"/>
                <w:iCs/>
                <w:sz w:val="24"/>
                <w:szCs w:val="24"/>
                <w:lang w:bidi="en-US"/>
              </w:rPr>
            </w:pPr>
            <w:r w:rsidRPr="00103A0B">
              <w:rPr>
                <w:rFonts w:ascii="Arial" w:hAnsi="Arial" w:cs="Arial"/>
                <w:iCs/>
                <w:sz w:val="24"/>
                <w:szCs w:val="24"/>
              </w:rPr>
              <w:t>Table 1</w:t>
            </w:r>
          </w:p>
        </w:tc>
        <w:tc>
          <w:tcPr>
            <w:tcW w:w="4961" w:type="dxa"/>
            <w:tcBorders>
              <w:top w:val="single" w:sz="4" w:space="0" w:color="auto"/>
              <w:left w:val="single" w:sz="4" w:space="0" w:color="auto"/>
              <w:bottom w:val="single" w:sz="4" w:space="0" w:color="auto"/>
              <w:right w:val="single" w:sz="4" w:space="0" w:color="auto"/>
            </w:tcBorders>
            <w:hideMark/>
          </w:tcPr>
          <w:p w14:paraId="3D1E85AA" w14:textId="77777777" w:rsidR="00486402" w:rsidRPr="00103A0B" w:rsidRDefault="00486402" w:rsidP="00CD5919">
            <w:pPr>
              <w:tabs>
                <w:tab w:val="left" w:pos="1470"/>
              </w:tabs>
              <w:spacing w:line="360" w:lineRule="auto"/>
              <w:jc w:val="both"/>
              <w:rPr>
                <w:rFonts w:ascii="Arial" w:hAnsi="Arial" w:cs="Arial"/>
                <w:iCs/>
                <w:sz w:val="24"/>
                <w:szCs w:val="24"/>
              </w:rPr>
            </w:pPr>
            <w:r w:rsidRPr="00103A0B">
              <w:rPr>
                <w:rFonts w:ascii="Arial" w:hAnsi="Arial" w:cs="Arial"/>
                <w:iCs/>
                <w:sz w:val="24"/>
                <w:szCs w:val="24"/>
              </w:rPr>
              <w:t>Inclusion/exclusion criteria (Chapter 2)</w:t>
            </w:r>
          </w:p>
        </w:tc>
        <w:tc>
          <w:tcPr>
            <w:tcW w:w="2104" w:type="dxa"/>
            <w:tcBorders>
              <w:top w:val="single" w:sz="4" w:space="0" w:color="auto"/>
              <w:left w:val="single" w:sz="4" w:space="0" w:color="auto"/>
              <w:bottom w:val="single" w:sz="4" w:space="0" w:color="auto"/>
              <w:right w:val="single" w:sz="4" w:space="0" w:color="auto"/>
            </w:tcBorders>
          </w:tcPr>
          <w:p w14:paraId="56FA9130" w14:textId="616A71FB" w:rsidR="00486402" w:rsidRPr="00103A0B" w:rsidRDefault="007E7233" w:rsidP="00CD5919">
            <w:pPr>
              <w:jc w:val="both"/>
              <w:rPr>
                <w:rFonts w:ascii="Arial" w:hAnsi="Arial" w:cs="Arial"/>
                <w:sz w:val="24"/>
                <w:szCs w:val="24"/>
                <w:lang w:bidi="en-US"/>
              </w:rPr>
            </w:pPr>
            <w:r w:rsidRPr="00103A0B">
              <w:rPr>
                <w:rFonts w:ascii="Arial" w:hAnsi="Arial" w:cs="Arial"/>
                <w:sz w:val="24"/>
                <w:szCs w:val="24"/>
                <w:lang w:bidi="en-US"/>
              </w:rPr>
              <w:t>20</w:t>
            </w:r>
          </w:p>
        </w:tc>
      </w:tr>
      <w:tr w:rsidR="00486402" w:rsidRPr="00103A0B" w14:paraId="39880342" w14:textId="77777777" w:rsidTr="00E56395">
        <w:tc>
          <w:tcPr>
            <w:tcW w:w="1951" w:type="dxa"/>
            <w:tcBorders>
              <w:top w:val="single" w:sz="4" w:space="0" w:color="auto"/>
              <w:left w:val="single" w:sz="4" w:space="0" w:color="auto"/>
              <w:bottom w:val="single" w:sz="4" w:space="0" w:color="auto"/>
              <w:right w:val="single" w:sz="4" w:space="0" w:color="auto"/>
            </w:tcBorders>
            <w:hideMark/>
          </w:tcPr>
          <w:p w14:paraId="660E9C52" w14:textId="77777777" w:rsidR="00486402" w:rsidRPr="00103A0B" w:rsidRDefault="00486402" w:rsidP="00CD5919">
            <w:pPr>
              <w:jc w:val="both"/>
              <w:rPr>
                <w:lang w:bidi="en-US"/>
              </w:rPr>
            </w:pPr>
            <w:r w:rsidRPr="00103A0B">
              <w:rPr>
                <w:rFonts w:ascii="Arial" w:eastAsia="Times New Roman" w:hAnsi="Arial" w:cs="Arial"/>
                <w:sz w:val="24"/>
                <w:szCs w:val="24"/>
                <w:lang w:eastAsia="en-GB"/>
              </w:rPr>
              <w:t>Table 2</w:t>
            </w:r>
          </w:p>
        </w:tc>
        <w:tc>
          <w:tcPr>
            <w:tcW w:w="4961" w:type="dxa"/>
            <w:tcBorders>
              <w:top w:val="single" w:sz="4" w:space="0" w:color="auto"/>
              <w:left w:val="single" w:sz="4" w:space="0" w:color="auto"/>
              <w:bottom w:val="single" w:sz="4" w:space="0" w:color="auto"/>
              <w:right w:val="single" w:sz="4" w:space="0" w:color="auto"/>
            </w:tcBorders>
          </w:tcPr>
          <w:p w14:paraId="7E145A09" w14:textId="3742C94C" w:rsidR="00486402" w:rsidRPr="00103A0B" w:rsidRDefault="00486402" w:rsidP="00CD5919">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Papers detailing quality rating (overall), recruitment strategies, </w:t>
            </w:r>
            <w:proofErr w:type="gramStart"/>
            <w:r w:rsidRPr="00103A0B">
              <w:rPr>
                <w:rFonts w:ascii="Arial" w:eastAsia="Times New Roman" w:hAnsi="Arial" w:cs="Arial"/>
                <w:sz w:val="24"/>
                <w:szCs w:val="24"/>
                <w:lang w:eastAsia="en-GB"/>
              </w:rPr>
              <w:t>response</w:t>
            </w:r>
            <w:proofErr w:type="gramEnd"/>
            <w:r w:rsidRPr="00103A0B">
              <w:rPr>
                <w:rFonts w:ascii="Arial" w:eastAsia="Times New Roman" w:hAnsi="Arial" w:cs="Arial"/>
                <w:sz w:val="24"/>
                <w:szCs w:val="24"/>
                <w:lang w:eastAsia="en-GB"/>
              </w:rPr>
              <w:t xml:space="preserve"> and uptake rates (high-low) (Chapter 2)</w:t>
            </w:r>
          </w:p>
        </w:tc>
        <w:tc>
          <w:tcPr>
            <w:tcW w:w="2104" w:type="dxa"/>
            <w:tcBorders>
              <w:top w:val="single" w:sz="4" w:space="0" w:color="auto"/>
              <w:left w:val="single" w:sz="4" w:space="0" w:color="auto"/>
              <w:bottom w:val="single" w:sz="4" w:space="0" w:color="auto"/>
              <w:right w:val="single" w:sz="4" w:space="0" w:color="auto"/>
            </w:tcBorders>
          </w:tcPr>
          <w:p w14:paraId="6DCF01E1" w14:textId="4AA52752" w:rsidR="00486402" w:rsidRPr="00103A0B" w:rsidRDefault="007E7233" w:rsidP="00CD5919">
            <w:pPr>
              <w:jc w:val="both"/>
              <w:rPr>
                <w:rFonts w:ascii="Arial" w:hAnsi="Arial" w:cs="Arial"/>
                <w:sz w:val="24"/>
                <w:szCs w:val="24"/>
                <w:lang w:bidi="en-US"/>
              </w:rPr>
            </w:pPr>
            <w:r w:rsidRPr="00103A0B">
              <w:rPr>
                <w:rFonts w:ascii="Arial" w:hAnsi="Arial" w:cs="Arial"/>
                <w:sz w:val="24"/>
                <w:szCs w:val="24"/>
                <w:lang w:bidi="en-US"/>
              </w:rPr>
              <w:t>3</w:t>
            </w:r>
            <w:r w:rsidR="00731909" w:rsidRPr="00103A0B">
              <w:rPr>
                <w:rFonts w:ascii="Arial" w:hAnsi="Arial" w:cs="Arial"/>
                <w:sz w:val="24"/>
                <w:szCs w:val="24"/>
                <w:lang w:bidi="en-US"/>
              </w:rPr>
              <w:t>0</w:t>
            </w:r>
            <w:r w:rsidRPr="00103A0B">
              <w:rPr>
                <w:rFonts w:ascii="Arial" w:hAnsi="Arial" w:cs="Arial"/>
                <w:sz w:val="24"/>
                <w:szCs w:val="24"/>
                <w:lang w:bidi="en-US"/>
              </w:rPr>
              <w:t>-3</w:t>
            </w:r>
            <w:r w:rsidR="00731909" w:rsidRPr="00103A0B">
              <w:rPr>
                <w:rFonts w:ascii="Arial" w:hAnsi="Arial" w:cs="Arial"/>
                <w:sz w:val="24"/>
                <w:szCs w:val="24"/>
                <w:lang w:bidi="en-US"/>
              </w:rPr>
              <w:t>3</w:t>
            </w:r>
          </w:p>
        </w:tc>
      </w:tr>
      <w:tr w:rsidR="00486402" w:rsidRPr="00103A0B" w14:paraId="199B0250" w14:textId="77777777" w:rsidTr="00E56395">
        <w:tc>
          <w:tcPr>
            <w:tcW w:w="1951" w:type="dxa"/>
            <w:tcBorders>
              <w:top w:val="single" w:sz="4" w:space="0" w:color="auto"/>
              <w:left w:val="single" w:sz="4" w:space="0" w:color="auto"/>
              <w:bottom w:val="single" w:sz="4" w:space="0" w:color="auto"/>
              <w:right w:val="single" w:sz="4" w:space="0" w:color="auto"/>
            </w:tcBorders>
            <w:hideMark/>
          </w:tcPr>
          <w:p w14:paraId="31F1D1D2" w14:textId="77777777" w:rsidR="00486402" w:rsidRPr="00103A0B" w:rsidRDefault="00486402" w:rsidP="00CD5919">
            <w:pPr>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Table 3</w:t>
            </w:r>
          </w:p>
        </w:tc>
        <w:tc>
          <w:tcPr>
            <w:tcW w:w="4961" w:type="dxa"/>
            <w:tcBorders>
              <w:top w:val="single" w:sz="4" w:space="0" w:color="auto"/>
              <w:left w:val="single" w:sz="4" w:space="0" w:color="auto"/>
              <w:bottom w:val="single" w:sz="4" w:space="0" w:color="auto"/>
              <w:right w:val="single" w:sz="4" w:space="0" w:color="auto"/>
            </w:tcBorders>
          </w:tcPr>
          <w:p w14:paraId="6E802392" w14:textId="18312BE6" w:rsidR="00486402" w:rsidRPr="00103A0B" w:rsidRDefault="00486402" w:rsidP="00CD5919">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Retention rates (high-low) for those interventions where BCTs have been identified (Chapter 2)</w:t>
            </w:r>
          </w:p>
        </w:tc>
        <w:tc>
          <w:tcPr>
            <w:tcW w:w="2104" w:type="dxa"/>
            <w:tcBorders>
              <w:top w:val="single" w:sz="4" w:space="0" w:color="auto"/>
              <w:left w:val="single" w:sz="4" w:space="0" w:color="auto"/>
              <w:bottom w:val="single" w:sz="4" w:space="0" w:color="auto"/>
              <w:right w:val="single" w:sz="4" w:space="0" w:color="auto"/>
            </w:tcBorders>
          </w:tcPr>
          <w:p w14:paraId="44E17D91" w14:textId="374A6CC4" w:rsidR="00486402" w:rsidRPr="00103A0B" w:rsidRDefault="007E7233" w:rsidP="00CD5919">
            <w:pPr>
              <w:jc w:val="both"/>
              <w:rPr>
                <w:rFonts w:ascii="Arial" w:hAnsi="Arial" w:cs="Arial"/>
                <w:sz w:val="24"/>
                <w:szCs w:val="24"/>
                <w:lang w:bidi="en-US"/>
              </w:rPr>
            </w:pPr>
            <w:r w:rsidRPr="00103A0B">
              <w:rPr>
                <w:rFonts w:ascii="Arial" w:hAnsi="Arial" w:cs="Arial"/>
                <w:sz w:val="24"/>
                <w:szCs w:val="24"/>
                <w:lang w:bidi="en-US"/>
              </w:rPr>
              <w:t>3</w:t>
            </w:r>
            <w:r w:rsidR="00731909" w:rsidRPr="00103A0B">
              <w:rPr>
                <w:rFonts w:ascii="Arial" w:hAnsi="Arial" w:cs="Arial"/>
                <w:sz w:val="24"/>
                <w:szCs w:val="24"/>
                <w:lang w:bidi="en-US"/>
              </w:rPr>
              <w:t>5</w:t>
            </w:r>
            <w:r w:rsidRPr="00103A0B">
              <w:rPr>
                <w:rFonts w:ascii="Arial" w:hAnsi="Arial" w:cs="Arial"/>
                <w:sz w:val="24"/>
                <w:szCs w:val="24"/>
                <w:lang w:bidi="en-US"/>
              </w:rPr>
              <w:t>-</w:t>
            </w:r>
            <w:r w:rsidR="00731909" w:rsidRPr="00103A0B">
              <w:rPr>
                <w:rFonts w:ascii="Arial" w:hAnsi="Arial" w:cs="Arial"/>
                <w:sz w:val="24"/>
                <w:szCs w:val="24"/>
                <w:lang w:bidi="en-US"/>
              </w:rPr>
              <w:t>39</w:t>
            </w:r>
          </w:p>
        </w:tc>
      </w:tr>
      <w:tr w:rsidR="00486402" w:rsidRPr="00103A0B" w14:paraId="514E5238" w14:textId="77777777" w:rsidTr="00E56395">
        <w:tc>
          <w:tcPr>
            <w:tcW w:w="1951" w:type="dxa"/>
            <w:tcBorders>
              <w:top w:val="single" w:sz="4" w:space="0" w:color="auto"/>
              <w:left w:val="single" w:sz="4" w:space="0" w:color="auto"/>
              <w:bottom w:val="single" w:sz="4" w:space="0" w:color="auto"/>
              <w:right w:val="single" w:sz="4" w:space="0" w:color="auto"/>
            </w:tcBorders>
          </w:tcPr>
          <w:p w14:paraId="6AB47A59" w14:textId="77777777" w:rsidR="00486402" w:rsidRPr="00103A0B" w:rsidRDefault="00486402" w:rsidP="00CD5919">
            <w:pPr>
              <w:jc w:val="both"/>
              <w:rPr>
                <w:rFonts w:ascii="Arial" w:hAnsi="Arial" w:cs="Arial"/>
                <w:i/>
                <w:sz w:val="24"/>
                <w:szCs w:val="24"/>
              </w:rPr>
            </w:pPr>
            <w:r w:rsidRPr="00103A0B">
              <w:rPr>
                <w:rFonts w:ascii="Arial" w:hAnsi="Arial" w:cs="Arial"/>
                <w:sz w:val="24"/>
                <w:szCs w:val="24"/>
              </w:rPr>
              <w:t xml:space="preserve">Table </w:t>
            </w:r>
            <w:r w:rsidRPr="00103A0B">
              <w:rPr>
                <w:rFonts w:ascii="Arial" w:hAnsi="Arial" w:cs="Arial"/>
                <w:szCs w:val="24"/>
              </w:rPr>
              <w:t>4</w:t>
            </w:r>
            <w:r w:rsidRPr="00103A0B">
              <w:rPr>
                <w:rFonts w:ascii="Arial" w:hAnsi="Arial" w:cs="Arial"/>
                <w:i/>
                <w:sz w:val="24"/>
                <w:szCs w:val="24"/>
              </w:rPr>
              <w:t xml:space="preserve"> </w:t>
            </w:r>
          </w:p>
          <w:p w14:paraId="28C68685" w14:textId="77777777" w:rsidR="00486402" w:rsidRPr="00103A0B" w:rsidRDefault="00486402" w:rsidP="00CD5919">
            <w:pPr>
              <w:jc w:val="both"/>
              <w:rPr>
                <w:lang w:bidi="en-US"/>
              </w:rPr>
            </w:pPr>
          </w:p>
        </w:tc>
        <w:tc>
          <w:tcPr>
            <w:tcW w:w="4961" w:type="dxa"/>
            <w:tcBorders>
              <w:top w:val="single" w:sz="4" w:space="0" w:color="auto"/>
              <w:left w:val="single" w:sz="4" w:space="0" w:color="auto"/>
              <w:bottom w:val="single" w:sz="4" w:space="0" w:color="auto"/>
              <w:right w:val="single" w:sz="4" w:space="0" w:color="auto"/>
            </w:tcBorders>
            <w:hideMark/>
          </w:tcPr>
          <w:p w14:paraId="63235C27" w14:textId="6177FEAB" w:rsidR="00486402" w:rsidRPr="00103A0B" w:rsidRDefault="00486402" w:rsidP="00CD5919">
            <w:pPr>
              <w:spacing w:line="360" w:lineRule="auto"/>
              <w:jc w:val="both"/>
              <w:rPr>
                <w:iCs/>
                <w:lang w:bidi="en-US"/>
              </w:rPr>
            </w:pPr>
            <w:r w:rsidRPr="00103A0B">
              <w:rPr>
                <w:rFonts w:ascii="Arial" w:hAnsi="Arial" w:cs="Arial"/>
                <w:iCs/>
                <w:sz w:val="24"/>
                <w:szCs w:val="24"/>
              </w:rPr>
              <w:t xml:space="preserve">Six phases for conducting </w:t>
            </w:r>
            <w:r w:rsidR="00E56395" w:rsidRPr="00103A0B">
              <w:rPr>
                <w:rFonts w:ascii="Arial" w:hAnsi="Arial" w:cs="Arial"/>
                <w:iCs/>
                <w:sz w:val="24"/>
                <w:szCs w:val="24"/>
              </w:rPr>
              <w:t>t</w:t>
            </w:r>
            <w:r w:rsidRPr="00103A0B">
              <w:rPr>
                <w:rFonts w:ascii="Arial" w:hAnsi="Arial" w:cs="Arial"/>
                <w:iCs/>
                <w:sz w:val="24"/>
                <w:szCs w:val="24"/>
              </w:rPr>
              <w:t xml:space="preserve">hematic </w:t>
            </w:r>
            <w:r w:rsidR="00E56395" w:rsidRPr="00103A0B">
              <w:rPr>
                <w:rFonts w:ascii="Arial" w:hAnsi="Arial" w:cs="Arial"/>
                <w:iCs/>
                <w:sz w:val="24"/>
                <w:szCs w:val="24"/>
              </w:rPr>
              <w:t>a</w:t>
            </w:r>
            <w:r w:rsidRPr="00103A0B">
              <w:rPr>
                <w:rFonts w:ascii="Arial" w:hAnsi="Arial" w:cs="Arial"/>
                <w:iCs/>
                <w:sz w:val="24"/>
                <w:szCs w:val="24"/>
              </w:rPr>
              <w:t>nalysis (Chapter 3)</w:t>
            </w:r>
          </w:p>
        </w:tc>
        <w:tc>
          <w:tcPr>
            <w:tcW w:w="2104" w:type="dxa"/>
            <w:tcBorders>
              <w:top w:val="single" w:sz="4" w:space="0" w:color="auto"/>
              <w:left w:val="single" w:sz="4" w:space="0" w:color="auto"/>
              <w:bottom w:val="single" w:sz="4" w:space="0" w:color="auto"/>
              <w:right w:val="single" w:sz="4" w:space="0" w:color="auto"/>
            </w:tcBorders>
          </w:tcPr>
          <w:p w14:paraId="5E933B14" w14:textId="740D1098" w:rsidR="00486402" w:rsidRPr="00103A0B" w:rsidRDefault="007E7233" w:rsidP="00CD5919">
            <w:pPr>
              <w:jc w:val="both"/>
              <w:rPr>
                <w:rFonts w:ascii="Arial" w:hAnsi="Arial" w:cs="Arial"/>
                <w:sz w:val="24"/>
                <w:szCs w:val="24"/>
                <w:lang w:bidi="en-US"/>
              </w:rPr>
            </w:pPr>
            <w:r w:rsidRPr="00103A0B">
              <w:rPr>
                <w:rFonts w:ascii="Arial" w:hAnsi="Arial" w:cs="Arial"/>
                <w:sz w:val="24"/>
                <w:szCs w:val="24"/>
                <w:lang w:bidi="en-US"/>
              </w:rPr>
              <w:t>5</w:t>
            </w:r>
            <w:r w:rsidR="00731909" w:rsidRPr="00103A0B">
              <w:rPr>
                <w:rFonts w:ascii="Arial" w:hAnsi="Arial" w:cs="Arial"/>
                <w:sz w:val="24"/>
                <w:szCs w:val="24"/>
                <w:lang w:bidi="en-US"/>
              </w:rPr>
              <w:t>5-56</w:t>
            </w:r>
          </w:p>
        </w:tc>
      </w:tr>
      <w:tr w:rsidR="00486402" w:rsidRPr="00103A0B" w14:paraId="2B12B23E" w14:textId="77777777" w:rsidTr="00E56395">
        <w:tc>
          <w:tcPr>
            <w:tcW w:w="1951" w:type="dxa"/>
            <w:tcBorders>
              <w:top w:val="single" w:sz="4" w:space="0" w:color="auto"/>
              <w:left w:val="single" w:sz="4" w:space="0" w:color="auto"/>
              <w:bottom w:val="single" w:sz="4" w:space="0" w:color="auto"/>
              <w:right w:val="single" w:sz="4" w:space="0" w:color="auto"/>
            </w:tcBorders>
            <w:hideMark/>
          </w:tcPr>
          <w:p w14:paraId="44B51405" w14:textId="77777777" w:rsidR="00486402" w:rsidRPr="00103A0B" w:rsidRDefault="00486402" w:rsidP="00CD5919">
            <w:pPr>
              <w:spacing w:line="360" w:lineRule="auto"/>
              <w:jc w:val="both"/>
              <w:rPr>
                <w:rFonts w:ascii="Arial" w:hAnsi="Arial" w:cs="Arial"/>
                <w:iCs/>
                <w:sz w:val="24"/>
                <w:szCs w:val="24"/>
              </w:rPr>
            </w:pPr>
            <w:r w:rsidRPr="00103A0B">
              <w:rPr>
                <w:rFonts w:ascii="Arial" w:hAnsi="Arial" w:cs="Arial"/>
                <w:iCs/>
                <w:sz w:val="24"/>
                <w:szCs w:val="24"/>
              </w:rPr>
              <w:t>Table 5</w:t>
            </w:r>
          </w:p>
        </w:tc>
        <w:tc>
          <w:tcPr>
            <w:tcW w:w="4961" w:type="dxa"/>
            <w:tcBorders>
              <w:top w:val="single" w:sz="4" w:space="0" w:color="auto"/>
              <w:left w:val="single" w:sz="4" w:space="0" w:color="auto"/>
              <w:bottom w:val="single" w:sz="4" w:space="0" w:color="auto"/>
              <w:right w:val="single" w:sz="4" w:space="0" w:color="auto"/>
            </w:tcBorders>
          </w:tcPr>
          <w:p w14:paraId="71CDF04F" w14:textId="77777777" w:rsidR="00486402" w:rsidRPr="00103A0B" w:rsidRDefault="00486402" w:rsidP="00CD5919">
            <w:pPr>
              <w:spacing w:line="360" w:lineRule="auto"/>
              <w:jc w:val="both"/>
              <w:rPr>
                <w:rFonts w:ascii="Arial" w:hAnsi="Arial" w:cs="Arial"/>
                <w:iCs/>
                <w:sz w:val="24"/>
                <w:szCs w:val="24"/>
              </w:rPr>
            </w:pPr>
            <w:r w:rsidRPr="00103A0B">
              <w:rPr>
                <w:rFonts w:ascii="Arial" w:hAnsi="Arial" w:cs="Arial"/>
                <w:iCs/>
                <w:sz w:val="24"/>
                <w:szCs w:val="24"/>
              </w:rPr>
              <w:t xml:space="preserve">Sample characteristics (Chapter 5) </w:t>
            </w:r>
          </w:p>
          <w:p w14:paraId="04890781" w14:textId="77777777" w:rsidR="00486402" w:rsidRPr="00103A0B" w:rsidRDefault="00486402" w:rsidP="00CD5919">
            <w:pPr>
              <w:jc w:val="both"/>
              <w:rPr>
                <w:rFonts w:ascii="Arial" w:hAnsi="Arial" w:cs="Arial"/>
                <w:iCs/>
                <w:sz w:val="24"/>
                <w:szCs w:val="24"/>
              </w:rPr>
            </w:pPr>
          </w:p>
        </w:tc>
        <w:tc>
          <w:tcPr>
            <w:tcW w:w="2104" w:type="dxa"/>
            <w:tcBorders>
              <w:top w:val="single" w:sz="4" w:space="0" w:color="auto"/>
              <w:left w:val="single" w:sz="4" w:space="0" w:color="auto"/>
              <w:bottom w:val="single" w:sz="4" w:space="0" w:color="auto"/>
              <w:right w:val="single" w:sz="4" w:space="0" w:color="auto"/>
            </w:tcBorders>
          </w:tcPr>
          <w:p w14:paraId="17F19CA2" w14:textId="65821623" w:rsidR="00486402" w:rsidRPr="00103A0B" w:rsidRDefault="007E7233" w:rsidP="00CD5919">
            <w:pPr>
              <w:jc w:val="both"/>
              <w:rPr>
                <w:rFonts w:ascii="Arial" w:hAnsi="Arial" w:cs="Arial"/>
                <w:sz w:val="24"/>
                <w:szCs w:val="24"/>
                <w:lang w:bidi="en-US"/>
              </w:rPr>
            </w:pPr>
            <w:r w:rsidRPr="00103A0B">
              <w:rPr>
                <w:rFonts w:ascii="Arial" w:hAnsi="Arial" w:cs="Arial"/>
                <w:sz w:val="24"/>
                <w:szCs w:val="24"/>
                <w:lang w:bidi="en-US"/>
              </w:rPr>
              <w:t>7</w:t>
            </w:r>
            <w:r w:rsidR="00731909" w:rsidRPr="00103A0B">
              <w:rPr>
                <w:rFonts w:ascii="Arial" w:hAnsi="Arial" w:cs="Arial"/>
                <w:sz w:val="24"/>
                <w:szCs w:val="24"/>
                <w:lang w:bidi="en-US"/>
              </w:rPr>
              <w:t>4</w:t>
            </w:r>
          </w:p>
        </w:tc>
      </w:tr>
      <w:tr w:rsidR="00486402" w:rsidRPr="00103A0B" w14:paraId="48612EE5" w14:textId="77777777" w:rsidTr="00E56395">
        <w:tc>
          <w:tcPr>
            <w:tcW w:w="1951" w:type="dxa"/>
            <w:tcBorders>
              <w:top w:val="single" w:sz="4" w:space="0" w:color="auto"/>
              <w:left w:val="single" w:sz="4" w:space="0" w:color="auto"/>
              <w:bottom w:val="single" w:sz="4" w:space="0" w:color="auto"/>
              <w:right w:val="single" w:sz="4" w:space="0" w:color="auto"/>
            </w:tcBorders>
            <w:hideMark/>
          </w:tcPr>
          <w:p w14:paraId="074CC1A1" w14:textId="77777777" w:rsidR="00486402" w:rsidRPr="00103A0B" w:rsidRDefault="00486402" w:rsidP="00CD5919">
            <w:pPr>
              <w:spacing w:line="360" w:lineRule="auto"/>
              <w:jc w:val="both"/>
              <w:rPr>
                <w:rFonts w:ascii="Arial" w:hAnsi="Arial" w:cs="Arial"/>
                <w:iCs/>
                <w:sz w:val="24"/>
                <w:szCs w:val="24"/>
              </w:rPr>
            </w:pPr>
            <w:r w:rsidRPr="00103A0B">
              <w:rPr>
                <w:rFonts w:ascii="Arial" w:hAnsi="Arial" w:cs="Arial"/>
                <w:iCs/>
                <w:sz w:val="24"/>
                <w:szCs w:val="24"/>
              </w:rPr>
              <w:t>Table 6</w:t>
            </w:r>
          </w:p>
        </w:tc>
        <w:tc>
          <w:tcPr>
            <w:tcW w:w="4961" w:type="dxa"/>
            <w:tcBorders>
              <w:top w:val="single" w:sz="4" w:space="0" w:color="auto"/>
              <w:left w:val="single" w:sz="4" w:space="0" w:color="auto"/>
              <w:bottom w:val="single" w:sz="4" w:space="0" w:color="auto"/>
              <w:right w:val="single" w:sz="4" w:space="0" w:color="auto"/>
            </w:tcBorders>
          </w:tcPr>
          <w:p w14:paraId="26ACED72" w14:textId="77777777" w:rsidR="00486402" w:rsidRPr="00103A0B" w:rsidRDefault="00486402" w:rsidP="00CD5919">
            <w:pPr>
              <w:spacing w:line="360" w:lineRule="auto"/>
              <w:jc w:val="both"/>
              <w:rPr>
                <w:rFonts w:ascii="Arial" w:hAnsi="Arial" w:cs="Arial"/>
                <w:iCs/>
                <w:sz w:val="24"/>
                <w:szCs w:val="24"/>
              </w:rPr>
            </w:pPr>
            <w:r w:rsidRPr="00103A0B">
              <w:rPr>
                <w:rFonts w:ascii="Arial" w:hAnsi="Arial" w:cs="Arial"/>
                <w:iCs/>
                <w:sz w:val="24"/>
                <w:szCs w:val="24"/>
              </w:rPr>
              <w:t>Sample characteristics (Chapter 6)</w:t>
            </w:r>
          </w:p>
          <w:p w14:paraId="531DEB7B" w14:textId="77777777" w:rsidR="00486402" w:rsidRPr="00103A0B" w:rsidRDefault="00486402" w:rsidP="00CD5919">
            <w:pPr>
              <w:spacing w:line="360" w:lineRule="auto"/>
              <w:jc w:val="both"/>
              <w:rPr>
                <w:rFonts w:ascii="Arial" w:hAnsi="Arial" w:cs="Arial"/>
                <w:iCs/>
                <w:sz w:val="24"/>
                <w:szCs w:val="24"/>
              </w:rPr>
            </w:pPr>
          </w:p>
        </w:tc>
        <w:tc>
          <w:tcPr>
            <w:tcW w:w="2104" w:type="dxa"/>
            <w:tcBorders>
              <w:top w:val="single" w:sz="4" w:space="0" w:color="auto"/>
              <w:left w:val="single" w:sz="4" w:space="0" w:color="auto"/>
              <w:bottom w:val="single" w:sz="4" w:space="0" w:color="auto"/>
              <w:right w:val="single" w:sz="4" w:space="0" w:color="auto"/>
            </w:tcBorders>
          </w:tcPr>
          <w:p w14:paraId="3DDFA8F2" w14:textId="39DCD11D" w:rsidR="00486402" w:rsidRPr="00103A0B" w:rsidRDefault="00731909" w:rsidP="00CD5919">
            <w:pPr>
              <w:jc w:val="both"/>
              <w:rPr>
                <w:rFonts w:ascii="Arial" w:hAnsi="Arial" w:cs="Arial"/>
                <w:sz w:val="24"/>
                <w:szCs w:val="24"/>
                <w:lang w:bidi="en-US"/>
              </w:rPr>
            </w:pPr>
            <w:r w:rsidRPr="00103A0B">
              <w:rPr>
                <w:rFonts w:ascii="Arial" w:hAnsi="Arial" w:cs="Arial"/>
                <w:sz w:val="24"/>
                <w:szCs w:val="24"/>
                <w:lang w:bidi="en-US"/>
              </w:rPr>
              <w:t>89</w:t>
            </w:r>
          </w:p>
        </w:tc>
      </w:tr>
      <w:tr w:rsidR="00486402" w:rsidRPr="00103A0B" w14:paraId="61EF8744" w14:textId="77777777" w:rsidTr="00E56395">
        <w:tc>
          <w:tcPr>
            <w:tcW w:w="1951" w:type="dxa"/>
            <w:tcBorders>
              <w:top w:val="single" w:sz="4" w:space="0" w:color="auto"/>
              <w:left w:val="single" w:sz="4" w:space="0" w:color="auto"/>
              <w:bottom w:val="single" w:sz="4" w:space="0" w:color="auto"/>
              <w:right w:val="single" w:sz="4" w:space="0" w:color="auto"/>
            </w:tcBorders>
            <w:hideMark/>
          </w:tcPr>
          <w:p w14:paraId="5350DF02" w14:textId="77777777" w:rsidR="00486402" w:rsidRPr="00103A0B" w:rsidRDefault="00486402" w:rsidP="00CD5919">
            <w:pPr>
              <w:spacing w:line="360" w:lineRule="auto"/>
              <w:jc w:val="both"/>
              <w:rPr>
                <w:rFonts w:ascii="Arial" w:hAnsi="Arial" w:cs="Arial"/>
                <w:iCs/>
                <w:sz w:val="24"/>
                <w:szCs w:val="24"/>
              </w:rPr>
            </w:pPr>
            <w:r w:rsidRPr="00103A0B">
              <w:rPr>
                <w:rFonts w:ascii="Arial" w:hAnsi="Arial" w:cs="Arial"/>
                <w:iCs/>
                <w:sz w:val="24"/>
                <w:szCs w:val="24"/>
              </w:rPr>
              <w:t>Table 7</w:t>
            </w:r>
          </w:p>
        </w:tc>
        <w:tc>
          <w:tcPr>
            <w:tcW w:w="4961" w:type="dxa"/>
            <w:tcBorders>
              <w:top w:val="single" w:sz="4" w:space="0" w:color="auto"/>
              <w:left w:val="single" w:sz="4" w:space="0" w:color="auto"/>
              <w:bottom w:val="single" w:sz="4" w:space="0" w:color="auto"/>
              <w:right w:val="single" w:sz="4" w:space="0" w:color="auto"/>
            </w:tcBorders>
          </w:tcPr>
          <w:p w14:paraId="60882511" w14:textId="77777777" w:rsidR="00486402" w:rsidRPr="00103A0B" w:rsidRDefault="00486402" w:rsidP="00CD5919">
            <w:pPr>
              <w:spacing w:line="360" w:lineRule="auto"/>
              <w:jc w:val="both"/>
              <w:rPr>
                <w:rFonts w:ascii="Arial" w:hAnsi="Arial" w:cs="Arial"/>
                <w:iCs/>
                <w:sz w:val="24"/>
                <w:szCs w:val="24"/>
              </w:rPr>
            </w:pPr>
            <w:r w:rsidRPr="00103A0B">
              <w:rPr>
                <w:rFonts w:ascii="Arial" w:hAnsi="Arial" w:cs="Arial"/>
                <w:iCs/>
                <w:sz w:val="24"/>
                <w:szCs w:val="24"/>
              </w:rPr>
              <w:t>Sample characteristics (Chapter 7)</w:t>
            </w:r>
          </w:p>
          <w:p w14:paraId="6202F91B" w14:textId="77777777" w:rsidR="00486402" w:rsidRPr="00103A0B" w:rsidRDefault="00486402" w:rsidP="00CD5919">
            <w:pPr>
              <w:spacing w:line="360" w:lineRule="auto"/>
              <w:jc w:val="both"/>
              <w:rPr>
                <w:rFonts w:ascii="Arial" w:hAnsi="Arial" w:cs="Arial"/>
                <w:iCs/>
                <w:sz w:val="24"/>
                <w:szCs w:val="24"/>
              </w:rPr>
            </w:pPr>
          </w:p>
        </w:tc>
        <w:tc>
          <w:tcPr>
            <w:tcW w:w="2104" w:type="dxa"/>
            <w:tcBorders>
              <w:top w:val="single" w:sz="4" w:space="0" w:color="auto"/>
              <w:left w:val="single" w:sz="4" w:space="0" w:color="auto"/>
              <w:bottom w:val="single" w:sz="4" w:space="0" w:color="auto"/>
              <w:right w:val="single" w:sz="4" w:space="0" w:color="auto"/>
            </w:tcBorders>
          </w:tcPr>
          <w:p w14:paraId="271B6B49" w14:textId="5EA7B7BF" w:rsidR="00486402" w:rsidRPr="00103A0B" w:rsidRDefault="007E7233" w:rsidP="00CD5919">
            <w:pPr>
              <w:jc w:val="both"/>
              <w:rPr>
                <w:rFonts w:ascii="Arial" w:hAnsi="Arial" w:cs="Arial"/>
                <w:sz w:val="24"/>
                <w:szCs w:val="24"/>
                <w:lang w:bidi="en-US"/>
              </w:rPr>
            </w:pPr>
            <w:r w:rsidRPr="00103A0B">
              <w:rPr>
                <w:rFonts w:ascii="Arial" w:hAnsi="Arial" w:cs="Arial"/>
                <w:sz w:val="24"/>
                <w:szCs w:val="24"/>
                <w:lang w:bidi="en-US"/>
              </w:rPr>
              <w:t>11</w:t>
            </w:r>
            <w:r w:rsidR="00731909" w:rsidRPr="00103A0B">
              <w:rPr>
                <w:rFonts w:ascii="Arial" w:hAnsi="Arial" w:cs="Arial"/>
                <w:sz w:val="24"/>
                <w:szCs w:val="24"/>
                <w:lang w:bidi="en-US"/>
              </w:rPr>
              <w:t>0</w:t>
            </w:r>
          </w:p>
        </w:tc>
      </w:tr>
      <w:tr w:rsidR="00486402" w:rsidRPr="00103A0B" w14:paraId="536264BF" w14:textId="77777777" w:rsidTr="00E56395">
        <w:tc>
          <w:tcPr>
            <w:tcW w:w="1951" w:type="dxa"/>
            <w:tcBorders>
              <w:top w:val="single" w:sz="4" w:space="0" w:color="auto"/>
              <w:left w:val="single" w:sz="4" w:space="0" w:color="auto"/>
              <w:bottom w:val="single" w:sz="4" w:space="0" w:color="auto"/>
              <w:right w:val="single" w:sz="4" w:space="0" w:color="auto"/>
            </w:tcBorders>
            <w:hideMark/>
          </w:tcPr>
          <w:p w14:paraId="3D251AF0" w14:textId="77777777" w:rsidR="00486402" w:rsidRPr="00103A0B" w:rsidRDefault="00486402" w:rsidP="00CD5919">
            <w:pPr>
              <w:spacing w:line="360" w:lineRule="auto"/>
              <w:jc w:val="both"/>
              <w:rPr>
                <w:rFonts w:ascii="Arial" w:hAnsi="Arial" w:cs="Arial"/>
                <w:iCs/>
                <w:sz w:val="24"/>
                <w:szCs w:val="24"/>
              </w:rPr>
            </w:pPr>
            <w:r w:rsidRPr="00103A0B">
              <w:rPr>
                <w:rFonts w:ascii="Arial" w:hAnsi="Arial" w:cs="Arial"/>
                <w:sz w:val="24"/>
                <w:szCs w:val="24"/>
              </w:rPr>
              <w:t>Table 8</w:t>
            </w:r>
          </w:p>
        </w:tc>
        <w:tc>
          <w:tcPr>
            <w:tcW w:w="4961" w:type="dxa"/>
            <w:tcBorders>
              <w:top w:val="single" w:sz="4" w:space="0" w:color="auto"/>
              <w:left w:val="single" w:sz="4" w:space="0" w:color="auto"/>
              <w:bottom w:val="single" w:sz="4" w:space="0" w:color="auto"/>
              <w:right w:val="single" w:sz="4" w:space="0" w:color="auto"/>
            </w:tcBorders>
          </w:tcPr>
          <w:p w14:paraId="53873DDB" w14:textId="4ACBF542" w:rsidR="00486402" w:rsidRPr="00103A0B" w:rsidRDefault="00486402" w:rsidP="00CD5919">
            <w:pPr>
              <w:spacing w:line="360" w:lineRule="auto"/>
              <w:jc w:val="both"/>
              <w:rPr>
                <w:rFonts w:ascii="Arial" w:hAnsi="Arial" w:cs="Arial"/>
                <w:sz w:val="24"/>
                <w:szCs w:val="24"/>
              </w:rPr>
            </w:pPr>
            <w:r w:rsidRPr="00103A0B">
              <w:rPr>
                <w:rFonts w:ascii="Arial" w:hAnsi="Arial" w:cs="Arial"/>
                <w:sz w:val="24"/>
                <w:szCs w:val="24"/>
              </w:rPr>
              <w:t>Results of the binomial logistic regression model exploring predictors of uptake of the NHSDPP (Chapter 7)</w:t>
            </w:r>
          </w:p>
          <w:p w14:paraId="065CDE24" w14:textId="77777777" w:rsidR="00486402" w:rsidRPr="00103A0B" w:rsidRDefault="00486402" w:rsidP="00CD5919">
            <w:pPr>
              <w:spacing w:line="360" w:lineRule="auto"/>
              <w:jc w:val="both"/>
              <w:rPr>
                <w:rFonts w:ascii="Arial" w:hAnsi="Arial" w:cs="Arial"/>
                <w:iCs/>
                <w:sz w:val="24"/>
                <w:szCs w:val="24"/>
              </w:rPr>
            </w:pPr>
          </w:p>
        </w:tc>
        <w:tc>
          <w:tcPr>
            <w:tcW w:w="2104" w:type="dxa"/>
            <w:tcBorders>
              <w:top w:val="single" w:sz="4" w:space="0" w:color="auto"/>
              <w:left w:val="single" w:sz="4" w:space="0" w:color="auto"/>
              <w:bottom w:val="single" w:sz="4" w:space="0" w:color="auto"/>
              <w:right w:val="single" w:sz="4" w:space="0" w:color="auto"/>
            </w:tcBorders>
          </w:tcPr>
          <w:p w14:paraId="33C2CDEA" w14:textId="646F6D2D" w:rsidR="00486402" w:rsidRPr="00103A0B" w:rsidRDefault="007E7233" w:rsidP="00CD5919">
            <w:pPr>
              <w:jc w:val="both"/>
              <w:rPr>
                <w:rFonts w:ascii="Arial" w:hAnsi="Arial" w:cs="Arial"/>
                <w:sz w:val="24"/>
                <w:szCs w:val="24"/>
                <w:lang w:bidi="en-US"/>
              </w:rPr>
            </w:pPr>
            <w:r w:rsidRPr="00103A0B">
              <w:rPr>
                <w:rFonts w:ascii="Arial" w:hAnsi="Arial" w:cs="Arial"/>
                <w:sz w:val="24"/>
                <w:szCs w:val="24"/>
                <w:lang w:bidi="en-US"/>
              </w:rPr>
              <w:t>11</w:t>
            </w:r>
            <w:r w:rsidR="00731909" w:rsidRPr="00103A0B">
              <w:rPr>
                <w:rFonts w:ascii="Arial" w:hAnsi="Arial" w:cs="Arial"/>
                <w:sz w:val="24"/>
                <w:szCs w:val="24"/>
                <w:lang w:bidi="en-US"/>
              </w:rPr>
              <w:t>2</w:t>
            </w:r>
            <w:r w:rsidRPr="00103A0B">
              <w:rPr>
                <w:rFonts w:ascii="Arial" w:hAnsi="Arial" w:cs="Arial"/>
                <w:sz w:val="24"/>
                <w:szCs w:val="24"/>
                <w:lang w:bidi="en-US"/>
              </w:rPr>
              <w:t>-11</w:t>
            </w:r>
            <w:r w:rsidR="00731909" w:rsidRPr="00103A0B">
              <w:rPr>
                <w:rFonts w:ascii="Arial" w:hAnsi="Arial" w:cs="Arial"/>
                <w:sz w:val="24"/>
                <w:szCs w:val="24"/>
                <w:lang w:bidi="en-US"/>
              </w:rPr>
              <w:t>3</w:t>
            </w:r>
          </w:p>
        </w:tc>
      </w:tr>
      <w:tr w:rsidR="00486402" w:rsidRPr="00103A0B" w14:paraId="3A5A6390" w14:textId="77777777" w:rsidTr="00E56395">
        <w:tc>
          <w:tcPr>
            <w:tcW w:w="1951" w:type="dxa"/>
            <w:tcBorders>
              <w:top w:val="single" w:sz="4" w:space="0" w:color="auto"/>
              <w:left w:val="single" w:sz="4" w:space="0" w:color="auto"/>
              <w:bottom w:val="single" w:sz="4" w:space="0" w:color="auto"/>
              <w:right w:val="single" w:sz="4" w:space="0" w:color="auto"/>
            </w:tcBorders>
          </w:tcPr>
          <w:p w14:paraId="00BFCBF5" w14:textId="77777777" w:rsidR="00486402" w:rsidRPr="00103A0B" w:rsidRDefault="00486402" w:rsidP="00CD5919">
            <w:pPr>
              <w:spacing w:line="360" w:lineRule="auto"/>
              <w:jc w:val="both"/>
              <w:rPr>
                <w:rFonts w:ascii="Arial" w:hAnsi="Arial" w:cs="Arial"/>
                <w:sz w:val="24"/>
                <w:szCs w:val="24"/>
              </w:rPr>
            </w:pPr>
            <w:r w:rsidRPr="00103A0B">
              <w:rPr>
                <w:rFonts w:ascii="Arial" w:hAnsi="Arial" w:cs="Arial"/>
                <w:sz w:val="24"/>
                <w:szCs w:val="24"/>
              </w:rPr>
              <w:t>Table 9</w:t>
            </w:r>
          </w:p>
          <w:p w14:paraId="59001DF1" w14:textId="77777777" w:rsidR="00486402" w:rsidRPr="00103A0B" w:rsidRDefault="00486402" w:rsidP="00CD5919">
            <w:pPr>
              <w:spacing w:line="360" w:lineRule="auto"/>
              <w:jc w:val="both"/>
              <w:rPr>
                <w:rFonts w:ascii="Arial" w:hAnsi="Arial" w:cs="Arial"/>
                <w:sz w:val="24"/>
                <w:szCs w:val="24"/>
              </w:rPr>
            </w:pPr>
          </w:p>
        </w:tc>
        <w:tc>
          <w:tcPr>
            <w:tcW w:w="4961" w:type="dxa"/>
            <w:tcBorders>
              <w:top w:val="single" w:sz="4" w:space="0" w:color="auto"/>
              <w:left w:val="single" w:sz="4" w:space="0" w:color="auto"/>
              <w:bottom w:val="single" w:sz="4" w:space="0" w:color="auto"/>
              <w:right w:val="single" w:sz="4" w:space="0" w:color="auto"/>
            </w:tcBorders>
          </w:tcPr>
          <w:p w14:paraId="74897945" w14:textId="77777777" w:rsidR="00486402" w:rsidRPr="00103A0B" w:rsidRDefault="00486402" w:rsidP="00CD5919">
            <w:pPr>
              <w:spacing w:line="360" w:lineRule="auto"/>
              <w:jc w:val="both"/>
              <w:rPr>
                <w:rFonts w:ascii="Arial" w:hAnsi="Arial" w:cs="Arial"/>
                <w:sz w:val="24"/>
                <w:szCs w:val="24"/>
              </w:rPr>
            </w:pPr>
            <w:r w:rsidRPr="00103A0B">
              <w:rPr>
                <w:rFonts w:ascii="Arial" w:hAnsi="Arial" w:cs="Arial"/>
                <w:sz w:val="24"/>
                <w:szCs w:val="24"/>
              </w:rPr>
              <w:t>Results of the binomial logistic regression model exploring predictors of completion of the NHSDPP (Chapter 7)</w:t>
            </w:r>
          </w:p>
          <w:p w14:paraId="58FE45C0" w14:textId="77777777" w:rsidR="00486402" w:rsidRPr="00103A0B" w:rsidRDefault="00486402" w:rsidP="00CD5919">
            <w:pPr>
              <w:spacing w:line="360" w:lineRule="auto"/>
              <w:jc w:val="both"/>
              <w:rPr>
                <w:rFonts w:ascii="Arial" w:hAnsi="Arial" w:cs="Arial"/>
                <w:sz w:val="24"/>
                <w:szCs w:val="24"/>
              </w:rPr>
            </w:pPr>
          </w:p>
        </w:tc>
        <w:tc>
          <w:tcPr>
            <w:tcW w:w="2104" w:type="dxa"/>
            <w:tcBorders>
              <w:top w:val="single" w:sz="4" w:space="0" w:color="auto"/>
              <w:left w:val="single" w:sz="4" w:space="0" w:color="auto"/>
              <w:bottom w:val="single" w:sz="4" w:space="0" w:color="auto"/>
              <w:right w:val="single" w:sz="4" w:space="0" w:color="auto"/>
            </w:tcBorders>
          </w:tcPr>
          <w:p w14:paraId="2DC6AFFE" w14:textId="7E04145F" w:rsidR="00486402" w:rsidRPr="00103A0B" w:rsidRDefault="007E7233" w:rsidP="00CD5919">
            <w:pPr>
              <w:jc w:val="both"/>
              <w:rPr>
                <w:rFonts w:ascii="Arial" w:hAnsi="Arial" w:cs="Arial"/>
                <w:sz w:val="24"/>
                <w:szCs w:val="24"/>
                <w:lang w:bidi="en-US"/>
              </w:rPr>
            </w:pPr>
            <w:r w:rsidRPr="00103A0B">
              <w:rPr>
                <w:rFonts w:ascii="Arial" w:hAnsi="Arial" w:cs="Arial"/>
                <w:sz w:val="24"/>
                <w:szCs w:val="24"/>
                <w:lang w:bidi="en-US"/>
              </w:rPr>
              <w:t>1</w:t>
            </w:r>
            <w:r w:rsidR="00EB30F7" w:rsidRPr="00103A0B">
              <w:rPr>
                <w:rFonts w:ascii="Arial" w:hAnsi="Arial" w:cs="Arial"/>
                <w:sz w:val="24"/>
                <w:szCs w:val="24"/>
                <w:lang w:bidi="en-US"/>
              </w:rPr>
              <w:t>1</w:t>
            </w:r>
            <w:r w:rsidR="00731909" w:rsidRPr="00103A0B">
              <w:rPr>
                <w:rFonts w:ascii="Arial" w:hAnsi="Arial" w:cs="Arial"/>
                <w:sz w:val="24"/>
                <w:szCs w:val="24"/>
                <w:lang w:bidi="en-US"/>
              </w:rPr>
              <w:t>5</w:t>
            </w:r>
            <w:r w:rsidRPr="00103A0B">
              <w:rPr>
                <w:rFonts w:ascii="Arial" w:hAnsi="Arial" w:cs="Arial"/>
                <w:sz w:val="24"/>
                <w:szCs w:val="24"/>
                <w:lang w:bidi="en-US"/>
              </w:rPr>
              <w:t>-1</w:t>
            </w:r>
            <w:r w:rsidR="00EB30F7" w:rsidRPr="00103A0B">
              <w:rPr>
                <w:rFonts w:ascii="Arial" w:hAnsi="Arial" w:cs="Arial"/>
                <w:sz w:val="24"/>
                <w:szCs w:val="24"/>
                <w:lang w:bidi="en-US"/>
              </w:rPr>
              <w:t>1</w:t>
            </w:r>
            <w:r w:rsidR="00731909" w:rsidRPr="00103A0B">
              <w:rPr>
                <w:rFonts w:ascii="Arial" w:hAnsi="Arial" w:cs="Arial"/>
                <w:sz w:val="24"/>
                <w:szCs w:val="24"/>
                <w:lang w:bidi="en-US"/>
              </w:rPr>
              <w:t>6</w:t>
            </w:r>
          </w:p>
        </w:tc>
      </w:tr>
      <w:tr w:rsidR="00486402" w:rsidRPr="00103A0B" w14:paraId="4D84D5A0" w14:textId="77777777" w:rsidTr="00E56395">
        <w:tc>
          <w:tcPr>
            <w:tcW w:w="1951" w:type="dxa"/>
            <w:tcBorders>
              <w:top w:val="single" w:sz="4" w:space="0" w:color="auto"/>
              <w:left w:val="single" w:sz="4" w:space="0" w:color="auto"/>
              <w:bottom w:val="single" w:sz="4" w:space="0" w:color="auto"/>
              <w:right w:val="single" w:sz="4" w:space="0" w:color="auto"/>
            </w:tcBorders>
            <w:hideMark/>
          </w:tcPr>
          <w:p w14:paraId="38AA5F4F" w14:textId="77777777" w:rsidR="00486402" w:rsidRPr="00103A0B" w:rsidRDefault="00486402" w:rsidP="00CD5919">
            <w:pPr>
              <w:spacing w:line="360" w:lineRule="auto"/>
              <w:jc w:val="both"/>
              <w:rPr>
                <w:rFonts w:ascii="Arial" w:hAnsi="Arial" w:cs="Arial"/>
                <w:sz w:val="24"/>
                <w:szCs w:val="24"/>
              </w:rPr>
            </w:pPr>
            <w:r w:rsidRPr="00103A0B">
              <w:rPr>
                <w:rFonts w:ascii="Arial" w:hAnsi="Arial" w:cs="Arial"/>
                <w:sz w:val="24"/>
                <w:szCs w:val="24"/>
              </w:rPr>
              <w:t>Table 10</w:t>
            </w:r>
          </w:p>
        </w:tc>
        <w:tc>
          <w:tcPr>
            <w:tcW w:w="4961" w:type="dxa"/>
            <w:tcBorders>
              <w:top w:val="single" w:sz="4" w:space="0" w:color="auto"/>
              <w:left w:val="single" w:sz="4" w:space="0" w:color="auto"/>
              <w:bottom w:val="single" w:sz="4" w:space="0" w:color="auto"/>
              <w:right w:val="single" w:sz="4" w:space="0" w:color="auto"/>
            </w:tcBorders>
          </w:tcPr>
          <w:p w14:paraId="41F08006" w14:textId="4DB0FD02" w:rsidR="00486402" w:rsidRPr="00103A0B" w:rsidRDefault="00486402" w:rsidP="00CD5919">
            <w:pPr>
              <w:spacing w:line="360" w:lineRule="auto"/>
              <w:jc w:val="both"/>
              <w:rPr>
                <w:rFonts w:ascii="Arial" w:hAnsi="Arial" w:cs="Arial"/>
                <w:sz w:val="24"/>
                <w:szCs w:val="24"/>
              </w:rPr>
            </w:pPr>
            <w:r w:rsidRPr="00103A0B">
              <w:rPr>
                <w:rFonts w:ascii="Arial" w:hAnsi="Arial" w:cs="Arial"/>
                <w:sz w:val="24"/>
                <w:szCs w:val="24"/>
              </w:rPr>
              <w:t xml:space="preserve">Summary of mapping of Behaviour Change Techniques for high retention onto COM-B </w:t>
            </w:r>
            <w:r w:rsidR="00240265" w:rsidRPr="00103A0B">
              <w:rPr>
                <w:rFonts w:ascii="Arial" w:hAnsi="Arial" w:cs="Arial"/>
                <w:sz w:val="24"/>
                <w:szCs w:val="24"/>
              </w:rPr>
              <w:t>(Chapter 8)</w:t>
            </w:r>
          </w:p>
        </w:tc>
        <w:tc>
          <w:tcPr>
            <w:tcW w:w="2104" w:type="dxa"/>
            <w:tcBorders>
              <w:top w:val="single" w:sz="4" w:space="0" w:color="auto"/>
              <w:left w:val="single" w:sz="4" w:space="0" w:color="auto"/>
              <w:bottom w:val="single" w:sz="4" w:space="0" w:color="auto"/>
              <w:right w:val="single" w:sz="4" w:space="0" w:color="auto"/>
            </w:tcBorders>
          </w:tcPr>
          <w:p w14:paraId="426C3D9F" w14:textId="63BB7C0A" w:rsidR="00486402" w:rsidRPr="00103A0B" w:rsidRDefault="007E7233" w:rsidP="00CD5919">
            <w:pPr>
              <w:jc w:val="both"/>
              <w:rPr>
                <w:rFonts w:ascii="Arial" w:hAnsi="Arial" w:cs="Arial"/>
                <w:sz w:val="24"/>
                <w:szCs w:val="24"/>
                <w:lang w:bidi="en-US"/>
              </w:rPr>
            </w:pPr>
            <w:r w:rsidRPr="00103A0B">
              <w:rPr>
                <w:rFonts w:ascii="Arial" w:hAnsi="Arial" w:cs="Arial"/>
                <w:sz w:val="24"/>
                <w:szCs w:val="24"/>
                <w:lang w:bidi="en-US"/>
              </w:rPr>
              <w:t>1</w:t>
            </w:r>
            <w:r w:rsidR="00EB30F7" w:rsidRPr="00103A0B">
              <w:rPr>
                <w:rFonts w:ascii="Arial" w:hAnsi="Arial" w:cs="Arial"/>
                <w:sz w:val="24"/>
                <w:szCs w:val="24"/>
                <w:lang w:bidi="en-US"/>
              </w:rPr>
              <w:t>34</w:t>
            </w:r>
          </w:p>
        </w:tc>
      </w:tr>
    </w:tbl>
    <w:p w14:paraId="37061D9E" w14:textId="0F732A18" w:rsidR="003D3DA8" w:rsidRPr="00103A0B" w:rsidRDefault="003D3DA8" w:rsidP="00CD5919">
      <w:pPr>
        <w:spacing w:line="360" w:lineRule="auto"/>
        <w:jc w:val="both"/>
        <w:rPr>
          <w:rFonts w:ascii="Arial" w:hAnsi="Arial" w:cs="Arial"/>
          <w:i/>
          <w:sz w:val="24"/>
          <w:szCs w:val="24"/>
        </w:rPr>
      </w:pPr>
    </w:p>
    <w:p w14:paraId="502299E2" w14:textId="19E70E12" w:rsidR="00247893" w:rsidRPr="00103A0B" w:rsidRDefault="00247893" w:rsidP="00CD5919">
      <w:pPr>
        <w:spacing w:line="360" w:lineRule="auto"/>
        <w:jc w:val="both"/>
        <w:rPr>
          <w:rFonts w:ascii="Arial" w:hAnsi="Arial" w:cs="Arial"/>
          <w:i/>
          <w:sz w:val="24"/>
          <w:szCs w:val="24"/>
        </w:rPr>
      </w:pPr>
    </w:p>
    <w:p w14:paraId="501381EF" w14:textId="77777777" w:rsidR="00240265" w:rsidRPr="00103A0B" w:rsidRDefault="00240265" w:rsidP="00CD5919">
      <w:pPr>
        <w:spacing w:line="360" w:lineRule="auto"/>
        <w:jc w:val="both"/>
        <w:rPr>
          <w:rFonts w:ascii="Arial" w:hAnsi="Arial" w:cs="Arial"/>
          <w:i/>
          <w:sz w:val="24"/>
          <w:szCs w:val="24"/>
        </w:rPr>
      </w:pPr>
    </w:p>
    <w:p w14:paraId="5DF7D941" w14:textId="77777777" w:rsidR="003D3DA8" w:rsidRPr="00103A0B" w:rsidRDefault="003D3DA8" w:rsidP="00474286">
      <w:pPr>
        <w:pStyle w:val="Heading1"/>
        <w:keepLines/>
        <w:numPr>
          <w:ilvl w:val="0"/>
          <w:numId w:val="0"/>
        </w:numPr>
        <w:rPr>
          <w:rFonts w:ascii="Arial" w:hAnsi="Arial" w:cs="Arial"/>
        </w:rPr>
      </w:pPr>
      <w:bookmarkStart w:id="24" w:name="_Toc354351544"/>
      <w:bookmarkStart w:id="25" w:name="_Toc354352323"/>
      <w:bookmarkStart w:id="26" w:name="_Toc354352478"/>
      <w:bookmarkStart w:id="27" w:name="_Toc354352633"/>
      <w:bookmarkStart w:id="28" w:name="_Toc363208530"/>
      <w:bookmarkStart w:id="29" w:name="_Toc151548286"/>
      <w:r w:rsidRPr="00103A0B">
        <w:rPr>
          <w:rFonts w:ascii="Arial" w:hAnsi="Arial" w:cs="Arial"/>
        </w:rPr>
        <w:lastRenderedPageBreak/>
        <w:t>List of Figures</w:t>
      </w:r>
      <w:bookmarkEnd w:id="24"/>
      <w:bookmarkEnd w:id="25"/>
      <w:bookmarkEnd w:id="26"/>
      <w:bookmarkEnd w:id="27"/>
      <w:bookmarkEnd w:id="28"/>
      <w:bookmarkEnd w:id="29"/>
    </w:p>
    <w:tbl>
      <w:tblPr>
        <w:tblStyle w:val="TableGrid"/>
        <w:tblW w:w="0" w:type="auto"/>
        <w:tblLook w:val="04A0" w:firstRow="1" w:lastRow="0" w:firstColumn="1" w:lastColumn="0" w:noHBand="0" w:noVBand="1"/>
      </w:tblPr>
      <w:tblGrid>
        <w:gridCol w:w="2093"/>
        <w:gridCol w:w="4819"/>
        <w:gridCol w:w="2104"/>
      </w:tblGrid>
      <w:tr w:rsidR="00486402" w:rsidRPr="00103A0B" w14:paraId="62A78C87" w14:textId="77777777" w:rsidTr="00E56395">
        <w:tc>
          <w:tcPr>
            <w:tcW w:w="2093" w:type="dxa"/>
            <w:tcBorders>
              <w:top w:val="single" w:sz="4" w:space="0" w:color="auto"/>
              <w:left w:val="single" w:sz="4" w:space="0" w:color="auto"/>
              <w:bottom w:val="single" w:sz="4" w:space="0" w:color="auto"/>
              <w:right w:val="single" w:sz="4" w:space="0" w:color="auto"/>
            </w:tcBorders>
            <w:hideMark/>
          </w:tcPr>
          <w:p w14:paraId="33C59715" w14:textId="77777777" w:rsidR="00486402" w:rsidRPr="00103A0B" w:rsidRDefault="00486402" w:rsidP="00CD5919">
            <w:pPr>
              <w:spacing w:after="100" w:line="360" w:lineRule="auto"/>
              <w:jc w:val="both"/>
              <w:rPr>
                <w:rFonts w:ascii="Arial" w:hAnsi="Arial" w:cs="Arial"/>
                <w:b/>
                <w:bCs/>
                <w:color w:val="231F20"/>
                <w:sz w:val="24"/>
                <w:szCs w:val="24"/>
              </w:rPr>
            </w:pPr>
            <w:r w:rsidRPr="00103A0B">
              <w:rPr>
                <w:rFonts w:ascii="Arial" w:hAnsi="Arial" w:cs="Arial"/>
                <w:b/>
                <w:bCs/>
                <w:color w:val="231F20"/>
                <w:sz w:val="24"/>
                <w:szCs w:val="24"/>
              </w:rPr>
              <w:t>Figure Number</w:t>
            </w:r>
          </w:p>
        </w:tc>
        <w:tc>
          <w:tcPr>
            <w:tcW w:w="4819" w:type="dxa"/>
            <w:tcBorders>
              <w:top w:val="single" w:sz="4" w:space="0" w:color="auto"/>
              <w:left w:val="single" w:sz="4" w:space="0" w:color="auto"/>
              <w:bottom w:val="single" w:sz="4" w:space="0" w:color="auto"/>
              <w:right w:val="single" w:sz="4" w:space="0" w:color="auto"/>
            </w:tcBorders>
            <w:hideMark/>
          </w:tcPr>
          <w:p w14:paraId="3E41D560" w14:textId="77777777" w:rsidR="00486402" w:rsidRPr="00103A0B" w:rsidRDefault="00486402" w:rsidP="00CD5919">
            <w:pPr>
              <w:spacing w:after="100" w:line="360" w:lineRule="auto"/>
              <w:jc w:val="both"/>
              <w:rPr>
                <w:rFonts w:ascii="Arial" w:hAnsi="Arial" w:cs="Arial"/>
                <w:b/>
                <w:bCs/>
                <w:color w:val="231F20"/>
                <w:sz w:val="24"/>
                <w:szCs w:val="24"/>
              </w:rPr>
            </w:pPr>
            <w:r w:rsidRPr="00103A0B">
              <w:rPr>
                <w:rFonts w:ascii="Arial" w:hAnsi="Arial" w:cs="Arial"/>
                <w:b/>
                <w:bCs/>
                <w:color w:val="231F20"/>
                <w:sz w:val="24"/>
                <w:szCs w:val="24"/>
              </w:rPr>
              <w:t>Figure Name (Chapter Number)</w:t>
            </w:r>
          </w:p>
        </w:tc>
        <w:tc>
          <w:tcPr>
            <w:tcW w:w="2104" w:type="dxa"/>
            <w:tcBorders>
              <w:top w:val="single" w:sz="4" w:space="0" w:color="auto"/>
              <w:left w:val="single" w:sz="4" w:space="0" w:color="auto"/>
              <w:bottom w:val="single" w:sz="4" w:space="0" w:color="auto"/>
              <w:right w:val="single" w:sz="4" w:space="0" w:color="auto"/>
            </w:tcBorders>
            <w:hideMark/>
          </w:tcPr>
          <w:p w14:paraId="7EA3880E" w14:textId="1E288A6B" w:rsidR="00486402" w:rsidRPr="00103A0B" w:rsidRDefault="00486402" w:rsidP="00CD5919">
            <w:pPr>
              <w:spacing w:after="100" w:line="360" w:lineRule="auto"/>
              <w:jc w:val="both"/>
              <w:rPr>
                <w:rFonts w:ascii="Arial" w:hAnsi="Arial" w:cs="Arial"/>
                <w:b/>
                <w:bCs/>
                <w:color w:val="231F20"/>
                <w:sz w:val="24"/>
                <w:szCs w:val="24"/>
              </w:rPr>
            </w:pPr>
            <w:r w:rsidRPr="00103A0B">
              <w:rPr>
                <w:rFonts w:ascii="Arial" w:hAnsi="Arial" w:cs="Arial"/>
                <w:b/>
                <w:bCs/>
                <w:color w:val="231F20"/>
                <w:sz w:val="24"/>
                <w:szCs w:val="24"/>
              </w:rPr>
              <w:t>Page Number</w:t>
            </w:r>
          </w:p>
        </w:tc>
      </w:tr>
      <w:tr w:rsidR="00486402" w:rsidRPr="00103A0B" w14:paraId="33E423BD" w14:textId="77777777" w:rsidTr="00E56395">
        <w:tc>
          <w:tcPr>
            <w:tcW w:w="2093" w:type="dxa"/>
            <w:tcBorders>
              <w:top w:val="single" w:sz="4" w:space="0" w:color="auto"/>
              <w:left w:val="single" w:sz="4" w:space="0" w:color="auto"/>
              <w:bottom w:val="single" w:sz="4" w:space="0" w:color="auto"/>
              <w:right w:val="single" w:sz="4" w:space="0" w:color="auto"/>
            </w:tcBorders>
            <w:hideMark/>
          </w:tcPr>
          <w:p w14:paraId="50C6F23B" w14:textId="77777777" w:rsidR="00486402" w:rsidRPr="00103A0B" w:rsidRDefault="00486402" w:rsidP="00CD5919">
            <w:pPr>
              <w:spacing w:after="100" w:line="360" w:lineRule="auto"/>
              <w:jc w:val="both"/>
              <w:rPr>
                <w:rFonts w:ascii="Arial" w:hAnsi="Arial" w:cs="Arial"/>
                <w:color w:val="231F20"/>
                <w:sz w:val="24"/>
                <w:szCs w:val="24"/>
              </w:rPr>
            </w:pPr>
            <w:r w:rsidRPr="00103A0B">
              <w:rPr>
                <w:rFonts w:ascii="Arial" w:hAnsi="Arial" w:cs="Arial"/>
                <w:color w:val="231F20"/>
                <w:sz w:val="24"/>
                <w:szCs w:val="24"/>
              </w:rPr>
              <w:t>Figure 1</w:t>
            </w:r>
          </w:p>
        </w:tc>
        <w:tc>
          <w:tcPr>
            <w:tcW w:w="4819" w:type="dxa"/>
            <w:tcBorders>
              <w:top w:val="single" w:sz="4" w:space="0" w:color="auto"/>
              <w:left w:val="single" w:sz="4" w:space="0" w:color="auto"/>
              <w:bottom w:val="single" w:sz="4" w:space="0" w:color="auto"/>
              <w:right w:val="single" w:sz="4" w:space="0" w:color="auto"/>
            </w:tcBorders>
            <w:hideMark/>
          </w:tcPr>
          <w:p w14:paraId="7B479D71" w14:textId="4F9032DB" w:rsidR="00486402" w:rsidRPr="00103A0B" w:rsidRDefault="00486402" w:rsidP="00CD5919">
            <w:pPr>
              <w:spacing w:after="100" w:line="360" w:lineRule="auto"/>
              <w:jc w:val="both"/>
              <w:rPr>
                <w:rFonts w:ascii="Arial" w:hAnsi="Arial" w:cs="Arial"/>
                <w:color w:val="231F20"/>
                <w:sz w:val="24"/>
                <w:szCs w:val="24"/>
              </w:rPr>
            </w:pPr>
            <w:r w:rsidRPr="00103A0B">
              <w:rPr>
                <w:rFonts w:ascii="Arial" w:eastAsia="Times New Roman" w:hAnsi="Arial" w:cs="Arial"/>
                <w:sz w:val="24"/>
                <w:szCs w:val="24"/>
                <w:lang w:eastAsia="en-GB"/>
              </w:rPr>
              <w:t>PRISMA diagram of papers included/excluded for review (Chapter 2)</w:t>
            </w:r>
          </w:p>
        </w:tc>
        <w:tc>
          <w:tcPr>
            <w:tcW w:w="2104" w:type="dxa"/>
            <w:tcBorders>
              <w:top w:val="single" w:sz="4" w:space="0" w:color="auto"/>
              <w:left w:val="single" w:sz="4" w:space="0" w:color="auto"/>
              <w:bottom w:val="single" w:sz="4" w:space="0" w:color="auto"/>
              <w:right w:val="single" w:sz="4" w:space="0" w:color="auto"/>
            </w:tcBorders>
          </w:tcPr>
          <w:p w14:paraId="056FFA5B" w14:textId="6A1BBBFC" w:rsidR="00486402" w:rsidRPr="00103A0B" w:rsidRDefault="007E7233" w:rsidP="00CD5919">
            <w:pPr>
              <w:spacing w:after="100" w:line="360" w:lineRule="auto"/>
              <w:jc w:val="both"/>
              <w:rPr>
                <w:rFonts w:ascii="Arial" w:hAnsi="Arial" w:cs="Arial"/>
                <w:color w:val="231F20"/>
                <w:sz w:val="24"/>
                <w:szCs w:val="24"/>
              </w:rPr>
            </w:pPr>
            <w:r w:rsidRPr="00103A0B">
              <w:rPr>
                <w:rFonts w:ascii="Arial" w:hAnsi="Arial" w:cs="Arial"/>
                <w:color w:val="231F20"/>
                <w:sz w:val="24"/>
                <w:szCs w:val="24"/>
              </w:rPr>
              <w:t>22</w:t>
            </w:r>
          </w:p>
        </w:tc>
      </w:tr>
      <w:tr w:rsidR="00486402" w:rsidRPr="00103A0B" w14:paraId="4F52ADEE" w14:textId="77777777" w:rsidTr="00E56395">
        <w:tc>
          <w:tcPr>
            <w:tcW w:w="2093" w:type="dxa"/>
            <w:tcBorders>
              <w:top w:val="single" w:sz="4" w:space="0" w:color="auto"/>
              <w:left w:val="single" w:sz="4" w:space="0" w:color="auto"/>
              <w:bottom w:val="single" w:sz="4" w:space="0" w:color="auto"/>
              <w:right w:val="single" w:sz="4" w:space="0" w:color="auto"/>
            </w:tcBorders>
            <w:hideMark/>
          </w:tcPr>
          <w:p w14:paraId="523BE9B8" w14:textId="77777777" w:rsidR="00486402" w:rsidRPr="00103A0B" w:rsidRDefault="00486402" w:rsidP="00CD5919">
            <w:pPr>
              <w:spacing w:after="100" w:line="360" w:lineRule="auto"/>
              <w:jc w:val="both"/>
              <w:rPr>
                <w:rFonts w:ascii="Arial" w:hAnsi="Arial" w:cs="Arial"/>
                <w:i/>
                <w:iCs/>
                <w:color w:val="231F20"/>
                <w:sz w:val="24"/>
                <w:szCs w:val="24"/>
              </w:rPr>
            </w:pPr>
            <w:r w:rsidRPr="00103A0B">
              <w:rPr>
                <w:rFonts w:ascii="Arial" w:hAnsi="Arial" w:cs="Arial"/>
                <w:sz w:val="24"/>
                <w:szCs w:val="24"/>
              </w:rPr>
              <w:t>Figure 2</w:t>
            </w:r>
          </w:p>
        </w:tc>
        <w:tc>
          <w:tcPr>
            <w:tcW w:w="4819" w:type="dxa"/>
            <w:tcBorders>
              <w:top w:val="single" w:sz="4" w:space="0" w:color="auto"/>
              <w:left w:val="single" w:sz="4" w:space="0" w:color="auto"/>
              <w:bottom w:val="single" w:sz="4" w:space="0" w:color="auto"/>
              <w:right w:val="single" w:sz="4" w:space="0" w:color="auto"/>
            </w:tcBorders>
            <w:hideMark/>
          </w:tcPr>
          <w:p w14:paraId="5F820C70" w14:textId="7E672E04" w:rsidR="00486402" w:rsidRPr="00103A0B" w:rsidRDefault="00486402" w:rsidP="00CD5919">
            <w:pPr>
              <w:spacing w:line="360" w:lineRule="auto"/>
              <w:jc w:val="both"/>
              <w:rPr>
                <w:rFonts w:ascii="Arial" w:hAnsi="Arial" w:cs="Arial"/>
                <w:sz w:val="24"/>
                <w:szCs w:val="24"/>
              </w:rPr>
            </w:pPr>
            <w:r w:rsidRPr="00103A0B">
              <w:rPr>
                <w:rFonts w:ascii="Arial" w:hAnsi="Arial" w:cs="Arial"/>
                <w:sz w:val="24"/>
                <w:szCs w:val="24"/>
              </w:rPr>
              <w:t xml:space="preserve">Flowchart detailing the phases involved in the participant journey (Chapter 4) </w:t>
            </w:r>
          </w:p>
        </w:tc>
        <w:tc>
          <w:tcPr>
            <w:tcW w:w="2104" w:type="dxa"/>
            <w:tcBorders>
              <w:top w:val="single" w:sz="4" w:space="0" w:color="auto"/>
              <w:left w:val="single" w:sz="4" w:space="0" w:color="auto"/>
              <w:bottom w:val="single" w:sz="4" w:space="0" w:color="auto"/>
              <w:right w:val="single" w:sz="4" w:space="0" w:color="auto"/>
            </w:tcBorders>
          </w:tcPr>
          <w:p w14:paraId="1B24014D" w14:textId="235AA6C1" w:rsidR="00486402" w:rsidRPr="00103A0B" w:rsidRDefault="007E7233" w:rsidP="00CD5919">
            <w:pPr>
              <w:spacing w:after="100" w:line="360" w:lineRule="auto"/>
              <w:jc w:val="both"/>
              <w:rPr>
                <w:rFonts w:ascii="Arial" w:hAnsi="Arial" w:cs="Arial"/>
                <w:color w:val="231F20"/>
                <w:sz w:val="24"/>
                <w:szCs w:val="24"/>
              </w:rPr>
            </w:pPr>
            <w:r w:rsidRPr="00103A0B">
              <w:rPr>
                <w:rFonts w:ascii="Arial" w:hAnsi="Arial" w:cs="Arial"/>
                <w:color w:val="231F20"/>
                <w:sz w:val="24"/>
                <w:szCs w:val="24"/>
              </w:rPr>
              <w:t>6</w:t>
            </w:r>
            <w:r w:rsidR="00D23942" w:rsidRPr="00103A0B">
              <w:rPr>
                <w:rFonts w:ascii="Arial" w:hAnsi="Arial" w:cs="Arial"/>
                <w:color w:val="231F20"/>
                <w:sz w:val="24"/>
                <w:szCs w:val="24"/>
              </w:rPr>
              <w:t>6</w:t>
            </w:r>
          </w:p>
        </w:tc>
      </w:tr>
      <w:tr w:rsidR="00486402" w:rsidRPr="00103A0B" w14:paraId="2B475938" w14:textId="77777777" w:rsidTr="00E56395">
        <w:tc>
          <w:tcPr>
            <w:tcW w:w="2093" w:type="dxa"/>
            <w:tcBorders>
              <w:top w:val="single" w:sz="4" w:space="0" w:color="auto"/>
              <w:left w:val="single" w:sz="4" w:space="0" w:color="auto"/>
              <w:bottom w:val="single" w:sz="4" w:space="0" w:color="auto"/>
              <w:right w:val="single" w:sz="4" w:space="0" w:color="auto"/>
            </w:tcBorders>
          </w:tcPr>
          <w:p w14:paraId="31E75DD3" w14:textId="77777777" w:rsidR="00486402" w:rsidRPr="00103A0B" w:rsidRDefault="00486402" w:rsidP="00CD5919">
            <w:pPr>
              <w:spacing w:line="360" w:lineRule="auto"/>
              <w:jc w:val="both"/>
              <w:rPr>
                <w:rFonts w:ascii="Arial" w:hAnsi="Arial" w:cs="Arial"/>
                <w:sz w:val="24"/>
                <w:szCs w:val="24"/>
              </w:rPr>
            </w:pPr>
            <w:r w:rsidRPr="00103A0B">
              <w:rPr>
                <w:rFonts w:ascii="Arial" w:hAnsi="Arial" w:cs="Arial"/>
                <w:sz w:val="24"/>
                <w:szCs w:val="24"/>
              </w:rPr>
              <w:t>Figure 3</w:t>
            </w:r>
          </w:p>
          <w:p w14:paraId="140743BE" w14:textId="77777777" w:rsidR="00486402" w:rsidRPr="00103A0B" w:rsidRDefault="00486402" w:rsidP="00CD5919">
            <w:pPr>
              <w:spacing w:after="100" w:line="360" w:lineRule="auto"/>
              <w:jc w:val="both"/>
              <w:rPr>
                <w:rFonts w:ascii="Arial" w:hAnsi="Arial" w:cs="Arial"/>
                <w:color w:val="231F20"/>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5BE8C90" w14:textId="77777777" w:rsidR="00486402" w:rsidRPr="00103A0B" w:rsidRDefault="00486402" w:rsidP="00CD5919">
            <w:pPr>
              <w:spacing w:after="100" w:line="360" w:lineRule="auto"/>
              <w:jc w:val="both"/>
              <w:rPr>
                <w:rFonts w:ascii="Arial" w:hAnsi="Arial" w:cs="Arial"/>
                <w:color w:val="231F20"/>
                <w:sz w:val="24"/>
                <w:szCs w:val="24"/>
              </w:rPr>
            </w:pPr>
            <w:r w:rsidRPr="00103A0B">
              <w:rPr>
                <w:rFonts w:ascii="Arial" w:hAnsi="Arial" w:cs="Arial"/>
                <w:sz w:val="24"/>
                <w:szCs w:val="24"/>
              </w:rPr>
              <w:t>A map of various boroughs within London</w:t>
            </w:r>
          </w:p>
        </w:tc>
        <w:tc>
          <w:tcPr>
            <w:tcW w:w="2104" w:type="dxa"/>
            <w:tcBorders>
              <w:top w:val="single" w:sz="4" w:space="0" w:color="auto"/>
              <w:left w:val="single" w:sz="4" w:space="0" w:color="auto"/>
              <w:bottom w:val="single" w:sz="4" w:space="0" w:color="auto"/>
              <w:right w:val="single" w:sz="4" w:space="0" w:color="auto"/>
            </w:tcBorders>
          </w:tcPr>
          <w:p w14:paraId="2A236786" w14:textId="32D26648" w:rsidR="00486402" w:rsidRPr="00103A0B" w:rsidRDefault="00EB30F7" w:rsidP="00CD5919">
            <w:pPr>
              <w:spacing w:after="100" w:line="360" w:lineRule="auto"/>
              <w:jc w:val="both"/>
              <w:rPr>
                <w:rFonts w:ascii="Arial" w:hAnsi="Arial" w:cs="Arial"/>
                <w:color w:val="231F20"/>
                <w:sz w:val="24"/>
                <w:szCs w:val="24"/>
              </w:rPr>
            </w:pPr>
            <w:r w:rsidRPr="00103A0B">
              <w:rPr>
                <w:rFonts w:ascii="Arial" w:hAnsi="Arial" w:cs="Arial"/>
                <w:color w:val="231F20"/>
                <w:sz w:val="24"/>
                <w:szCs w:val="24"/>
              </w:rPr>
              <w:t>6</w:t>
            </w:r>
            <w:r w:rsidR="00D23942" w:rsidRPr="00103A0B">
              <w:rPr>
                <w:rFonts w:ascii="Arial" w:hAnsi="Arial" w:cs="Arial"/>
                <w:color w:val="231F20"/>
                <w:sz w:val="24"/>
                <w:szCs w:val="24"/>
              </w:rPr>
              <w:t>7</w:t>
            </w:r>
          </w:p>
        </w:tc>
      </w:tr>
      <w:tr w:rsidR="00486402" w:rsidRPr="00103A0B" w14:paraId="7B3869AC" w14:textId="77777777" w:rsidTr="00E56395">
        <w:tc>
          <w:tcPr>
            <w:tcW w:w="2093" w:type="dxa"/>
            <w:tcBorders>
              <w:top w:val="single" w:sz="4" w:space="0" w:color="auto"/>
              <w:left w:val="single" w:sz="4" w:space="0" w:color="auto"/>
              <w:bottom w:val="single" w:sz="4" w:space="0" w:color="auto"/>
              <w:right w:val="single" w:sz="4" w:space="0" w:color="auto"/>
            </w:tcBorders>
            <w:hideMark/>
          </w:tcPr>
          <w:p w14:paraId="6B369581" w14:textId="77777777" w:rsidR="00486402" w:rsidRPr="00103A0B" w:rsidRDefault="00486402" w:rsidP="00CD5919">
            <w:pPr>
              <w:spacing w:line="360" w:lineRule="auto"/>
              <w:jc w:val="both"/>
              <w:rPr>
                <w:rFonts w:ascii="Arial" w:hAnsi="Arial" w:cs="Arial"/>
                <w:sz w:val="24"/>
                <w:szCs w:val="24"/>
              </w:rPr>
            </w:pPr>
            <w:r w:rsidRPr="00103A0B">
              <w:rPr>
                <w:rFonts w:ascii="Arial" w:hAnsi="Arial" w:cs="Arial"/>
                <w:iCs/>
                <w:sz w:val="24"/>
                <w:szCs w:val="24"/>
              </w:rPr>
              <w:t>Figure 4</w:t>
            </w:r>
          </w:p>
        </w:tc>
        <w:tc>
          <w:tcPr>
            <w:tcW w:w="4819" w:type="dxa"/>
            <w:tcBorders>
              <w:top w:val="single" w:sz="4" w:space="0" w:color="auto"/>
              <w:left w:val="single" w:sz="4" w:space="0" w:color="auto"/>
              <w:bottom w:val="single" w:sz="4" w:space="0" w:color="auto"/>
              <w:right w:val="single" w:sz="4" w:space="0" w:color="auto"/>
            </w:tcBorders>
            <w:hideMark/>
          </w:tcPr>
          <w:p w14:paraId="28125FBD" w14:textId="77777777" w:rsidR="00486402" w:rsidRPr="00103A0B" w:rsidRDefault="00486402" w:rsidP="00CD5919">
            <w:pPr>
              <w:spacing w:line="360" w:lineRule="auto"/>
              <w:jc w:val="both"/>
              <w:rPr>
                <w:rFonts w:ascii="Arial" w:hAnsi="Arial" w:cs="Arial"/>
                <w:iCs/>
                <w:sz w:val="24"/>
                <w:szCs w:val="24"/>
              </w:rPr>
            </w:pPr>
            <w:r w:rsidRPr="00103A0B">
              <w:rPr>
                <w:rFonts w:ascii="Arial" w:hAnsi="Arial" w:cs="Arial"/>
                <w:iCs/>
                <w:sz w:val="24"/>
                <w:szCs w:val="24"/>
              </w:rPr>
              <w:t>Model overview of key influences affecting attendance</w:t>
            </w:r>
          </w:p>
        </w:tc>
        <w:tc>
          <w:tcPr>
            <w:tcW w:w="2104" w:type="dxa"/>
            <w:tcBorders>
              <w:top w:val="single" w:sz="4" w:space="0" w:color="auto"/>
              <w:left w:val="single" w:sz="4" w:space="0" w:color="auto"/>
              <w:bottom w:val="single" w:sz="4" w:space="0" w:color="auto"/>
              <w:right w:val="single" w:sz="4" w:space="0" w:color="auto"/>
            </w:tcBorders>
          </w:tcPr>
          <w:p w14:paraId="63EFA276" w14:textId="4BC611F2" w:rsidR="00486402" w:rsidRPr="00103A0B" w:rsidRDefault="007E7233" w:rsidP="00CD5919">
            <w:pPr>
              <w:spacing w:after="100" w:line="360" w:lineRule="auto"/>
              <w:jc w:val="both"/>
              <w:rPr>
                <w:rFonts w:ascii="Arial" w:hAnsi="Arial" w:cs="Arial"/>
                <w:color w:val="231F20"/>
                <w:sz w:val="24"/>
                <w:szCs w:val="24"/>
              </w:rPr>
            </w:pPr>
            <w:r w:rsidRPr="00103A0B">
              <w:rPr>
                <w:rFonts w:ascii="Arial" w:hAnsi="Arial" w:cs="Arial"/>
                <w:color w:val="231F20"/>
                <w:sz w:val="24"/>
                <w:szCs w:val="24"/>
              </w:rPr>
              <w:t>8</w:t>
            </w:r>
            <w:r w:rsidR="00D23942" w:rsidRPr="00103A0B">
              <w:rPr>
                <w:rFonts w:ascii="Arial" w:hAnsi="Arial" w:cs="Arial"/>
                <w:color w:val="231F20"/>
                <w:sz w:val="24"/>
                <w:szCs w:val="24"/>
              </w:rPr>
              <w:t>0</w:t>
            </w:r>
          </w:p>
        </w:tc>
      </w:tr>
      <w:tr w:rsidR="00486402" w:rsidRPr="00103A0B" w14:paraId="358AA0D1" w14:textId="77777777" w:rsidTr="00E56395">
        <w:tc>
          <w:tcPr>
            <w:tcW w:w="2093" w:type="dxa"/>
            <w:tcBorders>
              <w:top w:val="single" w:sz="4" w:space="0" w:color="auto"/>
              <w:left w:val="single" w:sz="4" w:space="0" w:color="auto"/>
              <w:bottom w:val="single" w:sz="4" w:space="0" w:color="auto"/>
              <w:right w:val="single" w:sz="4" w:space="0" w:color="auto"/>
            </w:tcBorders>
            <w:hideMark/>
          </w:tcPr>
          <w:p w14:paraId="3E3ADF66" w14:textId="77777777" w:rsidR="00486402" w:rsidRPr="00103A0B" w:rsidRDefault="00486402" w:rsidP="00CD5919">
            <w:pPr>
              <w:spacing w:line="360" w:lineRule="auto"/>
              <w:jc w:val="both"/>
              <w:rPr>
                <w:rFonts w:ascii="Arial" w:hAnsi="Arial" w:cs="Arial"/>
                <w:iCs/>
                <w:sz w:val="24"/>
                <w:szCs w:val="24"/>
              </w:rPr>
            </w:pPr>
            <w:r w:rsidRPr="00103A0B">
              <w:rPr>
                <w:rFonts w:ascii="Arial" w:hAnsi="Arial" w:cs="Arial"/>
                <w:iCs/>
                <w:sz w:val="24"/>
                <w:szCs w:val="24"/>
              </w:rPr>
              <w:t>Figure 5</w:t>
            </w:r>
          </w:p>
        </w:tc>
        <w:tc>
          <w:tcPr>
            <w:tcW w:w="4819" w:type="dxa"/>
            <w:tcBorders>
              <w:top w:val="single" w:sz="4" w:space="0" w:color="auto"/>
              <w:left w:val="single" w:sz="4" w:space="0" w:color="auto"/>
              <w:bottom w:val="single" w:sz="4" w:space="0" w:color="auto"/>
              <w:right w:val="single" w:sz="4" w:space="0" w:color="auto"/>
            </w:tcBorders>
          </w:tcPr>
          <w:p w14:paraId="739925E4" w14:textId="28259DF5" w:rsidR="00486402" w:rsidRPr="00103A0B" w:rsidRDefault="00486402" w:rsidP="00CD5919">
            <w:pPr>
              <w:spacing w:line="360" w:lineRule="auto"/>
              <w:jc w:val="both"/>
              <w:rPr>
                <w:rFonts w:ascii="Arial" w:hAnsi="Arial" w:cs="Arial"/>
                <w:iCs/>
                <w:sz w:val="24"/>
                <w:szCs w:val="24"/>
              </w:rPr>
            </w:pPr>
            <w:r w:rsidRPr="00103A0B">
              <w:rPr>
                <w:rFonts w:ascii="Arial" w:hAnsi="Arial" w:cs="Arial"/>
                <w:iCs/>
                <w:sz w:val="24"/>
                <w:szCs w:val="24"/>
              </w:rPr>
              <w:t>Model overview of key influences affecting completion and non-completion</w:t>
            </w:r>
          </w:p>
          <w:p w14:paraId="554F93DD" w14:textId="77777777" w:rsidR="00486402" w:rsidRPr="00103A0B" w:rsidRDefault="00486402" w:rsidP="00CD5919">
            <w:pPr>
              <w:spacing w:line="360" w:lineRule="auto"/>
              <w:jc w:val="both"/>
              <w:rPr>
                <w:rFonts w:ascii="Arial" w:hAnsi="Arial" w:cs="Arial"/>
                <w:iCs/>
                <w:sz w:val="24"/>
                <w:szCs w:val="24"/>
              </w:rPr>
            </w:pPr>
          </w:p>
        </w:tc>
        <w:tc>
          <w:tcPr>
            <w:tcW w:w="2104" w:type="dxa"/>
            <w:tcBorders>
              <w:top w:val="single" w:sz="4" w:space="0" w:color="auto"/>
              <w:left w:val="single" w:sz="4" w:space="0" w:color="auto"/>
              <w:bottom w:val="single" w:sz="4" w:space="0" w:color="auto"/>
              <w:right w:val="single" w:sz="4" w:space="0" w:color="auto"/>
            </w:tcBorders>
          </w:tcPr>
          <w:p w14:paraId="68E85ED3" w14:textId="2F7F12DB" w:rsidR="00486402" w:rsidRPr="00103A0B" w:rsidRDefault="00811B15" w:rsidP="00CD5919">
            <w:pPr>
              <w:spacing w:after="100" w:line="360" w:lineRule="auto"/>
              <w:jc w:val="both"/>
              <w:rPr>
                <w:rFonts w:ascii="Arial" w:hAnsi="Arial" w:cs="Arial"/>
                <w:color w:val="231F20"/>
                <w:sz w:val="24"/>
                <w:szCs w:val="24"/>
              </w:rPr>
            </w:pPr>
            <w:r w:rsidRPr="00103A0B">
              <w:rPr>
                <w:rFonts w:ascii="Arial" w:hAnsi="Arial" w:cs="Arial"/>
                <w:color w:val="231F20"/>
                <w:sz w:val="24"/>
                <w:szCs w:val="24"/>
              </w:rPr>
              <w:t>9</w:t>
            </w:r>
            <w:r w:rsidR="00D23942" w:rsidRPr="00103A0B">
              <w:rPr>
                <w:rFonts w:ascii="Arial" w:hAnsi="Arial" w:cs="Arial"/>
                <w:color w:val="231F20"/>
                <w:sz w:val="24"/>
                <w:szCs w:val="24"/>
              </w:rPr>
              <w:t>8</w:t>
            </w:r>
          </w:p>
        </w:tc>
      </w:tr>
    </w:tbl>
    <w:p w14:paraId="05B185F5" w14:textId="066CCC91" w:rsidR="003D3DA8" w:rsidRPr="00103A0B" w:rsidRDefault="003D3DA8" w:rsidP="00CD5919">
      <w:pPr>
        <w:spacing w:line="360" w:lineRule="auto"/>
        <w:jc w:val="both"/>
        <w:rPr>
          <w:rFonts w:ascii="Arial" w:hAnsi="Arial" w:cs="Arial"/>
          <w:lang w:bidi="en-US"/>
        </w:rPr>
      </w:pPr>
    </w:p>
    <w:p w14:paraId="16F091DF" w14:textId="2618DE85" w:rsidR="003D3DA8" w:rsidRPr="00103A0B" w:rsidRDefault="003D3DA8" w:rsidP="00CD5919">
      <w:pPr>
        <w:spacing w:line="360" w:lineRule="auto"/>
        <w:jc w:val="both"/>
        <w:rPr>
          <w:rFonts w:ascii="Arial" w:hAnsi="Arial" w:cs="Arial"/>
          <w:lang w:bidi="en-US"/>
        </w:rPr>
      </w:pPr>
    </w:p>
    <w:p w14:paraId="231D6B3C" w14:textId="3AA7AB3F" w:rsidR="003D3DA8" w:rsidRPr="00103A0B" w:rsidRDefault="003D3DA8" w:rsidP="00CD5919">
      <w:pPr>
        <w:spacing w:line="360" w:lineRule="auto"/>
        <w:jc w:val="both"/>
        <w:rPr>
          <w:rFonts w:ascii="Arial" w:hAnsi="Arial" w:cs="Arial"/>
          <w:lang w:bidi="en-US"/>
        </w:rPr>
      </w:pPr>
    </w:p>
    <w:p w14:paraId="4D61708B" w14:textId="2E276A7A" w:rsidR="003D3DA8" w:rsidRPr="00103A0B" w:rsidRDefault="003D3DA8" w:rsidP="00CD5919">
      <w:pPr>
        <w:spacing w:line="360" w:lineRule="auto"/>
        <w:jc w:val="both"/>
        <w:rPr>
          <w:rFonts w:ascii="Arial" w:hAnsi="Arial" w:cs="Arial"/>
          <w:lang w:bidi="en-US"/>
        </w:rPr>
      </w:pPr>
    </w:p>
    <w:p w14:paraId="392C85F7" w14:textId="7C1C1EAE" w:rsidR="003D3DA8" w:rsidRPr="00103A0B" w:rsidRDefault="003D3DA8" w:rsidP="00CD5919">
      <w:pPr>
        <w:spacing w:line="360" w:lineRule="auto"/>
        <w:jc w:val="both"/>
        <w:rPr>
          <w:rFonts w:ascii="Arial" w:hAnsi="Arial" w:cs="Arial"/>
          <w:lang w:bidi="en-US"/>
        </w:rPr>
      </w:pPr>
    </w:p>
    <w:p w14:paraId="5DD20420" w14:textId="5CF536D6" w:rsidR="003D3DA8" w:rsidRPr="00103A0B" w:rsidRDefault="003D3DA8" w:rsidP="00CD5919">
      <w:pPr>
        <w:spacing w:line="360" w:lineRule="auto"/>
        <w:jc w:val="both"/>
        <w:rPr>
          <w:rFonts w:ascii="Arial" w:hAnsi="Arial" w:cs="Arial"/>
          <w:lang w:bidi="en-US"/>
        </w:rPr>
      </w:pPr>
    </w:p>
    <w:p w14:paraId="46458935" w14:textId="74AD8B72" w:rsidR="003D3DA8" w:rsidRPr="00103A0B" w:rsidRDefault="003D3DA8" w:rsidP="00CD5919">
      <w:pPr>
        <w:spacing w:line="360" w:lineRule="auto"/>
        <w:jc w:val="both"/>
        <w:rPr>
          <w:rFonts w:ascii="Arial" w:hAnsi="Arial" w:cs="Arial"/>
          <w:lang w:bidi="en-US"/>
        </w:rPr>
      </w:pPr>
    </w:p>
    <w:p w14:paraId="40CB8269" w14:textId="5A56C27F" w:rsidR="003D3DA8" w:rsidRPr="00103A0B" w:rsidRDefault="003D3DA8" w:rsidP="00CD5919">
      <w:pPr>
        <w:spacing w:line="360" w:lineRule="auto"/>
        <w:jc w:val="both"/>
        <w:rPr>
          <w:rFonts w:ascii="Arial" w:hAnsi="Arial" w:cs="Arial"/>
          <w:lang w:bidi="en-US"/>
        </w:rPr>
      </w:pPr>
    </w:p>
    <w:p w14:paraId="4D705F7F" w14:textId="6B0C7169" w:rsidR="003D3DA8" w:rsidRPr="00103A0B" w:rsidRDefault="003D3DA8" w:rsidP="00CD5919">
      <w:pPr>
        <w:spacing w:line="360" w:lineRule="auto"/>
        <w:jc w:val="both"/>
        <w:rPr>
          <w:rFonts w:ascii="Arial" w:hAnsi="Arial" w:cs="Arial"/>
          <w:lang w:bidi="en-US"/>
        </w:rPr>
      </w:pPr>
    </w:p>
    <w:p w14:paraId="5767C706" w14:textId="434B1103" w:rsidR="003D3DA8" w:rsidRPr="00103A0B" w:rsidRDefault="003D3DA8" w:rsidP="00CD5919">
      <w:pPr>
        <w:spacing w:line="360" w:lineRule="auto"/>
        <w:jc w:val="both"/>
        <w:rPr>
          <w:rFonts w:ascii="Arial" w:hAnsi="Arial" w:cs="Arial"/>
          <w:lang w:bidi="en-US"/>
        </w:rPr>
      </w:pPr>
    </w:p>
    <w:p w14:paraId="31D88625" w14:textId="5A9EFC0D" w:rsidR="003D3DA8" w:rsidRPr="00103A0B" w:rsidRDefault="003D3DA8" w:rsidP="00CD5919">
      <w:pPr>
        <w:spacing w:line="360" w:lineRule="auto"/>
        <w:jc w:val="both"/>
        <w:rPr>
          <w:rFonts w:ascii="Arial" w:hAnsi="Arial" w:cs="Arial"/>
          <w:lang w:bidi="en-US"/>
        </w:rPr>
      </w:pPr>
    </w:p>
    <w:p w14:paraId="20386AEC" w14:textId="2F6A9E4D" w:rsidR="003D3DA8" w:rsidRPr="00103A0B" w:rsidRDefault="003D3DA8" w:rsidP="00CD5919">
      <w:pPr>
        <w:spacing w:line="360" w:lineRule="auto"/>
        <w:jc w:val="both"/>
        <w:rPr>
          <w:rFonts w:ascii="Arial" w:hAnsi="Arial" w:cs="Arial"/>
          <w:lang w:bidi="en-US"/>
        </w:rPr>
      </w:pPr>
    </w:p>
    <w:p w14:paraId="2847BD27" w14:textId="63303817" w:rsidR="003D3DA8" w:rsidRPr="00103A0B" w:rsidRDefault="003D3DA8" w:rsidP="00CD5919">
      <w:pPr>
        <w:spacing w:line="360" w:lineRule="auto"/>
        <w:jc w:val="both"/>
        <w:rPr>
          <w:rFonts w:ascii="Arial" w:hAnsi="Arial" w:cs="Arial"/>
          <w:lang w:bidi="en-US"/>
        </w:rPr>
      </w:pPr>
    </w:p>
    <w:p w14:paraId="25F31FF1" w14:textId="7B1D257B" w:rsidR="003D3DA8" w:rsidRPr="00103A0B" w:rsidRDefault="003D3DA8" w:rsidP="00CD5919">
      <w:pPr>
        <w:spacing w:line="360" w:lineRule="auto"/>
        <w:jc w:val="both"/>
        <w:rPr>
          <w:rFonts w:ascii="Arial" w:hAnsi="Arial" w:cs="Arial"/>
          <w:lang w:bidi="en-US"/>
        </w:rPr>
      </w:pPr>
    </w:p>
    <w:p w14:paraId="2833E415" w14:textId="4C871719" w:rsidR="003D3DA8" w:rsidRPr="00103A0B" w:rsidRDefault="003D3DA8" w:rsidP="00811B15">
      <w:pPr>
        <w:pStyle w:val="Heading1"/>
        <w:keepNext/>
        <w:keepLines/>
        <w:numPr>
          <w:ilvl w:val="0"/>
          <w:numId w:val="0"/>
        </w:numPr>
        <w:spacing w:after="0"/>
        <w:rPr>
          <w:rFonts w:ascii="Arial" w:hAnsi="Arial" w:cs="Arial"/>
        </w:rPr>
      </w:pPr>
      <w:bookmarkStart w:id="30" w:name="_Toc354351545"/>
      <w:bookmarkStart w:id="31" w:name="_Toc354352324"/>
      <w:bookmarkStart w:id="32" w:name="_Toc354352479"/>
      <w:bookmarkStart w:id="33" w:name="_Toc354352634"/>
      <w:bookmarkStart w:id="34" w:name="_Toc363208531"/>
      <w:bookmarkStart w:id="35" w:name="_Toc151548287"/>
      <w:r w:rsidRPr="00103A0B">
        <w:rPr>
          <w:rFonts w:ascii="Arial" w:hAnsi="Arial" w:cs="Arial"/>
        </w:rPr>
        <w:lastRenderedPageBreak/>
        <w:t>List of Appendices</w:t>
      </w:r>
      <w:bookmarkEnd w:id="30"/>
      <w:bookmarkEnd w:id="31"/>
      <w:bookmarkEnd w:id="32"/>
      <w:bookmarkEnd w:id="33"/>
      <w:bookmarkEnd w:id="34"/>
      <w:bookmarkEnd w:id="35"/>
    </w:p>
    <w:p w14:paraId="6BF8B0D6" w14:textId="77777777" w:rsidR="00240265" w:rsidRPr="00103A0B" w:rsidRDefault="00240265" w:rsidP="00CD5919">
      <w:pPr>
        <w:spacing w:line="360" w:lineRule="auto"/>
        <w:jc w:val="both"/>
        <w:rPr>
          <w:rFonts w:ascii="Arial" w:hAnsi="Arial" w:cs="Arial"/>
          <w:lang w:bidi="en-US"/>
        </w:rPr>
      </w:pPr>
    </w:p>
    <w:tbl>
      <w:tblPr>
        <w:tblStyle w:val="TableGrid"/>
        <w:tblW w:w="0" w:type="auto"/>
        <w:tblLook w:val="04A0" w:firstRow="1" w:lastRow="0" w:firstColumn="1" w:lastColumn="0" w:noHBand="0" w:noVBand="1"/>
      </w:tblPr>
      <w:tblGrid>
        <w:gridCol w:w="3005"/>
        <w:gridCol w:w="4078"/>
        <w:gridCol w:w="1933"/>
      </w:tblGrid>
      <w:tr w:rsidR="00BC681C" w:rsidRPr="00103A0B" w14:paraId="55504F94" w14:textId="77777777" w:rsidTr="00474286">
        <w:trPr>
          <w:tblHeader/>
        </w:trPr>
        <w:tc>
          <w:tcPr>
            <w:tcW w:w="3005" w:type="dxa"/>
            <w:tcBorders>
              <w:top w:val="single" w:sz="4" w:space="0" w:color="auto"/>
              <w:left w:val="single" w:sz="4" w:space="0" w:color="auto"/>
              <w:bottom w:val="single" w:sz="4" w:space="0" w:color="auto"/>
              <w:right w:val="single" w:sz="4" w:space="0" w:color="auto"/>
            </w:tcBorders>
            <w:hideMark/>
          </w:tcPr>
          <w:bookmarkEnd w:id="23"/>
          <w:p w14:paraId="44A74B7A" w14:textId="77777777" w:rsidR="00BC681C" w:rsidRPr="00103A0B" w:rsidRDefault="00BC681C" w:rsidP="00CD5919">
            <w:pPr>
              <w:spacing w:line="360" w:lineRule="auto"/>
              <w:jc w:val="both"/>
              <w:rPr>
                <w:rFonts w:ascii="Arial" w:hAnsi="Arial" w:cs="Arial"/>
                <w:b/>
                <w:bCs/>
                <w:sz w:val="24"/>
                <w:szCs w:val="24"/>
              </w:rPr>
            </w:pPr>
            <w:r w:rsidRPr="00103A0B">
              <w:rPr>
                <w:rFonts w:ascii="Arial" w:hAnsi="Arial" w:cs="Arial"/>
                <w:b/>
                <w:bCs/>
                <w:sz w:val="24"/>
                <w:szCs w:val="24"/>
              </w:rPr>
              <w:t>Appendix Number</w:t>
            </w:r>
          </w:p>
        </w:tc>
        <w:tc>
          <w:tcPr>
            <w:tcW w:w="4078" w:type="dxa"/>
            <w:tcBorders>
              <w:top w:val="single" w:sz="4" w:space="0" w:color="auto"/>
              <w:left w:val="single" w:sz="4" w:space="0" w:color="auto"/>
              <w:bottom w:val="single" w:sz="4" w:space="0" w:color="auto"/>
              <w:right w:val="single" w:sz="4" w:space="0" w:color="auto"/>
            </w:tcBorders>
          </w:tcPr>
          <w:p w14:paraId="610751A6" w14:textId="77777777" w:rsidR="00BC681C" w:rsidRPr="00103A0B" w:rsidRDefault="00BC681C" w:rsidP="00CD5919">
            <w:pPr>
              <w:spacing w:line="360" w:lineRule="auto"/>
              <w:jc w:val="both"/>
              <w:rPr>
                <w:rFonts w:ascii="Arial" w:hAnsi="Arial" w:cs="Arial"/>
                <w:b/>
                <w:bCs/>
                <w:sz w:val="24"/>
                <w:szCs w:val="24"/>
              </w:rPr>
            </w:pPr>
            <w:r w:rsidRPr="00103A0B">
              <w:rPr>
                <w:rFonts w:ascii="Arial" w:hAnsi="Arial" w:cs="Arial"/>
                <w:b/>
                <w:bCs/>
                <w:sz w:val="24"/>
                <w:szCs w:val="24"/>
              </w:rPr>
              <w:t>Appendix Name (Chapter Number)</w:t>
            </w:r>
          </w:p>
          <w:p w14:paraId="70D42E56" w14:textId="77777777" w:rsidR="00BC681C" w:rsidRPr="00103A0B" w:rsidRDefault="00BC681C" w:rsidP="00CD5919">
            <w:pPr>
              <w:spacing w:line="360" w:lineRule="auto"/>
              <w:jc w:val="both"/>
              <w:rPr>
                <w:rFonts w:ascii="Arial" w:hAnsi="Arial" w:cs="Arial"/>
                <w:b/>
                <w:bCs/>
                <w:sz w:val="24"/>
                <w:szCs w:val="24"/>
              </w:rPr>
            </w:pPr>
          </w:p>
        </w:tc>
        <w:tc>
          <w:tcPr>
            <w:tcW w:w="1933" w:type="dxa"/>
            <w:tcBorders>
              <w:top w:val="single" w:sz="4" w:space="0" w:color="auto"/>
              <w:left w:val="single" w:sz="4" w:space="0" w:color="auto"/>
              <w:bottom w:val="single" w:sz="4" w:space="0" w:color="auto"/>
              <w:right w:val="single" w:sz="4" w:space="0" w:color="auto"/>
            </w:tcBorders>
            <w:hideMark/>
          </w:tcPr>
          <w:p w14:paraId="17027BB3" w14:textId="77777777" w:rsidR="00BC681C" w:rsidRPr="00103A0B" w:rsidRDefault="00BC681C" w:rsidP="00CD5919">
            <w:pPr>
              <w:spacing w:line="360" w:lineRule="auto"/>
              <w:jc w:val="both"/>
              <w:rPr>
                <w:rFonts w:ascii="Arial" w:hAnsi="Arial" w:cs="Arial"/>
                <w:b/>
                <w:bCs/>
                <w:sz w:val="24"/>
                <w:szCs w:val="24"/>
              </w:rPr>
            </w:pPr>
            <w:r w:rsidRPr="00103A0B">
              <w:rPr>
                <w:rFonts w:ascii="Arial" w:hAnsi="Arial" w:cs="Arial"/>
                <w:b/>
                <w:bCs/>
                <w:sz w:val="24"/>
                <w:szCs w:val="24"/>
              </w:rPr>
              <w:t>Page Number/s</w:t>
            </w:r>
          </w:p>
        </w:tc>
      </w:tr>
      <w:tr w:rsidR="00BC681C" w:rsidRPr="00103A0B" w14:paraId="179BA86D"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0509BA89" w14:textId="77777777"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1</w:t>
            </w:r>
          </w:p>
        </w:tc>
        <w:tc>
          <w:tcPr>
            <w:tcW w:w="4078" w:type="dxa"/>
            <w:tcBorders>
              <w:top w:val="single" w:sz="4" w:space="0" w:color="auto"/>
              <w:left w:val="single" w:sz="4" w:space="0" w:color="auto"/>
              <w:bottom w:val="single" w:sz="4" w:space="0" w:color="auto"/>
              <w:right w:val="single" w:sz="4" w:space="0" w:color="auto"/>
            </w:tcBorders>
            <w:hideMark/>
          </w:tcPr>
          <w:p w14:paraId="6145BE1C" w14:textId="11476BA2"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PRISMA checklist (Chapter 2)</w:t>
            </w:r>
          </w:p>
        </w:tc>
        <w:tc>
          <w:tcPr>
            <w:tcW w:w="1933" w:type="dxa"/>
            <w:tcBorders>
              <w:top w:val="single" w:sz="4" w:space="0" w:color="auto"/>
              <w:left w:val="single" w:sz="4" w:space="0" w:color="auto"/>
              <w:bottom w:val="single" w:sz="4" w:space="0" w:color="auto"/>
              <w:right w:val="single" w:sz="4" w:space="0" w:color="auto"/>
            </w:tcBorders>
          </w:tcPr>
          <w:p w14:paraId="4B9B15AF" w14:textId="5D563020" w:rsidR="00BC681C" w:rsidRPr="00103A0B" w:rsidRDefault="00B847E5" w:rsidP="00CD5919">
            <w:pPr>
              <w:spacing w:line="360" w:lineRule="auto"/>
              <w:jc w:val="both"/>
              <w:rPr>
                <w:rFonts w:ascii="Arial" w:hAnsi="Arial" w:cs="Arial"/>
                <w:sz w:val="24"/>
                <w:szCs w:val="24"/>
              </w:rPr>
            </w:pPr>
            <w:r w:rsidRPr="00103A0B">
              <w:rPr>
                <w:rFonts w:ascii="Arial" w:hAnsi="Arial" w:cs="Arial"/>
                <w:sz w:val="24"/>
                <w:szCs w:val="24"/>
              </w:rPr>
              <w:t>1</w:t>
            </w:r>
            <w:r w:rsidR="00D23942" w:rsidRPr="00103A0B">
              <w:rPr>
                <w:rFonts w:ascii="Arial" w:hAnsi="Arial" w:cs="Arial"/>
                <w:sz w:val="24"/>
                <w:szCs w:val="24"/>
              </w:rPr>
              <w:t>7</w:t>
            </w:r>
            <w:r w:rsidR="00573732" w:rsidRPr="00103A0B">
              <w:rPr>
                <w:rFonts w:ascii="Arial" w:hAnsi="Arial" w:cs="Arial"/>
                <w:sz w:val="24"/>
                <w:szCs w:val="24"/>
              </w:rPr>
              <w:t>8</w:t>
            </w:r>
            <w:r w:rsidRPr="00103A0B">
              <w:rPr>
                <w:rFonts w:ascii="Arial" w:hAnsi="Arial" w:cs="Arial"/>
                <w:sz w:val="24"/>
                <w:szCs w:val="24"/>
              </w:rPr>
              <w:t>-1</w:t>
            </w:r>
            <w:r w:rsidR="00573732" w:rsidRPr="00103A0B">
              <w:rPr>
                <w:rFonts w:ascii="Arial" w:hAnsi="Arial" w:cs="Arial"/>
                <w:sz w:val="24"/>
                <w:szCs w:val="24"/>
              </w:rPr>
              <w:t>79</w:t>
            </w:r>
          </w:p>
        </w:tc>
      </w:tr>
      <w:tr w:rsidR="00BC681C" w:rsidRPr="00103A0B" w14:paraId="19C2A433"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49992CDF" w14:textId="77777777"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lang w:eastAsia="en-GB"/>
              </w:rPr>
              <w:t>Appendix 2</w:t>
            </w:r>
          </w:p>
        </w:tc>
        <w:tc>
          <w:tcPr>
            <w:tcW w:w="4078" w:type="dxa"/>
            <w:tcBorders>
              <w:top w:val="single" w:sz="4" w:space="0" w:color="auto"/>
              <w:left w:val="single" w:sz="4" w:space="0" w:color="auto"/>
              <w:bottom w:val="single" w:sz="4" w:space="0" w:color="auto"/>
              <w:right w:val="single" w:sz="4" w:space="0" w:color="auto"/>
            </w:tcBorders>
            <w:hideMark/>
          </w:tcPr>
          <w:p w14:paraId="145B4799" w14:textId="7BF8D92D"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lang w:eastAsia="en-GB"/>
              </w:rPr>
              <w:t>Data extraction table (Chapter 2)</w:t>
            </w:r>
          </w:p>
        </w:tc>
        <w:tc>
          <w:tcPr>
            <w:tcW w:w="1933" w:type="dxa"/>
            <w:tcBorders>
              <w:top w:val="single" w:sz="4" w:space="0" w:color="auto"/>
              <w:left w:val="single" w:sz="4" w:space="0" w:color="auto"/>
              <w:bottom w:val="single" w:sz="4" w:space="0" w:color="auto"/>
              <w:right w:val="single" w:sz="4" w:space="0" w:color="auto"/>
            </w:tcBorders>
          </w:tcPr>
          <w:p w14:paraId="0CD6713B" w14:textId="52ECFC1A" w:rsidR="00BC681C" w:rsidRPr="00103A0B" w:rsidRDefault="00B847E5" w:rsidP="00CD5919">
            <w:pPr>
              <w:spacing w:line="360" w:lineRule="auto"/>
              <w:jc w:val="both"/>
              <w:rPr>
                <w:rFonts w:ascii="Arial" w:hAnsi="Arial" w:cs="Arial"/>
                <w:sz w:val="24"/>
                <w:szCs w:val="24"/>
              </w:rPr>
            </w:pPr>
            <w:r w:rsidRPr="00103A0B">
              <w:rPr>
                <w:rFonts w:ascii="Arial" w:hAnsi="Arial" w:cs="Arial"/>
                <w:sz w:val="24"/>
                <w:szCs w:val="24"/>
              </w:rPr>
              <w:t>1</w:t>
            </w:r>
            <w:r w:rsidR="000B14FB" w:rsidRPr="00103A0B">
              <w:rPr>
                <w:rFonts w:ascii="Arial" w:hAnsi="Arial" w:cs="Arial"/>
                <w:sz w:val="24"/>
                <w:szCs w:val="24"/>
              </w:rPr>
              <w:t>8</w:t>
            </w:r>
            <w:r w:rsidR="00573732" w:rsidRPr="00103A0B">
              <w:rPr>
                <w:rFonts w:ascii="Arial" w:hAnsi="Arial" w:cs="Arial"/>
                <w:sz w:val="24"/>
                <w:szCs w:val="24"/>
              </w:rPr>
              <w:t>0</w:t>
            </w:r>
            <w:r w:rsidRPr="00103A0B">
              <w:rPr>
                <w:rFonts w:ascii="Arial" w:hAnsi="Arial" w:cs="Arial"/>
                <w:sz w:val="24"/>
                <w:szCs w:val="24"/>
              </w:rPr>
              <w:t>-</w:t>
            </w:r>
            <w:r w:rsidR="00811B15" w:rsidRPr="00103A0B">
              <w:rPr>
                <w:rFonts w:ascii="Arial" w:hAnsi="Arial" w:cs="Arial"/>
                <w:sz w:val="24"/>
                <w:szCs w:val="24"/>
              </w:rPr>
              <w:t>18</w:t>
            </w:r>
            <w:r w:rsidR="00573732" w:rsidRPr="00103A0B">
              <w:rPr>
                <w:rFonts w:ascii="Arial" w:hAnsi="Arial" w:cs="Arial"/>
                <w:sz w:val="24"/>
                <w:szCs w:val="24"/>
              </w:rPr>
              <w:t>6</w:t>
            </w:r>
          </w:p>
        </w:tc>
      </w:tr>
      <w:tr w:rsidR="00BC681C" w:rsidRPr="00103A0B" w14:paraId="7BFB0B6F"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5B22021B" w14:textId="77777777"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3</w:t>
            </w:r>
          </w:p>
        </w:tc>
        <w:tc>
          <w:tcPr>
            <w:tcW w:w="4078" w:type="dxa"/>
            <w:tcBorders>
              <w:top w:val="single" w:sz="4" w:space="0" w:color="auto"/>
              <w:left w:val="single" w:sz="4" w:space="0" w:color="auto"/>
              <w:bottom w:val="single" w:sz="4" w:space="0" w:color="auto"/>
              <w:right w:val="single" w:sz="4" w:space="0" w:color="auto"/>
            </w:tcBorders>
            <w:hideMark/>
          </w:tcPr>
          <w:p w14:paraId="42B7ADE2" w14:textId="357679D6" w:rsidR="00BC681C" w:rsidRPr="00103A0B" w:rsidRDefault="00BC681C" w:rsidP="00CD5919">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BCTs present in the ten highest and ten lowest retention programmes (Chapter 2)</w:t>
            </w:r>
          </w:p>
        </w:tc>
        <w:tc>
          <w:tcPr>
            <w:tcW w:w="1933" w:type="dxa"/>
            <w:tcBorders>
              <w:top w:val="single" w:sz="4" w:space="0" w:color="auto"/>
              <w:left w:val="single" w:sz="4" w:space="0" w:color="auto"/>
              <w:bottom w:val="single" w:sz="4" w:space="0" w:color="auto"/>
              <w:right w:val="single" w:sz="4" w:space="0" w:color="auto"/>
            </w:tcBorders>
          </w:tcPr>
          <w:p w14:paraId="1B969C68" w14:textId="06793518" w:rsidR="00BC681C" w:rsidRPr="00103A0B" w:rsidRDefault="00811B15" w:rsidP="00CD5919">
            <w:pPr>
              <w:spacing w:line="360" w:lineRule="auto"/>
              <w:jc w:val="both"/>
              <w:rPr>
                <w:rFonts w:ascii="Arial" w:hAnsi="Arial" w:cs="Arial"/>
                <w:sz w:val="24"/>
                <w:szCs w:val="24"/>
              </w:rPr>
            </w:pPr>
            <w:r w:rsidRPr="00103A0B">
              <w:rPr>
                <w:rFonts w:ascii="Arial" w:hAnsi="Arial" w:cs="Arial"/>
                <w:sz w:val="24"/>
                <w:szCs w:val="24"/>
              </w:rPr>
              <w:t>18</w:t>
            </w:r>
            <w:r w:rsidR="00573732" w:rsidRPr="00103A0B">
              <w:rPr>
                <w:rFonts w:ascii="Arial" w:hAnsi="Arial" w:cs="Arial"/>
                <w:sz w:val="24"/>
                <w:szCs w:val="24"/>
              </w:rPr>
              <w:t>7</w:t>
            </w:r>
          </w:p>
        </w:tc>
      </w:tr>
      <w:tr w:rsidR="00BE157E" w:rsidRPr="00103A0B" w14:paraId="07F4AC82" w14:textId="77777777" w:rsidTr="00BC681C">
        <w:tc>
          <w:tcPr>
            <w:tcW w:w="3005" w:type="dxa"/>
            <w:tcBorders>
              <w:top w:val="single" w:sz="4" w:space="0" w:color="auto"/>
              <w:left w:val="single" w:sz="4" w:space="0" w:color="auto"/>
              <w:bottom w:val="single" w:sz="4" w:space="0" w:color="auto"/>
              <w:right w:val="single" w:sz="4" w:space="0" w:color="auto"/>
            </w:tcBorders>
          </w:tcPr>
          <w:p w14:paraId="2AF20BE0" w14:textId="25E82297" w:rsidR="00BE157E" w:rsidRPr="00103A0B" w:rsidRDefault="00BE157E" w:rsidP="00CD5919">
            <w:pPr>
              <w:spacing w:line="360" w:lineRule="auto"/>
              <w:jc w:val="both"/>
              <w:rPr>
                <w:rFonts w:ascii="Arial" w:hAnsi="Arial" w:cs="Arial"/>
                <w:sz w:val="24"/>
                <w:szCs w:val="24"/>
              </w:rPr>
            </w:pPr>
            <w:r w:rsidRPr="00103A0B">
              <w:rPr>
                <w:rFonts w:ascii="Arial" w:hAnsi="Arial" w:cs="Arial"/>
                <w:sz w:val="24"/>
                <w:szCs w:val="24"/>
              </w:rPr>
              <w:t>Appendix 4</w:t>
            </w:r>
          </w:p>
        </w:tc>
        <w:tc>
          <w:tcPr>
            <w:tcW w:w="4078" w:type="dxa"/>
            <w:tcBorders>
              <w:top w:val="single" w:sz="4" w:space="0" w:color="auto"/>
              <w:left w:val="single" w:sz="4" w:space="0" w:color="auto"/>
              <w:bottom w:val="single" w:sz="4" w:space="0" w:color="auto"/>
              <w:right w:val="single" w:sz="4" w:space="0" w:color="auto"/>
            </w:tcBorders>
          </w:tcPr>
          <w:p w14:paraId="22BE6100" w14:textId="614B513F" w:rsidR="00BE157E" w:rsidRPr="00103A0B" w:rsidRDefault="00BE157E" w:rsidP="00CD5919">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Further, updated information on the NHSDPP (Chapter 4)</w:t>
            </w:r>
          </w:p>
        </w:tc>
        <w:tc>
          <w:tcPr>
            <w:tcW w:w="1933" w:type="dxa"/>
            <w:tcBorders>
              <w:top w:val="single" w:sz="4" w:space="0" w:color="auto"/>
              <w:left w:val="single" w:sz="4" w:space="0" w:color="auto"/>
              <w:bottom w:val="single" w:sz="4" w:space="0" w:color="auto"/>
              <w:right w:val="single" w:sz="4" w:space="0" w:color="auto"/>
            </w:tcBorders>
          </w:tcPr>
          <w:p w14:paraId="7C9C018E" w14:textId="37F5F244" w:rsidR="00BE157E" w:rsidRPr="00103A0B" w:rsidRDefault="000B14FB" w:rsidP="00CD5919">
            <w:pPr>
              <w:spacing w:line="360" w:lineRule="auto"/>
              <w:jc w:val="both"/>
              <w:rPr>
                <w:rFonts w:ascii="Arial" w:hAnsi="Arial" w:cs="Arial"/>
                <w:sz w:val="24"/>
                <w:szCs w:val="24"/>
              </w:rPr>
            </w:pPr>
            <w:r w:rsidRPr="00103A0B">
              <w:rPr>
                <w:rFonts w:ascii="Arial" w:hAnsi="Arial" w:cs="Arial"/>
                <w:sz w:val="24"/>
                <w:szCs w:val="24"/>
              </w:rPr>
              <w:t>1</w:t>
            </w:r>
            <w:r w:rsidR="00D23942" w:rsidRPr="00103A0B">
              <w:rPr>
                <w:rFonts w:ascii="Arial" w:hAnsi="Arial" w:cs="Arial"/>
                <w:sz w:val="24"/>
                <w:szCs w:val="24"/>
              </w:rPr>
              <w:t>8</w:t>
            </w:r>
            <w:r w:rsidR="00573732" w:rsidRPr="00103A0B">
              <w:rPr>
                <w:rFonts w:ascii="Arial" w:hAnsi="Arial" w:cs="Arial"/>
                <w:sz w:val="24"/>
                <w:szCs w:val="24"/>
              </w:rPr>
              <w:t>8</w:t>
            </w:r>
            <w:r w:rsidRPr="00103A0B">
              <w:rPr>
                <w:rFonts w:ascii="Arial" w:hAnsi="Arial" w:cs="Arial"/>
                <w:sz w:val="24"/>
                <w:szCs w:val="24"/>
              </w:rPr>
              <w:t>-1</w:t>
            </w:r>
            <w:r w:rsidR="00573732" w:rsidRPr="00103A0B">
              <w:rPr>
                <w:rFonts w:ascii="Arial" w:hAnsi="Arial" w:cs="Arial"/>
                <w:sz w:val="24"/>
                <w:szCs w:val="24"/>
              </w:rPr>
              <w:t>89</w:t>
            </w:r>
          </w:p>
        </w:tc>
      </w:tr>
      <w:tr w:rsidR="00BE157E" w:rsidRPr="00103A0B" w14:paraId="6BA06B91" w14:textId="77777777" w:rsidTr="00BC681C">
        <w:tc>
          <w:tcPr>
            <w:tcW w:w="3005" w:type="dxa"/>
            <w:tcBorders>
              <w:top w:val="single" w:sz="4" w:space="0" w:color="auto"/>
              <w:left w:val="single" w:sz="4" w:space="0" w:color="auto"/>
              <w:bottom w:val="single" w:sz="4" w:space="0" w:color="auto"/>
              <w:right w:val="single" w:sz="4" w:space="0" w:color="auto"/>
            </w:tcBorders>
          </w:tcPr>
          <w:p w14:paraId="2CEB651A" w14:textId="2E67548F" w:rsidR="00BE157E" w:rsidRPr="00103A0B" w:rsidRDefault="00BE157E" w:rsidP="00CD5919">
            <w:pPr>
              <w:spacing w:line="360" w:lineRule="auto"/>
              <w:jc w:val="both"/>
              <w:rPr>
                <w:rFonts w:ascii="Arial" w:hAnsi="Arial" w:cs="Arial"/>
                <w:sz w:val="24"/>
                <w:szCs w:val="24"/>
              </w:rPr>
            </w:pPr>
            <w:r w:rsidRPr="00103A0B">
              <w:rPr>
                <w:rFonts w:ascii="Arial" w:hAnsi="Arial" w:cs="Arial"/>
                <w:sz w:val="24"/>
                <w:szCs w:val="24"/>
              </w:rPr>
              <w:t>Appendix 5</w:t>
            </w:r>
          </w:p>
        </w:tc>
        <w:tc>
          <w:tcPr>
            <w:tcW w:w="4078" w:type="dxa"/>
            <w:tcBorders>
              <w:top w:val="single" w:sz="4" w:space="0" w:color="auto"/>
              <w:left w:val="single" w:sz="4" w:space="0" w:color="auto"/>
              <w:bottom w:val="single" w:sz="4" w:space="0" w:color="auto"/>
              <w:right w:val="single" w:sz="4" w:space="0" w:color="auto"/>
            </w:tcBorders>
          </w:tcPr>
          <w:p w14:paraId="5D9255FC" w14:textId="111B12A9" w:rsidR="00BE157E" w:rsidRPr="00103A0B" w:rsidRDefault="00BE157E" w:rsidP="00CD5919">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The Warwick-Edinburgh Mental Well-being Scale (WEMWBS) (Chapter 4)</w:t>
            </w:r>
          </w:p>
        </w:tc>
        <w:tc>
          <w:tcPr>
            <w:tcW w:w="1933" w:type="dxa"/>
            <w:tcBorders>
              <w:top w:val="single" w:sz="4" w:space="0" w:color="auto"/>
              <w:left w:val="single" w:sz="4" w:space="0" w:color="auto"/>
              <w:bottom w:val="single" w:sz="4" w:space="0" w:color="auto"/>
              <w:right w:val="single" w:sz="4" w:space="0" w:color="auto"/>
            </w:tcBorders>
          </w:tcPr>
          <w:p w14:paraId="51F97F95" w14:textId="6FF7E7B5" w:rsidR="00BE157E" w:rsidRPr="00103A0B" w:rsidRDefault="000B14FB" w:rsidP="00CD5919">
            <w:pPr>
              <w:spacing w:line="360" w:lineRule="auto"/>
              <w:jc w:val="both"/>
              <w:rPr>
                <w:rFonts w:ascii="Arial" w:hAnsi="Arial" w:cs="Arial"/>
                <w:sz w:val="24"/>
                <w:szCs w:val="24"/>
              </w:rPr>
            </w:pPr>
            <w:r w:rsidRPr="00103A0B">
              <w:rPr>
                <w:rFonts w:ascii="Arial" w:hAnsi="Arial" w:cs="Arial"/>
                <w:sz w:val="24"/>
                <w:szCs w:val="24"/>
              </w:rPr>
              <w:t>19</w:t>
            </w:r>
            <w:r w:rsidR="00573732" w:rsidRPr="00103A0B">
              <w:rPr>
                <w:rFonts w:ascii="Arial" w:hAnsi="Arial" w:cs="Arial"/>
                <w:sz w:val="24"/>
                <w:szCs w:val="24"/>
              </w:rPr>
              <w:t>0</w:t>
            </w:r>
          </w:p>
        </w:tc>
      </w:tr>
      <w:tr w:rsidR="00BC681C" w:rsidRPr="00103A0B" w14:paraId="50A9F095"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68F2905E" w14:textId="571EA935"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 xml:space="preserve">Appendix </w:t>
            </w:r>
            <w:r w:rsidR="00BE157E" w:rsidRPr="00103A0B">
              <w:rPr>
                <w:rFonts w:ascii="Arial" w:hAnsi="Arial" w:cs="Arial"/>
                <w:sz w:val="24"/>
                <w:szCs w:val="24"/>
              </w:rPr>
              <w:t>6</w:t>
            </w:r>
          </w:p>
        </w:tc>
        <w:tc>
          <w:tcPr>
            <w:tcW w:w="4078" w:type="dxa"/>
            <w:tcBorders>
              <w:top w:val="single" w:sz="4" w:space="0" w:color="auto"/>
              <w:left w:val="single" w:sz="4" w:space="0" w:color="auto"/>
              <w:bottom w:val="single" w:sz="4" w:space="0" w:color="auto"/>
              <w:right w:val="single" w:sz="4" w:space="0" w:color="auto"/>
            </w:tcBorders>
            <w:hideMark/>
          </w:tcPr>
          <w:p w14:paraId="3C99477B" w14:textId="1D2CD98A"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Interview schedule (Chapter 5)</w:t>
            </w:r>
          </w:p>
        </w:tc>
        <w:tc>
          <w:tcPr>
            <w:tcW w:w="1933" w:type="dxa"/>
            <w:tcBorders>
              <w:top w:val="single" w:sz="4" w:space="0" w:color="auto"/>
              <w:left w:val="single" w:sz="4" w:space="0" w:color="auto"/>
              <w:bottom w:val="single" w:sz="4" w:space="0" w:color="auto"/>
              <w:right w:val="single" w:sz="4" w:space="0" w:color="auto"/>
            </w:tcBorders>
          </w:tcPr>
          <w:p w14:paraId="5F5811A6" w14:textId="35436E1D" w:rsidR="00BC681C" w:rsidRPr="00103A0B" w:rsidRDefault="00811B15" w:rsidP="00CD5919">
            <w:pPr>
              <w:spacing w:line="360" w:lineRule="auto"/>
              <w:jc w:val="both"/>
              <w:rPr>
                <w:rFonts w:ascii="Arial" w:hAnsi="Arial" w:cs="Arial"/>
                <w:sz w:val="24"/>
                <w:szCs w:val="24"/>
              </w:rPr>
            </w:pPr>
            <w:r w:rsidRPr="00103A0B">
              <w:rPr>
                <w:rFonts w:ascii="Arial" w:hAnsi="Arial" w:cs="Arial"/>
                <w:sz w:val="24"/>
                <w:szCs w:val="24"/>
              </w:rPr>
              <w:t>1</w:t>
            </w:r>
            <w:r w:rsidR="000B14FB" w:rsidRPr="00103A0B">
              <w:rPr>
                <w:rFonts w:ascii="Arial" w:hAnsi="Arial" w:cs="Arial"/>
                <w:sz w:val="24"/>
                <w:szCs w:val="24"/>
              </w:rPr>
              <w:t>9</w:t>
            </w:r>
            <w:r w:rsidR="00573732" w:rsidRPr="00103A0B">
              <w:rPr>
                <w:rFonts w:ascii="Arial" w:hAnsi="Arial" w:cs="Arial"/>
                <w:sz w:val="24"/>
                <w:szCs w:val="24"/>
              </w:rPr>
              <w:t>1</w:t>
            </w:r>
          </w:p>
        </w:tc>
      </w:tr>
      <w:tr w:rsidR="00BC681C" w:rsidRPr="00103A0B" w14:paraId="0953E767"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227F77D2" w14:textId="2D018791"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 xml:space="preserve">Appendix </w:t>
            </w:r>
            <w:r w:rsidR="00BE157E" w:rsidRPr="00103A0B">
              <w:rPr>
                <w:rFonts w:ascii="Arial" w:hAnsi="Arial" w:cs="Arial"/>
                <w:sz w:val="24"/>
                <w:szCs w:val="24"/>
              </w:rPr>
              <w:t>7</w:t>
            </w:r>
          </w:p>
        </w:tc>
        <w:tc>
          <w:tcPr>
            <w:tcW w:w="4078" w:type="dxa"/>
            <w:tcBorders>
              <w:top w:val="single" w:sz="4" w:space="0" w:color="auto"/>
              <w:left w:val="single" w:sz="4" w:space="0" w:color="auto"/>
              <w:bottom w:val="single" w:sz="4" w:space="0" w:color="auto"/>
              <w:right w:val="single" w:sz="4" w:space="0" w:color="auto"/>
            </w:tcBorders>
            <w:hideMark/>
          </w:tcPr>
          <w:p w14:paraId="0F247827" w14:textId="5CA251F5"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Interview schedule (Chapter 6)</w:t>
            </w:r>
          </w:p>
        </w:tc>
        <w:tc>
          <w:tcPr>
            <w:tcW w:w="1933" w:type="dxa"/>
            <w:tcBorders>
              <w:top w:val="single" w:sz="4" w:space="0" w:color="auto"/>
              <w:left w:val="single" w:sz="4" w:space="0" w:color="auto"/>
              <w:bottom w:val="single" w:sz="4" w:space="0" w:color="auto"/>
              <w:right w:val="single" w:sz="4" w:space="0" w:color="auto"/>
            </w:tcBorders>
          </w:tcPr>
          <w:p w14:paraId="052220E0" w14:textId="29B71F01" w:rsidR="00BC681C" w:rsidRPr="00103A0B" w:rsidRDefault="00811B15" w:rsidP="00CD5919">
            <w:pPr>
              <w:spacing w:line="360" w:lineRule="auto"/>
              <w:jc w:val="both"/>
              <w:rPr>
                <w:rFonts w:ascii="Arial" w:hAnsi="Arial" w:cs="Arial"/>
                <w:sz w:val="24"/>
                <w:szCs w:val="24"/>
              </w:rPr>
            </w:pPr>
            <w:r w:rsidRPr="00103A0B">
              <w:rPr>
                <w:rFonts w:ascii="Arial" w:hAnsi="Arial" w:cs="Arial"/>
                <w:sz w:val="24"/>
                <w:szCs w:val="24"/>
              </w:rPr>
              <w:t>1</w:t>
            </w:r>
            <w:r w:rsidR="000B14FB" w:rsidRPr="00103A0B">
              <w:rPr>
                <w:rFonts w:ascii="Arial" w:hAnsi="Arial" w:cs="Arial"/>
                <w:sz w:val="24"/>
                <w:szCs w:val="24"/>
              </w:rPr>
              <w:t>9</w:t>
            </w:r>
            <w:r w:rsidR="00573732" w:rsidRPr="00103A0B">
              <w:rPr>
                <w:rFonts w:ascii="Arial" w:hAnsi="Arial" w:cs="Arial"/>
                <w:sz w:val="24"/>
                <w:szCs w:val="24"/>
              </w:rPr>
              <w:t>2</w:t>
            </w:r>
          </w:p>
        </w:tc>
      </w:tr>
      <w:tr w:rsidR="00BC681C" w:rsidRPr="00103A0B" w14:paraId="58855517"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72E10C78" w14:textId="345CD175"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 xml:space="preserve">Appendix </w:t>
            </w:r>
            <w:r w:rsidR="00BE157E" w:rsidRPr="00103A0B">
              <w:rPr>
                <w:rFonts w:ascii="Arial" w:hAnsi="Arial" w:cs="Arial"/>
                <w:sz w:val="24"/>
                <w:szCs w:val="24"/>
              </w:rPr>
              <w:t>8</w:t>
            </w:r>
          </w:p>
        </w:tc>
        <w:tc>
          <w:tcPr>
            <w:tcW w:w="4078" w:type="dxa"/>
            <w:tcBorders>
              <w:top w:val="single" w:sz="4" w:space="0" w:color="auto"/>
              <w:left w:val="single" w:sz="4" w:space="0" w:color="auto"/>
              <w:bottom w:val="single" w:sz="4" w:space="0" w:color="auto"/>
              <w:right w:val="single" w:sz="4" w:space="0" w:color="auto"/>
            </w:tcBorders>
            <w:hideMark/>
          </w:tcPr>
          <w:p w14:paraId="3EA83E52" w14:textId="77777777"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Example of coding (Chapter 5)</w:t>
            </w:r>
          </w:p>
        </w:tc>
        <w:tc>
          <w:tcPr>
            <w:tcW w:w="1933" w:type="dxa"/>
            <w:tcBorders>
              <w:top w:val="single" w:sz="4" w:space="0" w:color="auto"/>
              <w:left w:val="single" w:sz="4" w:space="0" w:color="auto"/>
              <w:bottom w:val="single" w:sz="4" w:space="0" w:color="auto"/>
              <w:right w:val="single" w:sz="4" w:space="0" w:color="auto"/>
            </w:tcBorders>
          </w:tcPr>
          <w:p w14:paraId="576BAAD3" w14:textId="7136EEAC" w:rsidR="00BC681C" w:rsidRPr="00103A0B" w:rsidRDefault="00811B15" w:rsidP="00CD5919">
            <w:pPr>
              <w:spacing w:line="360" w:lineRule="auto"/>
              <w:jc w:val="both"/>
              <w:rPr>
                <w:rFonts w:ascii="Arial" w:hAnsi="Arial" w:cs="Arial"/>
                <w:sz w:val="24"/>
                <w:szCs w:val="24"/>
              </w:rPr>
            </w:pPr>
            <w:r w:rsidRPr="00103A0B">
              <w:rPr>
                <w:rFonts w:ascii="Arial" w:hAnsi="Arial" w:cs="Arial"/>
                <w:sz w:val="24"/>
                <w:szCs w:val="24"/>
              </w:rPr>
              <w:t>1</w:t>
            </w:r>
            <w:r w:rsidR="000B14FB" w:rsidRPr="00103A0B">
              <w:rPr>
                <w:rFonts w:ascii="Arial" w:hAnsi="Arial" w:cs="Arial"/>
                <w:sz w:val="24"/>
                <w:szCs w:val="24"/>
              </w:rPr>
              <w:t>9</w:t>
            </w:r>
            <w:r w:rsidR="00573732" w:rsidRPr="00103A0B">
              <w:rPr>
                <w:rFonts w:ascii="Arial" w:hAnsi="Arial" w:cs="Arial"/>
                <w:sz w:val="24"/>
                <w:szCs w:val="24"/>
              </w:rPr>
              <w:t>3</w:t>
            </w:r>
            <w:r w:rsidR="00B847E5" w:rsidRPr="00103A0B">
              <w:rPr>
                <w:rFonts w:ascii="Arial" w:hAnsi="Arial" w:cs="Arial"/>
                <w:sz w:val="24"/>
                <w:szCs w:val="24"/>
              </w:rPr>
              <w:t>-</w:t>
            </w:r>
            <w:r w:rsidRPr="00103A0B">
              <w:rPr>
                <w:rFonts w:ascii="Arial" w:hAnsi="Arial" w:cs="Arial"/>
                <w:sz w:val="24"/>
                <w:szCs w:val="24"/>
              </w:rPr>
              <w:t>19</w:t>
            </w:r>
            <w:r w:rsidR="00573732" w:rsidRPr="00103A0B">
              <w:rPr>
                <w:rFonts w:ascii="Arial" w:hAnsi="Arial" w:cs="Arial"/>
                <w:sz w:val="24"/>
                <w:szCs w:val="24"/>
              </w:rPr>
              <w:t>4</w:t>
            </w:r>
          </w:p>
        </w:tc>
      </w:tr>
      <w:tr w:rsidR="00BC681C" w:rsidRPr="00103A0B" w14:paraId="0F6C6990"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0E1E378A" w14:textId="619B476F"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 xml:space="preserve">Appendix </w:t>
            </w:r>
            <w:r w:rsidR="00BE157E" w:rsidRPr="00103A0B">
              <w:rPr>
                <w:rFonts w:ascii="Arial" w:hAnsi="Arial" w:cs="Arial"/>
                <w:sz w:val="24"/>
                <w:szCs w:val="24"/>
              </w:rPr>
              <w:t>9</w:t>
            </w:r>
          </w:p>
        </w:tc>
        <w:tc>
          <w:tcPr>
            <w:tcW w:w="4078" w:type="dxa"/>
            <w:tcBorders>
              <w:top w:val="single" w:sz="4" w:space="0" w:color="auto"/>
              <w:left w:val="single" w:sz="4" w:space="0" w:color="auto"/>
              <w:bottom w:val="single" w:sz="4" w:space="0" w:color="auto"/>
              <w:right w:val="single" w:sz="4" w:space="0" w:color="auto"/>
            </w:tcBorders>
            <w:hideMark/>
          </w:tcPr>
          <w:p w14:paraId="384556FD" w14:textId="5A2F0123"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Example of coding (Chapter 6)</w:t>
            </w:r>
          </w:p>
        </w:tc>
        <w:tc>
          <w:tcPr>
            <w:tcW w:w="1933" w:type="dxa"/>
            <w:tcBorders>
              <w:top w:val="single" w:sz="4" w:space="0" w:color="auto"/>
              <w:left w:val="single" w:sz="4" w:space="0" w:color="auto"/>
              <w:bottom w:val="single" w:sz="4" w:space="0" w:color="auto"/>
              <w:right w:val="single" w:sz="4" w:space="0" w:color="auto"/>
            </w:tcBorders>
          </w:tcPr>
          <w:p w14:paraId="5727080B" w14:textId="2D58BC68" w:rsidR="00BC681C" w:rsidRPr="00103A0B" w:rsidRDefault="00811B15" w:rsidP="00CD5919">
            <w:pPr>
              <w:spacing w:line="360" w:lineRule="auto"/>
              <w:jc w:val="both"/>
              <w:rPr>
                <w:rFonts w:ascii="Arial" w:hAnsi="Arial" w:cs="Arial"/>
                <w:sz w:val="24"/>
                <w:szCs w:val="24"/>
              </w:rPr>
            </w:pPr>
            <w:r w:rsidRPr="00103A0B">
              <w:rPr>
                <w:rFonts w:ascii="Arial" w:hAnsi="Arial" w:cs="Arial"/>
                <w:sz w:val="24"/>
                <w:szCs w:val="24"/>
              </w:rPr>
              <w:t>19</w:t>
            </w:r>
            <w:r w:rsidR="00573732" w:rsidRPr="00103A0B">
              <w:rPr>
                <w:rFonts w:ascii="Arial" w:hAnsi="Arial" w:cs="Arial"/>
                <w:sz w:val="24"/>
                <w:szCs w:val="24"/>
              </w:rPr>
              <w:t>5</w:t>
            </w:r>
            <w:r w:rsidR="00B847E5" w:rsidRPr="00103A0B">
              <w:rPr>
                <w:rFonts w:ascii="Arial" w:hAnsi="Arial" w:cs="Arial"/>
                <w:sz w:val="24"/>
                <w:szCs w:val="24"/>
              </w:rPr>
              <w:t>-</w:t>
            </w:r>
            <w:r w:rsidRPr="00103A0B">
              <w:rPr>
                <w:rFonts w:ascii="Arial" w:hAnsi="Arial" w:cs="Arial"/>
                <w:sz w:val="24"/>
                <w:szCs w:val="24"/>
              </w:rPr>
              <w:t>19</w:t>
            </w:r>
            <w:r w:rsidR="00573732" w:rsidRPr="00103A0B">
              <w:rPr>
                <w:rFonts w:ascii="Arial" w:hAnsi="Arial" w:cs="Arial"/>
                <w:sz w:val="24"/>
                <w:szCs w:val="24"/>
              </w:rPr>
              <w:t>6</w:t>
            </w:r>
          </w:p>
        </w:tc>
      </w:tr>
      <w:tr w:rsidR="00BC681C" w:rsidRPr="00103A0B" w14:paraId="63CF87E5"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4D1A6B70" w14:textId="6C03AB76"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 xml:space="preserve">Appendix </w:t>
            </w:r>
            <w:r w:rsidR="00BE157E" w:rsidRPr="00103A0B">
              <w:rPr>
                <w:rFonts w:ascii="Arial" w:hAnsi="Arial" w:cs="Arial"/>
                <w:sz w:val="24"/>
                <w:szCs w:val="24"/>
              </w:rPr>
              <w:t>10</w:t>
            </w:r>
          </w:p>
        </w:tc>
        <w:tc>
          <w:tcPr>
            <w:tcW w:w="4078" w:type="dxa"/>
            <w:tcBorders>
              <w:top w:val="single" w:sz="4" w:space="0" w:color="auto"/>
              <w:left w:val="single" w:sz="4" w:space="0" w:color="auto"/>
              <w:bottom w:val="single" w:sz="4" w:space="0" w:color="auto"/>
              <w:right w:val="single" w:sz="4" w:space="0" w:color="auto"/>
            </w:tcBorders>
            <w:hideMark/>
          </w:tcPr>
          <w:p w14:paraId="09989563" w14:textId="584B9373"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Ethical approval- qualitative studies (Chapters 5 and 6)</w:t>
            </w:r>
          </w:p>
        </w:tc>
        <w:tc>
          <w:tcPr>
            <w:tcW w:w="1933" w:type="dxa"/>
            <w:tcBorders>
              <w:top w:val="single" w:sz="4" w:space="0" w:color="auto"/>
              <w:left w:val="single" w:sz="4" w:space="0" w:color="auto"/>
              <w:bottom w:val="single" w:sz="4" w:space="0" w:color="auto"/>
              <w:right w:val="single" w:sz="4" w:space="0" w:color="auto"/>
            </w:tcBorders>
          </w:tcPr>
          <w:p w14:paraId="3DA7A772" w14:textId="0B8D956A" w:rsidR="00BC681C" w:rsidRPr="00103A0B" w:rsidRDefault="00811B15" w:rsidP="00CD5919">
            <w:pPr>
              <w:spacing w:line="360" w:lineRule="auto"/>
              <w:jc w:val="both"/>
              <w:rPr>
                <w:rFonts w:ascii="Arial" w:hAnsi="Arial" w:cs="Arial"/>
                <w:sz w:val="24"/>
                <w:szCs w:val="24"/>
              </w:rPr>
            </w:pPr>
            <w:r w:rsidRPr="00103A0B">
              <w:rPr>
                <w:rFonts w:ascii="Arial" w:hAnsi="Arial" w:cs="Arial"/>
                <w:sz w:val="24"/>
                <w:szCs w:val="24"/>
              </w:rPr>
              <w:t>19</w:t>
            </w:r>
            <w:r w:rsidR="00573732" w:rsidRPr="00103A0B">
              <w:rPr>
                <w:rFonts w:ascii="Arial" w:hAnsi="Arial" w:cs="Arial"/>
                <w:sz w:val="24"/>
                <w:szCs w:val="24"/>
              </w:rPr>
              <w:t>7</w:t>
            </w:r>
          </w:p>
        </w:tc>
      </w:tr>
      <w:tr w:rsidR="00BC681C" w:rsidRPr="00103A0B" w14:paraId="4C93475C"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2B9D40F9" w14:textId="67A7D67D"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 xml:space="preserve">Appendix </w:t>
            </w:r>
            <w:r w:rsidR="00BE157E" w:rsidRPr="00103A0B">
              <w:rPr>
                <w:rFonts w:ascii="Arial" w:hAnsi="Arial" w:cs="Arial"/>
                <w:sz w:val="24"/>
                <w:szCs w:val="24"/>
              </w:rPr>
              <w:t>11</w:t>
            </w:r>
          </w:p>
        </w:tc>
        <w:tc>
          <w:tcPr>
            <w:tcW w:w="4078" w:type="dxa"/>
            <w:tcBorders>
              <w:top w:val="single" w:sz="4" w:space="0" w:color="auto"/>
              <w:left w:val="single" w:sz="4" w:space="0" w:color="auto"/>
              <w:bottom w:val="single" w:sz="4" w:space="0" w:color="auto"/>
              <w:right w:val="single" w:sz="4" w:space="0" w:color="auto"/>
            </w:tcBorders>
            <w:hideMark/>
          </w:tcPr>
          <w:p w14:paraId="4AD24FB2" w14:textId="666486A8"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Ethical approval- quantitative study (Chapter 7)</w:t>
            </w:r>
          </w:p>
        </w:tc>
        <w:tc>
          <w:tcPr>
            <w:tcW w:w="1933" w:type="dxa"/>
            <w:tcBorders>
              <w:top w:val="single" w:sz="4" w:space="0" w:color="auto"/>
              <w:left w:val="single" w:sz="4" w:space="0" w:color="auto"/>
              <w:bottom w:val="single" w:sz="4" w:space="0" w:color="auto"/>
              <w:right w:val="single" w:sz="4" w:space="0" w:color="auto"/>
            </w:tcBorders>
          </w:tcPr>
          <w:p w14:paraId="01484532" w14:textId="790E39FF" w:rsidR="00BC681C" w:rsidRPr="00103A0B" w:rsidRDefault="005D1464" w:rsidP="00CD5919">
            <w:pPr>
              <w:spacing w:line="360" w:lineRule="auto"/>
              <w:jc w:val="both"/>
              <w:rPr>
                <w:rFonts w:ascii="Arial" w:hAnsi="Arial" w:cs="Arial"/>
                <w:sz w:val="24"/>
                <w:szCs w:val="24"/>
              </w:rPr>
            </w:pPr>
            <w:r w:rsidRPr="00103A0B">
              <w:rPr>
                <w:rFonts w:ascii="Arial" w:hAnsi="Arial" w:cs="Arial"/>
                <w:sz w:val="24"/>
                <w:szCs w:val="24"/>
              </w:rPr>
              <w:t>19</w:t>
            </w:r>
            <w:r w:rsidR="00573732" w:rsidRPr="00103A0B">
              <w:rPr>
                <w:rFonts w:ascii="Arial" w:hAnsi="Arial" w:cs="Arial"/>
                <w:sz w:val="24"/>
                <w:szCs w:val="24"/>
              </w:rPr>
              <w:t>8</w:t>
            </w:r>
          </w:p>
        </w:tc>
      </w:tr>
      <w:tr w:rsidR="00BC681C" w:rsidRPr="00103A0B" w14:paraId="7487FC1B"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4925771A" w14:textId="6D7C9ACA"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1</w:t>
            </w:r>
            <w:r w:rsidR="00BE157E" w:rsidRPr="00103A0B">
              <w:rPr>
                <w:rFonts w:ascii="Arial" w:hAnsi="Arial" w:cs="Arial"/>
                <w:sz w:val="24"/>
                <w:szCs w:val="24"/>
              </w:rPr>
              <w:t>2</w:t>
            </w:r>
          </w:p>
        </w:tc>
        <w:tc>
          <w:tcPr>
            <w:tcW w:w="4078" w:type="dxa"/>
            <w:tcBorders>
              <w:top w:val="single" w:sz="4" w:space="0" w:color="auto"/>
              <w:left w:val="single" w:sz="4" w:space="0" w:color="auto"/>
              <w:bottom w:val="single" w:sz="4" w:space="0" w:color="auto"/>
              <w:right w:val="single" w:sz="4" w:space="0" w:color="auto"/>
            </w:tcBorders>
            <w:hideMark/>
          </w:tcPr>
          <w:p w14:paraId="3D570E37" w14:textId="398EB9BE"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Invitation letter (Chapter 5)</w:t>
            </w:r>
          </w:p>
        </w:tc>
        <w:tc>
          <w:tcPr>
            <w:tcW w:w="1933" w:type="dxa"/>
            <w:tcBorders>
              <w:top w:val="single" w:sz="4" w:space="0" w:color="auto"/>
              <w:left w:val="single" w:sz="4" w:space="0" w:color="auto"/>
              <w:bottom w:val="single" w:sz="4" w:space="0" w:color="auto"/>
              <w:right w:val="single" w:sz="4" w:space="0" w:color="auto"/>
            </w:tcBorders>
          </w:tcPr>
          <w:p w14:paraId="4FC931CA" w14:textId="7344AC14" w:rsidR="00BC681C" w:rsidRPr="00103A0B" w:rsidRDefault="00573732" w:rsidP="00CD5919">
            <w:pPr>
              <w:spacing w:line="360" w:lineRule="auto"/>
              <w:jc w:val="both"/>
              <w:rPr>
                <w:rFonts w:ascii="Arial" w:hAnsi="Arial" w:cs="Arial"/>
                <w:sz w:val="24"/>
                <w:szCs w:val="24"/>
              </w:rPr>
            </w:pPr>
            <w:r w:rsidRPr="00103A0B">
              <w:rPr>
                <w:rFonts w:ascii="Arial" w:hAnsi="Arial" w:cs="Arial"/>
                <w:sz w:val="24"/>
                <w:szCs w:val="24"/>
              </w:rPr>
              <w:t>199</w:t>
            </w:r>
          </w:p>
        </w:tc>
      </w:tr>
      <w:tr w:rsidR="00BC681C" w:rsidRPr="00103A0B" w14:paraId="48B6463E"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1FDF7CF7" w14:textId="083893A3"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1</w:t>
            </w:r>
            <w:r w:rsidR="00BE157E" w:rsidRPr="00103A0B">
              <w:rPr>
                <w:rFonts w:ascii="Arial" w:hAnsi="Arial" w:cs="Arial"/>
                <w:sz w:val="24"/>
                <w:szCs w:val="24"/>
              </w:rPr>
              <w:t>3</w:t>
            </w:r>
          </w:p>
        </w:tc>
        <w:tc>
          <w:tcPr>
            <w:tcW w:w="4078" w:type="dxa"/>
            <w:tcBorders>
              <w:top w:val="single" w:sz="4" w:space="0" w:color="auto"/>
              <w:left w:val="single" w:sz="4" w:space="0" w:color="auto"/>
              <w:bottom w:val="single" w:sz="4" w:space="0" w:color="auto"/>
              <w:right w:val="single" w:sz="4" w:space="0" w:color="auto"/>
            </w:tcBorders>
            <w:hideMark/>
          </w:tcPr>
          <w:p w14:paraId="5BC9CB99" w14:textId="33787847"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Information sheet (Chapter 5)</w:t>
            </w:r>
          </w:p>
        </w:tc>
        <w:tc>
          <w:tcPr>
            <w:tcW w:w="1933" w:type="dxa"/>
            <w:tcBorders>
              <w:top w:val="single" w:sz="4" w:space="0" w:color="auto"/>
              <w:left w:val="single" w:sz="4" w:space="0" w:color="auto"/>
              <w:bottom w:val="single" w:sz="4" w:space="0" w:color="auto"/>
              <w:right w:val="single" w:sz="4" w:space="0" w:color="auto"/>
            </w:tcBorders>
          </w:tcPr>
          <w:p w14:paraId="67948B70" w14:textId="06B1BE6D" w:rsidR="00BC681C" w:rsidRPr="00103A0B" w:rsidRDefault="000B14FB" w:rsidP="00CD5919">
            <w:pPr>
              <w:spacing w:line="360" w:lineRule="auto"/>
              <w:jc w:val="both"/>
              <w:rPr>
                <w:rFonts w:ascii="Arial" w:hAnsi="Arial" w:cs="Arial"/>
                <w:sz w:val="24"/>
                <w:szCs w:val="24"/>
              </w:rPr>
            </w:pPr>
            <w:r w:rsidRPr="00103A0B">
              <w:rPr>
                <w:rFonts w:ascii="Arial" w:hAnsi="Arial" w:cs="Arial"/>
                <w:sz w:val="24"/>
                <w:szCs w:val="24"/>
              </w:rPr>
              <w:t>20</w:t>
            </w:r>
            <w:r w:rsidR="00573732" w:rsidRPr="00103A0B">
              <w:rPr>
                <w:rFonts w:ascii="Arial" w:hAnsi="Arial" w:cs="Arial"/>
                <w:sz w:val="24"/>
                <w:szCs w:val="24"/>
              </w:rPr>
              <w:t>0</w:t>
            </w:r>
            <w:r w:rsidR="00B847E5" w:rsidRPr="00103A0B">
              <w:rPr>
                <w:rFonts w:ascii="Arial" w:hAnsi="Arial" w:cs="Arial"/>
                <w:sz w:val="24"/>
                <w:szCs w:val="24"/>
              </w:rPr>
              <w:t>-</w:t>
            </w:r>
            <w:r w:rsidRPr="00103A0B">
              <w:rPr>
                <w:rFonts w:ascii="Arial" w:hAnsi="Arial" w:cs="Arial"/>
                <w:sz w:val="24"/>
                <w:szCs w:val="24"/>
              </w:rPr>
              <w:t>20</w:t>
            </w:r>
            <w:r w:rsidR="00573732" w:rsidRPr="00103A0B">
              <w:rPr>
                <w:rFonts w:ascii="Arial" w:hAnsi="Arial" w:cs="Arial"/>
                <w:sz w:val="24"/>
                <w:szCs w:val="24"/>
              </w:rPr>
              <w:t>1</w:t>
            </w:r>
          </w:p>
        </w:tc>
      </w:tr>
      <w:tr w:rsidR="00BC681C" w:rsidRPr="00103A0B" w14:paraId="10BF39B9"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13B18A59" w14:textId="676EE8BA"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1</w:t>
            </w:r>
            <w:r w:rsidR="00BE157E" w:rsidRPr="00103A0B">
              <w:rPr>
                <w:rFonts w:ascii="Arial" w:hAnsi="Arial" w:cs="Arial"/>
                <w:sz w:val="24"/>
                <w:szCs w:val="24"/>
              </w:rPr>
              <w:t>4</w:t>
            </w:r>
          </w:p>
        </w:tc>
        <w:tc>
          <w:tcPr>
            <w:tcW w:w="4078" w:type="dxa"/>
            <w:tcBorders>
              <w:top w:val="single" w:sz="4" w:space="0" w:color="auto"/>
              <w:left w:val="single" w:sz="4" w:space="0" w:color="auto"/>
              <w:bottom w:val="single" w:sz="4" w:space="0" w:color="auto"/>
              <w:right w:val="single" w:sz="4" w:space="0" w:color="auto"/>
            </w:tcBorders>
            <w:hideMark/>
          </w:tcPr>
          <w:p w14:paraId="1D15394C" w14:textId="2FAB15DC"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Invitation letter (Chapter 6)</w:t>
            </w:r>
          </w:p>
        </w:tc>
        <w:tc>
          <w:tcPr>
            <w:tcW w:w="1933" w:type="dxa"/>
            <w:tcBorders>
              <w:top w:val="single" w:sz="4" w:space="0" w:color="auto"/>
              <w:left w:val="single" w:sz="4" w:space="0" w:color="auto"/>
              <w:bottom w:val="single" w:sz="4" w:space="0" w:color="auto"/>
              <w:right w:val="single" w:sz="4" w:space="0" w:color="auto"/>
            </w:tcBorders>
          </w:tcPr>
          <w:p w14:paraId="5243DE97" w14:textId="7FCC08D2" w:rsidR="00BC681C" w:rsidRPr="00103A0B" w:rsidRDefault="000B14FB" w:rsidP="00CD5919">
            <w:pPr>
              <w:spacing w:line="360" w:lineRule="auto"/>
              <w:jc w:val="both"/>
              <w:rPr>
                <w:rFonts w:ascii="Arial" w:hAnsi="Arial" w:cs="Arial"/>
                <w:sz w:val="24"/>
                <w:szCs w:val="24"/>
              </w:rPr>
            </w:pPr>
            <w:r w:rsidRPr="00103A0B">
              <w:rPr>
                <w:rFonts w:ascii="Arial" w:hAnsi="Arial" w:cs="Arial"/>
                <w:sz w:val="24"/>
                <w:szCs w:val="24"/>
              </w:rPr>
              <w:t>20</w:t>
            </w:r>
            <w:r w:rsidR="00573732" w:rsidRPr="00103A0B">
              <w:rPr>
                <w:rFonts w:ascii="Arial" w:hAnsi="Arial" w:cs="Arial"/>
                <w:sz w:val="24"/>
                <w:szCs w:val="24"/>
              </w:rPr>
              <w:t>2</w:t>
            </w:r>
          </w:p>
        </w:tc>
      </w:tr>
      <w:tr w:rsidR="00BC681C" w:rsidRPr="00103A0B" w14:paraId="779E9B42"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13163325" w14:textId="3876F43E"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1</w:t>
            </w:r>
            <w:r w:rsidR="00BE157E" w:rsidRPr="00103A0B">
              <w:rPr>
                <w:rFonts w:ascii="Arial" w:hAnsi="Arial" w:cs="Arial"/>
                <w:sz w:val="24"/>
                <w:szCs w:val="24"/>
              </w:rPr>
              <w:t>5</w:t>
            </w:r>
          </w:p>
        </w:tc>
        <w:tc>
          <w:tcPr>
            <w:tcW w:w="4078" w:type="dxa"/>
            <w:tcBorders>
              <w:top w:val="single" w:sz="4" w:space="0" w:color="auto"/>
              <w:left w:val="single" w:sz="4" w:space="0" w:color="auto"/>
              <w:bottom w:val="single" w:sz="4" w:space="0" w:color="auto"/>
              <w:right w:val="single" w:sz="4" w:space="0" w:color="auto"/>
            </w:tcBorders>
            <w:hideMark/>
          </w:tcPr>
          <w:p w14:paraId="55B4CA1D" w14:textId="51725922"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Information sheet (Chapter 6)</w:t>
            </w:r>
          </w:p>
        </w:tc>
        <w:tc>
          <w:tcPr>
            <w:tcW w:w="1933" w:type="dxa"/>
            <w:tcBorders>
              <w:top w:val="single" w:sz="4" w:space="0" w:color="auto"/>
              <w:left w:val="single" w:sz="4" w:space="0" w:color="auto"/>
              <w:bottom w:val="single" w:sz="4" w:space="0" w:color="auto"/>
              <w:right w:val="single" w:sz="4" w:space="0" w:color="auto"/>
            </w:tcBorders>
          </w:tcPr>
          <w:p w14:paraId="13BA92CE" w14:textId="0E78C952" w:rsidR="00BC681C" w:rsidRPr="00103A0B" w:rsidRDefault="000B14FB" w:rsidP="00CD5919">
            <w:pPr>
              <w:spacing w:line="360" w:lineRule="auto"/>
              <w:jc w:val="both"/>
              <w:rPr>
                <w:rFonts w:ascii="Arial" w:hAnsi="Arial" w:cs="Arial"/>
                <w:sz w:val="24"/>
                <w:szCs w:val="24"/>
              </w:rPr>
            </w:pPr>
            <w:r w:rsidRPr="00103A0B">
              <w:rPr>
                <w:rFonts w:ascii="Arial" w:hAnsi="Arial" w:cs="Arial"/>
                <w:sz w:val="24"/>
                <w:szCs w:val="24"/>
              </w:rPr>
              <w:t>20</w:t>
            </w:r>
            <w:r w:rsidR="00573732" w:rsidRPr="00103A0B">
              <w:rPr>
                <w:rFonts w:ascii="Arial" w:hAnsi="Arial" w:cs="Arial"/>
                <w:sz w:val="24"/>
                <w:szCs w:val="24"/>
              </w:rPr>
              <w:t>3</w:t>
            </w:r>
            <w:r w:rsidR="00B847E5" w:rsidRPr="00103A0B">
              <w:rPr>
                <w:rFonts w:ascii="Arial" w:hAnsi="Arial" w:cs="Arial"/>
                <w:sz w:val="24"/>
                <w:szCs w:val="24"/>
              </w:rPr>
              <w:t>-2</w:t>
            </w:r>
            <w:r w:rsidR="00811B15" w:rsidRPr="00103A0B">
              <w:rPr>
                <w:rFonts w:ascii="Arial" w:hAnsi="Arial" w:cs="Arial"/>
                <w:sz w:val="24"/>
                <w:szCs w:val="24"/>
              </w:rPr>
              <w:t>0</w:t>
            </w:r>
            <w:r w:rsidR="00573732" w:rsidRPr="00103A0B">
              <w:rPr>
                <w:rFonts w:ascii="Arial" w:hAnsi="Arial" w:cs="Arial"/>
                <w:sz w:val="24"/>
                <w:szCs w:val="24"/>
              </w:rPr>
              <w:t>4</w:t>
            </w:r>
          </w:p>
        </w:tc>
      </w:tr>
      <w:tr w:rsidR="00BC681C" w:rsidRPr="00103A0B" w14:paraId="6EEA54D8"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1AB73C8C" w14:textId="2F7DA9CE"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1</w:t>
            </w:r>
            <w:r w:rsidR="00BE157E" w:rsidRPr="00103A0B">
              <w:rPr>
                <w:rFonts w:ascii="Arial" w:hAnsi="Arial" w:cs="Arial"/>
                <w:sz w:val="24"/>
                <w:szCs w:val="24"/>
              </w:rPr>
              <w:t>6</w:t>
            </w:r>
          </w:p>
        </w:tc>
        <w:tc>
          <w:tcPr>
            <w:tcW w:w="4078" w:type="dxa"/>
            <w:tcBorders>
              <w:top w:val="single" w:sz="4" w:space="0" w:color="auto"/>
              <w:left w:val="single" w:sz="4" w:space="0" w:color="auto"/>
              <w:bottom w:val="single" w:sz="4" w:space="0" w:color="auto"/>
              <w:right w:val="single" w:sz="4" w:space="0" w:color="auto"/>
            </w:tcBorders>
            <w:hideMark/>
          </w:tcPr>
          <w:p w14:paraId="029A8D39" w14:textId="2AD260BE"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Consent form (Chapter 5)</w:t>
            </w:r>
          </w:p>
        </w:tc>
        <w:tc>
          <w:tcPr>
            <w:tcW w:w="1933" w:type="dxa"/>
            <w:tcBorders>
              <w:top w:val="single" w:sz="4" w:space="0" w:color="auto"/>
              <w:left w:val="single" w:sz="4" w:space="0" w:color="auto"/>
              <w:bottom w:val="single" w:sz="4" w:space="0" w:color="auto"/>
              <w:right w:val="single" w:sz="4" w:space="0" w:color="auto"/>
            </w:tcBorders>
          </w:tcPr>
          <w:p w14:paraId="7E286652" w14:textId="2B945E1D" w:rsidR="00BC681C" w:rsidRPr="00103A0B" w:rsidRDefault="00B847E5" w:rsidP="00CD5919">
            <w:pPr>
              <w:spacing w:line="360" w:lineRule="auto"/>
              <w:jc w:val="both"/>
              <w:rPr>
                <w:rFonts w:ascii="Arial" w:hAnsi="Arial" w:cs="Arial"/>
                <w:sz w:val="24"/>
                <w:szCs w:val="24"/>
              </w:rPr>
            </w:pPr>
            <w:r w:rsidRPr="00103A0B">
              <w:rPr>
                <w:rFonts w:ascii="Arial" w:hAnsi="Arial" w:cs="Arial"/>
                <w:sz w:val="24"/>
                <w:szCs w:val="24"/>
              </w:rPr>
              <w:t>2</w:t>
            </w:r>
            <w:r w:rsidR="00E45914" w:rsidRPr="00103A0B">
              <w:rPr>
                <w:rFonts w:ascii="Arial" w:hAnsi="Arial" w:cs="Arial"/>
                <w:sz w:val="24"/>
                <w:szCs w:val="24"/>
              </w:rPr>
              <w:t>0</w:t>
            </w:r>
            <w:r w:rsidR="00573732" w:rsidRPr="00103A0B">
              <w:rPr>
                <w:rFonts w:ascii="Arial" w:hAnsi="Arial" w:cs="Arial"/>
                <w:sz w:val="24"/>
                <w:szCs w:val="24"/>
              </w:rPr>
              <w:t>5</w:t>
            </w:r>
          </w:p>
        </w:tc>
      </w:tr>
      <w:tr w:rsidR="00BC681C" w:rsidRPr="00103A0B" w14:paraId="123499DC"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2EC5D962" w14:textId="1C035BF1"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1</w:t>
            </w:r>
            <w:r w:rsidR="00BE157E" w:rsidRPr="00103A0B">
              <w:rPr>
                <w:rFonts w:ascii="Arial" w:hAnsi="Arial" w:cs="Arial"/>
                <w:sz w:val="24"/>
                <w:szCs w:val="24"/>
              </w:rPr>
              <w:t>7</w:t>
            </w:r>
          </w:p>
        </w:tc>
        <w:tc>
          <w:tcPr>
            <w:tcW w:w="4078" w:type="dxa"/>
            <w:tcBorders>
              <w:top w:val="single" w:sz="4" w:space="0" w:color="auto"/>
              <w:left w:val="single" w:sz="4" w:space="0" w:color="auto"/>
              <w:bottom w:val="single" w:sz="4" w:space="0" w:color="auto"/>
              <w:right w:val="single" w:sz="4" w:space="0" w:color="auto"/>
            </w:tcBorders>
            <w:hideMark/>
          </w:tcPr>
          <w:p w14:paraId="77314244" w14:textId="77777777"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Consent form (Chapter 6).</w:t>
            </w:r>
          </w:p>
        </w:tc>
        <w:tc>
          <w:tcPr>
            <w:tcW w:w="1933" w:type="dxa"/>
            <w:tcBorders>
              <w:top w:val="single" w:sz="4" w:space="0" w:color="auto"/>
              <w:left w:val="single" w:sz="4" w:space="0" w:color="auto"/>
              <w:bottom w:val="single" w:sz="4" w:space="0" w:color="auto"/>
              <w:right w:val="single" w:sz="4" w:space="0" w:color="auto"/>
            </w:tcBorders>
          </w:tcPr>
          <w:p w14:paraId="37C8175A" w14:textId="5FCFB660" w:rsidR="00BC681C" w:rsidRPr="00103A0B" w:rsidRDefault="00B847E5" w:rsidP="00CD5919">
            <w:pPr>
              <w:spacing w:line="360" w:lineRule="auto"/>
              <w:jc w:val="both"/>
              <w:rPr>
                <w:rFonts w:ascii="Arial" w:hAnsi="Arial" w:cs="Arial"/>
                <w:sz w:val="24"/>
                <w:szCs w:val="24"/>
              </w:rPr>
            </w:pPr>
            <w:r w:rsidRPr="00103A0B">
              <w:rPr>
                <w:rFonts w:ascii="Arial" w:hAnsi="Arial" w:cs="Arial"/>
                <w:sz w:val="24"/>
                <w:szCs w:val="24"/>
              </w:rPr>
              <w:t>2</w:t>
            </w:r>
            <w:r w:rsidR="00E45914" w:rsidRPr="00103A0B">
              <w:rPr>
                <w:rFonts w:ascii="Arial" w:hAnsi="Arial" w:cs="Arial"/>
                <w:sz w:val="24"/>
                <w:szCs w:val="24"/>
              </w:rPr>
              <w:t>0</w:t>
            </w:r>
            <w:r w:rsidR="00573732" w:rsidRPr="00103A0B">
              <w:rPr>
                <w:rFonts w:ascii="Arial" w:hAnsi="Arial" w:cs="Arial"/>
                <w:sz w:val="24"/>
                <w:szCs w:val="24"/>
              </w:rPr>
              <w:t>6</w:t>
            </w:r>
          </w:p>
        </w:tc>
      </w:tr>
      <w:tr w:rsidR="00BC681C" w:rsidRPr="00103A0B" w14:paraId="4FDD85F1"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06FF4F50" w14:textId="509A2408"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1</w:t>
            </w:r>
            <w:r w:rsidR="00BE157E" w:rsidRPr="00103A0B">
              <w:rPr>
                <w:rFonts w:ascii="Arial" w:hAnsi="Arial" w:cs="Arial"/>
                <w:sz w:val="24"/>
                <w:szCs w:val="24"/>
              </w:rPr>
              <w:t>8</w:t>
            </w:r>
          </w:p>
        </w:tc>
        <w:tc>
          <w:tcPr>
            <w:tcW w:w="4078" w:type="dxa"/>
            <w:tcBorders>
              <w:top w:val="single" w:sz="4" w:space="0" w:color="auto"/>
              <w:left w:val="single" w:sz="4" w:space="0" w:color="auto"/>
              <w:bottom w:val="single" w:sz="4" w:space="0" w:color="auto"/>
              <w:right w:val="single" w:sz="4" w:space="0" w:color="auto"/>
            </w:tcBorders>
            <w:hideMark/>
          </w:tcPr>
          <w:p w14:paraId="0B9260FF" w14:textId="63D6285F"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Debrief form (Chapter 5)</w:t>
            </w:r>
          </w:p>
        </w:tc>
        <w:tc>
          <w:tcPr>
            <w:tcW w:w="1933" w:type="dxa"/>
            <w:tcBorders>
              <w:top w:val="single" w:sz="4" w:space="0" w:color="auto"/>
              <w:left w:val="single" w:sz="4" w:space="0" w:color="auto"/>
              <w:bottom w:val="single" w:sz="4" w:space="0" w:color="auto"/>
              <w:right w:val="single" w:sz="4" w:space="0" w:color="auto"/>
            </w:tcBorders>
          </w:tcPr>
          <w:p w14:paraId="099FBB35" w14:textId="5D4EE5CE" w:rsidR="00BC681C" w:rsidRPr="00103A0B" w:rsidRDefault="00B847E5" w:rsidP="00CD5919">
            <w:pPr>
              <w:spacing w:line="360" w:lineRule="auto"/>
              <w:jc w:val="both"/>
              <w:rPr>
                <w:rFonts w:ascii="Arial" w:hAnsi="Arial" w:cs="Arial"/>
                <w:sz w:val="24"/>
                <w:szCs w:val="24"/>
              </w:rPr>
            </w:pPr>
            <w:r w:rsidRPr="00103A0B">
              <w:rPr>
                <w:rFonts w:ascii="Arial" w:hAnsi="Arial" w:cs="Arial"/>
                <w:sz w:val="24"/>
                <w:szCs w:val="24"/>
              </w:rPr>
              <w:t>2</w:t>
            </w:r>
            <w:r w:rsidR="00E45914" w:rsidRPr="00103A0B">
              <w:rPr>
                <w:rFonts w:ascii="Arial" w:hAnsi="Arial" w:cs="Arial"/>
                <w:sz w:val="24"/>
                <w:szCs w:val="24"/>
              </w:rPr>
              <w:t>0</w:t>
            </w:r>
            <w:r w:rsidR="00573732" w:rsidRPr="00103A0B">
              <w:rPr>
                <w:rFonts w:ascii="Arial" w:hAnsi="Arial" w:cs="Arial"/>
                <w:sz w:val="24"/>
                <w:szCs w:val="24"/>
              </w:rPr>
              <w:t>7</w:t>
            </w:r>
          </w:p>
        </w:tc>
      </w:tr>
      <w:tr w:rsidR="00BC681C" w:rsidRPr="00103A0B" w14:paraId="13EF69DC"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00685668" w14:textId="7A16349A"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1</w:t>
            </w:r>
            <w:r w:rsidR="00BE157E" w:rsidRPr="00103A0B">
              <w:rPr>
                <w:rFonts w:ascii="Arial" w:hAnsi="Arial" w:cs="Arial"/>
                <w:sz w:val="24"/>
                <w:szCs w:val="24"/>
              </w:rPr>
              <w:t>9</w:t>
            </w:r>
          </w:p>
        </w:tc>
        <w:tc>
          <w:tcPr>
            <w:tcW w:w="4078" w:type="dxa"/>
            <w:tcBorders>
              <w:top w:val="single" w:sz="4" w:space="0" w:color="auto"/>
              <w:left w:val="single" w:sz="4" w:space="0" w:color="auto"/>
              <w:bottom w:val="single" w:sz="4" w:space="0" w:color="auto"/>
              <w:right w:val="single" w:sz="4" w:space="0" w:color="auto"/>
            </w:tcBorders>
            <w:hideMark/>
          </w:tcPr>
          <w:p w14:paraId="3DC77DD1" w14:textId="29D7AC10"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Debrief form (Chapter 6)</w:t>
            </w:r>
          </w:p>
        </w:tc>
        <w:tc>
          <w:tcPr>
            <w:tcW w:w="1933" w:type="dxa"/>
            <w:tcBorders>
              <w:top w:val="single" w:sz="4" w:space="0" w:color="auto"/>
              <w:left w:val="single" w:sz="4" w:space="0" w:color="auto"/>
              <w:bottom w:val="single" w:sz="4" w:space="0" w:color="auto"/>
              <w:right w:val="single" w:sz="4" w:space="0" w:color="auto"/>
            </w:tcBorders>
          </w:tcPr>
          <w:p w14:paraId="293290F2" w14:textId="56A00965" w:rsidR="00BC681C" w:rsidRPr="00103A0B" w:rsidRDefault="00B847E5" w:rsidP="00CD5919">
            <w:pPr>
              <w:spacing w:line="360" w:lineRule="auto"/>
              <w:jc w:val="both"/>
              <w:rPr>
                <w:rFonts w:ascii="Arial" w:hAnsi="Arial" w:cs="Arial"/>
                <w:sz w:val="24"/>
                <w:szCs w:val="24"/>
              </w:rPr>
            </w:pPr>
            <w:r w:rsidRPr="00103A0B">
              <w:rPr>
                <w:rFonts w:ascii="Arial" w:hAnsi="Arial" w:cs="Arial"/>
                <w:sz w:val="24"/>
                <w:szCs w:val="24"/>
              </w:rPr>
              <w:t>2</w:t>
            </w:r>
            <w:r w:rsidR="005D1464" w:rsidRPr="00103A0B">
              <w:rPr>
                <w:rFonts w:ascii="Arial" w:hAnsi="Arial" w:cs="Arial"/>
                <w:sz w:val="24"/>
                <w:szCs w:val="24"/>
              </w:rPr>
              <w:t>0</w:t>
            </w:r>
            <w:r w:rsidR="00573732" w:rsidRPr="00103A0B">
              <w:rPr>
                <w:rFonts w:ascii="Arial" w:hAnsi="Arial" w:cs="Arial"/>
                <w:sz w:val="24"/>
                <w:szCs w:val="24"/>
              </w:rPr>
              <w:t>8</w:t>
            </w:r>
          </w:p>
        </w:tc>
      </w:tr>
      <w:tr w:rsidR="00BC681C" w:rsidRPr="00103A0B" w14:paraId="13E9D115"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62BCDD82" w14:textId="44205E6C"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 xml:space="preserve">Appendix </w:t>
            </w:r>
            <w:r w:rsidR="00BE157E" w:rsidRPr="00103A0B">
              <w:rPr>
                <w:rFonts w:ascii="Arial" w:hAnsi="Arial" w:cs="Arial"/>
                <w:sz w:val="24"/>
                <w:szCs w:val="24"/>
              </w:rPr>
              <w:t>20</w:t>
            </w:r>
          </w:p>
        </w:tc>
        <w:tc>
          <w:tcPr>
            <w:tcW w:w="4078" w:type="dxa"/>
            <w:tcBorders>
              <w:top w:val="single" w:sz="4" w:space="0" w:color="auto"/>
              <w:left w:val="single" w:sz="4" w:space="0" w:color="auto"/>
              <w:bottom w:val="single" w:sz="4" w:space="0" w:color="auto"/>
              <w:right w:val="single" w:sz="4" w:space="0" w:color="auto"/>
            </w:tcBorders>
            <w:hideMark/>
          </w:tcPr>
          <w:p w14:paraId="028AB419" w14:textId="51F0BCB3"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Letter of support (Chapter 7)</w:t>
            </w:r>
          </w:p>
        </w:tc>
        <w:tc>
          <w:tcPr>
            <w:tcW w:w="1933" w:type="dxa"/>
            <w:tcBorders>
              <w:top w:val="single" w:sz="4" w:space="0" w:color="auto"/>
              <w:left w:val="single" w:sz="4" w:space="0" w:color="auto"/>
              <w:bottom w:val="single" w:sz="4" w:space="0" w:color="auto"/>
              <w:right w:val="single" w:sz="4" w:space="0" w:color="auto"/>
            </w:tcBorders>
          </w:tcPr>
          <w:p w14:paraId="1E2BDDD4" w14:textId="63802157" w:rsidR="00BC681C" w:rsidRPr="00103A0B" w:rsidRDefault="00B847E5" w:rsidP="00CD5919">
            <w:pPr>
              <w:spacing w:line="360" w:lineRule="auto"/>
              <w:jc w:val="both"/>
              <w:rPr>
                <w:rFonts w:ascii="Arial" w:hAnsi="Arial" w:cs="Arial"/>
                <w:sz w:val="24"/>
                <w:szCs w:val="24"/>
              </w:rPr>
            </w:pPr>
            <w:r w:rsidRPr="00103A0B">
              <w:rPr>
                <w:rFonts w:ascii="Arial" w:hAnsi="Arial" w:cs="Arial"/>
                <w:sz w:val="24"/>
                <w:szCs w:val="24"/>
              </w:rPr>
              <w:t>2</w:t>
            </w:r>
            <w:r w:rsidR="00573732" w:rsidRPr="00103A0B">
              <w:rPr>
                <w:rFonts w:ascii="Arial" w:hAnsi="Arial" w:cs="Arial"/>
                <w:sz w:val="24"/>
                <w:szCs w:val="24"/>
              </w:rPr>
              <w:t>09</w:t>
            </w:r>
          </w:p>
        </w:tc>
      </w:tr>
      <w:tr w:rsidR="00BC681C" w:rsidRPr="00103A0B" w14:paraId="04F823A5"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0C06CC8D" w14:textId="0AF64F18"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lastRenderedPageBreak/>
              <w:t xml:space="preserve">Appendix </w:t>
            </w:r>
            <w:r w:rsidR="00BE157E" w:rsidRPr="00103A0B">
              <w:rPr>
                <w:rFonts w:ascii="Arial" w:hAnsi="Arial" w:cs="Arial"/>
                <w:sz w:val="24"/>
                <w:szCs w:val="24"/>
              </w:rPr>
              <w:t>21</w:t>
            </w:r>
          </w:p>
        </w:tc>
        <w:tc>
          <w:tcPr>
            <w:tcW w:w="4078" w:type="dxa"/>
            <w:tcBorders>
              <w:top w:val="single" w:sz="4" w:space="0" w:color="auto"/>
              <w:left w:val="single" w:sz="4" w:space="0" w:color="auto"/>
              <w:bottom w:val="single" w:sz="4" w:space="0" w:color="auto"/>
              <w:right w:val="single" w:sz="4" w:space="0" w:color="auto"/>
            </w:tcBorders>
            <w:hideMark/>
          </w:tcPr>
          <w:p w14:paraId="7BE2005B" w14:textId="1B840588"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Data agreement sharing form (Chapter 7)</w:t>
            </w:r>
          </w:p>
        </w:tc>
        <w:tc>
          <w:tcPr>
            <w:tcW w:w="1933" w:type="dxa"/>
            <w:tcBorders>
              <w:top w:val="single" w:sz="4" w:space="0" w:color="auto"/>
              <w:left w:val="single" w:sz="4" w:space="0" w:color="auto"/>
              <w:bottom w:val="single" w:sz="4" w:space="0" w:color="auto"/>
              <w:right w:val="single" w:sz="4" w:space="0" w:color="auto"/>
            </w:tcBorders>
          </w:tcPr>
          <w:p w14:paraId="283499AC" w14:textId="237E97F5"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0B14FB" w:rsidRPr="00103A0B">
              <w:rPr>
                <w:rFonts w:ascii="Arial" w:hAnsi="Arial" w:cs="Arial"/>
                <w:sz w:val="24"/>
                <w:szCs w:val="24"/>
              </w:rPr>
              <w:t>1</w:t>
            </w:r>
            <w:r w:rsidR="00573732" w:rsidRPr="00103A0B">
              <w:rPr>
                <w:rFonts w:ascii="Arial" w:hAnsi="Arial" w:cs="Arial"/>
                <w:sz w:val="24"/>
                <w:szCs w:val="24"/>
              </w:rPr>
              <w:t>0</w:t>
            </w:r>
          </w:p>
        </w:tc>
      </w:tr>
      <w:tr w:rsidR="00BC681C" w:rsidRPr="00103A0B" w14:paraId="1C597D57"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3A1B8BEA" w14:textId="77777777"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2</w:t>
            </w:r>
            <w:r w:rsidR="00BE157E" w:rsidRPr="00103A0B">
              <w:rPr>
                <w:rFonts w:ascii="Arial" w:hAnsi="Arial" w:cs="Arial"/>
                <w:sz w:val="24"/>
                <w:szCs w:val="24"/>
              </w:rPr>
              <w:t>2</w:t>
            </w:r>
          </w:p>
          <w:p w14:paraId="517298EC" w14:textId="23C43B16" w:rsidR="005E2C2E" w:rsidRPr="00103A0B" w:rsidRDefault="005E2C2E" w:rsidP="00CD5919">
            <w:pPr>
              <w:spacing w:line="360" w:lineRule="auto"/>
              <w:jc w:val="both"/>
              <w:rPr>
                <w:rFonts w:ascii="Arial" w:hAnsi="Arial" w:cs="Arial"/>
                <w:sz w:val="24"/>
                <w:szCs w:val="24"/>
              </w:rPr>
            </w:pPr>
          </w:p>
        </w:tc>
        <w:tc>
          <w:tcPr>
            <w:tcW w:w="4078" w:type="dxa"/>
            <w:tcBorders>
              <w:top w:val="single" w:sz="4" w:space="0" w:color="auto"/>
              <w:left w:val="single" w:sz="4" w:space="0" w:color="auto"/>
              <w:bottom w:val="single" w:sz="4" w:space="0" w:color="auto"/>
              <w:right w:val="single" w:sz="4" w:space="0" w:color="auto"/>
            </w:tcBorders>
            <w:hideMark/>
          </w:tcPr>
          <w:p w14:paraId="3A668D61" w14:textId="32D4F877"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Recruitment process (Chapter 5)</w:t>
            </w:r>
          </w:p>
          <w:p w14:paraId="7B6A519A" w14:textId="77777777" w:rsidR="00240265" w:rsidRPr="00103A0B" w:rsidRDefault="00240265" w:rsidP="00CD5919">
            <w:pPr>
              <w:spacing w:line="360" w:lineRule="auto"/>
              <w:jc w:val="both"/>
              <w:rPr>
                <w:rFonts w:ascii="Arial" w:hAnsi="Arial" w:cs="Arial"/>
                <w:sz w:val="24"/>
                <w:szCs w:val="24"/>
              </w:rPr>
            </w:pPr>
          </w:p>
          <w:p w14:paraId="346188E6" w14:textId="176C8CE9" w:rsidR="00240265" w:rsidRPr="00103A0B" w:rsidRDefault="00240265" w:rsidP="00CD5919">
            <w:pPr>
              <w:spacing w:line="360" w:lineRule="auto"/>
              <w:jc w:val="both"/>
              <w:rPr>
                <w:rFonts w:ascii="Arial" w:hAnsi="Arial" w:cs="Arial"/>
                <w:sz w:val="24"/>
                <w:szCs w:val="24"/>
              </w:rPr>
            </w:pPr>
          </w:p>
        </w:tc>
        <w:tc>
          <w:tcPr>
            <w:tcW w:w="1933" w:type="dxa"/>
            <w:tcBorders>
              <w:top w:val="single" w:sz="4" w:space="0" w:color="auto"/>
              <w:left w:val="single" w:sz="4" w:space="0" w:color="auto"/>
              <w:bottom w:val="single" w:sz="4" w:space="0" w:color="auto"/>
              <w:right w:val="single" w:sz="4" w:space="0" w:color="auto"/>
            </w:tcBorders>
          </w:tcPr>
          <w:p w14:paraId="6363532B" w14:textId="5118558D"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0B14FB" w:rsidRPr="00103A0B">
              <w:rPr>
                <w:rFonts w:ascii="Arial" w:hAnsi="Arial" w:cs="Arial"/>
                <w:sz w:val="24"/>
                <w:szCs w:val="24"/>
              </w:rPr>
              <w:t>1</w:t>
            </w:r>
            <w:r w:rsidR="00573732" w:rsidRPr="00103A0B">
              <w:rPr>
                <w:rFonts w:ascii="Arial" w:hAnsi="Arial" w:cs="Arial"/>
                <w:sz w:val="24"/>
                <w:szCs w:val="24"/>
              </w:rPr>
              <w:t>1</w:t>
            </w:r>
          </w:p>
          <w:p w14:paraId="1CB8FA2C" w14:textId="77777777" w:rsidR="00E45914" w:rsidRPr="00103A0B" w:rsidRDefault="00E45914" w:rsidP="00CD5919">
            <w:pPr>
              <w:spacing w:line="360" w:lineRule="auto"/>
              <w:jc w:val="both"/>
              <w:rPr>
                <w:rFonts w:ascii="Arial" w:hAnsi="Arial" w:cs="Arial"/>
                <w:sz w:val="24"/>
                <w:szCs w:val="24"/>
              </w:rPr>
            </w:pPr>
          </w:p>
          <w:p w14:paraId="1CCDC05D" w14:textId="747A8E7B" w:rsidR="00E45914" w:rsidRPr="00103A0B" w:rsidRDefault="00E45914" w:rsidP="00573732">
            <w:pPr>
              <w:spacing w:line="360" w:lineRule="auto"/>
              <w:ind w:firstLine="720"/>
              <w:jc w:val="both"/>
              <w:rPr>
                <w:rFonts w:ascii="Arial" w:hAnsi="Arial" w:cs="Arial"/>
                <w:sz w:val="24"/>
                <w:szCs w:val="24"/>
              </w:rPr>
            </w:pPr>
          </w:p>
        </w:tc>
      </w:tr>
      <w:tr w:rsidR="00BC681C" w:rsidRPr="00103A0B" w14:paraId="10C311D0"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302A2602" w14:textId="5EF084C3"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2</w:t>
            </w:r>
            <w:r w:rsidR="00BE157E" w:rsidRPr="00103A0B">
              <w:rPr>
                <w:rFonts w:ascii="Arial" w:hAnsi="Arial" w:cs="Arial"/>
                <w:sz w:val="24"/>
                <w:szCs w:val="24"/>
              </w:rPr>
              <w:t>3</w:t>
            </w:r>
          </w:p>
        </w:tc>
        <w:tc>
          <w:tcPr>
            <w:tcW w:w="4078" w:type="dxa"/>
            <w:tcBorders>
              <w:top w:val="single" w:sz="4" w:space="0" w:color="auto"/>
              <w:left w:val="single" w:sz="4" w:space="0" w:color="auto"/>
              <w:bottom w:val="single" w:sz="4" w:space="0" w:color="auto"/>
              <w:right w:val="single" w:sz="4" w:space="0" w:color="auto"/>
            </w:tcBorders>
            <w:hideMark/>
          </w:tcPr>
          <w:p w14:paraId="5C00E56E" w14:textId="77777777" w:rsidR="00BC681C" w:rsidRPr="00103A0B" w:rsidRDefault="00BC681C" w:rsidP="00CD5919">
            <w:pPr>
              <w:spacing w:line="360" w:lineRule="auto"/>
              <w:jc w:val="both"/>
              <w:rPr>
                <w:rFonts w:ascii="Arial" w:hAnsi="Arial" w:cs="Arial"/>
                <w:sz w:val="24"/>
                <w:szCs w:val="24"/>
              </w:rPr>
            </w:pPr>
            <w:bookmarkStart w:id="36" w:name="_Hlk81250610"/>
            <w:r w:rsidRPr="00103A0B">
              <w:rPr>
                <w:rFonts w:ascii="Arial" w:hAnsi="Arial" w:cs="Arial"/>
                <w:sz w:val="24"/>
                <w:szCs w:val="24"/>
              </w:rPr>
              <w:t>Demographic questionnaire (Chapter 5)</w:t>
            </w:r>
            <w:bookmarkEnd w:id="36"/>
          </w:p>
        </w:tc>
        <w:tc>
          <w:tcPr>
            <w:tcW w:w="1933" w:type="dxa"/>
            <w:tcBorders>
              <w:top w:val="single" w:sz="4" w:space="0" w:color="auto"/>
              <w:left w:val="single" w:sz="4" w:space="0" w:color="auto"/>
              <w:bottom w:val="single" w:sz="4" w:space="0" w:color="auto"/>
              <w:right w:val="single" w:sz="4" w:space="0" w:color="auto"/>
            </w:tcBorders>
          </w:tcPr>
          <w:p w14:paraId="296E8A79" w14:textId="0EE70A9A"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0B14FB" w:rsidRPr="00103A0B">
              <w:rPr>
                <w:rFonts w:ascii="Arial" w:hAnsi="Arial" w:cs="Arial"/>
                <w:sz w:val="24"/>
                <w:szCs w:val="24"/>
              </w:rPr>
              <w:t>1</w:t>
            </w:r>
            <w:r w:rsidR="00573732" w:rsidRPr="00103A0B">
              <w:rPr>
                <w:rFonts w:ascii="Arial" w:hAnsi="Arial" w:cs="Arial"/>
                <w:sz w:val="24"/>
                <w:szCs w:val="24"/>
              </w:rPr>
              <w:t>2</w:t>
            </w:r>
          </w:p>
        </w:tc>
      </w:tr>
      <w:tr w:rsidR="00BC681C" w:rsidRPr="00103A0B" w14:paraId="6B961B34"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268F017A" w14:textId="3FA5AFD6"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2</w:t>
            </w:r>
            <w:r w:rsidR="00BE157E" w:rsidRPr="00103A0B">
              <w:rPr>
                <w:rFonts w:ascii="Arial" w:hAnsi="Arial" w:cs="Arial"/>
                <w:sz w:val="24"/>
                <w:szCs w:val="24"/>
              </w:rPr>
              <w:t>4</w:t>
            </w:r>
          </w:p>
        </w:tc>
        <w:tc>
          <w:tcPr>
            <w:tcW w:w="4078" w:type="dxa"/>
            <w:tcBorders>
              <w:top w:val="single" w:sz="4" w:space="0" w:color="auto"/>
              <w:left w:val="single" w:sz="4" w:space="0" w:color="auto"/>
              <w:bottom w:val="single" w:sz="4" w:space="0" w:color="auto"/>
              <w:right w:val="single" w:sz="4" w:space="0" w:color="auto"/>
            </w:tcBorders>
            <w:hideMark/>
          </w:tcPr>
          <w:p w14:paraId="57385F8A" w14:textId="77777777" w:rsidR="00BC681C" w:rsidRPr="00103A0B" w:rsidRDefault="00BC681C" w:rsidP="00CD5919">
            <w:pPr>
              <w:spacing w:line="360" w:lineRule="auto"/>
              <w:jc w:val="both"/>
              <w:rPr>
                <w:rFonts w:ascii="Arial" w:hAnsi="Arial" w:cs="Arial"/>
                <w:sz w:val="24"/>
                <w:szCs w:val="24"/>
              </w:rPr>
            </w:pPr>
            <w:bookmarkStart w:id="37" w:name="_Hlk81250653"/>
            <w:r w:rsidRPr="00103A0B">
              <w:rPr>
                <w:rFonts w:ascii="Arial" w:hAnsi="Arial" w:cs="Arial"/>
                <w:sz w:val="24"/>
                <w:szCs w:val="24"/>
              </w:rPr>
              <w:t>Reasons for non-attendance (Chapter 5)</w:t>
            </w:r>
            <w:bookmarkEnd w:id="37"/>
          </w:p>
        </w:tc>
        <w:tc>
          <w:tcPr>
            <w:tcW w:w="1933" w:type="dxa"/>
            <w:tcBorders>
              <w:top w:val="single" w:sz="4" w:space="0" w:color="auto"/>
              <w:left w:val="single" w:sz="4" w:space="0" w:color="auto"/>
              <w:bottom w:val="single" w:sz="4" w:space="0" w:color="auto"/>
              <w:right w:val="single" w:sz="4" w:space="0" w:color="auto"/>
            </w:tcBorders>
          </w:tcPr>
          <w:p w14:paraId="28B61025" w14:textId="01D6CCC4"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0B14FB" w:rsidRPr="00103A0B">
              <w:rPr>
                <w:rFonts w:ascii="Arial" w:hAnsi="Arial" w:cs="Arial"/>
                <w:sz w:val="24"/>
                <w:szCs w:val="24"/>
              </w:rPr>
              <w:t>1</w:t>
            </w:r>
            <w:r w:rsidR="00573732" w:rsidRPr="00103A0B">
              <w:rPr>
                <w:rFonts w:ascii="Arial" w:hAnsi="Arial" w:cs="Arial"/>
                <w:sz w:val="24"/>
                <w:szCs w:val="24"/>
              </w:rPr>
              <w:t>3</w:t>
            </w:r>
          </w:p>
        </w:tc>
      </w:tr>
      <w:tr w:rsidR="00BC681C" w:rsidRPr="00103A0B" w14:paraId="4C50B5CC"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789E89D5" w14:textId="68A5E09A"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2</w:t>
            </w:r>
            <w:r w:rsidR="00BE157E" w:rsidRPr="00103A0B">
              <w:rPr>
                <w:rFonts w:ascii="Arial" w:hAnsi="Arial" w:cs="Arial"/>
                <w:sz w:val="24"/>
                <w:szCs w:val="24"/>
              </w:rPr>
              <w:t>5</w:t>
            </w:r>
          </w:p>
        </w:tc>
        <w:tc>
          <w:tcPr>
            <w:tcW w:w="4078" w:type="dxa"/>
            <w:tcBorders>
              <w:top w:val="single" w:sz="4" w:space="0" w:color="auto"/>
              <w:left w:val="single" w:sz="4" w:space="0" w:color="auto"/>
              <w:bottom w:val="single" w:sz="4" w:space="0" w:color="auto"/>
              <w:right w:val="single" w:sz="4" w:space="0" w:color="auto"/>
            </w:tcBorders>
            <w:hideMark/>
          </w:tcPr>
          <w:p w14:paraId="751A989A" w14:textId="77777777"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Themes and sub-themes (Chapter 5).</w:t>
            </w:r>
          </w:p>
        </w:tc>
        <w:tc>
          <w:tcPr>
            <w:tcW w:w="1933" w:type="dxa"/>
            <w:tcBorders>
              <w:top w:val="single" w:sz="4" w:space="0" w:color="auto"/>
              <w:left w:val="single" w:sz="4" w:space="0" w:color="auto"/>
              <w:bottom w:val="single" w:sz="4" w:space="0" w:color="auto"/>
              <w:right w:val="single" w:sz="4" w:space="0" w:color="auto"/>
            </w:tcBorders>
          </w:tcPr>
          <w:p w14:paraId="185D3F43" w14:textId="70890FF6"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E45914" w:rsidRPr="00103A0B">
              <w:rPr>
                <w:rFonts w:ascii="Arial" w:hAnsi="Arial" w:cs="Arial"/>
                <w:sz w:val="24"/>
                <w:szCs w:val="24"/>
              </w:rPr>
              <w:t>1</w:t>
            </w:r>
            <w:r w:rsidR="00573732" w:rsidRPr="00103A0B">
              <w:rPr>
                <w:rFonts w:ascii="Arial" w:hAnsi="Arial" w:cs="Arial"/>
                <w:sz w:val="24"/>
                <w:szCs w:val="24"/>
              </w:rPr>
              <w:t>4</w:t>
            </w:r>
          </w:p>
        </w:tc>
      </w:tr>
      <w:tr w:rsidR="00BC681C" w:rsidRPr="00103A0B" w14:paraId="39673FA5"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4F5B1F63" w14:textId="7393C6F0"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2</w:t>
            </w:r>
            <w:r w:rsidR="00BE157E" w:rsidRPr="00103A0B">
              <w:rPr>
                <w:rFonts w:ascii="Arial" w:hAnsi="Arial" w:cs="Arial"/>
                <w:sz w:val="24"/>
                <w:szCs w:val="24"/>
              </w:rPr>
              <w:t>6</w:t>
            </w:r>
          </w:p>
        </w:tc>
        <w:tc>
          <w:tcPr>
            <w:tcW w:w="4078" w:type="dxa"/>
            <w:tcBorders>
              <w:top w:val="single" w:sz="4" w:space="0" w:color="auto"/>
              <w:left w:val="single" w:sz="4" w:space="0" w:color="auto"/>
              <w:bottom w:val="single" w:sz="4" w:space="0" w:color="auto"/>
              <w:right w:val="single" w:sz="4" w:space="0" w:color="auto"/>
            </w:tcBorders>
            <w:hideMark/>
          </w:tcPr>
          <w:p w14:paraId="75CFEF5B" w14:textId="2F4CC0B4"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Participant details (Chapter 5)</w:t>
            </w:r>
          </w:p>
        </w:tc>
        <w:tc>
          <w:tcPr>
            <w:tcW w:w="1933" w:type="dxa"/>
            <w:tcBorders>
              <w:top w:val="single" w:sz="4" w:space="0" w:color="auto"/>
              <w:left w:val="single" w:sz="4" w:space="0" w:color="auto"/>
              <w:bottom w:val="single" w:sz="4" w:space="0" w:color="auto"/>
              <w:right w:val="single" w:sz="4" w:space="0" w:color="auto"/>
            </w:tcBorders>
          </w:tcPr>
          <w:p w14:paraId="451E6075" w14:textId="204D7C52"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E45914" w:rsidRPr="00103A0B">
              <w:rPr>
                <w:rFonts w:ascii="Arial" w:hAnsi="Arial" w:cs="Arial"/>
                <w:sz w:val="24"/>
                <w:szCs w:val="24"/>
              </w:rPr>
              <w:t>1</w:t>
            </w:r>
            <w:r w:rsidR="00573732" w:rsidRPr="00103A0B">
              <w:rPr>
                <w:rFonts w:ascii="Arial" w:hAnsi="Arial" w:cs="Arial"/>
                <w:sz w:val="24"/>
                <w:szCs w:val="24"/>
              </w:rPr>
              <w:t>5</w:t>
            </w:r>
          </w:p>
        </w:tc>
      </w:tr>
      <w:tr w:rsidR="00BC681C" w:rsidRPr="00103A0B" w14:paraId="76C9BD52"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181B97EB" w14:textId="4E8B5240"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2</w:t>
            </w:r>
            <w:r w:rsidR="00BE157E" w:rsidRPr="00103A0B">
              <w:rPr>
                <w:rFonts w:ascii="Arial" w:hAnsi="Arial" w:cs="Arial"/>
                <w:sz w:val="24"/>
                <w:szCs w:val="24"/>
              </w:rPr>
              <w:t>7</w:t>
            </w:r>
          </w:p>
        </w:tc>
        <w:tc>
          <w:tcPr>
            <w:tcW w:w="4078" w:type="dxa"/>
            <w:tcBorders>
              <w:top w:val="single" w:sz="4" w:space="0" w:color="auto"/>
              <w:left w:val="single" w:sz="4" w:space="0" w:color="auto"/>
              <w:bottom w:val="single" w:sz="4" w:space="0" w:color="auto"/>
              <w:right w:val="single" w:sz="4" w:space="0" w:color="auto"/>
            </w:tcBorders>
            <w:hideMark/>
          </w:tcPr>
          <w:p w14:paraId="759FDD26" w14:textId="2E897A34"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Test for differences of IPQ item scores (Chapter 7)</w:t>
            </w:r>
          </w:p>
        </w:tc>
        <w:tc>
          <w:tcPr>
            <w:tcW w:w="1933" w:type="dxa"/>
            <w:tcBorders>
              <w:top w:val="single" w:sz="4" w:space="0" w:color="auto"/>
              <w:left w:val="single" w:sz="4" w:space="0" w:color="auto"/>
              <w:bottom w:val="single" w:sz="4" w:space="0" w:color="auto"/>
              <w:right w:val="single" w:sz="4" w:space="0" w:color="auto"/>
            </w:tcBorders>
          </w:tcPr>
          <w:p w14:paraId="10F3DF49" w14:textId="23A5ACDD"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E45914" w:rsidRPr="00103A0B">
              <w:rPr>
                <w:rFonts w:ascii="Arial" w:hAnsi="Arial" w:cs="Arial"/>
                <w:sz w:val="24"/>
                <w:szCs w:val="24"/>
              </w:rPr>
              <w:t>1</w:t>
            </w:r>
            <w:r w:rsidR="00573732" w:rsidRPr="00103A0B">
              <w:rPr>
                <w:rFonts w:ascii="Arial" w:hAnsi="Arial" w:cs="Arial"/>
                <w:sz w:val="24"/>
                <w:szCs w:val="24"/>
              </w:rPr>
              <w:t>6</w:t>
            </w:r>
            <w:r w:rsidRPr="00103A0B">
              <w:rPr>
                <w:rFonts w:ascii="Arial" w:hAnsi="Arial" w:cs="Arial"/>
                <w:sz w:val="24"/>
                <w:szCs w:val="24"/>
              </w:rPr>
              <w:t>-2</w:t>
            </w:r>
            <w:r w:rsidR="005D1464" w:rsidRPr="00103A0B">
              <w:rPr>
                <w:rFonts w:ascii="Arial" w:hAnsi="Arial" w:cs="Arial"/>
                <w:sz w:val="24"/>
                <w:szCs w:val="24"/>
              </w:rPr>
              <w:t>1</w:t>
            </w:r>
            <w:r w:rsidR="00573732" w:rsidRPr="00103A0B">
              <w:rPr>
                <w:rFonts w:ascii="Arial" w:hAnsi="Arial" w:cs="Arial"/>
                <w:sz w:val="24"/>
                <w:szCs w:val="24"/>
              </w:rPr>
              <w:t>8</w:t>
            </w:r>
          </w:p>
        </w:tc>
      </w:tr>
      <w:tr w:rsidR="00BC681C" w:rsidRPr="00103A0B" w14:paraId="3BC0F1FE"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3470EFC5" w14:textId="11175226"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2</w:t>
            </w:r>
            <w:r w:rsidR="00BE157E" w:rsidRPr="00103A0B">
              <w:rPr>
                <w:rFonts w:ascii="Arial" w:hAnsi="Arial" w:cs="Arial"/>
                <w:sz w:val="24"/>
                <w:szCs w:val="24"/>
              </w:rPr>
              <w:t>8</w:t>
            </w:r>
          </w:p>
        </w:tc>
        <w:tc>
          <w:tcPr>
            <w:tcW w:w="4078" w:type="dxa"/>
            <w:tcBorders>
              <w:top w:val="single" w:sz="4" w:space="0" w:color="auto"/>
              <w:left w:val="single" w:sz="4" w:space="0" w:color="auto"/>
              <w:bottom w:val="single" w:sz="4" w:space="0" w:color="auto"/>
              <w:right w:val="single" w:sz="4" w:space="0" w:color="auto"/>
            </w:tcBorders>
            <w:hideMark/>
          </w:tcPr>
          <w:p w14:paraId="6BAB3181" w14:textId="6B21FB4C"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Test for differences of variables included and excluded in LR (Chapter 7)</w:t>
            </w:r>
          </w:p>
        </w:tc>
        <w:tc>
          <w:tcPr>
            <w:tcW w:w="1933" w:type="dxa"/>
            <w:tcBorders>
              <w:top w:val="single" w:sz="4" w:space="0" w:color="auto"/>
              <w:left w:val="single" w:sz="4" w:space="0" w:color="auto"/>
              <w:bottom w:val="single" w:sz="4" w:space="0" w:color="auto"/>
              <w:right w:val="single" w:sz="4" w:space="0" w:color="auto"/>
            </w:tcBorders>
          </w:tcPr>
          <w:p w14:paraId="21971302" w14:textId="6F43E952"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573732" w:rsidRPr="00103A0B">
              <w:rPr>
                <w:rFonts w:ascii="Arial" w:hAnsi="Arial" w:cs="Arial"/>
                <w:sz w:val="24"/>
                <w:szCs w:val="24"/>
              </w:rPr>
              <w:t>19</w:t>
            </w:r>
            <w:r w:rsidRPr="00103A0B">
              <w:rPr>
                <w:rFonts w:ascii="Arial" w:hAnsi="Arial" w:cs="Arial"/>
                <w:sz w:val="24"/>
                <w:szCs w:val="24"/>
              </w:rPr>
              <w:t>-2</w:t>
            </w:r>
            <w:r w:rsidR="00CD5159" w:rsidRPr="00103A0B">
              <w:rPr>
                <w:rFonts w:ascii="Arial" w:hAnsi="Arial" w:cs="Arial"/>
                <w:sz w:val="24"/>
                <w:szCs w:val="24"/>
              </w:rPr>
              <w:t>2</w:t>
            </w:r>
            <w:r w:rsidR="00573732" w:rsidRPr="00103A0B">
              <w:rPr>
                <w:rFonts w:ascii="Arial" w:hAnsi="Arial" w:cs="Arial"/>
                <w:sz w:val="24"/>
                <w:szCs w:val="24"/>
              </w:rPr>
              <w:t>3</w:t>
            </w:r>
          </w:p>
        </w:tc>
      </w:tr>
      <w:tr w:rsidR="00BC681C" w:rsidRPr="00103A0B" w14:paraId="20D30129"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741074F0" w14:textId="7220C399"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Appendix 2</w:t>
            </w:r>
            <w:r w:rsidR="00BE157E" w:rsidRPr="00103A0B">
              <w:rPr>
                <w:rFonts w:ascii="Arial" w:hAnsi="Arial" w:cs="Arial"/>
                <w:sz w:val="24"/>
                <w:szCs w:val="24"/>
              </w:rPr>
              <w:t>9</w:t>
            </w:r>
          </w:p>
        </w:tc>
        <w:tc>
          <w:tcPr>
            <w:tcW w:w="4078" w:type="dxa"/>
            <w:tcBorders>
              <w:top w:val="single" w:sz="4" w:space="0" w:color="auto"/>
              <w:left w:val="single" w:sz="4" w:space="0" w:color="auto"/>
              <w:bottom w:val="single" w:sz="4" w:space="0" w:color="auto"/>
              <w:right w:val="single" w:sz="4" w:space="0" w:color="auto"/>
            </w:tcBorders>
            <w:hideMark/>
          </w:tcPr>
          <w:p w14:paraId="366308F5" w14:textId="11B28DB8" w:rsidR="00BC681C" w:rsidRPr="00103A0B" w:rsidRDefault="00BC681C" w:rsidP="00CD5919">
            <w:pPr>
              <w:spacing w:line="360" w:lineRule="auto"/>
              <w:jc w:val="both"/>
              <w:rPr>
                <w:rFonts w:ascii="Arial" w:hAnsi="Arial" w:cs="Arial"/>
                <w:sz w:val="24"/>
                <w:szCs w:val="24"/>
              </w:rPr>
            </w:pPr>
            <w:bookmarkStart w:id="38" w:name="_Hlk75362668"/>
            <w:r w:rsidRPr="00103A0B">
              <w:rPr>
                <w:rFonts w:ascii="Arial" w:hAnsi="Arial" w:cs="Arial"/>
                <w:sz w:val="24"/>
                <w:szCs w:val="24"/>
              </w:rPr>
              <w:t>Results from LR for uptake using imputed data</w:t>
            </w:r>
            <w:bookmarkEnd w:id="38"/>
            <w:r w:rsidRPr="00103A0B">
              <w:rPr>
                <w:rFonts w:ascii="Arial" w:hAnsi="Arial" w:cs="Arial"/>
                <w:sz w:val="24"/>
                <w:szCs w:val="24"/>
              </w:rPr>
              <w:t xml:space="preserve"> (Chapter 7)</w:t>
            </w:r>
          </w:p>
        </w:tc>
        <w:tc>
          <w:tcPr>
            <w:tcW w:w="1933" w:type="dxa"/>
            <w:tcBorders>
              <w:top w:val="single" w:sz="4" w:space="0" w:color="auto"/>
              <w:left w:val="single" w:sz="4" w:space="0" w:color="auto"/>
              <w:bottom w:val="single" w:sz="4" w:space="0" w:color="auto"/>
              <w:right w:val="single" w:sz="4" w:space="0" w:color="auto"/>
            </w:tcBorders>
          </w:tcPr>
          <w:p w14:paraId="105B7CE4" w14:textId="1411DA12"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E45914" w:rsidRPr="00103A0B">
              <w:rPr>
                <w:rFonts w:ascii="Arial" w:hAnsi="Arial" w:cs="Arial"/>
                <w:sz w:val="24"/>
                <w:szCs w:val="24"/>
              </w:rPr>
              <w:t>2</w:t>
            </w:r>
            <w:r w:rsidR="00573732" w:rsidRPr="00103A0B">
              <w:rPr>
                <w:rFonts w:ascii="Arial" w:hAnsi="Arial" w:cs="Arial"/>
                <w:sz w:val="24"/>
                <w:szCs w:val="24"/>
              </w:rPr>
              <w:t>4</w:t>
            </w:r>
            <w:r w:rsidRPr="00103A0B">
              <w:rPr>
                <w:rFonts w:ascii="Arial" w:hAnsi="Arial" w:cs="Arial"/>
                <w:sz w:val="24"/>
                <w:szCs w:val="24"/>
              </w:rPr>
              <w:t>-2</w:t>
            </w:r>
            <w:r w:rsidR="00CD5159" w:rsidRPr="00103A0B">
              <w:rPr>
                <w:rFonts w:ascii="Arial" w:hAnsi="Arial" w:cs="Arial"/>
                <w:sz w:val="24"/>
                <w:szCs w:val="24"/>
              </w:rPr>
              <w:t>2</w:t>
            </w:r>
            <w:r w:rsidR="00573732" w:rsidRPr="00103A0B">
              <w:rPr>
                <w:rFonts w:ascii="Arial" w:hAnsi="Arial" w:cs="Arial"/>
                <w:sz w:val="24"/>
                <w:szCs w:val="24"/>
              </w:rPr>
              <w:t>6</w:t>
            </w:r>
          </w:p>
        </w:tc>
      </w:tr>
      <w:tr w:rsidR="00BC681C" w:rsidRPr="00103A0B" w14:paraId="6F2B91EB"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59E03C90" w14:textId="2DE1E3FD"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 xml:space="preserve">Appendix </w:t>
            </w:r>
            <w:r w:rsidR="00BE157E" w:rsidRPr="00103A0B">
              <w:rPr>
                <w:rFonts w:ascii="Arial" w:hAnsi="Arial" w:cs="Arial"/>
                <w:sz w:val="24"/>
                <w:szCs w:val="24"/>
              </w:rPr>
              <w:t>30</w:t>
            </w:r>
          </w:p>
        </w:tc>
        <w:tc>
          <w:tcPr>
            <w:tcW w:w="4078" w:type="dxa"/>
            <w:tcBorders>
              <w:top w:val="single" w:sz="4" w:space="0" w:color="auto"/>
              <w:left w:val="single" w:sz="4" w:space="0" w:color="auto"/>
              <w:bottom w:val="single" w:sz="4" w:space="0" w:color="auto"/>
              <w:right w:val="single" w:sz="4" w:space="0" w:color="auto"/>
            </w:tcBorders>
            <w:hideMark/>
          </w:tcPr>
          <w:p w14:paraId="0A8042C6" w14:textId="09F3901B" w:rsidR="00BC681C" w:rsidRPr="00103A0B" w:rsidRDefault="00BC681C" w:rsidP="00CD5919">
            <w:pPr>
              <w:spacing w:line="360" w:lineRule="auto"/>
              <w:jc w:val="both"/>
              <w:rPr>
                <w:rFonts w:ascii="Arial" w:hAnsi="Arial" w:cs="Arial"/>
                <w:sz w:val="24"/>
                <w:szCs w:val="24"/>
              </w:rPr>
            </w:pPr>
            <w:bookmarkStart w:id="39" w:name="_Hlk75362898"/>
            <w:r w:rsidRPr="00103A0B">
              <w:rPr>
                <w:rFonts w:ascii="Arial" w:hAnsi="Arial" w:cs="Arial"/>
                <w:sz w:val="24"/>
                <w:szCs w:val="24"/>
              </w:rPr>
              <w:t>Results from LR for completion using imputed data</w:t>
            </w:r>
            <w:bookmarkEnd w:id="39"/>
            <w:r w:rsidRPr="00103A0B">
              <w:rPr>
                <w:rFonts w:ascii="Arial" w:hAnsi="Arial" w:cs="Arial"/>
                <w:sz w:val="24"/>
                <w:szCs w:val="24"/>
              </w:rPr>
              <w:t xml:space="preserve"> (Chapter 7)</w:t>
            </w:r>
          </w:p>
        </w:tc>
        <w:tc>
          <w:tcPr>
            <w:tcW w:w="1933" w:type="dxa"/>
            <w:tcBorders>
              <w:top w:val="single" w:sz="4" w:space="0" w:color="auto"/>
              <w:left w:val="single" w:sz="4" w:space="0" w:color="auto"/>
              <w:bottom w:val="single" w:sz="4" w:space="0" w:color="auto"/>
              <w:right w:val="single" w:sz="4" w:space="0" w:color="auto"/>
            </w:tcBorders>
          </w:tcPr>
          <w:p w14:paraId="758E4CF7" w14:textId="62664F75"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E45914" w:rsidRPr="00103A0B">
              <w:rPr>
                <w:rFonts w:ascii="Arial" w:hAnsi="Arial" w:cs="Arial"/>
                <w:sz w:val="24"/>
                <w:szCs w:val="24"/>
              </w:rPr>
              <w:t>2</w:t>
            </w:r>
            <w:r w:rsidR="00573732" w:rsidRPr="00103A0B">
              <w:rPr>
                <w:rFonts w:ascii="Arial" w:hAnsi="Arial" w:cs="Arial"/>
                <w:sz w:val="24"/>
                <w:szCs w:val="24"/>
              </w:rPr>
              <w:t>7</w:t>
            </w:r>
            <w:r w:rsidRPr="00103A0B">
              <w:rPr>
                <w:rFonts w:ascii="Arial" w:hAnsi="Arial" w:cs="Arial"/>
                <w:sz w:val="24"/>
                <w:szCs w:val="24"/>
              </w:rPr>
              <w:t>-2</w:t>
            </w:r>
            <w:r w:rsidR="00573732" w:rsidRPr="00103A0B">
              <w:rPr>
                <w:rFonts w:ascii="Arial" w:hAnsi="Arial" w:cs="Arial"/>
                <w:sz w:val="24"/>
                <w:szCs w:val="24"/>
              </w:rPr>
              <w:t>29</w:t>
            </w:r>
          </w:p>
        </w:tc>
      </w:tr>
      <w:tr w:rsidR="00BC681C" w:rsidRPr="00103A0B" w14:paraId="64770193" w14:textId="77777777" w:rsidTr="00BC681C">
        <w:tc>
          <w:tcPr>
            <w:tcW w:w="3005" w:type="dxa"/>
            <w:tcBorders>
              <w:top w:val="single" w:sz="4" w:space="0" w:color="auto"/>
              <w:left w:val="single" w:sz="4" w:space="0" w:color="auto"/>
              <w:bottom w:val="single" w:sz="4" w:space="0" w:color="auto"/>
              <w:right w:val="single" w:sz="4" w:space="0" w:color="auto"/>
            </w:tcBorders>
            <w:hideMark/>
          </w:tcPr>
          <w:p w14:paraId="7589DDAD" w14:textId="7D770812" w:rsidR="00BC681C" w:rsidRPr="00103A0B" w:rsidRDefault="00BC681C" w:rsidP="00CD5919">
            <w:pPr>
              <w:spacing w:line="360" w:lineRule="auto"/>
              <w:jc w:val="both"/>
              <w:rPr>
                <w:rFonts w:ascii="Arial" w:hAnsi="Arial" w:cs="Arial"/>
                <w:sz w:val="24"/>
                <w:szCs w:val="24"/>
              </w:rPr>
            </w:pPr>
            <w:r w:rsidRPr="00103A0B">
              <w:rPr>
                <w:rFonts w:ascii="Arial" w:hAnsi="Arial" w:cs="Arial"/>
                <w:sz w:val="24"/>
                <w:szCs w:val="24"/>
              </w:rPr>
              <w:t xml:space="preserve">Appendix </w:t>
            </w:r>
            <w:r w:rsidR="00BE157E" w:rsidRPr="00103A0B">
              <w:rPr>
                <w:rFonts w:ascii="Arial" w:hAnsi="Arial" w:cs="Arial"/>
                <w:sz w:val="24"/>
                <w:szCs w:val="24"/>
              </w:rPr>
              <w:t>31</w:t>
            </w:r>
          </w:p>
        </w:tc>
        <w:tc>
          <w:tcPr>
            <w:tcW w:w="4078" w:type="dxa"/>
            <w:tcBorders>
              <w:top w:val="single" w:sz="4" w:space="0" w:color="auto"/>
              <w:left w:val="single" w:sz="4" w:space="0" w:color="auto"/>
              <w:bottom w:val="single" w:sz="4" w:space="0" w:color="auto"/>
              <w:right w:val="single" w:sz="4" w:space="0" w:color="auto"/>
            </w:tcBorders>
            <w:hideMark/>
          </w:tcPr>
          <w:p w14:paraId="450A390C" w14:textId="77777777" w:rsidR="00BC681C" w:rsidRPr="00103A0B" w:rsidRDefault="00BC681C" w:rsidP="00CD5919">
            <w:pPr>
              <w:spacing w:line="360" w:lineRule="auto"/>
              <w:jc w:val="both"/>
              <w:rPr>
                <w:rFonts w:ascii="Arial" w:hAnsi="Arial" w:cs="Arial"/>
                <w:sz w:val="24"/>
                <w:szCs w:val="24"/>
              </w:rPr>
            </w:pPr>
            <w:bookmarkStart w:id="40" w:name="_Hlk81251496"/>
            <w:r w:rsidRPr="00103A0B">
              <w:rPr>
                <w:rFonts w:ascii="Arial" w:hAnsi="Arial" w:cs="Arial"/>
                <w:sz w:val="24"/>
                <w:szCs w:val="24"/>
              </w:rPr>
              <w:t>BCTs found in additional papers (Chapter 8)</w:t>
            </w:r>
            <w:bookmarkEnd w:id="40"/>
          </w:p>
        </w:tc>
        <w:tc>
          <w:tcPr>
            <w:tcW w:w="1933" w:type="dxa"/>
            <w:tcBorders>
              <w:top w:val="single" w:sz="4" w:space="0" w:color="auto"/>
              <w:left w:val="single" w:sz="4" w:space="0" w:color="auto"/>
              <w:bottom w:val="single" w:sz="4" w:space="0" w:color="auto"/>
              <w:right w:val="single" w:sz="4" w:space="0" w:color="auto"/>
            </w:tcBorders>
          </w:tcPr>
          <w:p w14:paraId="343B5D4C" w14:textId="72A86DA2" w:rsidR="00BC681C" w:rsidRPr="00103A0B" w:rsidRDefault="00862237" w:rsidP="00CD5919">
            <w:pPr>
              <w:spacing w:line="360" w:lineRule="auto"/>
              <w:jc w:val="both"/>
              <w:rPr>
                <w:rFonts w:ascii="Arial" w:hAnsi="Arial" w:cs="Arial"/>
                <w:sz w:val="24"/>
                <w:szCs w:val="24"/>
              </w:rPr>
            </w:pPr>
            <w:r w:rsidRPr="00103A0B">
              <w:rPr>
                <w:rFonts w:ascii="Arial" w:hAnsi="Arial" w:cs="Arial"/>
                <w:sz w:val="24"/>
                <w:szCs w:val="24"/>
              </w:rPr>
              <w:t>2</w:t>
            </w:r>
            <w:r w:rsidR="00573732" w:rsidRPr="00103A0B">
              <w:rPr>
                <w:rFonts w:ascii="Arial" w:hAnsi="Arial" w:cs="Arial"/>
                <w:sz w:val="24"/>
                <w:szCs w:val="24"/>
              </w:rPr>
              <w:t>30</w:t>
            </w:r>
            <w:r w:rsidRPr="00103A0B">
              <w:rPr>
                <w:rFonts w:ascii="Arial" w:hAnsi="Arial" w:cs="Arial"/>
                <w:sz w:val="24"/>
                <w:szCs w:val="24"/>
              </w:rPr>
              <w:t>-2</w:t>
            </w:r>
            <w:r w:rsidR="00CD5159" w:rsidRPr="00103A0B">
              <w:rPr>
                <w:rFonts w:ascii="Arial" w:hAnsi="Arial" w:cs="Arial"/>
                <w:sz w:val="24"/>
                <w:szCs w:val="24"/>
              </w:rPr>
              <w:t>3</w:t>
            </w:r>
            <w:r w:rsidR="00573732" w:rsidRPr="00103A0B">
              <w:rPr>
                <w:rFonts w:ascii="Arial" w:hAnsi="Arial" w:cs="Arial"/>
                <w:sz w:val="24"/>
                <w:szCs w:val="24"/>
              </w:rPr>
              <w:t>1</w:t>
            </w:r>
          </w:p>
        </w:tc>
      </w:tr>
    </w:tbl>
    <w:p w14:paraId="28ABA10C" w14:textId="5B4E0BBF" w:rsidR="003D3DA8" w:rsidRPr="00103A0B" w:rsidRDefault="003D3DA8" w:rsidP="00CD5919">
      <w:pPr>
        <w:spacing w:line="360" w:lineRule="auto"/>
        <w:jc w:val="both"/>
        <w:rPr>
          <w:rFonts w:ascii="Arial" w:hAnsi="Arial" w:cs="Arial"/>
          <w:lang w:bidi="en-US"/>
        </w:rPr>
      </w:pPr>
    </w:p>
    <w:p w14:paraId="5C2575AD" w14:textId="24205F24" w:rsidR="003D3DA8" w:rsidRPr="00103A0B" w:rsidRDefault="003D3DA8" w:rsidP="00CD5919">
      <w:pPr>
        <w:spacing w:line="360" w:lineRule="auto"/>
        <w:jc w:val="both"/>
        <w:rPr>
          <w:rFonts w:ascii="Arial" w:hAnsi="Arial" w:cs="Arial"/>
          <w:lang w:bidi="en-US"/>
        </w:rPr>
      </w:pPr>
    </w:p>
    <w:p w14:paraId="08EEB422" w14:textId="48813DD7" w:rsidR="003D3DA8" w:rsidRPr="00103A0B" w:rsidRDefault="003D3DA8" w:rsidP="00CD5919">
      <w:pPr>
        <w:spacing w:line="360" w:lineRule="auto"/>
        <w:jc w:val="both"/>
        <w:rPr>
          <w:rFonts w:ascii="Arial" w:hAnsi="Arial" w:cs="Arial"/>
          <w:lang w:bidi="en-US"/>
        </w:rPr>
      </w:pPr>
    </w:p>
    <w:p w14:paraId="212E3181" w14:textId="042DF7E3" w:rsidR="003D3DA8" w:rsidRPr="00103A0B" w:rsidRDefault="003D3DA8" w:rsidP="00CD5919">
      <w:pPr>
        <w:spacing w:line="360" w:lineRule="auto"/>
        <w:jc w:val="both"/>
        <w:rPr>
          <w:rFonts w:ascii="Arial" w:hAnsi="Arial" w:cs="Arial"/>
          <w:lang w:bidi="en-US"/>
        </w:rPr>
      </w:pPr>
    </w:p>
    <w:p w14:paraId="728B60A8" w14:textId="6807F8C7" w:rsidR="003D3DA8" w:rsidRPr="00103A0B" w:rsidRDefault="003D3DA8" w:rsidP="00CD5919">
      <w:pPr>
        <w:spacing w:line="360" w:lineRule="auto"/>
        <w:jc w:val="both"/>
        <w:rPr>
          <w:rFonts w:ascii="Arial" w:hAnsi="Arial" w:cs="Arial"/>
          <w:lang w:bidi="en-US"/>
        </w:rPr>
      </w:pPr>
    </w:p>
    <w:p w14:paraId="194E1C85" w14:textId="77777777" w:rsidR="007E7233" w:rsidRPr="00103A0B" w:rsidRDefault="007E7233" w:rsidP="00CD5919">
      <w:pPr>
        <w:spacing w:line="360" w:lineRule="auto"/>
        <w:jc w:val="both"/>
        <w:rPr>
          <w:rFonts w:ascii="Arial" w:hAnsi="Arial" w:cs="Arial"/>
          <w:lang w:bidi="en-US"/>
        </w:rPr>
      </w:pPr>
    </w:p>
    <w:p w14:paraId="18880D02" w14:textId="0B88C63F" w:rsidR="004C5D04" w:rsidRPr="00103A0B" w:rsidRDefault="003D3DA8" w:rsidP="00474286">
      <w:pPr>
        <w:pStyle w:val="Heading1"/>
        <w:keepLines/>
        <w:numPr>
          <w:ilvl w:val="0"/>
          <w:numId w:val="0"/>
        </w:numPr>
        <w:spacing w:after="0"/>
        <w:rPr>
          <w:rFonts w:ascii="Arial" w:hAnsi="Arial" w:cs="Arial"/>
        </w:rPr>
      </w:pPr>
      <w:bookmarkStart w:id="41" w:name="_Toc354351546"/>
      <w:bookmarkStart w:id="42" w:name="_Toc354352325"/>
      <w:bookmarkStart w:id="43" w:name="_Toc354352480"/>
      <w:bookmarkStart w:id="44" w:name="_Toc354352635"/>
      <w:bookmarkStart w:id="45" w:name="_Toc363208532"/>
      <w:bookmarkStart w:id="46" w:name="_Toc151548288"/>
      <w:r w:rsidRPr="00103A0B">
        <w:rPr>
          <w:rFonts w:ascii="Arial" w:hAnsi="Arial" w:cs="Arial"/>
        </w:rPr>
        <w:lastRenderedPageBreak/>
        <w:t xml:space="preserve">List of </w:t>
      </w:r>
      <w:r w:rsidR="00240265" w:rsidRPr="00103A0B">
        <w:rPr>
          <w:rFonts w:ascii="Arial" w:hAnsi="Arial" w:cs="Arial"/>
        </w:rPr>
        <w:t>Output</w:t>
      </w:r>
      <w:r w:rsidRPr="00103A0B">
        <w:rPr>
          <w:rFonts w:ascii="Arial" w:hAnsi="Arial" w:cs="Arial"/>
        </w:rPr>
        <w:t>s</w:t>
      </w:r>
      <w:bookmarkEnd w:id="41"/>
      <w:bookmarkEnd w:id="42"/>
      <w:bookmarkEnd w:id="43"/>
      <w:bookmarkEnd w:id="44"/>
      <w:bookmarkEnd w:id="45"/>
      <w:bookmarkEnd w:id="46"/>
    </w:p>
    <w:p w14:paraId="084B2A70" w14:textId="04A1E0AC" w:rsidR="0002653C" w:rsidRPr="00103A0B" w:rsidRDefault="0002653C" w:rsidP="00CD5919">
      <w:pPr>
        <w:spacing w:line="360" w:lineRule="auto"/>
        <w:jc w:val="both"/>
        <w:rPr>
          <w:rFonts w:ascii="Arial" w:hAnsi="Arial" w:cs="Arial"/>
          <w:sz w:val="24"/>
          <w:szCs w:val="24"/>
          <w:lang w:bidi="en-US"/>
        </w:rPr>
      </w:pPr>
      <w:r w:rsidRPr="00103A0B">
        <w:rPr>
          <w:rFonts w:ascii="Arial" w:hAnsi="Arial" w:cs="Arial"/>
          <w:sz w:val="24"/>
          <w:szCs w:val="24"/>
          <w:lang w:bidi="en-US"/>
        </w:rPr>
        <w:t xml:space="preserve">This thesis includes a </w:t>
      </w:r>
      <w:r w:rsidR="00240265" w:rsidRPr="00103A0B">
        <w:rPr>
          <w:rFonts w:ascii="Arial" w:hAnsi="Arial" w:cs="Arial"/>
          <w:sz w:val="24"/>
          <w:szCs w:val="24"/>
          <w:lang w:bidi="en-US"/>
        </w:rPr>
        <w:t xml:space="preserve">combination of </w:t>
      </w:r>
      <w:r w:rsidR="00844BA1" w:rsidRPr="00103A0B">
        <w:rPr>
          <w:rFonts w:ascii="Arial" w:hAnsi="Arial" w:cs="Arial"/>
          <w:sz w:val="24"/>
          <w:szCs w:val="24"/>
          <w:lang w:bidi="en-US"/>
        </w:rPr>
        <w:t xml:space="preserve">a </w:t>
      </w:r>
      <w:r w:rsidRPr="00103A0B">
        <w:rPr>
          <w:rFonts w:ascii="Arial" w:hAnsi="Arial" w:cs="Arial"/>
          <w:sz w:val="24"/>
          <w:szCs w:val="24"/>
          <w:lang w:bidi="en-US"/>
        </w:rPr>
        <w:t xml:space="preserve">published manuscript, manuscripts currently </w:t>
      </w:r>
      <w:r w:rsidR="003469CF" w:rsidRPr="00103A0B">
        <w:rPr>
          <w:rFonts w:ascii="Arial" w:hAnsi="Arial" w:cs="Arial"/>
          <w:sz w:val="24"/>
          <w:szCs w:val="24"/>
          <w:lang w:bidi="en-US"/>
        </w:rPr>
        <w:t>being prepared for submission</w:t>
      </w:r>
      <w:r w:rsidRPr="00103A0B">
        <w:rPr>
          <w:rFonts w:ascii="Arial" w:hAnsi="Arial" w:cs="Arial"/>
          <w:sz w:val="24"/>
          <w:szCs w:val="24"/>
          <w:lang w:bidi="en-US"/>
        </w:rPr>
        <w:t>, and</w:t>
      </w:r>
      <w:r w:rsidR="00844BA1" w:rsidRPr="00103A0B">
        <w:rPr>
          <w:rFonts w:ascii="Arial" w:hAnsi="Arial" w:cs="Arial"/>
          <w:sz w:val="24"/>
          <w:szCs w:val="24"/>
          <w:lang w:bidi="en-US"/>
        </w:rPr>
        <w:t xml:space="preserve"> studies written up as chapters.</w:t>
      </w:r>
      <w:r w:rsidRPr="00103A0B">
        <w:rPr>
          <w:rFonts w:ascii="Arial" w:hAnsi="Arial" w:cs="Arial"/>
          <w:sz w:val="24"/>
          <w:szCs w:val="24"/>
          <w:lang w:bidi="en-US"/>
        </w:rPr>
        <w:t xml:space="preserve"> </w:t>
      </w:r>
      <w:r w:rsidR="00844BA1" w:rsidRPr="00103A0B">
        <w:rPr>
          <w:rFonts w:ascii="Arial" w:hAnsi="Arial" w:cs="Arial"/>
          <w:sz w:val="24"/>
          <w:szCs w:val="24"/>
          <w:lang w:bidi="en-US"/>
        </w:rPr>
        <w:t>D</w:t>
      </w:r>
      <w:r w:rsidRPr="00103A0B">
        <w:rPr>
          <w:rFonts w:ascii="Arial" w:hAnsi="Arial" w:cs="Arial"/>
          <w:sz w:val="24"/>
          <w:szCs w:val="24"/>
          <w:lang w:bidi="en-US"/>
        </w:rPr>
        <w:t>ata from this thesis h</w:t>
      </w:r>
      <w:r w:rsidR="00844BA1" w:rsidRPr="00103A0B">
        <w:rPr>
          <w:rFonts w:ascii="Arial" w:hAnsi="Arial" w:cs="Arial"/>
          <w:sz w:val="24"/>
          <w:szCs w:val="24"/>
          <w:lang w:bidi="en-US"/>
        </w:rPr>
        <w:t>ave</w:t>
      </w:r>
      <w:r w:rsidRPr="00103A0B">
        <w:rPr>
          <w:rFonts w:ascii="Arial" w:hAnsi="Arial" w:cs="Arial"/>
          <w:sz w:val="24"/>
          <w:szCs w:val="24"/>
          <w:lang w:bidi="en-US"/>
        </w:rPr>
        <w:t xml:space="preserve"> also been presented at UK conferences. The details of all outputs related to this thesis are as follows:</w:t>
      </w:r>
    </w:p>
    <w:p w14:paraId="34FFE913" w14:textId="1FD420C5" w:rsidR="00A927A3" w:rsidRPr="00103A0B" w:rsidRDefault="0002653C" w:rsidP="00CD5919">
      <w:pPr>
        <w:spacing w:line="360" w:lineRule="auto"/>
        <w:jc w:val="both"/>
        <w:rPr>
          <w:rFonts w:ascii="Arial" w:hAnsi="Arial" w:cs="Arial"/>
          <w:b/>
          <w:bCs/>
          <w:sz w:val="24"/>
          <w:szCs w:val="24"/>
          <w:lang w:bidi="en-US"/>
        </w:rPr>
      </w:pPr>
      <w:r w:rsidRPr="00103A0B">
        <w:rPr>
          <w:rFonts w:ascii="Arial" w:hAnsi="Arial" w:cs="Arial"/>
          <w:b/>
          <w:bCs/>
          <w:sz w:val="24"/>
          <w:szCs w:val="24"/>
          <w:lang w:bidi="en-US"/>
        </w:rPr>
        <w:t>Articles:</w:t>
      </w:r>
    </w:p>
    <w:p w14:paraId="3ABCE1FE" w14:textId="48AE8260" w:rsidR="00A927A3" w:rsidRPr="00103A0B" w:rsidRDefault="00A927A3" w:rsidP="00CD5919">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Begum, S., Povey R., Gidlow, C., Ellis, N., &amp; Chadwick, P. (</w:t>
      </w:r>
      <w:r w:rsidR="00B11BC5" w:rsidRPr="00103A0B">
        <w:rPr>
          <w:rFonts w:ascii="Arial" w:eastAsia="Calibri" w:hAnsi="Arial" w:cs="Arial"/>
          <w:sz w:val="24"/>
          <w:szCs w:val="24"/>
        </w:rPr>
        <w:t>In preparation</w:t>
      </w:r>
      <w:r w:rsidRPr="00103A0B">
        <w:rPr>
          <w:rFonts w:ascii="Arial" w:eastAsia="Calibri" w:hAnsi="Arial" w:cs="Arial"/>
          <w:sz w:val="24"/>
          <w:szCs w:val="24"/>
        </w:rPr>
        <w:t xml:space="preserve">). “It’s a bad </w:t>
      </w:r>
      <w:r w:rsidR="00844BA1" w:rsidRPr="00103A0B">
        <w:rPr>
          <w:rFonts w:ascii="Arial" w:eastAsia="Calibri" w:hAnsi="Arial" w:cs="Arial"/>
          <w:sz w:val="24"/>
          <w:szCs w:val="24"/>
        </w:rPr>
        <w:t>sickness</w:t>
      </w:r>
      <w:r w:rsidRPr="00103A0B">
        <w:rPr>
          <w:rFonts w:ascii="Arial" w:eastAsia="Calibri" w:hAnsi="Arial" w:cs="Arial"/>
          <w:sz w:val="24"/>
          <w:szCs w:val="24"/>
        </w:rPr>
        <w:t>”: A qualitative study of the views and experiences of completers and non-completers from ethnically diverse backgrounds living in a socioeconomically deprived area.</w:t>
      </w:r>
      <w:r w:rsidR="00844BA1" w:rsidRPr="00103A0B">
        <w:rPr>
          <w:rFonts w:ascii="Arial" w:eastAsia="Calibri" w:hAnsi="Arial" w:cs="Arial"/>
          <w:sz w:val="24"/>
          <w:szCs w:val="24"/>
        </w:rPr>
        <w:t xml:space="preserve"> </w:t>
      </w:r>
    </w:p>
    <w:p w14:paraId="547255FB" w14:textId="4FDCE010" w:rsidR="00CD5159" w:rsidRPr="00103A0B" w:rsidRDefault="00CD5159" w:rsidP="00B11BC5">
      <w:pPr>
        <w:spacing w:line="360" w:lineRule="auto"/>
        <w:jc w:val="both"/>
        <w:rPr>
          <w:rFonts w:ascii="Arial" w:eastAsia="Calibri" w:hAnsi="Arial" w:cs="Arial"/>
          <w:sz w:val="24"/>
          <w:szCs w:val="24"/>
        </w:rPr>
      </w:pPr>
      <w:r w:rsidRPr="00103A0B">
        <w:rPr>
          <w:rFonts w:ascii="Arial" w:eastAsia="Calibri" w:hAnsi="Arial" w:cs="Arial"/>
          <w:sz w:val="24"/>
          <w:szCs w:val="24"/>
        </w:rPr>
        <w:t xml:space="preserve">Begum, S., Povey R., Ellis, N., Gidlow, C., &amp; Chadwick, P. (2022). Influences of decisions to attend a national diabetes prevention programme from people living in a socioeconomically deprived area. </w:t>
      </w:r>
      <w:r w:rsidRPr="00103A0B">
        <w:rPr>
          <w:rFonts w:ascii="Arial" w:eastAsia="Calibri" w:hAnsi="Arial" w:cs="Arial"/>
          <w:i/>
          <w:iCs/>
          <w:sz w:val="24"/>
          <w:szCs w:val="24"/>
        </w:rPr>
        <w:t xml:space="preserve">Diabetic Medicine, 39: </w:t>
      </w:r>
      <w:r w:rsidRPr="00103A0B">
        <w:rPr>
          <w:rFonts w:ascii="Arial" w:eastAsia="Calibri" w:hAnsi="Arial" w:cs="Arial"/>
          <w:sz w:val="24"/>
          <w:szCs w:val="24"/>
        </w:rPr>
        <w:t xml:space="preserve">e14804. </w:t>
      </w:r>
      <w:hyperlink r:id="rId12" w:history="1">
        <w:r w:rsidRPr="00103A0B">
          <w:rPr>
            <w:rStyle w:val="Hyperlink"/>
            <w:rFonts w:ascii="Arial" w:eastAsia="Calibri" w:hAnsi="Arial" w:cs="Arial"/>
            <w:sz w:val="24"/>
            <w:szCs w:val="24"/>
          </w:rPr>
          <w:t>https://doi.org/10.1111/dme.14804</w:t>
        </w:r>
      </w:hyperlink>
      <w:r w:rsidRPr="00103A0B">
        <w:rPr>
          <w:rFonts w:ascii="Arial" w:eastAsia="Calibri" w:hAnsi="Arial" w:cs="Arial"/>
          <w:sz w:val="24"/>
          <w:szCs w:val="24"/>
        </w:rPr>
        <w:t xml:space="preserve">.  </w:t>
      </w:r>
    </w:p>
    <w:p w14:paraId="79213DC8" w14:textId="44C6D5BC" w:rsidR="00B11BC5" w:rsidRPr="00103A0B" w:rsidRDefault="00A927A3" w:rsidP="00F23CD7">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Begum, S., Gidlow, C., Povey R., Chadwick, P., &amp; Ellis, N.</w:t>
      </w:r>
      <w:r w:rsidR="00F23CD7" w:rsidRPr="00103A0B">
        <w:rPr>
          <w:rFonts w:ascii="Arial" w:eastAsia="Calibri" w:hAnsi="Arial" w:cs="Arial"/>
          <w:sz w:val="24"/>
          <w:szCs w:val="24"/>
        </w:rPr>
        <w:t xml:space="preserve"> (In preparation).</w:t>
      </w:r>
      <w:r w:rsidR="007A0F78" w:rsidRPr="00103A0B">
        <w:rPr>
          <w:rFonts w:ascii="Arial" w:eastAsia="Calibri" w:hAnsi="Arial" w:cs="Arial"/>
          <w:sz w:val="24"/>
          <w:szCs w:val="24"/>
        </w:rPr>
        <w:t xml:space="preserve"> </w:t>
      </w:r>
      <w:r w:rsidRPr="00103A0B">
        <w:rPr>
          <w:rFonts w:ascii="Arial" w:eastAsia="Calibri" w:hAnsi="Arial" w:cs="Arial"/>
          <w:sz w:val="24"/>
          <w:szCs w:val="24"/>
        </w:rPr>
        <w:t xml:space="preserve">The effects of illness perceptions, self-efficacy and mental wellbeing scores on uptake and completion of a diabetes prevention programme in England. </w:t>
      </w:r>
    </w:p>
    <w:p w14:paraId="331DE778" w14:textId="70578727" w:rsidR="007A0F78" w:rsidRPr="00103A0B" w:rsidRDefault="0002653C" w:rsidP="00CD5919">
      <w:pPr>
        <w:spacing w:line="360" w:lineRule="auto"/>
        <w:jc w:val="both"/>
        <w:rPr>
          <w:rFonts w:ascii="Arial" w:eastAsia="Calibri" w:hAnsi="Arial" w:cs="Arial"/>
          <w:sz w:val="24"/>
          <w:szCs w:val="24"/>
        </w:rPr>
      </w:pPr>
      <w:r w:rsidRPr="00103A0B">
        <w:rPr>
          <w:rFonts w:ascii="Arial" w:eastAsia="Calibri" w:hAnsi="Arial" w:cs="Arial"/>
          <w:sz w:val="24"/>
          <w:szCs w:val="24"/>
        </w:rPr>
        <w:t>Begum, S., Povey R.,</w:t>
      </w:r>
      <w:r w:rsidR="00A927A3" w:rsidRPr="00103A0B">
        <w:rPr>
          <w:rFonts w:ascii="Arial" w:eastAsia="Calibri" w:hAnsi="Arial" w:cs="Arial"/>
          <w:sz w:val="24"/>
          <w:szCs w:val="24"/>
        </w:rPr>
        <w:t xml:space="preserve"> </w:t>
      </w:r>
      <w:r w:rsidRPr="00103A0B">
        <w:rPr>
          <w:rFonts w:ascii="Arial" w:eastAsia="Calibri" w:hAnsi="Arial" w:cs="Arial"/>
          <w:sz w:val="24"/>
          <w:szCs w:val="24"/>
        </w:rPr>
        <w:t>Ellis, N.</w:t>
      </w:r>
      <w:r w:rsidR="00A927A3" w:rsidRPr="00103A0B">
        <w:rPr>
          <w:rFonts w:ascii="Arial" w:eastAsia="Calibri" w:hAnsi="Arial" w:cs="Arial"/>
          <w:sz w:val="24"/>
          <w:szCs w:val="24"/>
        </w:rPr>
        <w:t xml:space="preserve">, &amp; Gidlow, C. </w:t>
      </w:r>
      <w:r w:rsidRPr="00103A0B">
        <w:rPr>
          <w:rFonts w:ascii="Arial" w:eastAsia="Calibri" w:hAnsi="Arial" w:cs="Arial"/>
          <w:sz w:val="24"/>
          <w:szCs w:val="24"/>
        </w:rPr>
        <w:t>(2020). A systematic review of recruitment strategies and behaviour change techniques in group-based diabetes prevention programmes focusing on uptake and retention.</w:t>
      </w:r>
      <w:r w:rsidR="00A927A3" w:rsidRPr="00103A0B">
        <w:rPr>
          <w:rFonts w:ascii="Arial" w:eastAsia="Calibri" w:hAnsi="Arial" w:cs="Arial"/>
          <w:sz w:val="24"/>
          <w:szCs w:val="24"/>
        </w:rPr>
        <w:t xml:space="preserve"> </w:t>
      </w:r>
      <w:r w:rsidR="00A927A3" w:rsidRPr="00103A0B">
        <w:rPr>
          <w:rFonts w:ascii="Arial" w:eastAsia="Calibri" w:hAnsi="Arial" w:cs="Arial"/>
          <w:i/>
          <w:iCs/>
          <w:sz w:val="24"/>
          <w:szCs w:val="24"/>
        </w:rPr>
        <w:t>Diabetes Research and Clinical Practice, 166</w:t>
      </w:r>
      <w:r w:rsidR="00A927A3" w:rsidRPr="00103A0B">
        <w:rPr>
          <w:rFonts w:ascii="Arial" w:eastAsia="Calibri" w:hAnsi="Arial" w:cs="Arial"/>
          <w:sz w:val="24"/>
          <w:szCs w:val="24"/>
        </w:rPr>
        <w:t xml:space="preserve">:108273. </w:t>
      </w:r>
      <w:hyperlink r:id="rId13" w:history="1">
        <w:r w:rsidR="00A927A3" w:rsidRPr="00103A0B">
          <w:rPr>
            <w:rStyle w:val="Hyperlink"/>
            <w:rFonts w:ascii="Arial" w:eastAsia="Calibri" w:hAnsi="Arial" w:cs="Arial"/>
            <w:sz w:val="24"/>
            <w:szCs w:val="24"/>
          </w:rPr>
          <w:t>https://doi.org/10.1016/j.diabres.2020.108273</w:t>
        </w:r>
      </w:hyperlink>
      <w:r w:rsidR="00A927A3" w:rsidRPr="00103A0B">
        <w:rPr>
          <w:rFonts w:ascii="Arial" w:eastAsia="Calibri" w:hAnsi="Arial" w:cs="Arial"/>
          <w:sz w:val="24"/>
          <w:szCs w:val="24"/>
        </w:rPr>
        <w:t xml:space="preserve">. </w:t>
      </w:r>
    </w:p>
    <w:p w14:paraId="31DAEA15" w14:textId="52F0A23A" w:rsidR="0002653C" w:rsidRPr="00103A0B" w:rsidRDefault="0002653C" w:rsidP="00CD5919">
      <w:pPr>
        <w:spacing w:line="360" w:lineRule="auto"/>
        <w:jc w:val="both"/>
        <w:rPr>
          <w:rFonts w:ascii="Arial" w:hAnsi="Arial" w:cs="Arial"/>
          <w:b/>
          <w:bCs/>
          <w:sz w:val="24"/>
          <w:szCs w:val="24"/>
          <w:lang w:bidi="en-US"/>
        </w:rPr>
      </w:pPr>
      <w:r w:rsidRPr="00103A0B">
        <w:rPr>
          <w:rFonts w:ascii="Arial" w:hAnsi="Arial" w:cs="Arial"/>
          <w:b/>
          <w:bCs/>
          <w:sz w:val="24"/>
          <w:szCs w:val="24"/>
          <w:lang w:bidi="en-US"/>
        </w:rPr>
        <w:t xml:space="preserve">Conference presentations: </w:t>
      </w:r>
    </w:p>
    <w:p w14:paraId="10810EA3" w14:textId="420700DA" w:rsidR="00D12834" w:rsidRPr="00103A0B" w:rsidRDefault="00CD5159" w:rsidP="00D12834">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 xml:space="preserve">Begum, S., Povey R., Ellis, N., &amp; Gidlow, C. (2022). A psychological exploration of factors which affect the uptake and retention of diabetes prevention programmes. Delivered an oral presentation at the </w:t>
      </w:r>
      <w:proofErr w:type="spellStart"/>
      <w:r w:rsidRPr="00103A0B">
        <w:rPr>
          <w:rFonts w:ascii="Arial" w:eastAsia="Calibri" w:hAnsi="Arial" w:cs="Arial"/>
          <w:sz w:val="24"/>
          <w:szCs w:val="24"/>
        </w:rPr>
        <w:t>Keele</w:t>
      </w:r>
      <w:proofErr w:type="spellEnd"/>
      <w:r w:rsidRPr="00103A0B">
        <w:rPr>
          <w:rFonts w:ascii="Arial" w:eastAsia="Calibri" w:hAnsi="Arial" w:cs="Arial"/>
          <w:sz w:val="24"/>
          <w:szCs w:val="24"/>
        </w:rPr>
        <w:t xml:space="preserve"> University and Staffordshire University Postgraduate Psychology Conference, </w:t>
      </w:r>
      <w:proofErr w:type="spellStart"/>
      <w:r w:rsidRPr="00103A0B">
        <w:rPr>
          <w:rFonts w:ascii="Arial" w:eastAsia="Calibri" w:hAnsi="Arial" w:cs="Arial"/>
          <w:sz w:val="24"/>
          <w:szCs w:val="24"/>
        </w:rPr>
        <w:t>Keele</w:t>
      </w:r>
      <w:proofErr w:type="spellEnd"/>
      <w:r w:rsidRPr="00103A0B">
        <w:rPr>
          <w:rFonts w:ascii="Arial" w:eastAsia="Calibri" w:hAnsi="Arial" w:cs="Arial"/>
          <w:sz w:val="24"/>
          <w:szCs w:val="24"/>
        </w:rPr>
        <w:t xml:space="preserve"> University, UK, May 2022.  </w:t>
      </w:r>
    </w:p>
    <w:p w14:paraId="02228DD8" w14:textId="030F43CD" w:rsidR="00FF6DED" w:rsidRPr="00103A0B" w:rsidRDefault="00FF6DED" w:rsidP="00CD5919">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 xml:space="preserve">Begum, S., </w:t>
      </w:r>
      <w:r w:rsidR="00F23CD7" w:rsidRPr="00103A0B">
        <w:rPr>
          <w:rFonts w:ascii="Arial" w:eastAsia="Calibri" w:hAnsi="Arial" w:cs="Arial"/>
          <w:sz w:val="24"/>
          <w:szCs w:val="24"/>
        </w:rPr>
        <w:t xml:space="preserve">Gidlow, C., </w:t>
      </w:r>
      <w:r w:rsidRPr="00103A0B">
        <w:rPr>
          <w:rFonts w:ascii="Arial" w:eastAsia="Calibri" w:hAnsi="Arial" w:cs="Arial"/>
          <w:sz w:val="24"/>
          <w:szCs w:val="24"/>
        </w:rPr>
        <w:t xml:space="preserve">Povey R., </w:t>
      </w:r>
      <w:r w:rsidR="00F23CD7" w:rsidRPr="00103A0B">
        <w:rPr>
          <w:rFonts w:ascii="Arial" w:eastAsia="Calibri" w:hAnsi="Arial" w:cs="Arial"/>
          <w:sz w:val="24"/>
          <w:szCs w:val="24"/>
        </w:rPr>
        <w:t xml:space="preserve">Chadwick, P., &amp; </w:t>
      </w:r>
      <w:r w:rsidRPr="00103A0B">
        <w:rPr>
          <w:rFonts w:ascii="Arial" w:eastAsia="Calibri" w:hAnsi="Arial" w:cs="Arial"/>
          <w:sz w:val="24"/>
          <w:szCs w:val="24"/>
        </w:rPr>
        <w:t xml:space="preserve">Ellis, N. (2021). The effects of illness perceptions, self-efficacy and mental wellbeing scores on uptake and completion of a </w:t>
      </w:r>
      <w:r w:rsidRPr="00103A0B">
        <w:rPr>
          <w:rFonts w:ascii="Arial" w:eastAsia="Calibri" w:hAnsi="Arial" w:cs="Arial"/>
          <w:sz w:val="24"/>
          <w:szCs w:val="24"/>
        </w:rPr>
        <w:lastRenderedPageBreak/>
        <w:t xml:space="preserve">diabetes prevention programme in England. Delivered an oral presentation at the Annual Health Psychology conference (online), Staffordshire University, UK, June 2021.  </w:t>
      </w:r>
    </w:p>
    <w:p w14:paraId="718218DA" w14:textId="77777777" w:rsidR="00FF6DED" w:rsidRPr="00103A0B" w:rsidRDefault="00FF6DED" w:rsidP="00CD5919">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 xml:space="preserve">Begum, S., Povey R., Gidlow, C., Ellis, N., &amp; Chadwick, P. (2021). “It’s a bad disease”: A qualitative study of the views and experiences of completers and non-completers from ethnically diverse backgrounds living in a socioeconomically deprived area. Delivered an oral presentation at the Annual Midlands Health Psychology Network conference, MHPN (online), June 2021.  </w:t>
      </w:r>
    </w:p>
    <w:p w14:paraId="525E5F72" w14:textId="77777777" w:rsidR="00FF6DED" w:rsidRPr="00103A0B" w:rsidRDefault="00FF6DED" w:rsidP="00CD5919">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 xml:space="preserve">Begum, S., Gidlow, C., Povey R., Chadwick, P., &amp; Ellis, N. (2021). The effects of illness perceptions, self-efficacy and mental wellbeing scores on uptake and completion of a diabetes prevention programme in England. Poster and video recording presented at the Diabetes UK Professional Conference, Diabetes UK (online), UK, April 2021. Abstract is published in Diabetic Medicine journal: </w:t>
      </w:r>
      <w:hyperlink r:id="rId14" w:history="1">
        <w:r w:rsidRPr="00103A0B">
          <w:rPr>
            <w:rStyle w:val="Hyperlink"/>
            <w:rFonts w:ascii="Arial" w:eastAsia="Calibri" w:hAnsi="Arial" w:cs="Arial"/>
            <w:sz w:val="24"/>
            <w:szCs w:val="24"/>
          </w:rPr>
          <w:t>https://doi.org/10.1111/dme.33_14556</w:t>
        </w:r>
      </w:hyperlink>
      <w:r w:rsidRPr="00103A0B">
        <w:rPr>
          <w:rFonts w:ascii="Arial" w:eastAsia="Calibri" w:hAnsi="Arial" w:cs="Arial"/>
          <w:sz w:val="24"/>
          <w:szCs w:val="24"/>
        </w:rPr>
        <w:t xml:space="preserve">.  </w:t>
      </w:r>
    </w:p>
    <w:p w14:paraId="1E222B01" w14:textId="77777777" w:rsidR="00FF6DED" w:rsidRPr="00103A0B" w:rsidRDefault="00FF6DED" w:rsidP="00CD5919">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 xml:space="preserve">Begum, S., Povey R., Ellis, N., Gidlow, C., &amp; Chadwick, P. (2021). National Diabetes Prevention Programme: A qualitative study of the views and experiences of attenders and non-attenders from ethnically diverse backgrounds living in a socioeconomically deprived area. Delivered an oral presentation at the Psychology &amp; Counselling Associate Lecturers Conference, The Open University (online), UK, March 2021.  </w:t>
      </w:r>
    </w:p>
    <w:p w14:paraId="52AE5317" w14:textId="77777777" w:rsidR="00FF6DED" w:rsidRPr="00103A0B" w:rsidRDefault="00FF6DED" w:rsidP="00CD5919">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 xml:space="preserve">Begum, S., Povey R., Ellis, N., Gidlow, C., &amp; Chadwick, P. (2019). NHS Diabetes Prevention Programme: Views and experiences of attenders and non- attenders. Delivered an oral presentation at the Annual Health Psychology conference, Staffordshire University, UK, June 2019.  </w:t>
      </w:r>
    </w:p>
    <w:p w14:paraId="001D6118" w14:textId="3FDD2B6F" w:rsidR="00FF6DED" w:rsidRPr="00103A0B" w:rsidRDefault="00FF6DED" w:rsidP="00CD5919">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 xml:space="preserve">Begum, S., Povey R., Ellis, N., &amp; Gidlow, C. (2019). A systematic review of recruitment strategies and behaviour change techniques in group-based diabetes prevention programmes focusing on uptake and retention. Poster presented at the Joint </w:t>
      </w:r>
      <w:proofErr w:type="spellStart"/>
      <w:r w:rsidRPr="00103A0B">
        <w:rPr>
          <w:rFonts w:ascii="Arial" w:eastAsia="Calibri" w:hAnsi="Arial" w:cs="Arial"/>
          <w:sz w:val="24"/>
          <w:szCs w:val="24"/>
        </w:rPr>
        <w:t>Keele</w:t>
      </w:r>
      <w:proofErr w:type="spellEnd"/>
      <w:r w:rsidRPr="00103A0B">
        <w:rPr>
          <w:rFonts w:ascii="Arial" w:eastAsia="Calibri" w:hAnsi="Arial" w:cs="Arial"/>
          <w:sz w:val="24"/>
          <w:szCs w:val="24"/>
        </w:rPr>
        <w:t xml:space="preserve"> and Staffordshire Psychology Postgraduate Research Conference, Staffordshire University, UK, May 2019.  </w:t>
      </w:r>
    </w:p>
    <w:p w14:paraId="068E40EE" w14:textId="77777777" w:rsidR="00474286" w:rsidRPr="00103A0B" w:rsidRDefault="000E0591" w:rsidP="00CD5919">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 xml:space="preserve">Begum, S., Povey R., Gidlow, C., Ellis, N., &amp; Chadwick, P. (2017). NHS Diabetes Prevention Programme: A Qualitative Exploration. Poster presented at the Annual Health Psychology conference, Staffordshire University, UK, June 2017.  </w:t>
      </w:r>
    </w:p>
    <w:p w14:paraId="15278A5D" w14:textId="77777777" w:rsidR="00474286" w:rsidRPr="00103A0B" w:rsidRDefault="00474286" w:rsidP="00CD5919">
      <w:pPr>
        <w:spacing w:before="240" w:line="360" w:lineRule="auto"/>
        <w:ind w:right="-270"/>
        <w:jc w:val="both"/>
        <w:rPr>
          <w:rFonts w:ascii="Arial" w:eastAsia="Calibri" w:hAnsi="Arial" w:cs="Arial"/>
          <w:sz w:val="24"/>
          <w:szCs w:val="24"/>
        </w:rPr>
      </w:pPr>
    </w:p>
    <w:p w14:paraId="3718F386" w14:textId="5AF70D41" w:rsidR="007A0F78" w:rsidRPr="00103A0B" w:rsidRDefault="0002653C" w:rsidP="00CD5919">
      <w:pPr>
        <w:spacing w:before="240" w:line="360" w:lineRule="auto"/>
        <w:ind w:right="-270"/>
        <w:jc w:val="both"/>
        <w:rPr>
          <w:rFonts w:ascii="Arial" w:eastAsia="Calibri" w:hAnsi="Arial" w:cs="Arial"/>
          <w:sz w:val="24"/>
          <w:szCs w:val="24"/>
        </w:rPr>
      </w:pPr>
      <w:r w:rsidRPr="00103A0B">
        <w:rPr>
          <w:rFonts w:ascii="Arial" w:eastAsia="Calibri" w:hAnsi="Arial" w:cs="Arial"/>
          <w:sz w:val="24"/>
          <w:szCs w:val="24"/>
        </w:rPr>
        <w:t xml:space="preserve">N.B. As </w:t>
      </w:r>
      <w:proofErr w:type="gramStart"/>
      <w:r w:rsidRPr="00103A0B">
        <w:rPr>
          <w:rFonts w:ascii="Arial" w:eastAsia="Calibri" w:hAnsi="Arial" w:cs="Arial"/>
          <w:sz w:val="24"/>
          <w:szCs w:val="24"/>
        </w:rPr>
        <w:t>all of</w:t>
      </w:r>
      <w:proofErr w:type="gramEnd"/>
      <w:r w:rsidRPr="00103A0B">
        <w:rPr>
          <w:rFonts w:ascii="Arial" w:eastAsia="Calibri" w:hAnsi="Arial" w:cs="Arial"/>
          <w:sz w:val="24"/>
          <w:szCs w:val="24"/>
        </w:rPr>
        <w:t xml:space="preserve"> the studies in this thesis are either published or </w:t>
      </w:r>
      <w:r w:rsidR="00F23CD7" w:rsidRPr="00103A0B">
        <w:rPr>
          <w:rFonts w:ascii="Arial" w:eastAsia="Calibri" w:hAnsi="Arial" w:cs="Arial"/>
          <w:sz w:val="24"/>
          <w:szCs w:val="24"/>
        </w:rPr>
        <w:t>in preparation</w:t>
      </w:r>
      <w:r w:rsidRPr="00103A0B">
        <w:rPr>
          <w:rFonts w:ascii="Arial" w:eastAsia="Calibri" w:hAnsi="Arial" w:cs="Arial"/>
          <w:sz w:val="24"/>
          <w:szCs w:val="24"/>
        </w:rPr>
        <w:t>, each chapter has an extended literature review as would appear in an empirical article. Therefore, some repetition may be present regarding the description and explanation of theory and</w:t>
      </w:r>
      <w:r w:rsidR="00FF6DED" w:rsidRPr="00103A0B">
        <w:rPr>
          <w:rFonts w:ascii="Arial" w:eastAsia="Calibri" w:hAnsi="Arial" w:cs="Arial"/>
          <w:sz w:val="24"/>
          <w:szCs w:val="24"/>
        </w:rPr>
        <w:t>/or</w:t>
      </w:r>
      <w:r w:rsidRPr="00103A0B">
        <w:rPr>
          <w:rFonts w:ascii="Arial" w:eastAsia="Calibri" w:hAnsi="Arial" w:cs="Arial"/>
          <w:sz w:val="24"/>
          <w:szCs w:val="24"/>
        </w:rPr>
        <w:t xml:space="preserve"> research.</w:t>
      </w:r>
    </w:p>
    <w:p w14:paraId="2E4A5C0C" w14:textId="75B9FDD1" w:rsidR="00CB187F" w:rsidRPr="00103A0B" w:rsidRDefault="00CB187F" w:rsidP="00CD5919">
      <w:pPr>
        <w:jc w:val="both"/>
        <w:rPr>
          <w:lang w:bidi="en-US"/>
        </w:rPr>
      </w:pPr>
      <w:bookmarkStart w:id="47" w:name="_Toc363208533"/>
    </w:p>
    <w:p w14:paraId="7B4B235F" w14:textId="0C98FBCF" w:rsidR="00CB187F" w:rsidRPr="00103A0B" w:rsidRDefault="00CB187F" w:rsidP="00CD5919">
      <w:pPr>
        <w:jc w:val="both"/>
        <w:rPr>
          <w:lang w:bidi="en-US"/>
        </w:rPr>
      </w:pPr>
    </w:p>
    <w:p w14:paraId="6400F742" w14:textId="141A8E9F" w:rsidR="00CB187F" w:rsidRPr="00103A0B" w:rsidRDefault="00CB187F" w:rsidP="00CD5919">
      <w:pPr>
        <w:jc w:val="both"/>
        <w:rPr>
          <w:lang w:bidi="en-US"/>
        </w:rPr>
      </w:pPr>
    </w:p>
    <w:p w14:paraId="59DE35F6" w14:textId="3CC91428" w:rsidR="00CB187F" w:rsidRPr="00103A0B" w:rsidRDefault="00CB187F" w:rsidP="00CD5919">
      <w:pPr>
        <w:jc w:val="both"/>
        <w:rPr>
          <w:lang w:bidi="en-US"/>
        </w:rPr>
      </w:pPr>
    </w:p>
    <w:p w14:paraId="09170AB1" w14:textId="5401D8B4" w:rsidR="00CB187F" w:rsidRPr="00103A0B" w:rsidRDefault="00CB187F" w:rsidP="00CD5919">
      <w:pPr>
        <w:jc w:val="both"/>
        <w:rPr>
          <w:lang w:bidi="en-US"/>
        </w:rPr>
      </w:pPr>
    </w:p>
    <w:p w14:paraId="65E35844" w14:textId="5DBE119A" w:rsidR="00CB187F" w:rsidRPr="00103A0B" w:rsidRDefault="00CB187F" w:rsidP="00CD5919">
      <w:pPr>
        <w:jc w:val="both"/>
        <w:rPr>
          <w:lang w:bidi="en-US"/>
        </w:rPr>
      </w:pPr>
    </w:p>
    <w:p w14:paraId="5FB6262C" w14:textId="69E34F08" w:rsidR="00CB187F" w:rsidRPr="00103A0B" w:rsidRDefault="00CB187F" w:rsidP="00CD5919">
      <w:pPr>
        <w:jc w:val="both"/>
        <w:rPr>
          <w:lang w:bidi="en-US"/>
        </w:rPr>
      </w:pPr>
    </w:p>
    <w:p w14:paraId="505BD912" w14:textId="6EA36858" w:rsidR="00CB187F" w:rsidRPr="00103A0B" w:rsidRDefault="00CB187F" w:rsidP="00CD5919">
      <w:pPr>
        <w:jc w:val="both"/>
        <w:rPr>
          <w:lang w:bidi="en-US"/>
        </w:rPr>
      </w:pPr>
    </w:p>
    <w:p w14:paraId="0DE6EBE3" w14:textId="6EF416F0" w:rsidR="00CB187F" w:rsidRPr="00103A0B" w:rsidRDefault="00CB187F" w:rsidP="00CD5919">
      <w:pPr>
        <w:jc w:val="both"/>
        <w:rPr>
          <w:lang w:bidi="en-US"/>
        </w:rPr>
      </w:pPr>
    </w:p>
    <w:p w14:paraId="2520ED39" w14:textId="7B397D3E" w:rsidR="00CB187F" w:rsidRPr="00103A0B" w:rsidRDefault="00CB187F" w:rsidP="00CD5919">
      <w:pPr>
        <w:jc w:val="both"/>
        <w:rPr>
          <w:lang w:bidi="en-US"/>
        </w:rPr>
      </w:pPr>
    </w:p>
    <w:p w14:paraId="6786B60C" w14:textId="3602D462" w:rsidR="00CB187F" w:rsidRPr="00103A0B" w:rsidRDefault="00CB187F" w:rsidP="00CD5919">
      <w:pPr>
        <w:jc w:val="both"/>
        <w:rPr>
          <w:lang w:bidi="en-US"/>
        </w:rPr>
      </w:pPr>
    </w:p>
    <w:p w14:paraId="259A8E44" w14:textId="3550984D" w:rsidR="00CB187F" w:rsidRPr="00103A0B" w:rsidRDefault="00CB187F" w:rsidP="00CD5919">
      <w:pPr>
        <w:jc w:val="both"/>
        <w:rPr>
          <w:lang w:bidi="en-US"/>
        </w:rPr>
      </w:pPr>
    </w:p>
    <w:p w14:paraId="6FEF9464" w14:textId="551CB909" w:rsidR="00CB187F" w:rsidRPr="00103A0B" w:rsidRDefault="00CB187F" w:rsidP="00CD5919">
      <w:pPr>
        <w:jc w:val="both"/>
        <w:rPr>
          <w:lang w:bidi="en-US"/>
        </w:rPr>
      </w:pPr>
    </w:p>
    <w:p w14:paraId="49F38016" w14:textId="1D85A276" w:rsidR="00CB187F" w:rsidRPr="00103A0B" w:rsidRDefault="00CB187F" w:rsidP="00CD5919">
      <w:pPr>
        <w:jc w:val="both"/>
        <w:rPr>
          <w:lang w:bidi="en-US"/>
        </w:rPr>
      </w:pPr>
    </w:p>
    <w:p w14:paraId="2AB653DF" w14:textId="2FBC6509" w:rsidR="00CB187F" w:rsidRPr="00103A0B" w:rsidRDefault="00CB187F" w:rsidP="00CD5919">
      <w:pPr>
        <w:jc w:val="both"/>
        <w:rPr>
          <w:lang w:bidi="en-US"/>
        </w:rPr>
      </w:pPr>
    </w:p>
    <w:p w14:paraId="697CC7A2" w14:textId="730388FC" w:rsidR="00CB187F" w:rsidRPr="00103A0B" w:rsidRDefault="00CB187F" w:rsidP="00CD5919">
      <w:pPr>
        <w:jc w:val="both"/>
        <w:rPr>
          <w:lang w:bidi="en-US"/>
        </w:rPr>
      </w:pPr>
    </w:p>
    <w:p w14:paraId="69AB2467" w14:textId="77777777" w:rsidR="00CB187F" w:rsidRPr="00103A0B" w:rsidRDefault="00CB187F" w:rsidP="00CD5919">
      <w:pPr>
        <w:jc w:val="both"/>
        <w:rPr>
          <w:lang w:bidi="en-US"/>
        </w:rPr>
      </w:pPr>
    </w:p>
    <w:p w14:paraId="05F47CB5" w14:textId="77777777" w:rsidR="00CD5159" w:rsidRPr="00103A0B" w:rsidRDefault="00CD5159" w:rsidP="00CD5159">
      <w:pPr>
        <w:rPr>
          <w:lang w:bidi="en-US"/>
        </w:rPr>
      </w:pPr>
    </w:p>
    <w:p w14:paraId="4E765367" w14:textId="39AB1B72" w:rsidR="00CD5159" w:rsidRPr="00103A0B" w:rsidRDefault="00CD5159" w:rsidP="00CD5159">
      <w:pPr>
        <w:rPr>
          <w:lang w:bidi="en-US"/>
        </w:rPr>
      </w:pPr>
    </w:p>
    <w:p w14:paraId="7448C691" w14:textId="39E86140" w:rsidR="00F23CD7" w:rsidRPr="00103A0B" w:rsidRDefault="00F23CD7" w:rsidP="00CD5159">
      <w:pPr>
        <w:rPr>
          <w:lang w:bidi="en-US"/>
        </w:rPr>
      </w:pPr>
    </w:p>
    <w:p w14:paraId="22E7949E" w14:textId="3450151C" w:rsidR="00F23CD7" w:rsidRPr="00103A0B" w:rsidRDefault="00F23CD7" w:rsidP="00CD5159">
      <w:pPr>
        <w:rPr>
          <w:lang w:bidi="en-US"/>
        </w:rPr>
      </w:pPr>
    </w:p>
    <w:p w14:paraId="7F46A703" w14:textId="77777777" w:rsidR="00F23CD7" w:rsidRPr="00103A0B" w:rsidRDefault="00F23CD7" w:rsidP="00CD5159">
      <w:pPr>
        <w:rPr>
          <w:lang w:bidi="en-US"/>
        </w:rPr>
      </w:pPr>
    </w:p>
    <w:p w14:paraId="384C0E49" w14:textId="77777777" w:rsidR="00731909" w:rsidRPr="00103A0B" w:rsidRDefault="00731909" w:rsidP="00474286">
      <w:pPr>
        <w:pStyle w:val="Heading1"/>
        <w:keepLines/>
        <w:numPr>
          <w:ilvl w:val="0"/>
          <w:numId w:val="0"/>
        </w:numPr>
        <w:ind w:left="431" w:hanging="431"/>
        <w:rPr>
          <w:rFonts w:ascii="Arial" w:hAnsi="Arial" w:cs="Arial"/>
        </w:rPr>
        <w:sectPr w:rsidR="00731909" w:rsidRPr="00103A0B" w:rsidSect="007E7233">
          <w:pgSz w:w="11906" w:h="16838"/>
          <w:pgMar w:top="1440" w:right="1440" w:bottom="1440" w:left="1440" w:header="709" w:footer="709" w:gutter="0"/>
          <w:pgNumType w:fmt="lowerRoman" w:start="1"/>
          <w:cols w:space="708"/>
          <w:titlePg/>
          <w:docGrid w:linePitch="360"/>
        </w:sectPr>
      </w:pPr>
    </w:p>
    <w:p w14:paraId="13CA63EA" w14:textId="5FD24110" w:rsidR="003D3DA8" w:rsidRPr="00103A0B" w:rsidRDefault="003D3DA8" w:rsidP="00474286">
      <w:pPr>
        <w:pStyle w:val="Heading1"/>
        <w:keepLines/>
        <w:numPr>
          <w:ilvl w:val="0"/>
          <w:numId w:val="0"/>
        </w:numPr>
        <w:ind w:left="431" w:hanging="431"/>
        <w:rPr>
          <w:rFonts w:ascii="Arial" w:hAnsi="Arial" w:cs="Arial"/>
        </w:rPr>
      </w:pPr>
      <w:bookmarkStart w:id="48" w:name="_Toc151548289"/>
      <w:r w:rsidRPr="00103A0B">
        <w:rPr>
          <w:rFonts w:ascii="Arial" w:hAnsi="Arial" w:cs="Arial"/>
        </w:rPr>
        <w:lastRenderedPageBreak/>
        <w:t>List of Acronyms</w:t>
      </w:r>
      <w:bookmarkEnd w:id="47"/>
      <w:bookmarkEnd w:id="48"/>
    </w:p>
    <w:tbl>
      <w:tblPr>
        <w:tblStyle w:val="TableGrid"/>
        <w:tblW w:w="9889" w:type="dxa"/>
        <w:tblLook w:val="04A0" w:firstRow="1" w:lastRow="0" w:firstColumn="1" w:lastColumn="0" w:noHBand="0" w:noVBand="1"/>
      </w:tblPr>
      <w:tblGrid>
        <w:gridCol w:w="3510"/>
        <w:gridCol w:w="6379"/>
      </w:tblGrid>
      <w:tr w:rsidR="00CE00EE" w:rsidRPr="00103A0B" w14:paraId="58DEA673" w14:textId="77777777" w:rsidTr="00CB187F">
        <w:tc>
          <w:tcPr>
            <w:tcW w:w="3510" w:type="dxa"/>
          </w:tcPr>
          <w:p w14:paraId="31F1610A"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T2DM</w:t>
            </w:r>
          </w:p>
        </w:tc>
        <w:tc>
          <w:tcPr>
            <w:tcW w:w="6379" w:type="dxa"/>
          </w:tcPr>
          <w:p w14:paraId="14248A69" w14:textId="43F197FF"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Type 2 Diabetes Mellitus</w:t>
            </w:r>
          </w:p>
        </w:tc>
      </w:tr>
      <w:tr w:rsidR="00CE00EE" w:rsidRPr="00103A0B" w14:paraId="03366427" w14:textId="77777777" w:rsidTr="00CB187F">
        <w:tc>
          <w:tcPr>
            <w:tcW w:w="3510" w:type="dxa"/>
          </w:tcPr>
          <w:p w14:paraId="70A46E7A" w14:textId="77777777" w:rsidR="00CE00EE" w:rsidRPr="00103A0B" w:rsidRDefault="00CE00EE"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COVID-19</w:t>
            </w:r>
          </w:p>
        </w:tc>
        <w:tc>
          <w:tcPr>
            <w:tcW w:w="6379" w:type="dxa"/>
          </w:tcPr>
          <w:p w14:paraId="6F2F4351" w14:textId="77777777" w:rsidR="00CE00EE" w:rsidRPr="00103A0B" w:rsidRDefault="00CE00EE"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Coronavirus Disease 2019</w:t>
            </w:r>
          </w:p>
        </w:tc>
      </w:tr>
      <w:tr w:rsidR="00CE00EE" w:rsidRPr="00103A0B" w14:paraId="2596ECCF" w14:textId="77777777" w:rsidTr="00CB187F">
        <w:tc>
          <w:tcPr>
            <w:tcW w:w="3510" w:type="dxa"/>
          </w:tcPr>
          <w:p w14:paraId="58ACEB08"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WHO</w:t>
            </w:r>
          </w:p>
        </w:tc>
        <w:tc>
          <w:tcPr>
            <w:tcW w:w="6379" w:type="dxa"/>
          </w:tcPr>
          <w:p w14:paraId="7CC17AF4"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World Health Organisation</w:t>
            </w:r>
          </w:p>
        </w:tc>
      </w:tr>
      <w:tr w:rsidR="00CE00EE" w:rsidRPr="00103A0B" w14:paraId="420614C9" w14:textId="77777777" w:rsidTr="00CB187F">
        <w:tc>
          <w:tcPr>
            <w:tcW w:w="3510" w:type="dxa"/>
          </w:tcPr>
          <w:p w14:paraId="2A0798F1"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IDF</w:t>
            </w:r>
          </w:p>
        </w:tc>
        <w:tc>
          <w:tcPr>
            <w:tcW w:w="6379" w:type="dxa"/>
          </w:tcPr>
          <w:p w14:paraId="008323EE"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The International Diabetes Federation</w:t>
            </w:r>
          </w:p>
        </w:tc>
      </w:tr>
      <w:tr w:rsidR="00CE00EE" w:rsidRPr="00103A0B" w14:paraId="5D965018" w14:textId="77777777" w:rsidTr="00CB187F">
        <w:tc>
          <w:tcPr>
            <w:tcW w:w="3510" w:type="dxa"/>
          </w:tcPr>
          <w:p w14:paraId="7E584D1E"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UK</w:t>
            </w:r>
          </w:p>
        </w:tc>
        <w:tc>
          <w:tcPr>
            <w:tcW w:w="6379" w:type="dxa"/>
          </w:tcPr>
          <w:p w14:paraId="1C9364FF"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United Kingdom </w:t>
            </w:r>
          </w:p>
        </w:tc>
      </w:tr>
      <w:tr w:rsidR="00CE00EE" w:rsidRPr="00103A0B" w14:paraId="30154AD5" w14:textId="77777777" w:rsidTr="00CB187F">
        <w:tc>
          <w:tcPr>
            <w:tcW w:w="3510" w:type="dxa"/>
          </w:tcPr>
          <w:p w14:paraId="6A8B912B"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PHE</w:t>
            </w:r>
          </w:p>
        </w:tc>
        <w:tc>
          <w:tcPr>
            <w:tcW w:w="6379" w:type="dxa"/>
          </w:tcPr>
          <w:p w14:paraId="074D0068"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Public Health England</w:t>
            </w:r>
          </w:p>
        </w:tc>
      </w:tr>
      <w:tr w:rsidR="00CE00EE" w:rsidRPr="00103A0B" w14:paraId="267BCE26" w14:textId="77777777" w:rsidTr="00CB187F">
        <w:tc>
          <w:tcPr>
            <w:tcW w:w="3510" w:type="dxa"/>
          </w:tcPr>
          <w:p w14:paraId="3BE497EF"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NHS</w:t>
            </w:r>
          </w:p>
        </w:tc>
        <w:tc>
          <w:tcPr>
            <w:tcW w:w="6379" w:type="dxa"/>
          </w:tcPr>
          <w:p w14:paraId="4BA57B66"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National Health Service </w:t>
            </w:r>
          </w:p>
        </w:tc>
      </w:tr>
      <w:tr w:rsidR="00CE00EE" w:rsidRPr="00103A0B" w14:paraId="696A9302" w14:textId="77777777" w:rsidTr="00CB187F">
        <w:tc>
          <w:tcPr>
            <w:tcW w:w="3510" w:type="dxa"/>
          </w:tcPr>
          <w:p w14:paraId="76A05654"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NHSDPP</w:t>
            </w:r>
          </w:p>
        </w:tc>
        <w:tc>
          <w:tcPr>
            <w:tcW w:w="6379" w:type="dxa"/>
          </w:tcPr>
          <w:p w14:paraId="001CBC25"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lang w:eastAsia="en-GB"/>
              </w:rPr>
              <w:t xml:space="preserve">Healthier You: </w:t>
            </w:r>
            <w:r w:rsidRPr="00103A0B">
              <w:rPr>
                <w:rFonts w:ascii="Arial" w:hAnsi="Arial" w:cs="Arial"/>
                <w:sz w:val="24"/>
                <w:szCs w:val="24"/>
              </w:rPr>
              <w:t>NHS Diabetes Prevention Programme</w:t>
            </w:r>
          </w:p>
        </w:tc>
      </w:tr>
      <w:tr w:rsidR="00CE00EE" w:rsidRPr="00103A0B" w14:paraId="0BD44743" w14:textId="77777777" w:rsidTr="00CB187F">
        <w:tc>
          <w:tcPr>
            <w:tcW w:w="3510" w:type="dxa"/>
          </w:tcPr>
          <w:p w14:paraId="38969D14"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NICE</w:t>
            </w:r>
          </w:p>
        </w:tc>
        <w:tc>
          <w:tcPr>
            <w:tcW w:w="6379" w:type="dxa"/>
          </w:tcPr>
          <w:p w14:paraId="0514D8F8"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National Institute for Health and Care Excellence</w:t>
            </w:r>
          </w:p>
        </w:tc>
      </w:tr>
      <w:tr w:rsidR="00CE00EE" w:rsidRPr="00103A0B" w14:paraId="5D9320B9" w14:textId="77777777" w:rsidTr="00CB187F">
        <w:tc>
          <w:tcPr>
            <w:tcW w:w="3510" w:type="dxa"/>
          </w:tcPr>
          <w:p w14:paraId="69BE8C69"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IGR</w:t>
            </w:r>
          </w:p>
        </w:tc>
        <w:tc>
          <w:tcPr>
            <w:tcW w:w="6379" w:type="dxa"/>
          </w:tcPr>
          <w:p w14:paraId="4E1D8564" w14:textId="5D1FD622"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Impaired Glucose Regulation</w:t>
            </w:r>
          </w:p>
        </w:tc>
      </w:tr>
      <w:tr w:rsidR="00CE00EE" w:rsidRPr="00103A0B" w14:paraId="5174A614" w14:textId="77777777" w:rsidTr="00CB187F">
        <w:tc>
          <w:tcPr>
            <w:tcW w:w="3510" w:type="dxa"/>
          </w:tcPr>
          <w:p w14:paraId="705B396A"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IGT</w:t>
            </w:r>
          </w:p>
        </w:tc>
        <w:tc>
          <w:tcPr>
            <w:tcW w:w="6379" w:type="dxa"/>
          </w:tcPr>
          <w:p w14:paraId="76B67A09" w14:textId="5FC06BB1"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Impaired Glucose Tolerance</w:t>
            </w:r>
          </w:p>
        </w:tc>
      </w:tr>
      <w:tr w:rsidR="00CE00EE" w:rsidRPr="00103A0B" w14:paraId="14F5F843" w14:textId="77777777" w:rsidTr="00CB187F">
        <w:tc>
          <w:tcPr>
            <w:tcW w:w="3510" w:type="dxa"/>
          </w:tcPr>
          <w:p w14:paraId="03141C05"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IFG</w:t>
            </w:r>
          </w:p>
        </w:tc>
        <w:tc>
          <w:tcPr>
            <w:tcW w:w="6379" w:type="dxa"/>
          </w:tcPr>
          <w:p w14:paraId="35839B9F" w14:textId="09BBECA3"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Impaired Fasting Glucose</w:t>
            </w:r>
          </w:p>
        </w:tc>
      </w:tr>
      <w:tr w:rsidR="009225F2" w:rsidRPr="00103A0B" w14:paraId="79422431" w14:textId="77777777" w:rsidTr="00CB187F">
        <w:tc>
          <w:tcPr>
            <w:tcW w:w="3510" w:type="dxa"/>
          </w:tcPr>
          <w:p w14:paraId="57834492" w14:textId="4E78C5DB" w:rsidR="009225F2" w:rsidRPr="00103A0B" w:rsidRDefault="009225F2" w:rsidP="00CD5919">
            <w:pPr>
              <w:spacing w:line="360" w:lineRule="auto"/>
              <w:jc w:val="both"/>
              <w:rPr>
                <w:rFonts w:ascii="Arial" w:hAnsi="Arial" w:cs="Arial"/>
                <w:sz w:val="24"/>
                <w:szCs w:val="24"/>
              </w:rPr>
            </w:pPr>
            <w:r w:rsidRPr="00103A0B">
              <w:rPr>
                <w:rFonts w:ascii="Arial" w:hAnsi="Arial" w:cs="Arial"/>
                <w:sz w:val="24"/>
                <w:szCs w:val="24"/>
              </w:rPr>
              <w:t>FPG</w:t>
            </w:r>
          </w:p>
        </w:tc>
        <w:tc>
          <w:tcPr>
            <w:tcW w:w="6379" w:type="dxa"/>
          </w:tcPr>
          <w:p w14:paraId="61EA6C1B" w14:textId="257E9A56" w:rsidR="009225F2" w:rsidRPr="00103A0B" w:rsidRDefault="009225F2" w:rsidP="00CD5919">
            <w:pPr>
              <w:spacing w:line="360" w:lineRule="auto"/>
              <w:jc w:val="both"/>
              <w:rPr>
                <w:rFonts w:ascii="Arial" w:hAnsi="Arial" w:cs="Arial"/>
                <w:sz w:val="24"/>
                <w:szCs w:val="24"/>
              </w:rPr>
            </w:pPr>
            <w:r w:rsidRPr="00103A0B">
              <w:rPr>
                <w:rFonts w:ascii="Arial" w:hAnsi="Arial" w:cs="Arial"/>
                <w:sz w:val="24"/>
                <w:szCs w:val="24"/>
              </w:rPr>
              <w:t xml:space="preserve">Fasting Plasma Glucose </w:t>
            </w:r>
          </w:p>
        </w:tc>
      </w:tr>
      <w:tr w:rsidR="00CE00EE" w:rsidRPr="00103A0B" w14:paraId="56684B48" w14:textId="77777777" w:rsidTr="00CB187F">
        <w:tc>
          <w:tcPr>
            <w:tcW w:w="3510" w:type="dxa"/>
          </w:tcPr>
          <w:p w14:paraId="3B41D01F"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HbA1c</w:t>
            </w:r>
          </w:p>
        </w:tc>
        <w:tc>
          <w:tcPr>
            <w:tcW w:w="6379" w:type="dxa"/>
          </w:tcPr>
          <w:p w14:paraId="66DA0E6D" w14:textId="513BB541"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Glycated Haemoglobin</w:t>
            </w:r>
          </w:p>
        </w:tc>
      </w:tr>
      <w:tr w:rsidR="00CE00EE" w:rsidRPr="00103A0B" w14:paraId="790686AD" w14:textId="77777777" w:rsidTr="00CB187F">
        <w:tc>
          <w:tcPr>
            <w:tcW w:w="3510" w:type="dxa"/>
          </w:tcPr>
          <w:p w14:paraId="7A1CE145"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FINDRISC</w:t>
            </w:r>
          </w:p>
        </w:tc>
        <w:tc>
          <w:tcPr>
            <w:tcW w:w="6379" w:type="dxa"/>
          </w:tcPr>
          <w:p w14:paraId="40FB0549" w14:textId="3FFB15ED"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Finnish Diabetes Risk Score</w:t>
            </w:r>
          </w:p>
        </w:tc>
      </w:tr>
      <w:tr w:rsidR="00CE00EE" w:rsidRPr="00103A0B" w14:paraId="2B416C2D" w14:textId="77777777" w:rsidTr="00CB187F">
        <w:tc>
          <w:tcPr>
            <w:tcW w:w="3510" w:type="dxa"/>
          </w:tcPr>
          <w:p w14:paraId="0A698DCB"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USA</w:t>
            </w:r>
          </w:p>
        </w:tc>
        <w:tc>
          <w:tcPr>
            <w:tcW w:w="6379" w:type="dxa"/>
          </w:tcPr>
          <w:p w14:paraId="0E714A70"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United States of America</w:t>
            </w:r>
          </w:p>
        </w:tc>
      </w:tr>
      <w:tr w:rsidR="00CE00EE" w:rsidRPr="00103A0B" w14:paraId="3D617857" w14:textId="77777777" w:rsidTr="00CB187F">
        <w:tc>
          <w:tcPr>
            <w:tcW w:w="3510" w:type="dxa"/>
          </w:tcPr>
          <w:p w14:paraId="07DFCAC0"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DPPs</w:t>
            </w:r>
          </w:p>
        </w:tc>
        <w:tc>
          <w:tcPr>
            <w:tcW w:w="6379" w:type="dxa"/>
          </w:tcPr>
          <w:p w14:paraId="2F71D768" w14:textId="36302E76"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Diabetes Prevention Programmes</w:t>
            </w:r>
          </w:p>
        </w:tc>
      </w:tr>
      <w:tr w:rsidR="00CE00EE" w:rsidRPr="00103A0B" w14:paraId="4DB1B73B" w14:textId="77777777" w:rsidTr="00CB187F">
        <w:tc>
          <w:tcPr>
            <w:tcW w:w="3510" w:type="dxa"/>
          </w:tcPr>
          <w:p w14:paraId="5F5266FD"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BCTs</w:t>
            </w:r>
          </w:p>
        </w:tc>
        <w:tc>
          <w:tcPr>
            <w:tcW w:w="6379" w:type="dxa"/>
          </w:tcPr>
          <w:p w14:paraId="7745D964" w14:textId="4DBBA689"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Behaviour Change Techniques</w:t>
            </w:r>
          </w:p>
        </w:tc>
      </w:tr>
      <w:tr w:rsidR="00AA4034" w:rsidRPr="00103A0B" w14:paraId="41F49989" w14:textId="77777777" w:rsidTr="00CB187F">
        <w:tc>
          <w:tcPr>
            <w:tcW w:w="3510" w:type="dxa"/>
          </w:tcPr>
          <w:p w14:paraId="305F6307" w14:textId="625064B0" w:rsidR="00AA4034" w:rsidRPr="00103A0B" w:rsidRDefault="00AA4034" w:rsidP="00CD5919">
            <w:pPr>
              <w:spacing w:line="360" w:lineRule="auto"/>
              <w:jc w:val="both"/>
              <w:rPr>
                <w:rFonts w:ascii="Arial" w:hAnsi="Arial" w:cs="Arial"/>
                <w:sz w:val="24"/>
                <w:szCs w:val="24"/>
              </w:rPr>
            </w:pPr>
            <w:r w:rsidRPr="00103A0B">
              <w:rPr>
                <w:rFonts w:ascii="Arial" w:hAnsi="Arial" w:cs="Arial"/>
                <w:sz w:val="24"/>
                <w:szCs w:val="24"/>
              </w:rPr>
              <w:t>COM-B Model</w:t>
            </w:r>
          </w:p>
        </w:tc>
        <w:tc>
          <w:tcPr>
            <w:tcW w:w="6379" w:type="dxa"/>
          </w:tcPr>
          <w:p w14:paraId="5666D48A" w14:textId="77974948" w:rsidR="00AA4034" w:rsidRPr="00103A0B" w:rsidRDefault="00AA4034" w:rsidP="00CD5919">
            <w:pPr>
              <w:spacing w:line="360" w:lineRule="auto"/>
              <w:jc w:val="both"/>
              <w:rPr>
                <w:rFonts w:ascii="Arial" w:hAnsi="Arial" w:cs="Arial"/>
                <w:sz w:val="24"/>
                <w:szCs w:val="24"/>
              </w:rPr>
            </w:pPr>
            <w:r w:rsidRPr="00103A0B">
              <w:rPr>
                <w:rFonts w:ascii="Arial" w:hAnsi="Arial" w:cs="Arial"/>
                <w:sz w:val="24"/>
                <w:szCs w:val="24"/>
              </w:rPr>
              <w:t xml:space="preserve">Capability, Opportunity, Motivation, Behaviour </w:t>
            </w:r>
            <w:r w:rsidR="00FF6DED" w:rsidRPr="00103A0B">
              <w:rPr>
                <w:rFonts w:ascii="Arial" w:hAnsi="Arial" w:cs="Arial"/>
                <w:sz w:val="24"/>
                <w:szCs w:val="24"/>
              </w:rPr>
              <w:t>M</w:t>
            </w:r>
            <w:r w:rsidRPr="00103A0B">
              <w:rPr>
                <w:rFonts w:ascii="Arial" w:hAnsi="Arial" w:cs="Arial"/>
                <w:sz w:val="24"/>
                <w:szCs w:val="24"/>
              </w:rPr>
              <w:t>odel</w:t>
            </w:r>
          </w:p>
        </w:tc>
      </w:tr>
      <w:tr w:rsidR="00AA4034" w:rsidRPr="00103A0B" w14:paraId="396C4A2C" w14:textId="77777777" w:rsidTr="00CB187F">
        <w:tc>
          <w:tcPr>
            <w:tcW w:w="3510" w:type="dxa"/>
          </w:tcPr>
          <w:p w14:paraId="12ED333D" w14:textId="1405117B" w:rsidR="00AA4034" w:rsidRPr="00103A0B" w:rsidRDefault="00AA4034" w:rsidP="00CD5919">
            <w:pPr>
              <w:spacing w:line="360" w:lineRule="auto"/>
              <w:jc w:val="both"/>
              <w:rPr>
                <w:rFonts w:ascii="Arial" w:hAnsi="Arial" w:cs="Arial"/>
                <w:sz w:val="24"/>
                <w:szCs w:val="24"/>
              </w:rPr>
            </w:pPr>
            <w:r w:rsidRPr="00103A0B">
              <w:rPr>
                <w:rFonts w:ascii="Arial" w:hAnsi="Arial" w:cs="Arial"/>
                <w:sz w:val="24"/>
                <w:szCs w:val="24"/>
              </w:rPr>
              <w:t>BCW</w:t>
            </w:r>
          </w:p>
        </w:tc>
        <w:tc>
          <w:tcPr>
            <w:tcW w:w="6379" w:type="dxa"/>
          </w:tcPr>
          <w:p w14:paraId="30D368E8" w14:textId="4746F767" w:rsidR="00AA4034" w:rsidRPr="00103A0B" w:rsidRDefault="00AA4034" w:rsidP="00CD5919">
            <w:pPr>
              <w:spacing w:line="360" w:lineRule="auto"/>
              <w:jc w:val="both"/>
              <w:rPr>
                <w:rFonts w:ascii="Arial" w:hAnsi="Arial" w:cs="Arial"/>
                <w:sz w:val="24"/>
                <w:szCs w:val="24"/>
              </w:rPr>
            </w:pPr>
            <w:r w:rsidRPr="00103A0B">
              <w:rPr>
                <w:rFonts w:ascii="Arial" w:hAnsi="Arial" w:cs="Arial"/>
                <w:sz w:val="24"/>
                <w:szCs w:val="24"/>
              </w:rPr>
              <w:t xml:space="preserve">Behaviour Change Wheel </w:t>
            </w:r>
          </w:p>
        </w:tc>
      </w:tr>
      <w:tr w:rsidR="00CE00EE" w:rsidRPr="00103A0B" w14:paraId="53CE9C16" w14:textId="77777777" w:rsidTr="00CB187F">
        <w:tc>
          <w:tcPr>
            <w:tcW w:w="3510" w:type="dxa"/>
          </w:tcPr>
          <w:p w14:paraId="35CF2D79" w14:textId="77777777" w:rsidR="00CE00EE" w:rsidRPr="00103A0B" w:rsidRDefault="00CE00EE"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IPs</w:t>
            </w:r>
          </w:p>
        </w:tc>
        <w:tc>
          <w:tcPr>
            <w:tcW w:w="6379" w:type="dxa"/>
          </w:tcPr>
          <w:p w14:paraId="68104908" w14:textId="56AA840D" w:rsidR="00CE00EE" w:rsidRPr="00103A0B" w:rsidRDefault="00CE00EE"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Illness Perceptions</w:t>
            </w:r>
          </w:p>
        </w:tc>
      </w:tr>
      <w:tr w:rsidR="00AA4034" w:rsidRPr="00103A0B" w14:paraId="3EDF4371" w14:textId="77777777" w:rsidTr="00CB187F">
        <w:tc>
          <w:tcPr>
            <w:tcW w:w="3510" w:type="dxa"/>
          </w:tcPr>
          <w:p w14:paraId="6050E94C" w14:textId="5375F3B6" w:rsidR="00AA4034" w:rsidRPr="00103A0B" w:rsidRDefault="00AA4034"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CSM</w:t>
            </w:r>
          </w:p>
        </w:tc>
        <w:tc>
          <w:tcPr>
            <w:tcW w:w="6379" w:type="dxa"/>
          </w:tcPr>
          <w:p w14:paraId="1B12E4C6" w14:textId="21C70E54" w:rsidR="00AA4034" w:rsidRPr="00103A0B" w:rsidRDefault="00AA4034"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 xml:space="preserve">Common-Sense Model </w:t>
            </w:r>
          </w:p>
        </w:tc>
      </w:tr>
      <w:tr w:rsidR="00CE00EE" w:rsidRPr="00103A0B" w14:paraId="36A38850" w14:textId="77777777" w:rsidTr="00CB187F">
        <w:tc>
          <w:tcPr>
            <w:tcW w:w="3510" w:type="dxa"/>
          </w:tcPr>
          <w:p w14:paraId="3846CC36"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Brief-IPQ</w:t>
            </w:r>
          </w:p>
        </w:tc>
        <w:tc>
          <w:tcPr>
            <w:tcW w:w="6379" w:type="dxa"/>
          </w:tcPr>
          <w:p w14:paraId="0F1513C1"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Brief Illness Perception Questionnaire</w:t>
            </w:r>
          </w:p>
        </w:tc>
      </w:tr>
      <w:tr w:rsidR="00CE00EE" w:rsidRPr="00103A0B" w14:paraId="76D50936" w14:textId="77777777" w:rsidTr="00CB187F">
        <w:tc>
          <w:tcPr>
            <w:tcW w:w="3510" w:type="dxa"/>
          </w:tcPr>
          <w:p w14:paraId="3AB13D8E" w14:textId="77777777" w:rsidR="00CE00EE" w:rsidRPr="00103A0B" w:rsidRDefault="00CE00EE"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SE</w:t>
            </w:r>
          </w:p>
        </w:tc>
        <w:tc>
          <w:tcPr>
            <w:tcW w:w="6379" w:type="dxa"/>
          </w:tcPr>
          <w:p w14:paraId="3C9337EB" w14:textId="471ED1F4" w:rsidR="00CE00EE" w:rsidRPr="00103A0B" w:rsidRDefault="00FF6DED"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S</w:t>
            </w:r>
            <w:r w:rsidR="00CE00EE" w:rsidRPr="00103A0B">
              <w:rPr>
                <w:rFonts w:ascii="Arial" w:eastAsia="Times New Roman" w:hAnsi="Arial" w:cs="Arial"/>
                <w:sz w:val="24"/>
                <w:szCs w:val="24"/>
                <w:lang w:eastAsia="en-GB"/>
              </w:rPr>
              <w:t>elf-</w:t>
            </w:r>
            <w:r w:rsidRPr="00103A0B">
              <w:rPr>
                <w:rFonts w:ascii="Arial" w:eastAsia="Times New Roman" w:hAnsi="Arial" w:cs="Arial"/>
                <w:sz w:val="24"/>
                <w:szCs w:val="24"/>
                <w:lang w:eastAsia="en-GB"/>
              </w:rPr>
              <w:t>E</w:t>
            </w:r>
            <w:r w:rsidR="00CE00EE" w:rsidRPr="00103A0B">
              <w:rPr>
                <w:rFonts w:ascii="Arial" w:eastAsia="Times New Roman" w:hAnsi="Arial" w:cs="Arial"/>
                <w:sz w:val="24"/>
                <w:szCs w:val="24"/>
                <w:lang w:eastAsia="en-GB"/>
              </w:rPr>
              <w:t>fficacy</w:t>
            </w:r>
          </w:p>
        </w:tc>
      </w:tr>
      <w:tr w:rsidR="00CE00EE" w:rsidRPr="00103A0B" w14:paraId="2E7BE049" w14:textId="77777777" w:rsidTr="00CB187F">
        <w:tc>
          <w:tcPr>
            <w:tcW w:w="3510" w:type="dxa"/>
          </w:tcPr>
          <w:p w14:paraId="65CF4A76"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NGS-ES</w:t>
            </w:r>
          </w:p>
        </w:tc>
        <w:tc>
          <w:tcPr>
            <w:tcW w:w="6379" w:type="dxa"/>
          </w:tcPr>
          <w:p w14:paraId="5C6875CB"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New General Self-Efficacy Scale</w:t>
            </w:r>
          </w:p>
        </w:tc>
      </w:tr>
      <w:tr w:rsidR="00CE00EE" w:rsidRPr="00103A0B" w14:paraId="129EC215" w14:textId="77777777" w:rsidTr="00CB187F">
        <w:tc>
          <w:tcPr>
            <w:tcW w:w="3510" w:type="dxa"/>
          </w:tcPr>
          <w:p w14:paraId="61582DCE"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MWB</w:t>
            </w:r>
          </w:p>
        </w:tc>
        <w:tc>
          <w:tcPr>
            <w:tcW w:w="6379" w:type="dxa"/>
          </w:tcPr>
          <w:p w14:paraId="0EE21726" w14:textId="132BB57E"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Mental Wellbeing</w:t>
            </w:r>
          </w:p>
        </w:tc>
      </w:tr>
      <w:tr w:rsidR="00CE00EE" w:rsidRPr="00103A0B" w14:paraId="63FEC1F2" w14:textId="77777777" w:rsidTr="00CB187F">
        <w:tc>
          <w:tcPr>
            <w:tcW w:w="3510" w:type="dxa"/>
          </w:tcPr>
          <w:p w14:paraId="6F8858B9"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WEMWBS</w:t>
            </w:r>
          </w:p>
        </w:tc>
        <w:tc>
          <w:tcPr>
            <w:tcW w:w="6379" w:type="dxa"/>
          </w:tcPr>
          <w:p w14:paraId="5CC09AC8"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Warwick-Edinburgh Mental Wellbeing Scale</w:t>
            </w:r>
          </w:p>
        </w:tc>
      </w:tr>
      <w:tr w:rsidR="00CE00EE" w:rsidRPr="00103A0B" w14:paraId="4C34A330" w14:textId="77777777" w:rsidTr="00CB187F">
        <w:tc>
          <w:tcPr>
            <w:tcW w:w="3510" w:type="dxa"/>
          </w:tcPr>
          <w:p w14:paraId="3F635235"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PRISMA</w:t>
            </w:r>
          </w:p>
        </w:tc>
        <w:tc>
          <w:tcPr>
            <w:tcW w:w="6379" w:type="dxa"/>
          </w:tcPr>
          <w:p w14:paraId="6055874E"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Preferred Reporting Items for Systematic Reviews and Meta-analysis</w:t>
            </w:r>
          </w:p>
        </w:tc>
      </w:tr>
      <w:tr w:rsidR="00CE00EE" w:rsidRPr="00103A0B" w14:paraId="6094E365" w14:textId="77777777" w:rsidTr="00CB187F">
        <w:tc>
          <w:tcPr>
            <w:tcW w:w="3510" w:type="dxa"/>
          </w:tcPr>
          <w:p w14:paraId="1A6538D7"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EPHPP</w:t>
            </w:r>
          </w:p>
        </w:tc>
        <w:tc>
          <w:tcPr>
            <w:tcW w:w="6379" w:type="dxa"/>
          </w:tcPr>
          <w:p w14:paraId="38423FC3"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Effective Public Health Practice Project</w:t>
            </w:r>
          </w:p>
        </w:tc>
      </w:tr>
      <w:tr w:rsidR="00CE00EE" w:rsidRPr="00103A0B" w14:paraId="1AB38687" w14:textId="77777777" w:rsidTr="00CB187F">
        <w:tc>
          <w:tcPr>
            <w:tcW w:w="3510" w:type="dxa"/>
          </w:tcPr>
          <w:p w14:paraId="4AE48570"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RCTs</w:t>
            </w:r>
          </w:p>
        </w:tc>
        <w:tc>
          <w:tcPr>
            <w:tcW w:w="6379" w:type="dxa"/>
          </w:tcPr>
          <w:p w14:paraId="3BDFFB2B"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Randomised Control Trials </w:t>
            </w:r>
          </w:p>
        </w:tc>
      </w:tr>
      <w:tr w:rsidR="00CE00EE" w:rsidRPr="00103A0B" w14:paraId="1D9B40B4" w14:textId="77777777" w:rsidTr="00CB187F">
        <w:tc>
          <w:tcPr>
            <w:tcW w:w="3510" w:type="dxa"/>
          </w:tcPr>
          <w:p w14:paraId="743C9DB7"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lastRenderedPageBreak/>
              <w:t>RR</w:t>
            </w:r>
          </w:p>
        </w:tc>
        <w:tc>
          <w:tcPr>
            <w:tcW w:w="6379" w:type="dxa"/>
          </w:tcPr>
          <w:p w14:paraId="547B69EB" w14:textId="067C7A70"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Response Rates</w:t>
            </w:r>
          </w:p>
        </w:tc>
      </w:tr>
      <w:tr w:rsidR="00CE00EE" w:rsidRPr="00103A0B" w14:paraId="30CD570B" w14:textId="77777777" w:rsidTr="00CB187F">
        <w:tc>
          <w:tcPr>
            <w:tcW w:w="3510" w:type="dxa"/>
          </w:tcPr>
          <w:p w14:paraId="680DF52E"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BAME</w:t>
            </w:r>
          </w:p>
        </w:tc>
        <w:tc>
          <w:tcPr>
            <w:tcW w:w="6379" w:type="dxa"/>
          </w:tcPr>
          <w:p w14:paraId="7A83E3F6"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color w:val="000000" w:themeColor="text1"/>
                <w:sz w:val="24"/>
                <w:szCs w:val="24"/>
              </w:rPr>
              <w:t xml:space="preserve">Black, </w:t>
            </w:r>
            <w:proofErr w:type="gramStart"/>
            <w:r w:rsidRPr="00103A0B">
              <w:rPr>
                <w:rFonts w:ascii="Arial" w:hAnsi="Arial" w:cs="Arial"/>
                <w:color w:val="000000" w:themeColor="text1"/>
                <w:sz w:val="24"/>
                <w:szCs w:val="24"/>
              </w:rPr>
              <w:t>Asian</w:t>
            </w:r>
            <w:proofErr w:type="gramEnd"/>
            <w:r w:rsidRPr="00103A0B">
              <w:rPr>
                <w:rFonts w:ascii="Arial" w:hAnsi="Arial" w:cs="Arial"/>
                <w:color w:val="000000" w:themeColor="text1"/>
                <w:sz w:val="24"/>
                <w:szCs w:val="24"/>
              </w:rPr>
              <w:t xml:space="preserve"> and Minority Ethnic group</w:t>
            </w:r>
          </w:p>
        </w:tc>
      </w:tr>
      <w:tr w:rsidR="00CE00EE" w:rsidRPr="00103A0B" w14:paraId="6A1DAFAC" w14:textId="77777777" w:rsidTr="00CB187F">
        <w:tc>
          <w:tcPr>
            <w:tcW w:w="3510" w:type="dxa"/>
          </w:tcPr>
          <w:p w14:paraId="7AF8DB11"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IPA</w:t>
            </w:r>
          </w:p>
        </w:tc>
        <w:tc>
          <w:tcPr>
            <w:tcW w:w="6379" w:type="dxa"/>
          </w:tcPr>
          <w:p w14:paraId="37F91815"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Interpretative Phenomenological Analysis</w:t>
            </w:r>
          </w:p>
        </w:tc>
      </w:tr>
      <w:tr w:rsidR="00CE00EE" w:rsidRPr="00103A0B" w14:paraId="20FEFBDC" w14:textId="77777777" w:rsidTr="00CB187F">
        <w:tc>
          <w:tcPr>
            <w:tcW w:w="3510" w:type="dxa"/>
          </w:tcPr>
          <w:p w14:paraId="0FE955B8"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IA</w:t>
            </w:r>
          </w:p>
        </w:tc>
        <w:tc>
          <w:tcPr>
            <w:tcW w:w="6379" w:type="dxa"/>
          </w:tcPr>
          <w:p w14:paraId="058A2D78" w14:textId="1172B613"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Initial Assessment </w:t>
            </w:r>
          </w:p>
        </w:tc>
      </w:tr>
      <w:tr w:rsidR="00CE00EE" w:rsidRPr="00103A0B" w14:paraId="1EB5630E" w14:textId="77777777" w:rsidTr="00CB187F">
        <w:tc>
          <w:tcPr>
            <w:tcW w:w="3510" w:type="dxa"/>
          </w:tcPr>
          <w:p w14:paraId="7110E14A"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GP</w:t>
            </w:r>
          </w:p>
        </w:tc>
        <w:tc>
          <w:tcPr>
            <w:tcW w:w="6379" w:type="dxa"/>
          </w:tcPr>
          <w:p w14:paraId="2F9FC0D4" w14:textId="6BDB5E33"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General Practitioner </w:t>
            </w:r>
          </w:p>
        </w:tc>
      </w:tr>
      <w:tr w:rsidR="00CE00EE" w:rsidRPr="00103A0B" w14:paraId="4D05B93B" w14:textId="77777777" w:rsidTr="00CB187F">
        <w:tc>
          <w:tcPr>
            <w:tcW w:w="3510" w:type="dxa"/>
          </w:tcPr>
          <w:p w14:paraId="2FA5C1FD"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IMD</w:t>
            </w:r>
          </w:p>
        </w:tc>
        <w:tc>
          <w:tcPr>
            <w:tcW w:w="6379" w:type="dxa"/>
          </w:tcPr>
          <w:p w14:paraId="050FDFB4"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Index of Multiple Deprivation</w:t>
            </w:r>
          </w:p>
        </w:tc>
      </w:tr>
      <w:tr w:rsidR="00CE00EE" w:rsidRPr="00103A0B" w14:paraId="365608A4" w14:textId="77777777" w:rsidTr="00CB187F">
        <w:tc>
          <w:tcPr>
            <w:tcW w:w="3510" w:type="dxa"/>
          </w:tcPr>
          <w:p w14:paraId="430A1DCE"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CCG</w:t>
            </w:r>
          </w:p>
        </w:tc>
        <w:tc>
          <w:tcPr>
            <w:tcW w:w="6379" w:type="dxa"/>
          </w:tcPr>
          <w:p w14:paraId="76264C9D"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Clinical Commissioning Group</w:t>
            </w:r>
          </w:p>
        </w:tc>
      </w:tr>
      <w:tr w:rsidR="00CE00EE" w:rsidRPr="00103A0B" w14:paraId="33C8925F" w14:textId="77777777" w:rsidTr="00CB187F">
        <w:tc>
          <w:tcPr>
            <w:tcW w:w="3510" w:type="dxa"/>
          </w:tcPr>
          <w:p w14:paraId="31E9F682"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LP</w:t>
            </w:r>
          </w:p>
        </w:tc>
        <w:tc>
          <w:tcPr>
            <w:tcW w:w="6379" w:type="dxa"/>
          </w:tcPr>
          <w:p w14:paraId="77A298B0" w14:textId="7121B9A1"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Local Provider</w:t>
            </w:r>
          </w:p>
        </w:tc>
      </w:tr>
      <w:tr w:rsidR="00CE00EE" w:rsidRPr="00103A0B" w14:paraId="0439087A" w14:textId="77777777" w:rsidTr="00CB187F">
        <w:tc>
          <w:tcPr>
            <w:tcW w:w="3510" w:type="dxa"/>
          </w:tcPr>
          <w:p w14:paraId="30A418DC"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LR</w:t>
            </w:r>
          </w:p>
        </w:tc>
        <w:tc>
          <w:tcPr>
            <w:tcW w:w="6379" w:type="dxa"/>
          </w:tcPr>
          <w:p w14:paraId="225A7B4D" w14:textId="4754CEFF"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Logistic Regression </w:t>
            </w:r>
          </w:p>
        </w:tc>
      </w:tr>
      <w:tr w:rsidR="00CE00EE" w:rsidRPr="00103A0B" w14:paraId="7C49DDAD" w14:textId="77777777" w:rsidTr="00CB187F">
        <w:tc>
          <w:tcPr>
            <w:tcW w:w="3510" w:type="dxa"/>
          </w:tcPr>
          <w:p w14:paraId="1B06D915"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OR</w:t>
            </w:r>
          </w:p>
        </w:tc>
        <w:tc>
          <w:tcPr>
            <w:tcW w:w="6379" w:type="dxa"/>
          </w:tcPr>
          <w:p w14:paraId="70C2CD46" w14:textId="5FA0D489"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Odds Ratio</w:t>
            </w:r>
          </w:p>
        </w:tc>
      </w:tr>
      <w:tr w:rsidR="00CE00EE" w:rsidRPr="00103A0B" w14:paraId="7E1EFCE4" w14:textId="77777777" w:rsidTr="00CB187F">
        <w:tc>
          <w:tcPr>
            <w:tcW w:w="3510" w:type="dxa"/>
          </w:tcPr>
          <w:p w14:paraId="38CA41BD"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CI</w:t>
            </w:r>
          </w:p>
        </w:tc>
        <w:tc>
          <w:tcPr>
            <w:tcW w:w="6379" w:type="dxa"/>
          </w:tcPr>
          <w:p w14:paraId="4248CE4B" w14:textId="2E90922D"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95% Confidence Interval</w:t>
            </w:r>
          </w:p>
        </w:tc>
      </w:tr>
    </w:tbl>
    <w:p w14:paraId="2EF1F82B" w14:textId="63DB3DDD" w:rsidR="003D3DA8" w:rsidRPr="00103A0B" w:rsidRDefault="003D3DA8" w:rsidP="00CD5919">
      <w:pPr>
        <w:spacing w:line="360" w:lineRule="auto"/>
        <w:jc w:val="both"/>
        <w:rPr>
          <w:rFonts w:ascii="Arial" w:hAnsi="Arial" w:cs="Arial"/>
          <w:lang w:bidi="en-US"/>
        </w:rPr>
      </w:pPr>
    </w:p>
    <w:p w14:paraId="6CE13E1E" w14:textId="18190840" w:rsidR="003D3DA8" w:rsidRPr="00103A0B" w:rsidRDefault="003D3DA8" w:rsidP="00CD5919">
      <w:pPr>
        <w:spacing w:line="360" w:lineRule="auto"/>
        <w:jc w:val="both"/>
        <w:rPr>
          <w:rFonts w:ascii="Arial" w:hAnsi="Arial" w:cs="Arial"/>
          <w:lang w:bidi="en-US"/>
        </w:rPr>
      </w:pPr>
    </w:p>
    <w:p w14:paraId="135E42C3" w14:textId="2233FF92" w:rsidR="003D3DA8" w:rsidRPr="00103A0B" w:rsidRDefault="003D3DA8" w:rsidP="00CD5919">
      <w:pPr>
        <w:spacing w:line="360" w:lineRule="auto"/>
        <w:jc w:val="both"/>
        <w:rPr>
          <w:rFonts w:ascii="Arial" w:hAnsi="Arial" w:cs="Arial"/>
          <w:lang w:bidi="en-US"/>
        </w:rPr>
      </w:pPr>
    </w:p>
    <w:p w14:paraId="3FE03784" w14:textId="17BE94A1" w:rsidR="003D3DA8" w:rsidRPr="00103A0B" w:rsidRDefault="003D3DA8" w:rsidP="00CD5919">
      <w:pPr>
        <w:spacing w:line="360" w:lineRule="auto"/>
        <w:jc w:val="both"/>
        <w:rPr>
          <w:rFonts w:ascii="Arial" w:hAnsi="Arial" w:cs="Arial"/>
          <w:lang w:bidi="en-US"/>
        </w:rPr>
      </w:pPr>
    </w:p>
    <w:p w14:paraId="05589785" w14:textId="32B9712E" w:rsidR="003D3DA8" w:rsidRPr="00103A0B" w:rsidRDefault="003D3DA8" w:rsidP="00CD5919">
      <w:pPr>
        <w:spacing w:line="360" w:lineRule="auto"/>
        <w:jc w:val="both"/>
        <w:rPr>
          <w:rFonts w:ascii="Arial" w:hAnsi="Arial" w:cs="Arial"/>
          <w:lang w:bidi="en-US"/>
        </w:rPr>
      </w:pPr>
    </w:p>
    <w:p w14:paraId="0F37BD77" w14:textId="686C4A35" w:rsidR="003D3DA8" w:rsidRPr="00103A0B" w:rsidRDefault="003D3DA8" w:rsidP="00CD5919">
      <w:pPr>
        <w:spacing w:line="360" w:lineRule="auto"/>
        <w:jc w:val="both"/>
        <w:rPr>
          <w:rFonts w:ascii="Arial" w:hAnsi="Arial" w:cs="Arial"/>
          <w:lang w:bidi="en-US"/>
        </w:rPr>
      </w:pPr>
    </w:p>
    <w:p w14:paraId="1D67B423" w14:textId="2E76773C" w:rsidR="003D3DA8" w:rsidRPr="00103A0B" w:rsidRDefault="003D3DA8" w:rsidP="00CD5919">
      <w:pPr>
        <w:spacing w:line="360" w:lineRule="auto"/>
        <w:jc w:val="both"/>
        <w:rPr>
          <w:rFonts w:ascii="Arial" w:hAnsi="Arial" w:cs="Arial"/>
          <w:lang w:bidi="en-US"/>
        </w:rPr>
      </w:pPr>
    </w:p>
    <w:p w14:paraId="11C90E71" w14:textId="693BD020" w:rsidR="003D3DA8" w:rsidRPr="00103A0B" w:rsidRDefault="003D3DA8" w:rsidP="00CD5919">
      <w:pPr>
        <w:spacing w:line="360" w:lineRule="auto"/>
        <w:jc w:val="both"/>
        <w:rPr>
          <w:rFonts w:ascii="Arial" w:hAnsi="Arial" w:cs="Arial"/>
          <w:lang w:bidi="en-US"/>
        </w:rPr>
      </w:pPr>
    </w:p>
    <w:p w14:paraId="36AC5BFA" w14:textId="0D51656F" w:rsidR="003D3DA8" w:rsidRPr="00103A0B" w:rsidRDefault="003D3DA8" w:rsidP="00CD5919">
      <w:pPr>
        <w:spacing w:line="360" w:lineRule="auto"/>
        <w:jc w:val="both"/>
        <w:rPr>
          <w:rFonts w:ascii="Arial" w:hAnsi="Arial" w:cs="Arial"/>
          <w:lang w:bidi="en-US"/>
        </w:rPr>
      </w:pPr>
    </w:p>
    <w:p w14:paraId="6DBF4183" w14:textId="5D412E15" w:rsidR="003D3DA8" w:rsidRPr="00103A0B" w:rsidRDefault="003D3DA8" w:rsidP="00CD5919">
      <w:pPr>
        <w:spacing w:line="360" w:lineRule="auto"/>
        <w:jc w:val="both"/>
        <w:rPr>
          <w:rFonts w:ascii="Arial" w:hAnsi="Arial" w:cs="Arial"/>
          <w:lang w:bidi="en-US"/>
        </w:rPr>
      </w:pPr>
    </w:p>
    <w:p w14:paraId="4D3343A8" w14:textId="42B75D6C" w:rsidR="00CB187F" w:rsidRPr="00103A0B" w:rsidRDefault="00CB187F" w:rsidP="00CD5919">
      <w:pPr>
        <w:jc w:val="both"/>
        <w:rPr>
          <w:lang w:bidi="en-US"/>
        </w:rPr>
      </w:pPr>
      <w:bookmarkStart w:id="49" w:name="_Toc363208534"/>
    </w:p>
    <w:p w14:paraId="0F87C676" w14:textId="4A679E8B" w:rsidR="00CB187F" w:rsidRPr="00103A0B" w:rsidRDefault="00CB187F" w:rsidP="00CD5919">
      <w:pPr>
        <w:jc w:val="both"/>
        <w:rPr>
          <w:lang w:bidi="en-US"/>
        </w:rPr>
      </w:pPr>
    </w:p>
    <w:p w14:paraId="0114B0C0" w14:textId="7FADFDA3" w:rsidR="004D3D5E" w:rsidRPr="00103A0B" w:rsidRDefault="004D3D5E" w:rsidP="00CD5919">
      <w:pPr>
        <w:jc w:val="both"/>
        <w:rPr>
          <w:lang w:bidi="en-US"/>
        </w:rPr>
      </w:pPr>
    </w:p>
    <w:p w14:paraId="50E85FA2" w14:textId="7DA9A8C8" w:rsidR="00474286" w:rsidRPr="00103A0B" w:rsidRDefault="00474286" w:rsidP="00CD5919">
      <w:pPr>
        <w:jc w:val="both"/>
        <w:rPr>
          <w:lang w:bidi="en-US"/>
        </w:rPr>
      </w:pPr>
    </w:p>
    <w:p w14:paraId="70BD062D" w14:textId="1EA2E090" w:rsidR="00474286" w:rsidRPr="00103A0B" w:rsidRDefault="00474286" w:rsidP="00CD5919">
      <w:pPr>
        <w:jc w:val="both"/>
        <w:rPr>
          <w:lang w:bidi="en-US"/>
        </w:rPr>
      </w:pPr>
    </w:p>
    <w:p w14:paraId="698DC3A9" w14:textId="77777777" w:rsidR="00474286" w:rsidRPr="00103A0B" w:rsidRDefault="00474286" w:rsidP="00CD5919">
      <w:pPr>
        <w:jc w:val="both"/>
        <w:rPr>
          <w:lang w:bidi="en-US"/>
        </w:rPr>
      </w:pPr>
    </w:p>
    <w:p w14:paraId="3DBD35F5" w14:textId="77777777" w:rsidR="007E7233" w:rsidRPr="00103A0B" w:rsidRDefault="007E7233" w:rsidP="00CD5919">
      <w:pPr>
        <w:jc w:val="both"/>
        <w:rPr>
          <w:lang w:bidi="en-US"/>
        </w:rPr>
      </w:pPr>
    </w:p>
    <w:p w14:paraId="58CCCA54" w14:textId="77777777" w:rsidR="00731909" w:rsidRPr="00103A0B" w:rsidRDefault="00731909" w:rsidP="00474286">
      <w:pPr>
        <w:pStyle w:val="Heading1"/>
        <w:keepLines/>
        <w:numPr>
          <w:ilvl w:val="0"/>
          <w:numId w:val="0"/>
        </w:numPr>
        <w:rPr>
          <w:rFonts w:ascii="Arial" w:hAnsi="Arial" w:cs="Arial"/>
        </w:rPr>
        <w:sectPr w:rsidR="00731909" w:rsidRPr="00103A0B" w:rsidSect="007E7233">
          <w:pgSz w:w="11906" w:h="16838"/>
          <w:pgMar w:top="1440" w:right="1440" w:bottom="1440" w:left="1440" w:header="709" w:footer="709" w:gutter="0"/>
          <w:pgNumType w:fmt="lowerRoman" w:start="1"/>
          <w:cols w:space="708"/>
          <w:titlePg/>
          <w:docGrid w:linePitch="360"/>
        </w:sectPr>
      </w:pPr>
    </w:p>
    <w:p w14:paraId="49E16C29" w14:textId="29973345" w:rsidR="003D3DA8" w:rsidRPr="00103A0B" w:rsidRDefault="003D3DA8" w:rsidP="00474286">
      <w:pPr>
        <w:pStyle w:val="Heading1"/>
        <w:keepLines/>
        <w:numPr>
          <w:ilvl w:val="0"/>
          <w:numId w:val="0"/>
        </w:numPr>
        <w:rPr>
          <w:rFonts w:ascii="Arial" w:hAnsi="Arial" w:cs="Arial"/>
        </w:rPr>
      </w:pPr>
      <w:bookmarkStart w:id="50" w:name="_Toc151548290"/>
      <w:r w:rsidRPr="00103A0B">
        <w:rPr>
          <w:rFonts w:ascii="Arial" w:hAnsi="Arial" w:cs="Arial"/>
        </w:rPr>
        <w:lastRenderedPageBreak/>
        <w:t>Glossary</w:t>
      </w:r>
      <w:bookmarkEnd w:id="49"/>
      <w:bookmarkEnd w:id="50"/>
    </w:p>
    <w:tbl>
      <w:tblPr>
        <w:tblStyle w:val="TableGrid"/>
        <w:tblW w:w="10349" w:type="dxa"/>
        <w:tblInd w:w="-318" w:type="dxa"/>
        <w:tblLook w:val="04A0" w:firstRow="1" w:lastRow="0" w:firstColumn="1" w:lastColumn="0" w:noHBand="0" w:noVBand="1"/>
      </w:tblPr>
      <w:tblGrid>
        <w:gridCol w:w="4826"/>
        <w:gridCol w:w="5523"/>
      </w:tblGrid>
      <w:tr w:rsidR="00CE00EE" w:rsidRPr="00103A0B" w14:paraId="349F6A86" w14:textId="77777777" w:rsidTr="009E1AB3">
        <w:trPr>
          <w:tblHeader/>
        </w:trPr>
        <w:tc>
          <w:tcPr>
            <w:tcW w:w="4826" w:type="dxa"/>
          </w:tcPr>
          <w:p w14:paraId="0BFCE48F" w14:textId="77777777" w:rsidR="00CE00EE" w:rsidRPr="00103A0B" w:rsidRDefault="00CE00EE" w:rsidP="00CD5919">
            <w:pPr>
              <w:spacing w:line="360" w:lineRule="auto"/>
              <w:jc w:val="both"/>
              <w:rPr>
                <w:rFonts w:ascii="Arial" w:hAnsi="Arial" w:cs="Arial"/>
                <w:b/>
                <w:bCs/>
                <w:sz w:val="24"/>
                <w:szCs w:val="24"/>
              </w:rPr>
            </w:pPr>
            <w:r w:rsidRPr="00103A0B">
              <w:rPr>
                <w:rFonts w:ascii="Arial" w:hAnsi="Arial" w:cs="Arial"/>
                <w:b/>
                <w:bCs/>
                <w:sz w:val="24"/>
                <w:szCs w:val="24"/>
              </w:rPr>
              <w:t>Term</w:t>
            </w:r>
          </w:p>
          <w:p w14:paraId="35AFC2D2" w14:textId="6B613A0D" w:rsidR="00CE00EE" w:rsidRPr="00103A0B" w:rsidRDefault="00CE00EE" w:rsidP="00CD5919">
            <w:pPr>
              <w:spacing w:line="360" w:lineRule="auto"/>
              <w:jc w:val="both"/>
              <w:rPr>
                <w:rFonts w:ascii="Arial" w:hAnsi="Arial" w:cs="Arial"/>
                <w:b/>
                <w:bCs/>
                <w:sz w:val="24"/>
                <w:szCs w:val="24"/>
              </w:rPr>
            </w:pPr>
          </w:p>
        </w:tc>
        <w:tc>
          <w:tcPr>
            <w:tcW w:w="5523" w:type="dxa"/>
          </w:tcPr>
          <w:p w14:paraId="32D1C5D6" w14:textId="77777777" w:rsidR="00CE00EE" w:rsidRPr="00103A0B" w:rsidRDefault="00CE00EE" w:rsidP="00CD5919">
            <w:pPr>
              <w:spacing w:line="360" w:lineRule="auto"/>
              <w:jc w:val="both"/>
              <w:rPr>
                <w:rFonts w:ascii="Arial" w:hAnsi="Arial" w:cs="Arial"/>
                <w:b/>
                <w:bCs/>
                <w:sz w:val="24"/>
                <w:szCs w:val="24"/>
              </w:rPr>
            </w:pPr>
            <w:r w:rsidRPr="00103A0B">
              <w:rPr>
                <w:rFonts w:ascii="Arial" w:hAnsi="Arial" w:cs="Arial"/>
                <w:b/>
                <w:bCs/>
                <w:sz w:val="24"/>
                <w:szCs w:val="24"/>
              </w:rPr>
              <w:t xml:space="preserve">Definition </w:t>
            </w:r>
          </w:p>
        </w:tc>
      </w:tr>
      <w:tr w:rsidR="00CE00EE" w:rsidRPr="00103A0B" w14:paraId="069691A6" w14:textId="77777777" w:rsidTr="00CB187F">
        <w:tc>
          <w:tcPr>
            <w:tcW w:w="4826" w:type="dxa"/>
          </w:tcPr>
          <w:p w14:paraId="62C670F7" w14:textId="45CCF420"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Type 2 Diabetes Mellitus</w:t>
            </w:r>
          </w:p>
        </w:tc>
        <w:tc>
          <w:tcPr>
            <w:tcW w:w="5523" w:type="dxa"/>
          </w:tcPr>
          <w:p w14:paraId="71E8AF36" w14:textId="468AE3B5" w:rsidR="00CE00EE" w:rsidRPr="00103A0B" w:rsidRDefault="00FF6DED" w:rsidP="00CD5919">
            <w:pPr>
              <w:spacing w:line="360" w:lineRule="auto"/>
              <w:jc w:val="both"/>
              <w:rPr>
                <w:rFonts w:ascii="Arial" w:hAnsi="Arial" w:cs="Arial"/>
                <w:sz w:val="24"/>
                <w:szCs w:val="24"/>
              </w:rPr>
            </w:pPr>
            <w:r w:rsidRPr="00103A0B">
              <w:rPr>
                <w:rFonts w:ascii="Arial" w:hAnsi="Arial" w:cs="Arial"/>
                <w:sz w:val="24"/>
                <w:szCs w:val="24"/>
              </w:rPr>
              <w:t xml:space="preserve">This condition is a result of insufficient production of insulin by the pancreas or when the insulin does not work properly, leading to increased blood glucose (sugar) levels in the body </w:t>
            </w:r>
            <w:r w:rsidRPr="00103A0B">
              <w:rPr>
                <w:rStyle w:val="FootnoteReference"/>
                <w:rFonts w:ascii="Arial" w:hAnsi="Arial" w:cs="Arial"/>
                <w:sz w:val="24"/>
                <w:szCs w:val="24"/>
              </w:rPr>
              <w:fldChar w:fldCharType="begin" w:fldLock="1"/>
            </w:r>
            <w:r w:rsidR="0092755F" w:rsidRPr="00103A0B">
              <w:rPr>
                <w:rFonts w:ascii="Arial" w:hAnsi="Arial" w:cs="Arial"/>
                <w:sz w:val="24"/>
                <w:szCs w:val="24"/>
              </w:rPr>
              <w:instrText>ADDIN CSL_CITATION {"citationItems":[{"id":"ITEM-1","itemData":{"URL":"https://www.diabetes.org.uk/type-2-diabetes","accessed":{"date-parts":[["2021","7","24"]]},"author":[{"dropping-particle":"","family":"Diabetes UK","given":"","non-dropping-particle":"","parse-names":false,"suffix":""}],"id":"ITEM-1","issued":{"date-parts":[["2021"]]},"title":"Type 2 diabetes","type":"webpage"},"uris":["http://www.mendeley.com/documents/?uuid=d1bdd385-9032-4828-aaf4-aa8144620532"]}],"mendeley":{"formattedCitation":"(Diabetes UK, 2021c)","plainTextFormattedCitation":"(Diabetes UK, 2021c)","previouslyFormattedCitation":"(Diabetes UK, 2021c)"},"properties":{"noteIndex":0},"schema":"https://github.com/citation-style-language/schema/raw/master/csl-citation.json"}</w:instrText>
            </w:r>
            <w:r w:rsidRPr="00103A0B">
              <w:rPr>
                <w:rStyle w:val="FootnoteReference"/>
                <w:rFonts w:ascii="Arial" w:hAnsi="Arial" w:cs="Arial"/>
                <w:sz w:val="24"/>
                <w:szCs w:val="24"/>
              </w:rPr>
              <w:fldChar w:fldCharType="separate"/>
            </w:r>
            <w:r w:rsidR="00391499" w:rsidRPr="00103A0B">
              <w:rPr>
                <w:rFonts w:ascii="Arial" w:hAnsi="Arial" w:cs="Arial"/>
                <w:noProof/>
                <w:sz w:val="24"/>
                <w:szCs w:val="24"/>
              </w:rPr>
              <w:t>(Diabetes UK, 2021c)</w:t>
            </w:r>
            <w:r w:rsidRPr="00103A0B">
              <w:rPr>
                <w:rStyle w:val="FootnoteReference"/>
                <w:rFonts w:ascii="Arial" w:hAnsi="Arial" w:cs="Arial"/>
                <w:sz w:val="24"/>
                <w:szCs w:val="24"/>
              </w:rPr>
              <w:fldChar w:fldCharType="end"/>
            </w:r>
            <w:r w:rsidRPr="00103A0B">
              <w:rPr>
                <w:rFonts w:ascii="Arial" w:hAnsi="Arial" w:cs="Arial"/>
                <w:sz w:val="24"/>
                <w:szCs w:val="24"/>
              </w:rPr>
              <w:t>.</w:t>
            </w:r>
          </w:p>
        </w:tc>
      </w:tr>
      <w:tr w:rsidR="00CE00EE" w:rsidRPr="00103A0B" w14:paraId="69C5C776" w14:textId="77777777" w:rsidTr="00CB187F">
        <w:tc>
          <w:tcPr>
            <w:tcW w:w="4826" w:type="dxa"/>
          </w:tcPr>
          <w:p w14:paraId="595E377D" w14:textId="7BB6FA16"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Prediabetes (other terms include: </w:t>
            </w:r>
            <w:r w:rsidR="00D96293" w:rsidRPr="00103A0B">
              <w:rPr>
                <w:rFonts w:ascii="Arial" w:hAnsi="Arial" w:cs="Arial"/>
                <w:sz w:val="24"/>
                <w:szCs w:val="24"/>
              </w:rPr>
              <w:t>I</w:t>
            </w:r>
            <w:r w:rsidRPr="00103A0B">
              <w:rPr>
                <w:rFonts w:ascii="Arial" w:hAnsi="Arial" w:cs="Arial"/>
                <w:sz w:val="24"/>
                <w:szCs w:val="24"/>
              </w:rPr>
              <w:t xml:space="preserve">mpaired </w:t>
            </w:r>
            <w:r w:rsidR="00D96293" w:rsidRPr="00103A0B">
              <w:rPr>
                <w:rFonts w:ascii="Arial" w:hAnsi="Arial" w:cs="Arial"/>
                <w:sz w:val="24"/>
                <w:szCs w:val="24"/>
              </w:rPr>
              <w:t>G</w:t>
            </w:r>
            <w:r w:rsidRPr="00103A0B">
              <w:rPr>
                <w:rFonts w:ascii="Arial" w:hAnsi="Arial" w:cs="Arial"/>
                <w:sz w:val="24"/>
                <w:szCs w:val="24"/>
              </w:rPr>
              <w:t xml:space="preserve">lucose </w:t>
            </w:r>
            <w:r w:rsidR="00D96293" w:rsidRPr="00103A0B">
              <w:rPr>
                <w:rFonts w:ascii="Arial" w:hAnsi="Arial" w:cs="Arial"/>
                <w:sz w:val="24"/>
                <w:szCs w:val="24"/>
              </w:rPr>
              <w:t>R</w:t>
            </w:r>
            <w:r w:rsidRPr="00103A0B">
              <w:rPr>
                <w:rFonts w:ascii="Arial" w:hAnsi="Arial" w:cs="Arial"/>
                <w:sz w:val="24"/>
                <w:szCs w:val="24"/>
              </w:rPr>
              <w:t xml:space="preserve">egulation or </w:t>
            </w:r>
            <w:r w:rsidR="00D96293" w:rsidRPr="00103A0B">
              <w:rPr>
                <w:rFonts w:ascii="Arial" w:hAnsi="Arial" w:cs="Arial"/>
                <w:sz w:val="24"/>
                <w:szCs w:val="24"/>
              </w:rPr>
              <w:t>N</w:t>
            </w:r>
            <w:r w:rsidRPr="00103A0B">
              <w:rPr>
                <w:rFonts w:ascii="Arial" w:hAnsi="Arial" w:cs="Arial"/>
                <w:sz w:val="24"/>
                <w:szCs w:val="24"/>
              </w:rPr>
              <w:t>on-</w:t>
            </w:r>
            <w:r w:rsidR="00D96293" w:rsidRPr="00103A0B">
              <w:rPr>
                <w:rFonts w:ascii="Arial" w:hAnsi="Arial" w:cs="Arial"/>
                <w:sz w:val="24"/>
                <w:szCs w:val="24"/>
              </w:rPr>
              <w:t>D</w:t>
            </w:r>
            <w:r w:rsidRPr="00103A0B">
              <w:rPr>
                <w:rFonts w:ascii="Arial" w:hAnsi="Arial" w:cs="Arial"/>
                <w:sz w:val="24"/>
                <w:szCs w:val="24"/>
              </w:rPr>
              <w:t xml:space="preserve">iabetic </w:t>
            </w:r>
            <w:r w:rsidR="00D96293" w:rsidRPr="00103A0B">
              <w:rPr>
                <w:rFonts w:ascii="Arial" w:hAnsi="Arial" w:cs="Arial"/>
                <w:sz w:val="24"/>
                <w:szCs w:val="24"/>
              </w:rPr>
              <w:t>H</w:t>
            </w:r>
            <w:r w:rsidRPr="00103A0B">
              <w:rPr>
                <w:rFonts w:ascii="Arial" w:hAnsi="Arial" w:cs="Arial"/>
                <w:sz w:val="24"/>
                <w:szCs w:val="24"/>
              </w:rPr>
              <w:t xml:space="preserve">yperglycaemia </w:t>
            </w:r>
            <w:r w:rsidRPr="00103A0B">
              <w:rPr>
                <w:rFonts w:ascii="Arial" w:hAnsi="Arial" w:cs="Arial"/>
                <w:sz w:val="24"/>
                <w:szCs w:val="24"/>
              </w:rPr>
              <w:fldChar w:fldCharType="begin" w:fldLock="1"/>
            </w:r>
            <w:r w:rsidR="0092755F" w:rsidRPr="00103A0B">
              <w:rPr>
                <w:rFonts w:ascii="Arial" w:hAnsi="Arial" w:cs="Arial"/>
                <w:sz w:val="24"/>
                <w:szCs w:val="24"/>
              </w:rPr>
              <w:instrText>ADDIN CSL_CITATION {"citationItems":[{"id":"ITEM-1","itemData":{"ISSN":"2627-0439","abstract":"Dieser Artikel ist nur als PDF-Dokument verfügbar.","author":[{"dropping-particle":"","family":"Diabetes UK","given":"","non-dropping-particle":"","parse-names":false,"suffix":""}],"id":"ITEM-1","issued":{"date-parts":[["2021"]]},"number-of-pages":"1-5","title":"Early identification of type 2 diabetes","type":"report"},"uris":["http://www.mendeley.com/documents/?uuid=78e152f8-8fd7-4b4e-b7fa-b49f620c0f1a"]}],"mendeley":{"formattedCitation":"(Diabetes UK, 2021b)","plainTextFormattedCitation":"(Diabetes UK, 2021b)","previouslyFormattedCitation":"(Diabetes UK, 2021b)"},"properties":{"noteIndex":0},"schema":"https://github.com/citation-style-language/schema/raw/master/csl-citation.json"}</w:instrText>
            </w:r>
            <w:r w:rsidRPr="00103A0B">
              <w:rPr>
                <w:rFonts w:ascii="Arial" w:hAnsi="Arial" w:cs="Arial"/>
                <w:sz w:val="24"/>
                <w:szCs w:val="24"/>
              </w:rPr>
              <w:fldChar w:fldCharType="separate"/>
            </w:r>
            <w:r w:rsidR="00391499" w:rsidRPr="00103A0B">
              <w:rPr>
                <w:rFonts w:ascii="Arial" w:hAnsi="Arial" w:cs="Arial"/>
                <w:noProof/>
                <w:sz w:val="24"/>
                <w:szCs w:val="24"/>
              </w:rPr>
              <w:t>(Diabetes UK, 2021b)</w:t>
            </w:r>
            <w:r w:rsidRPr="00103A0B">
              <w:rPr>
                <w:rFonts w:ascii="Arial" w:hAnsi="Arial" w:cs="Arial"/>
                <w:sz w:val="24"/>
                <w:szCs w:val="24"/>
              </w:rPr>
              <w:fldChar w:fldCharType="end"/>
            </w:r>
            <w:r w:rsidR="001500E4" w:rsidRPr="00103A0B">
              <w:rPr>
                <w:rFonts w:ascii="Arial" w:hAnsi="Arial" w:cs="Arial"/>
                <w:sz w:val="24"/>
                <w:szCs w:val="24"/>
              </w:rPr>
              <w:t xml:space="preserve">, </w:t>
            </w:r>
            <w:r w:rsidR="00D96293" w:rsidRPr="00103A0B">
              <w:rPr>
                <w:rFonts w:ascii="Arial" w:hAnsi="Arial" w:cs="Arial"/>
                <w:sz w:val="24"/>
                <w:szCs w:val="24"/>
              </w:rPr>
              <w:t>I</w:t>
            </w:r>
            <w:r w:rsidRPr="00103A0B">
              <w:rPr>
                <w:rFonts w:ascii="Arial" w:hAnsi="Arial" w:cs="Arial"/>
                <w:sz w:val="24"/>
                <w:szCs w:val="24"/>
              </w:rPr>
              <w:t xml:space="preserve">mpaired </w:t>
            </w:r>
            <w:r w:rsidR="00D96293" w:rsidRPr="00103A0B">
              <w:rPr>
                <w:rFonts w:ascii="Arial" w:hAnsi="Arial" w:cs="Arial"/>
                <w:sz w:val="24"/>
                <w:szCs w:val="24"/>
              </w:rPr>
              <w:t>G</w:t>
            </w:r>
            <w:r w:rsidRPr="00103A0B">
              <w:rPr>
                <w:rFonts w:ascii="Arial" w:hAnsi="Arial" w:cs="Arial"/>
                <w:sz w:val="24"/>
                <w:szCs w:val="24"/>
              </w:rPr>
              <w:t xml:space="preserve">lucose </w:t>
            </w:r>
            <w:r w:rsidR="00D96293" w:rsidRPr="00103A0B">
              <w:rPr>
                <w:rFonts w:ascii="Arial" w:hAnsi="Arial" w:cs="Arial"/>
                <w:sz w:val="24"/>
                <w:szCs w:val="24"/>
              </w:rPr>
              <w:t>T</w:t>
            </w:r>
            <w:r w:rsidRPr="00103A0B">
              <w:rPr>
                <w:rFonts w:ascii="Arial" w:hAnsi="Arial" w:cs="Arial"/>
                <w:sz w:val="24"/>
                <w:szCs w:val="24"/>
              </w:rPr>
              <w:t xml:space="preserve">olerance or </w:t>
            </w:r>
            <w:r w:rsidR="00D96293" w:rsidRPr="00103A0B">
              <w:rPr>
                <w:rFonts w:ascii="Arial" w:hAnsi="Arial" w:cs="Arial"/>
                <w:sz w:val="24"/>
                <w:szCs w:val="24"/>
              </w:rPr>
              <w:t>I</w:t>
            </w:r>
            <w:r w:rsidRPr="00103A0B">
              <w:rPr>
                <w:rFonts w:ascii="Arial" w:hAnsi="Arial" w:cs="Arial"/>
                <w:sz w:val="24"/>
                <w:szCs w:val="24"/>
              </w:rPr>
              <w:t xml:space="preserve">mpaired </w:t>
            </w:r>
            <w:r w:rsidR="00D96293" w:rsidRPr="00103A0B">
              <w:rPr>
                <w:rFonts w:ascii="Arial" w:hAnsi="Arial" w:cs="Arial"/>
                <w:sz w:val="24"/>
                <w:szCs w:val="24"/>
              </w:rPr>
              <w:t>F</w:t>
            </w:r>
            <w:r w:rsidRPr="00103A0B">
              <w:rPr>
                <w:rFonts w:ascii="Arial" w:hAnsi="Arial" w:cs="Arial"/>
                <w:sz w:val="24"/>
                <w:szCs w:val="24"/>
              </w:rPr>
              <w:t xml:space="preserve">asting </w:t>
            </w:r>
            <w:r w:rsidR="00D96293" w:rsidRPr="00103A0B">
              <w:rPr>
                <w:rFonts w:ascii="Arial" w:hAnsi="Arial" w:cs="Arial"/>
                <w:sz w:val="24"/>
                <w:szCs w:val="24"/>
              </w:rPr>
              <w:t>G</w:t>
            </w:r>
            <w:r w:rsidRPr="00103A0B">
              <w:rPr>
                <w:rFonts w:ascii="Arial" w:hAnsi="Arial" w:cs="Arial"/>
                <w:sz w:val="24"/>
                <w:szCs w:val="24"/>
              </w:rPr>
              <w:t xml:space="preserve">lucose </w:t>
            </w:r>
            <w:r w:rsidRPr="00103A0B">
              <w:rPr>
                <w:rFonts w:ascii="Arial" w:hAnsi="Arial" w:cs="Arial"/>
                <w:sz w:val="24"/>
                <w:szCs w:val="24"/>
              </w:rPr>
              <w:fldChar w:fldCharType="begin" w:fldLock="1"/>
            </w:r>
            <w:r w:rsidR="00810F86" w:rsidRPr="00103A0B">
              <w:rPr>
                <w:rFonts w:ascii="Arial" w:hAnsi="Arial" w:cs="Arial"/>
                <w:sz w:val="24"/>
                <w:szCs w:val="24"/>
              </w:rPr>
              <w:instrText>ADDIN CSL_CITATION {"citationItems":[{"id":"ITEM-1","itemData":{"DOI":"10.1016/j.jcjd.2017.10.003","ISSN":"23523840","PMID":"29650080","author":[{"dropping-particle":"","family":"Punthakee","given":"Zubin","non-dropping-particle":"","parse-names":false,"suffix":""},{"dropping-particle":"","family":"Goldenberg","given":"Ronald","non-dropping-particle":"","parse-names":false,"suffix":""},{"dropping-particle":"","family":"Katz","given":"Pamela","non-dropping-particle":"","parse-names":false,"suffix":""}],"container-title":"Canadian Journal of Diabetes","id":"ITEM-1","issued":{"date-parts":[["2018"]]},"page":"S10-S15","publisher":"Elsevier Inc.","title":"Definition, classification and diagnosis of diabetes, prediabetes and metabolic syndrome","type":"article-journal","volume":"42"},"uris":["http://www.mendeley.com/documents/?uuid=8844bb26-36c6-424d-8b27-42cc833020ec"]}],"mendeley":{"formattedCitation":"(Punthakee et al., 2018)","plainTextFormattedCitation":"(Punthakee et al., 2018)","previouslyFormattedCitation":"(Punthakee et al., 2018)"},"properties":{"noteIndex":0},"schema":"https://github.com/citation-style-language/schema/raw/master/csl-citation.json"}</w:instrText>
            </w:r>
            <w:r w:rsidRPr="00103A0B">
              <w:rPr>
                <w:rFonts w:ascii="Arial" w:hAnsi="Arial" w:cs="Arial"/>
                <w:sz w:val="24"/>
                <w:szCs w:val="24"/>
              </w:rPr>
              <w:fldChar w:fldCharType="separate"/>
            </w:r>
            <w:r w:rsidR="00445FC8" w:rsidRPr="00103A0B">
              <w:rPr>
                <w:rFonts w:ascii="Arial" w:hAnsi="Arial" w:cs="Arial"/>
                <w:noProof/>
                <w:sz w:val="24"/>
                <w:szCs w:val="24"/>
              </w:rPr>
              <w:t>(Punthakee et al., 2018)</w:t>
            </w:r>
            <w:r w:rsidRPr="00103A0B">
              <w:rPr>
                <w:rFonts w:ascii="Arial" w:hAnsi="Arial" w:cs="Arial"/>
                <w:sz w:val="24"/>
                <w:szCs w:val="24"/>
              </w:rPr>
              <w:fldChar w:fldCharType="end"/>
            </w:r>
            <w:r w:rsidRPr="00103A0B">
              <w:rPr>
                <w:rFonts w:ascii="Arial" w:hAnsi="Arial" w:cs="Arial"/>
                <w:sz w:val="24"/>
                <w:szCs w:val="24"/>
              </w:rPr>
              <w:t>.</w:t>
            </w:r>
          </w:p>
        </w:tc>
        <w:tc>
          <w:tcPr>
            <w:tcW w:w="5523" w:type="dxa"/>
          </w:tcPr>
          <w:p w14:paraId="0E839A5E" w14:textId="77777777"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Those at high risk of T2DM. Those individuals who have higher than normal blood glucose levels but not high enough to be classified as having T2DM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{"citationItems":[{"id":"ITEM-1","itemData":{"DOI":"10.2337/dc08-S055","ISSN":"01495992","PMID":"18165338","author":[{"dropping-particle":"","family":"American Diabetes Association","given":"","non-dropping-particle":"","parse-names":false,"suffix":""}],"container-title":"Diabetes Care","id":"ITEM-1","issue":"SUPPL. 1","issued":{"date-parts":[["2008"]]},"page":"55-60","title":"Diagnosis and classification of diabetes mellitus","type":"article-journal","volume":"31"},"uris":["http://www.mendeley.com/documents/?uuid=7527e5ee-5a74-4e33-9b9a-a367d53aa03d"]}],"mendeley":{"formattedCitation":"(American Diabetes Association, 2008)","plainTextFormattedCitation":"(American Diabetes Association, 2008)","previouslyFormattedCitation":"(American Diabetes Association, 2008)"},"properties":{"noteIndex":0},"schema":"https://github.com/citation-style-language/schema/raw/master/csl-citation.json"}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(American Diabetes Association, 2008)</w:t>
            </w:r>
            <w:r w:rsidRPr="00103A0B">
              <w:rPr>
                <w:rFonts w:ascii="Arial" w:hAnsi="Arial" w:cs="Arial"/>
                <w:sz w:val="24"/>
                <w:szCs w:val="24"/>
              </w:rPr>
              <w:fldChar w:fldCharType="end"/>
            </w:r>
            <w:r w:rsidRPr="00103A0B">
              <w:rPr>
                <w:rFonts w:ascii="Arial" w:hAnsi="Arial" w:cs="Arial"/>
                <w:sz w:val="24"/>
                <w:szCs w:val="24"/>
              </w:rPr>
              <w:t>.</w:t>
            </w:r>
          </w:p>
        </w:tc>
      </w:tr>
      <w:tr w:rsidR="00CE00EE" w:rsidRPr="00103A0B" w14:paraId="0F9865C4" w14:textId="77777777" w:rsidTr="00CB187F">
        <w:tc>
          <w:tcPr>
            <w:tcW w:w="4826" w:type="dxa"/>
          </w:tcPr>
          <w:p w14:paraId="6381E65D" w14:textId="15DC6C6E"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Behaviour </w:t>
            </w:r>
            <w:r w:rsidR="00D96293" w:rsidRPr="00103A0B">
              <w:rPr>
                <w:rFonts w:ascii="Arial" w:hAnsi="Arial" w:cs="Arial"/>
                <w:sz w:val="24"/>
                <w:szCs w:val="24"/>
              </w:rPr>
              <w:t>C</w:t>
            </w:r>
            <w:r w:rsidRPr="00103A0B">
              <w:rPr>
                <w:rFonts w:ascii="Arial" w:hAnsi="Arial" w:cs="Arial"/>
                <w:sz w:val="24"/>
                <w:szCs w:val="24"/>
              </w:rPr>
              <w:t xml:space="preserve">hange </w:t>
            </w:r>
            <w:r w:rsidR="00D96293" w:rsidRPr="00103A0B">
              <w:rPr>
                <w:rFonts w:ascii="Arial" w:hAnsi="Arial" w:cs="Arial"/>
                <w:sz w:val="24"/>
                <w:szCs w:val="24"/>
              </w:rPr>
              <w:t>T</w:t>
            </w:r>
            <w:r w:rsidRPr="00103A0B">
              <w:rPr>
                <w:rFonts w:ascii="Arial" w:hAnsi="Arial" w:cs="Arial"/>
                <w:sz w:val="24"/>
                <w:szCs w:val="24"/>
              </w:rPr>
              <w:t>echniques</w:t>
            </w:r>
          </w:p>
        </w:tc>
        <w:tc>
          <w:tcPr>
            <w:tcW w:w="5523" w:type="dxa"/>
          </w:tcPr>
          <w:p w14:paraId="096F583A" w14:textId="14E4461A" w:rsidR="00CE00EE" w:rsidRPr="00103A0B" w:rsidRDefault="00CE00EE"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w:t>
            </w:r>
            <w:r w:rsidR="001500E4" w:rsidRPr="00103A0B">
              <w:rPr>
                <w:rFonts w:ascii="Arial" w:eastAsia="Times New Roman" w:hAnsi="Arial" w:cs="Arial"/>
                <w:sz w:val="24"/>
                <w:szCs w:val="24"/>
                <w:lang w:eastAsia="en-GB"/>
              </w:rPr>
              <w:t>A</w:t>
            </w:r>
            <w:r w:rsidRPr="00103A0B">
              <w:rPr>
                <w:rFonts w:ascii="Arial" w:eastAsia="Times New Roman" w:hAnsi="Arial" w:cs="Arial"/>
                <w:sz w:val="24"/>
                <w:szCs w:val="24"/>
                <w:lang w:eastAsia="en-GB"/>
              </w:rPr>
              <w:t xml:space="preserve">ctive ingredients” of behaviour change </w:t>
            </w:r>
            <w:r w:rsidRPr="00103A0B">
              <w:rPr>
                <w:rFonts w:ascii="Arial" w:eastAsia="Times New Roman" w:hAnsi="Arial" w:cs="Arial"/>
                <w:sz w:val="24"/>
                <w:szCs w:val="24"/>
                <w:lang w:eastAsia="en-GB"/>
              </w:rPr>
              <w:fldChar w:fldCharType="begin" w:fldLock="1"/>
            </w:r>
            <w:r w:rsidR="00F11C4C" w:rsidRPr="00103A0B">
              <w:rPr>
                <w:rFonts w:ascii="Arial" w:eastAsia="Times New Roman" w:hAnsi="Arial" w:cs="Arial"/>
                <w:sz w:val="24"/>
                <w:szCs w:val="24"/>
                <w:lang w:eastAsia="en-GB"/>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interventions","type":"article-journal","volume":"46"},"uris":["http://www.mendeley.com/documents/?uuid=68bb257f-2ddf-4a99-bd79-a2640572189d"]},{"id":"ITEM-2","itemData":{"DOI":"10.1037/0278-6133.27.3.379","ISBN":"0278-6133 (Print)","ISSN":"02786133","PMID":"18624603","abstract":"OBJECTIVE: Without standardized definitions of the techniques included in behavior change interventions, it is difficult to faithfully replicate effective interventions and challenging to identify techniques contributing to effectiveness across interventions. This research aimed to develop and test a theory-linked taxonomy of generally applicable behavior change techniques (BCTs). DESIGN: Twenty-six BCTs were defined. Two psychologists used a 5-page coding manual to independently judge the presence or absence of each technique in published intervention descriptions and in intervention manuals. RESULTS: Three systematic reviews yielded 195 published descriptions. Across 78 reliability tests (i.e., 26 techniques applied to 3 reviews), the average kappa per technique was 0.79, with 93% of judgments being agreements. Interventions were found to vary widely in the range and type of techniques used, even when targeting the same behavior among similar participants. The average agreement for intervention manuals was 85%, and a comparison of BCTs identified in 13 manuals and 13 published articles describing the same interventions generated a technique correspondence rate of 74%, with most mismatches (73%) arising from identification of a technique in the manual but not in the article. CONCLUSIONS: These findings demonstrate the feasibility of developing standardized definitions of BCTs included in behavioral interventions and highlight problematic variability in the reporting of intervention content.","author":[{"dropping-particle":"","family":"Abraham","given":"Charles","non-dropping-particle":"","parse-names":false,"suffix":""},{"dropping-particle":"","family":"Michie","given":"Susan","non-dropping-particle":"","parse-names":false,"suffix":""}],"container-title":"Health Psychology","id":"ITEM-2","issue":"3","issued":{"date-parts":[["2008"]]},"page":"379-387","title":"A taxonomy of behavior change techniques used in interventions","type":"article-journal","volume":"27"},"uris":["http://www.mendeley.com/documents/?uuid=747d1ee4-9921-4f2d-9483-e6f4ee858e70"]},{"id":"ITEM-3","itemData":{"DOI":"10.1080/08870446.2017.1336240","ISSN":"0887-0446","author":[{"dropping-particle":"","family":"Conner","given":"Mark","non-dropping-particle":"","parse-names":false,"suffix":""},{"dropping-particle":"","family":"Norman","given":"Paul","non-dropping-particle":"","parse-names":false,"suffix":""}],"container-title":"Psychology &amp; Health","id":"ITEM-3","issue":"8","issued":{"date-parts":[["2017"]]},"page":"895-906","publisher":"Routledge","title":"Health behaviour : current issues and challenges","type":"article-journal","volume":"32"},"uris":["http://www.mendeley.com/documents/?uuid=bfccae5f-f910-4fa2-ba07-a67828f54b1c"]}],"mendeley":{"formattedCitation":"(Abraham &amp; Michie, 2008; Conner &amp; Norman, 2017; Susan Michie et al., 2013)","plainTextFormattedCitation":"(Abraham &amp; Michie, 2008; Conner &amp; Norman, 2017; Susan Michie et al., 2013)","previouslyFormattedCitation":"(Abraham &amp; Michie, 2008; Conner &amp; Norman, 2017; Susan Michie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62570" w:rsidRPr="00103A0B">
              <w:rPr>
                <w:rFonts w:ascii="Arial" w:eastAsia="Times New Roman" w:hAnsi="Arial" w:cs="Arial"/>
                <w:noProof/>
                <w:sz w:val="24"/>
                <w:szCs w:val="24"/>
                <w:lang w:eastAsia="en-GB"/>
              </w:rPr>
              <w:t>(Abraham &amp; Michie, 2008; Conner &amp; Norman, 2017; Susan Michie et al., 2013)</w:t>
            </w:r>
            <w:r w:rsidRPr="00103A0B">
              <w:rPr>
                <w:rFonts w:ascii="Arial" w:eastAsia="Times New Roman" w:hAnsi="Arial" w:cs="Arial"/>
                <w:sz w:val="24"/>
                <w:szCs w:val="24"/>
                <w:lang w:eastAsia="en-GB"/>
              </w:rPr>
              <w:fldChar w:fldCharType="end"/>
            </w:r>
            <w:r w:rsidR="00474286" w:rsidRPr="00103A0B">
              <w:rPr>
                <w:rFonts w:ascii="Arial" w:eastAsia="Times New Roman" w:hAnsi="Arial" w:cs="Arial"/>
                <w:sz w:val="24"/>
                <w:szCs w:val="24"/>
                <w:lang w:eastAsia="en-GB"/>
              </w:rPr>
              <w:t>.</w:t>
            </w:r>
          </w:p>
        </w:tc>
      </w:tr>
      <w:tr w:rsidR="00CE00EE" w:rsidRPr="00103A0B" w14:paraId="4FBBAB61" w14:textId="77777777" w:rsidTr="00CB187F">
        <w:tc>
          <w:tcPr>
            <w:tcW w:w="4826" w:type="dxa"/>
          </w:tcPr>
          <w:p w14:paraId="6484C89F" w14:textId="46E2924E"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Response </w:t>
            </w:r>
            <w:r w:rsidR="00D96293" w:rsidRPr="00103A0B">
              <w:rPr>
                <w:rFonts w:ascii="Arial" w:hAnsi="Arial" w:cs="Arial"/>
                <w:sz w:val="24"/>
                <w:szCs w:val="24"/>
              </w:rPr>
              <w:t>R</w:t>
            </w:r>
            <w:r w:rsidRPr="00103A0B">
              <w:rPr>
                <w:rFonts w:ascii="Arial" w:hAnsi="Arial" w:cs="Arial"/>
                <w:sz w:val="24"/>
                <w:szCs w:val="24"/>
              </w:rPr>
              <w:t>ate</w:t>
            </w:r>
          </w:p>
        </w:tc>
        <w:tc>
          <w:tcPr>
            <w:tcW w:w="5523" w:type="dxa"/>
          </w:tcPr>
          <w:p w14:paraId="1982F347" w14:textId="21F9E99C" w:rsidR="00CE00EE" w:rsidRPr="00103A0B" w:rsidRDefault="001500E4" w:rsidP="00CD5919">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T</w:t>
            </w:r>
            <w:r w:rsidR="00CE00EE" w:rsidRPr="00103A0B">
              <w:rPr>
                <w:rFonts w:ascii="Arial" w:eastAsia="Times New Roman" w:hAnsi="Arial" w:cs="Arial"/>
                <w:sz w:val="24"/>
                <w:szCs w:val="24"/>
                <w:lang w:eastAsia="en-GB"/>
              </w:rPr>
              <w:t>he proportion of participants that responded to recruitment, out of the number of participants exposed to the study information via recruitment</w:t>
            </w:r>
            <w:r w:rsidR="00D96293" w:rsidRPr="00103A0B">
              <w:rPr>
                <w:rFonts w:ascii="Arial" w:eastAsia="Times New Roman" w:hAnsi="Arial" w:cs="Arial"/>
                <w:sz w:val="24"/>
                <w:szCs w:val="24"/>
                <w:lang w:eastAsia="en-GB"/>
              </w:rPr>
              <w:t xml:space="preserve"> (Chapter 2)</w:t>
            </w:r>
            <w:r w:rsidR="00CE00EE" w:rsidRPr="00103A0B">
              <w:rPr>
                <w:rFonts w:ascii="Arial" w:eastAsia="Times New Roman" w:hAnsi="Arial" w:cs="Arial"/>
                <w:sz w:val="24"/>
                <w:szCs w:val="24"/>
                <w:lang w:eastAsia="en-GB"/>
              </w:rPr>
              <w:t xml:space="preserve">. </w:t>
            </w:r>
          </w:p>
        </w:tc>
      </w:tr>
      <w:tr w:rsidR="00CE00EE" w:rsidRPr="00103A0B" w14:paraId="2041819B" w14:textId="77777777" w:rsidTr="00CB187F">
        <w:tc>
          <w:tcPr>
            <w:tcW w:w="4826" w:type="dxa"/>
          </w:tcPr>
          <w:p w14:paraId="6DAA981B" w14:textId="708D7205"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Uptake </w:t>
            </w:r>
            <w:r w:rsidR="00D96293" w:rsidRPr="00103A0B">
              <w:rPr>
                <w:rFonts w:ascii="Arial" w:hAnsi="Arial" w:cs="Arial"/>
                <w:sz w:val="24"/>
                <w:szCs w:val="24"/>
              </w:rPr>
              <w:t>R</w:t>
            </w:r>
            <w:r w:rsidRPr="00103A0B">
              <w:rPr>
                <w:rFonts w:ascii="Arial" w:hAnsi="Arial" w:cs="Arial"/>
                <w:sz w:val="24"/>
                <w:szCs w:val="24"/>
              </w:rPr>
              <w:t>ate</w:t>
            </w:r>
          </w:p>
        </w:tc>
        <w:tc>
          <w:tcPr>
            <w:tcW w:w="5523" w:type="dxa"/>
          </w:tcPr>
          <w:p w14:paraId="68870E6E" w14:textId="14A98484" w:rsidR="00CE00EE" w:rsidRPr="00103A0B" w:rsidRDefault="001500E4" w:rsidP="00CD5919">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T</w:t>
            </w:r>
            <w:r w:rsidR="00CE00EE" w:rsidRPr="00103A0B">
              <w:rPr>
                <w:rFonts w:ascii="Arial" w:eastAsia="Times New Roman" w:hAnsi="Arial" w:cs="Arial"/>
                <w:sz w:val="24"/>
                <w:szCs w:val="24"/>
                <w:lang w:eastAsia="en-GB"/>
              </w:rPr>
              <w:t>he proportion of participants that started the group-based DPP, out of the number of participants allocated to the group-based DPP</w:t>
            </w:r>
            <w:r w:rsidR="00D96293" w:rsidRPr="00103A0B">
              <w:rPr>
                <w:rFonts w:ascii="Arial" w:eastAsia="Times New Roman" w:hAnsi="Arial" w:cs="Arial"/>
                <w:sz w:val="24"/>
                <w:szCs w:val="24"/>
                <w:lang w:eastAsia="en-GB"/>
              </w:rPr>
              <w:t xml:space="preserve"> (Chapter 2)</w:t>
            </w:r>
            <w:r w:rsidR="00CE00EE" w:rsidRPr="00103A0B">
              <w:rPr>
                <w:rFonts w:ascii="Arial" w:eastAsia="Times New Roman" w:hAnsi="Arial" w:cs="Arial"/>
                <w:sz w:val="24"/>
                <w:szCs w:val="24"/>
                <w:lang w:eastAsia="en-GB"/>
              </w:rPr>
              <w:t xml:space="preserve">. </w:t>
            </w:r>
          </w:p>
        </w:tc>
      </w:tr>
      <w:tr w:rsidR="00CE00EE" w:rsidRPr="00103A0B" w14:paraId="4962A99C" w14:textId="77777777" w:rsidTr="00CB187F">
        <w:tc>
          <w:tcPr>
            <w:tcW w:w="4826" w:type="dxa"/>
          </w:tcPr>
          <w:p w14:paraId="0C15E384" w14:textId="53465941"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Retention </w:t>
            </w:r>
            <w:r w:rsidR="00D96293" w:rsidRPr="00103A0B">
              <w:rPr>
                <w:rFonts w:ascii="Arial" w:hAnsi="Arial" w:cs="Arial"/>
                <w:sz w:val="24"/>
                <w:szCs w:val="24"/>
              </w:rPr>
              <w:t>R</w:t>
            </w:r>
            <w:r w:rsidRPr="00103A0B">
              <w:rPr>
                <w:rFonts w:ascii="Arial" w:hAnsi="Arial" w:cs="Arial"/>
                <w:sz w:val="24"/>
                <w:szCs w:val="24"/>
              </w:rPr>
              <w:t>ate</w:t>
            </w:r>
          </w:p>
        </w:tc>
        <w:tc>
          <w:tcPr>
            <w:tcW w:w="5523" w:type="dxa"/>
          </w:tcPr>
          <w:p w14:paraId="3EC5E804" w14:textId="37B991A8" w:rsidR="00CE00EE" w:rsidRPr="00103A0B" w:rsidRDefault="001500E4"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T</w:t>
            </w:r>
            <w:r w:rsidR="00CE00EE" w:rsidRPr="00103A0B">
              <w:rPr>
                <w:rFonts w:ascii="Arial" w:eastAsia="Times New Roman" w:hAnsi="Arial" w:cs="Arial"/>
                <w:sz w:val="24"/>
                <w:szCs w:val="24"/>
                <w:lang w:eastAsia="en-GB"/>
              </w:rPr>
              <w:t>he proportion participants that did not drop-out from the group-based intervention, out of the number of participants present at the start</w:t>
            </w:r>
            <w:r w:rsidR="00D96293" w:rsidRPr="00103A0B">
              <w:rPr>
                <w:rFonts w:ascii="Arial" w:eastAsia="Times New Roman" w:hAnsi="Arial" w:cs="Arial"/>
                <w:sz w:val="24"/>
                <w:szCs w:val="24"/>
                <w:lang w:eastAsia="en-GB"/>
              </w:rPr>
              <w:t xml:space="preserve"> (Chapter 2)</w:t>
            </w:r>
            <w:r w:rsidR="00CE00EE" w:rsidRPr="00103A0B">
              <w:rPr>
                <w:rFonts w:ascii="Arial" w:eastAsia="Times New Roman" w:hAnsi="Arial" w:cs="Arial"/>
                <w:sz w:val="24"/>
                <w:szCs w:val="24"/>
                <w:lang w:eastAsia="en-GB"/>
              </w:rPr>
              <w:t>.</w:t>
            </w:r>
          </w:p>
        </w:tc>
      </w:tr>
      <w:tr w:rsidR="00CE00EE" w:rsidRPr="00103A0B" w14:paraId="3FE48C36" w14:textId="77777777" w:rsidTr="00CB187F">
        <w:tc>
          <w:tcPr>
            <w:tcW w:w="4826" w:type="dxa"/>
          </w:tcPr>
          <w:p w14:paraId="69119C70" w14:textId="0518768B"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NHSDPP </w:t>
            </w:r>
            <w:r w:rsidR="00D96293" w:rsidRPr="00103A0B">
              <w:rPr>
                <w:rFonts w:ascii="Arial" w:hAnsi="Arial" w:cs="Arial"/>
                <w:sz w:val="24"/>
                <w:szCs w:val="24"/>
              </w:rPr>
              <w:t>U</w:t>
            </w:r>
            <w:r w:rsidRPr="00103A0B">
              <w:rPr>
                <w:rFonts w:ascii="Arial" w:hAnsi="Arial" w:cs="Arial"/>
                <w:sz w:val="24"/>
                <w:szCs w:val="24"/>
              </w:rPr>
              <w:t>ptake</w:t>
            </w:r>
          </w:p>
        </w:tc>
        <w:tc>
          <w:tcPr>
            <w:tcW w:w="5523" w:type="dxa"/>
          </w:tcPr>
          <w:p w14:paraId="35CE05FD" w14:textId="77777777" w:rsidR="00CE00EE" w:rsidRPr="00103A0B" w:rsidRDefault="00D96293"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Those who attended the first session (or at least one session) following the initial assessment (Chapters 5 and 7).</w:t>
            </w:r>
          </w:p>
          <w:p w14:paraId="63AB5B90" w14:textId="20BAB567" w:rsidR="00844BA1" w:rsidRPr="00103A0B" w:rsidRDefault="00844BA1" w:rsidP="00CD5919">
            <w:pPr>
              <w:spacing w:line="360" w:lineRule="auto"/>
              <w:jc w:val="both"/>
              <w:rPr>
                <w:rFonts w:ascii="Arial" w:hAnsi="Arial" w:cs="Arial"/>
                <w:sz w:val="24"/>
                <w:szCs w:val="24"/>
              </w:rPr>
            </w:pPr>
          </w:p>
        </w:tc>
      </w:tr>
      <w:tr w:rsidR="00CE00EE" w:rsidRPr="00103A0B" w14:paraId="297A1E1F" w14:textId="77777777" w:rsidTr="00CB187F">
        <w:tc>
          <w:tcPr>
            <w:tcW w:w="4826" w:type="dxa"/>
          </w:tcPr>
          <w:p w14:paraId="3DE3D8D9" w14:textId="074A2F53"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lastRenderedPageBreak/>
              <w:t xml:space="preserve">NHSDPP </w:t>
            </w:r>
            <w:r w:rsidR="00D96293" w:rsidRPr="00103A0B">
              <w:rPr>
                <w:rFonts w:ascii="Arial" w:hAnsi="Arial" w:cs="Arial"/>
                <w:sz w:val="24"/>
                <w:szCs w:val="24"/>
              </w:rPr>
              <w:t>C</w:t>
            </w:r>
            <w:r w:rsidRPr="00103A0B">
              <w:rPr>
                <w:rFonts w:ascii="Arial" w:hAnsi="Arial" w:cs="Arial"/>
                <w:sz w:val="24"/>
                <w:szCs w:val="24"/>
              </w:rPr>
              <w:t xml:space="preserve">ompletion </w:t>
            </w:r>
          </w:p>
        </w:tc>
        <w:tc>
          <w:tcPr>
            <w:tcW w:w="5523" w:type="dxa"/>
          </w:tcPr>
          <w:p w14:paraId="6902BF84" w14:textId="378F1543" w:rsidR="00CE00EE" w:rsidRPr="00103A0B" w:rsidRDefault="00D96293" w:rsidP="00CD5919">
            <w:pPr>
              <w:spacing w:before="100"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Those who attended a threshold of at least 75% of sessions (14/18) (Chapters 6 and 7), in line with the criterion definition used by NHS England for payment by completion </w:t>
            </w:r>
            <w:r w:rsidRPr="00103A0B">
              <w:rPr>
                <w:rFonts w:ascii="Arial" w:eastAsia="Times New Roman" w:hAnsi="Arial" w:cs="Arial"/>
                <w:sz w:val="24"/>
                <w:szCs w:val="24"/>
                <w:lang w:eastAsia="en-GB"/>
              </w:rPr>
              <w:fldChar w:fldCharType="begin" w:fldLock="1"/>
            </w:r>
            <w:r w:rsidR="00643C08" w:rsidRPr="00103A0B">
              <w:rPr>
                <w:rFonts w:ascii="Arial" w:eastAsia="Times New Roman" w:hAnsi="Arial" w:cs="Arial"/>
                <w:sz w:val="24"/>
                <w:szCs w:val="24"/>
                <w:lang w:eastAsia="en-GB"/>
              </w:rPr>
              <w:instrText>ADDIN CSL_CITATION {"citationItems":[{"id":"ITEM-1","itemData":{"author":[{"dropping-particle":"","family":"NHS England","given":"","non-dropping-particle":"","parse-names":false,"suffix":""}],"id":"ITEM-1","issued":{"date-parts":[["2016"]]},"number-of-pages":"1-51","title":"NHS england impact analysis of implementing NHS diabetes prevention programme, 2016 to 2021","type":"report"},"uris":["http://www.mendeley.com/documents/?uuid=d3e6fa3e-5322-4de6-951f-0dc992882406"]}],"mendeley":{"formattedCitation":"(NHS England, 2016b)","plainTextFormattedCitation":"(NHS England, 2016b)","previouslyFormattedCitation":"(NHS England, 2016b)"},"properties":{"noteIndex":0},"schema":"https://github.com/citation-style-language/schema/raw/master/csl-citation.json"}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445FC8" w:rsidRPr="00103A0B">
              <w:rPr>
                <w:rFonts w:ascii="Arial" w:eastAsia="Times New Roman" w:hAnsi="Arial" w:cs="Arial"/>
                <w:noProof/>
                <w:sz w:val="24"/>
                <w:szCs w:val="24"/>
                <w:lang w:eastAsia="en-GB"/>
              </w:rPr>
              <w:t>(NHS England, 2016b)</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p>
        </w:tc>
      </w:tr>
      <w:tr w:rsidR="00CE00EE" w:rsidRPr="00103A0B" w14:paraId="0F8519D7" w14:textId="77777777" w:rsidTr="00CB187F">
        <w:tc>
          <w:tcPr>
            <w:tcW w:w="4826" w:type="dxa"/>
          </w:tcPr>
          <w:p w14:paraId="5218E2A8" w14:textId="3FC07543" w:rsidR="00CE00EE" w:rsidRPr="00103A0B" w:rsidRDefault="00CE00EE"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 xml:space="preserve">Illness </w:t>
            </w:r>
            <w:r w:rsidR="00D96293" w:rsidRPr="00103A0B">
              <w:rPr>
                <w:rFonts w:ascii="Arial" w:eastAsia="Times New Roman" w:hAnsi="Arial" w:cs="Arial"/>
                <w:sz w:val="24"/>
                <w:szCs w:val="24"/>
                <w:lang w:eastAsia="en-GB"/>
              </w:rPr>
              <w:t>P</w:t>
            </w:r>
            <w:r w:rsidRPr="00103A0B">
              <w:rPr>
                <w:rFonts w:ascii="Arial" w:eastAsia="Times New Roman" w:hAnsi="Arial" w:cs="Arial"/>
                <w:sz w:val="24"/>
                <w:szCs w:val="24"/>
                <w:lang w:eastAsia="en-GB"/>
              </w:rPr>
              <w:t xml:space="preserve">erceptions </w:t>
            </w:r>
          </w:p>
        </w:tc>
        <w:tc>
          <w:tcPr>
            <w:tcW w:w="5523" w:type="dxa"/>
          </w:tcPr>
          <w:p w14:paraId="1FBC2285" w14:textId="3875EA18" w:rsidR="00CE00EE" w:rsidRPr="00103A0B" w:rsidRDefault="001500E4" w:rsidP="00CD5919">
            <w:pPr>
              <w:spacing w:line="360" w:lineRule="auto"/>
              <w:jc w:val="both"/>
              <w:rPr>
                <w:rFonts w:ascii="Arial" w:hAnsi="Arial" w:cs="Arial"/>
                <w:sz w:val="24"/>
                <w:szCs w:val="24"/>
              </w:rPr>
            </w:pPr>
            <w:r w:rsidRPr="00103A0B">
              <w:rPr>
                <w:rFonts w:ascii="Arial" w:hAnsi="Arial" w:cs="Arial"/>
                <w:sz w:val="24"/>
                <w:szCs w:val="24"/>
              </w:rPr>
              <w:t>B</w:t>
            </w:r>
            <w:r w:rsidR="00CE00EE" w:rsidRPr="00103A0B">
              <w:rPr>
                <w:rFonts w:ascii="Arial" w:hAnsi="Arial" w:cs="Arial"/>
                <w:sz w:val="24"/>
                <w:szCs w:val="24"/>
              </w:rPr>
              <w:t xml:space="preserve">eliefs or organised cognitive and emotional representations held by individuals regarding their illnesses </w:t>
            </w:r>
            <w:r w:rsidR="00CE00EE"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id":"ITEM-2","itemData":{"author":[{"dropping-particle":"","family":"Leventhal","given":"Howard","non-dropping-particle":"","parse-names":false,"suffix":""},{"dropping-particle":"","family":"Diefenbach","given":"Michael","non-dropping-particle":"","parse-names":false,"suffix":""},{"dropping-particle":"","family":"Leventhal","given":"Elaine","non-dropping-particle":"","parse-names":false,"suffix":""}],"container-title":"Cognitive Therapy and Research","id":"ITEM-2","issued":{"date-parts":[["1992"]]},"page":"143-163","title":"Illness cognition: using common sense to understand treatment adherence and affect cognition interactions","type":"article-journal","volume":"16"},"uris":["http://www.mendeley.com/documents/?uuid=79d18470-f082-4de3-90dd-2f733bfb03d2"]}],"mendeley":{"formattedCitation":"(Leventhal et al., 1992; Petrie et al., 2007)","plainTextFormattedCitation":"(Leventhal et al., 1992; Petrie et al., 2007)","previouslyFormattedCitation":"(Leventhal et al., 1992; Petrie et al., 2007)"},"properties":{"noteIndex":0},"schema":"https://github.com/citation-style-language/schema/raw/master/csl-citation.json"}</w:instrText>
            </w:r>
            <w:r w:rsidR="00CE00EE" w:rsidRPr="00103A0B">
              <w:rPr>
                <w:rFonts w:ascii="Arial" w:hAnsi="Arial" w:cs="Arial"/>
                <w:sz w:val="24"/>
                <w:szCs w:val="24"/>
              </w:rPr>
              <w:fldChar w:fldCharType="separate"/>
            </w:r>
            <w:r w:rsidR="00445FC8" w:rsidRPr="00103A0B">
              <w:rPr>
                <w:rFonts w:ascii="Arial" w:hAnsi="Arial" w:cs="Arial"/>
                <w:noProof/>
                <w:sz w:val="24"/>
                <w:szCs w:val="24"/>
              </w:rPr>
              <w:t>(Leventhal et al., 1992; Petrie et al., 2007)</w:t>
            </w:r>
            <w:r w:rsidR="00CE00EE" w:rsidRPr="00103A0B">
              <w:rPr>
                <w:rFonts w:ascii="Arial" w:hAnsi="Arial" w:cs="Arial"/>
                <w:sz w:val="24"/>
                <w:szCs w:val="24"/>
              </w:rPr>
              <w:fldChar w:fldCharType="end"/>
            </w:r>
            <w:r w:rsidR="00CE00EE" w:rsidRPr="00103A0B">
              <w:rPr>
                <w:rFonts w:ascii="Arial" w:hAnsi="Arial" w:cs="Arial"/>
                <w:sz w:val="24"/>
                <w:szCs w:val="24"/>
              </w:rPr>
              <w:t>.</w:t>
            </w:r>
          </w:p>
        </w:tc>
      </w:tr>
      <w:tr w:rsidR="00CE00EE" w:rsidRPr="00103A0B" w14:paraId="3F575FE0" w14:textId="77777777" w:rsidTr="00CB187F">
        <w:tc>
          <w:tcPr>
            <w:tcW w:w="4826" w:type="dxa"/>
          </w:tcPr>
          <w:p w14:paraId="003D1890" w14:textId="45AE3EEC" w:rsidR="00CE00EE" w:rsidRPr="00103A0B" w:rsidRDefault="001500E4"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S</w:t>
            </w:r>
            <w:r w:rsidR="00CE00EE" w:rsidRPr="00103A0B">
              <w:rPr>
                <w:rFonts w:ascii="Arial" w:eastAsia="Times New Roman" w:hAnsi="Arial" w:cs="Arial"/>
                <w:sz w:val="24"/>
                <w:szCs w:val="24"/>
                <w:lang w:eastAsia="en-GB"/>
              </w:rPr>
              <w:t>elf-</w:t>
            </w:r>
            <w:r w:rsidR="00D96293" w:rsidRPr="00103A0B">
              <w:rPr>
                <w:rFonts w:ascii="Arial" w:eastAsia="Times New Roman" w:hAnsi="Arial" w:cs="Arial"/>
                <w:sz w:val="24"/>
                <w:szCs w:val="24"/>
                <w:lang w:eastAsia="en-GB"/>
              </w:rPr>
              <w:t>E</w:t>
            </w:r>
            <w:r w:rsidR="00CE00EE" w:rsidRPr="00103A0B">
              <w:rPr>
                <w:rFonts w:ascii="Arial" w:eastAsia="Times New Roman" w:hAnsi="Arial" w:cs="Arial"/>
                <w:sz w:val="24"/>
                <w:szCs w:val="24"/>
                <w:lang w:eastAsia="en-GB"/>
              </w:rPr>
              <w:t>fficacy (SE)</w:t>
            </w:r>
          </w:p>
        </w:tc>
        <w:tc>
          <w:tcPr>
            <w:tcW w:w="5523" w:type="dxa"/>
          </w:tcPr>
          <w:p w14:paraId="42E3FC6B" w14:textId="2D560C6A"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Perceived SE</w:t>
            </w:r>
            <w:r w:rsidR="001500E4" w:rsidRPr="00103A0B">
              <w:rPr>
                <w:rFonts w:ascii="Arial" w:hAnsi="Arial" w:cs="Arial"/>
                <w:sz w:val="24"/>
                <w:szCs w:val="24"/>
              </w:rPr>
              <w:t xml:space="preserve">- </w:t>
            </w:r>
            <w:r w:rsidRPr="00103A0B">
              <w:rPr>
                <w:rFonts w:ascii="Arial" w:hAnsi="Arial" w:cs="Arial"/>
                <w:sz w:val="24"/>
                <w:szCs w:val="24"/>
              </w:rPr>
              <w:t xml:space="preserve">an individuals` judgement of their own capability to perform an action/s in order to reach their desired goals </w:t>
            </w:r>
            <w:r w:rsidRPr="00103A0B">
              <w:rPr>
                <w:rFonts w:ascii="Arial" w:hAnsi="Arial" w:cs="Arial"/>
                <w:sz w:val="24"/>
                <w:szCs w:val="24"/>
              </w:rPr>
              <w:fldChar w:fldCharType="begin" w:fldLock="1"/>
            </w:r>
            <w:r w:rsidR="00926B09" w:rsidRPr="00103A0B">
              <w:rPr>
                <w:rFonts w:ascii="Arial" w:hAnsi="Arial" w:cs="Arial"/>
                <w:sz w:val="24"/>
                <w:szCs w:val="24"/>
              </w:rPr>
              <w:instrText>ADDIN CSL_CITATION {"citationItems":[{"id":"ITEM-1","itemData":{"author":[{"dropping-particle":"","family":"Bandura","given":"Albert","non-dropping-particle":"","parse-names":false,"suffix":""}],"container-title":"Psychological Review","id":"ITEM-1","issue":"2","issued":{"date-parts":[["1977"]]},"page":"191-215","title":"Self-efficacy: toward a unifying theory of behavioral change","type":"article-journal","volume":"84"},"uris":["http://www.mendeley.com/documents/?uuid=0f6afe49-a269-4028-90bd-3a7dc78a2b60"]}],"mendeley":{"formattedCitation":"(Bandura, 1977)","plainTextFormattedCitation":"(Bandura, 1977)","previouslyFormattedCitation":"(Bandura, 1977)"},"properties":{"noteIndex":0},"schema":"https://github.com/citation-style-language/schema/raw/master/csl-citation.json"}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(Bandura, 1977)</w:t>
            </w:r>
            <w:r w:rsidRPr="00103A0B">
              <w:rPr>
                <w:rFonts w:ascii="Arial" w:hAnsi="Arial" w:cs="Arial"/>
                <w:sz w:val="24"/>
                <w:szCs w:val="24"/>
              </w:rPr>
              <w:fldChar w:fldCharType="end"/>
            </w:r>
            <w:r w:rsidRPr="00103A0B">
              <w:rPr>
                <w:rFonts w:ascii="Arial" w:hAnsi="Arial" w:cs="Arial"/>
                <w:sz w:val="24"/>
                <w:szCs w:val="24"/>
              </w:rPr>
              <w:t xml:space="preserve">, general SE relates to beliefs in one's overall capacity to perform tasks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Smith","given":"J.","non-dropping-particle":"","parse-names":false,"suffix":""},{"dropping-particle":"","family":"Gardner","given":"Benjamin","non-dropping-particle":"","parse-names":false,"suffix":""},{"dropping-particle":"","family":"Michie","given":"Susan","non-dropping-particle":"","parse-names":false,"suffix":""}],"id":"ITEM-1","issued":{"date-parts":[["2010"]]},"number-of-pages":"1-12","title":"Self efficacy guidance material for health trainer services","type":"report"},"uris":["http://www.mendeley.com/documents/?uuid=b9ae5e48-4d43-42dd-8cfc-e090b62b1d2f"]}],"mendeley":{"formattedCitation":"(J. Smith et al., 2010)","manualFormatting":"(Smith, Gardner, &amp; Michie, 2010)","plainTextFormattedCitation":"(J. Smith et al., 2010)","previouslyFormattedCitation":"(J. Smith et al.,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(Smith, Gardner, &amp; Michie, 2010)</w:t>
            </w:r>
            <w:r w:rsidRPr="00103A0B">
              <w:rPr>
                <w:rFonts w:ascii="Arial" w:hAnsi="Arial" w:cs="Arial"/>
                <w:sz w:val="24"/>
                <w:szCs w:val="24"/>
              </w:rPr>
              <w:fldChar w:fldCharType="end"/>
            </w:r>
            <w:r w:rsidR="001500E4" w:rsidRPr="00103A0B">
              <w:rPr>
                <w:rFonts w:ascii="Arial" w:hAnsi="Arial" w:cs="Arial"/>
                <w:sz w:val="24"/>
                <w:szCs w:val="24"/>
              </w:rPr>
              <w:t>.</w:t>
            </w:r>
          </w:p>
        </w:tc>
      </w:tr>
      <w:tr w:rsidR="00CE00EE" w:rsidRPr="00103A0B" w14:paraId="1ED67F4E" w14:textId="77777777" w:rsidTr="00CB187F">
        <w:tc>
          <w:tcPr>
            <w:tcW w:w="4826" w:type="dxa"/>
          </w:tcPr>
          <w:p w14:paraId="1605F5C9" w14:textId="3CBF2098" w:rsidR="00CE00EE" w:rsidRPr="00103A0B" w:rsidRDefault="001500E4"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M</w:t>
            </w:r>
            <w:r w:rsidR="00CE00EE" w:rsidRPr="00103A0B">
              <w:rPr>
                <w:rFonts w:ascii="Arial" w:eastAsia="Times New Roman" w:hAnsi="Arial" w:cs="Arial"/>
                <w:sz w:val="24"/>
                <w:szCs w:val="24"/>
                <w:lang w:eastAsia="en-GB"/>
              </w:rPr>
              <w:t xml:space="preserve">ental </w:t>
            </w:r>
            <w:r w:rsidR="00D96293" w:rsidRPr="00103A0B">
              <w:rPr>
                <w:rFonts w:ascii="Arial" w:eastAsia="Times New Roman" w:hAnsi="Arial" w:cs="Arial"/>
                <w:sz w:val="24"/>
                <w:szCs w:val="24"/>
                <w:lang w:eastAsia="en-GB"/>
              </w:rPr>
              <w:t>W</w:t>
            </w:r>
            <w:r w:rsidR="00CE00EE" w:rsidRPr="00103A0B">
              <w:rPr>
                <w:rFonts w:ascii="Arial" w:eastAsia="Times New Roman" w:hAnsi="Arial" w:cs="Arial"/>
                <w:sz w:val="24"/>
                <w:szCs w:val="24"/>
                <w:lang w:eastAsia="en-GB"/>
              </w:rPr>
              <w:t>ellbeing</w:t>
            </w:r>
          </w:p>
        </w:tc>
        <w:tc>
          <w:tcPr>
            <w:tcW w:w="5523" w:type="dxa"/>
          </w:tcPr>
          <w:p w14:paraId="512BF804" w14:textId="2539D9D4" w:rsidR="00CE00EE" w:rsidRPr="00103A0B" w:rsidRDefault="001500E4" w:rsidP="00CD5919">
            <w:pPr>
              <w:spacing w:line="360" w:lineRule="auto"/>
              <w:jc w:val="both"/>
              <w:rPr>
                <w:rFonts w:ascii="Arial" w:hAnsi="Arial" w:cs="Arial"/>
                <w:sz w:val="24"/>
                <w:szCs w:val="24"/>
              </w:rPr>
            </w:pPr>
            <w:r w:rsidRPr="00103A0B">
              <w:rPr>
                <w:rFonts w:ascii="Arial" w:hAnsi="Arial" w:cs="Arial"/>
                <w:sz w:val="24"/>
                <w:szCs w:val="24"/>
              </w:rPr>
              <w:t>R</w:t>
            </w:r>
            <w:r w:rsidR="00CE00EE" w:rsidRPr="00103A0B">
              <w:rPr>
                <w:rFonts w:ascii="Arial" w:hAnsi="Arial" w:cs="Arial"/>
                <w:sz w:val="24"/>
                <w:szCs w:val="24"/>
              </w:rPr>
              <w:t xml:space="preserve">efers to positive mental health, which includes the subjective experience of happiness and life satisfaction, positive psychological functioning and developing and maintaining good personal and social relationships </w:t>
            </w:r>
            <w:r w:rsidR="00CE00EE"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{"citationItems":[{"id":"ITEM-1","itemData":{"author":[{"dropping-particle":"","family":"Putz, Rebecca; O’Hara, Kate; Taggart, Frances and Stewart-Brown","given":"Sarah","non-dropping-particle":"","parse-names":false,"suffix":""}],"id":"ITEM-1","issued":{"date-parts":[["2012"]]},"number-of-pages":"1-19","title":"Using WEMWBS to measure the impact of your work on mental wellbeing: a practice-based user guide","type":"report"},"uris":["http://www.mendeley.com/documents/?uuid=34403bc7-b3c7-4ce1-b527-14c9b8980cf4"]},{"id":"ITEM-2","itemData":{"abstract":"population. The monitoring of population mental well-being and the evaluation of interventions to promote positive mental health has therefore had to be undertaken using instruments designed primarily to detect mental illness. There are two problems with such an approach. First, mental illness measures tend to have significant ceiling effects in general population samples, meaning that people with only moderately good mental health can achieve the highest possible score. As a result the instrument cannot show improvements in mental health in the healthier portion of the population distribution. Second, participants who are involved in the evaluation of interventions to promote mental health may develop the erroneous impression that the interventions are designed only to help people with mental health problems and in this way the evaluation can affect the impact of interventions. To overcome these problems NHS Health Scotland commissioned the development of the Warwick-Edinburgh Mental Well-being Scale (WEMWBS) as part of the Mental Health Indicators Programme.2 This manual is for those who want to use WEMWBS for monitoring and research purposes as well as for evaluations. Those who require information on what to consider for evaluation are referred to the NHS Health Scotland evaluation guides in the first instance (www.healthscotland.com/mental-health- publications.aspx). Ceiling","author":[{"dropping-particle":"","family":"Stewart-Brown","given":"S","non-dropping-particle":"","parse-names":false,"suffix":""},{"dropping-particle":"","family":"Janmohamed","given":"K","non-dropping-particle":"","parse-names":false,"suffix":""}],"id":"ITEM-2","issued":{"date-parts":[["2008"]]},"number-of-pages":"1-27","title":"Warwick-Edinburgh mental well-being scale user guide","type":"report"},"uris":["http://www.mendeley.com/documents/?uuid=61b420bc-f042-467d-a585-ccae2af3e570"]},{"id":"ITEM-3","itemData":{"DOI":"10.1146/annurev.psych.52.1.141","ISSN":"00664308","PMID":"11148302","abstract":"Well-being is a complex construct that concerns optimal experience and functioning. Current research on well-being has been derived from two general perspectives: the hedonic approach, which focuses on happiness and defines well-being in terms of pleasure attainment and pain avoidance; and the eudaimonic approach, which focuses on meaning and self-realization and defines well-being in terms of the degree to which a person is fully functioning. These two views have given rise to different research foci and a body of knowledge that is in some areas divergent and in others complementary. New methodological developments concerning multilevel modeling and construct comparisons are also allowing researchers to formulate new questions for the field. This review considers research from both perspectives concerning the nature of well-being, its antecedents, and its stability across time and culture.","author":[{"dropping-particle":"","family":"Ryan","given":"Richard M.","non-dropping-particle":"","parse-names":false,"suffix":""},{"dropping-particle":"","family":"Deci","given":"Edward L.","non-dropping-particle":"","parse-names":false,"suffix":""}],"container-title":"Annual Review of Psychology","id":"ITEM-3","issued":{"date-parts":[["2001"]]},"page":"141-166","title":"On happiness and human potentials: a review of research on hedonic and eudaimonic well-being","type":"article-journal","volume":"52"},"uris":["http://www.mendeley.com/documents/?uuid=7ed2eba3-1a88-47cc-8367-b3c791decb46"]}],"mendeley":{"formattedCitation":"(Putz, Rebecca; O’Hara, Kate; Taggart, Frances and Stewart-Brown, 2012; Ryan &amp; Deci, 2001; Stewart-Brown &amp; Janmohamed, 2008)","plainTextFormattedCitation":"(Putz, Rebecca; O’Hara, Kate; Taggart, Frances and Stewart-Brown, 2012; Ryan &amp; Deci, 2001; Stewart-Brown &amp; Janmohamed, 2008)","previouslyFormattedCitation":"(Putz, Rebecca; O’Hara, Kate; Taggart, Frances and Stewart-Brown, 2012; Ryan &amp; Deci, 2001; Stewart-Brown &amp; Janmohamed, 2008)"},"properties":{"noteIndex":0},"schema":"https://github.com/citation-style-language/schema/raw/master/csl-citation.json"}</w:instrText>
            </w:r>
            <w:r w:rsidR="00CE00EE" w:rsidRPr="00103A0B">
              <w:rPr>
                <w:rFonts w:ascii="Arial" w:hAnsi="Arial" w:cs="Arial"/>
                <w:sz w:val="24"/>
                <w:szCs w:val="24"/>
              </w:rPr>
              <w:fldChar w:fldCharType="separate"/>
            </w:r>
            <w:r w:rsidR="00CE00EE" w:rsidRPr="00103A0B">
              <w:rPr>
                <w:rFonts w:ascii="Arial" w:hAnsi="Arial" w:cs="Arial"/>
                <w:noProof/>
                <w:sz w:val="24"/>
                <w:szCs w:val="24"/>
              </w:rPr>
              <w:t>(Putz, Rebecca; O’Hara, Kate; Taggart, Frances and Stewart-Brown, 2012; Ryan &amp; Deci, 2001; Stewart-Brown &amp; Janmohamed, 2008)</w:t>
            </w:r>
            <w:r w:rsidR="00CE00EE" w:rsidRPr="00103A0B">
              <w:rPr>
                <w:rFonts w:ascii="Arial" w:hAnsi="Arial" w:cs="Arial"/>
                <w:sz w:val="24"/>
                <w:szCs w:val="24"/>
              </w:rPr>
              <w:fldChar w:fldCharType="end"/>
            </w:r>
            <w:r w:rsidR="00CE00EE" w:rsidRPr="00103A0B">
              <w:rPr>
                <w:rFonts w:ascii="Arial" w:hAnsi="Arial" w:cs="Arial"/>
                <w:sz w:val="24"/>
                <w:szCs w:val="24"/>
              </w:rPr>
              <w:t>.</w:t>
            </w:r>
            <w:r w:rsidR="009E1AB3" w:rsidRPr="00103A0B">
              <w:rPr>
                <w:rFonts w:ascii="Arial" w:hAnsi="Arial" w:cs="Arial"/>
                <w:sz w:val="24"/>
                <w:szCs w:val="24"/>
              </w:rPr>
              <w:t xml:space="preserve"> </w:t>
            </w:r>
            <w:r w:rsidR="00CE00EE" w:rsidRPr="00103A0B">
              <w:rPr>
                <w:rFonts w:ascii="Arial" w:hAnsi="Arial" w:cs="Arial"/>
                <w:sz w:val="24"/>
                <w:szCs w:val="24"/>
              </w:rPr>
              <w:t xml:space="preserve">It also incorporates maintaining a sense of autonomy, self-acceptance, personal growth and self-esteem </w:t>
            </w:r>
            <w:r w:rsidR="00CE00EE"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{"citationItems":[{"id":"ITEM-1","itemData":{"abstract":"population. The monitoring of population mental well-being and the evaluation of interventions to promote positive mental health has therefore had to be undertaken using instruments designed primarily to detect mental illness. There are two problems with such an approach. First, mental illness measures tend to have significant ceiling effects in general population samples, meaning that people with only moderately good mental health can achieve the highest possible score. As a result the instrument cannot show improvements in mental health in the healthier portion of the population distribution. Second, participants who are involved in the evaluation of interventions to promote mental health may develop the erroneous impression that the interventions are designed only to help people with mental health problems and in this way the evaluation can affect the impact of interventions. To overcome these problems NHS Health Scotland commissioned the development of the Warwick-Edinburgh Mental Well-being Scale (WEMWBS) as part of the Mental Health Indicators Programme.2 This manual is for those who want to use WEMWBS for monitoring and research purposes as well as for evaluations. Those who require information on what to consider for evaluation are referred to the NHS Health Scotland evaluation guides in the first instance (www.healthscotland.com/mental-health- publications.aspx). Ceiling","author":[{"dropping-particle":"","family":"Stewart-Brown","given":"S","non-dropping-particle":"","parse-names":false,"suffix":""},{"dropping-particle":"","family":"Janmohamed","given":"K","non-dropping-particle":"","parse-names":false,"suffix":""}],"id":"ITEM-1","issued":{"date-parts":[["2008"]]},"number-of-pages":"1-27","title":"Warwick-Edinburgh mental well-being scale user guide","type":"report"},"uris":["http://www.mendeley.com/documents/?uuid=61b420bc-f042-467d-a585-ccae2af3e570"]}],"mendeley":{"formattedCitation":"(Stewart-Brown &amp; Janmohamed, 2008)","plainTextFormattedCitation":"(Stewart-Brown &amp; Janmohamed, 2008)","previouslyFormattedCitation":"(Stewart-Brown &amp; Janmohamed, 2008)"},"properties":{"noteIndex":0},"schema":"https://github.com/citation-style-language/schema/raw/master/csl-citation.json"}</w:instrText>
            </w:r>
            <w:r w:rsidR="00CE00EE" w:rsidRPr="00103A0B">
              <w:rPr>
                <w:rFonts w:ascii="Arial" w:hAnsi="Arial" w:cs="Arial"/>
                <w:sz w:val="24"/>
                <w:szCs w:val="24"/>
              </w:rPr>
              <w:fldChar w:fldCharType="separate"/>
            </w:r>
            <w:r w:rsidR="00CE00EE" w:rsidRPr="00103A0B">
              <w:rPr>
                <w:rFonts w:ascii="Arial" w:hAnsi="Arial" w:cs="Arial"/>
                <w:noProof/>
                <w:sz w:val="24"/>
                <w:szCs w:val="24"/>
              </w:rPr>
              <w:t>(Stewart-Brown &amp; Janmohamed, 2008)</w:t>
            </w:r>
            <w:r w:rsidR="00CE00EE" w:rsidRPr="00103A0B">
              <w:rPr>
                <w:rFonts w:ascii="Arial" w:hAnsi="Arial" w:cs="Arial"/>
                <w:sz w:val="24"/>
                <w:szCs w:val="24"/>
              </w:rPr>
              <w:fldChar w:fldCharType="end"/>
            </w:r>
            <w:r w:rsidR="00CE00EE" w:rsidRPr="00103A0B">
              <w:rPr>
                <w:rFonts w:ascii="Arial" w:hAnsi="Arial" w:cs="Arial"/>
                <w:sz w:val="24"/>
                <w:szCs w:val="24"/>
              </w:rPr>
              <w:t xml:space="preserve">. </w:t>
            </w:r>
          </w:p>
        </w:tc>
      </w:tr>
      <w:tr w:rsidR="00CE00EE" w:rsidRPr="00103A0B" w14:paraId="504F6B9F" w14:textId="77777777" w:rsidTr="00CB187F">
        <w:tc>
          <w:tcPr>
            <w:tcW w:w="4826" w:type="dxa"/>
          </w:tcPr>
          <w:p w14:paraId="25DEA29D" w14:textId="6F8AD79E"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Modifiable </w:t>
            </w:r>
            <w:r w:rsidR="00D96293" w:rsidRPr="00103A0B">
              <w:rPr>
                <w:rFonts w:ascii="Arial" w:eastAsia="Times New Roman" w:hAnsi="Arial" w:cs="Arial"/>
                <w:sz w:val="24"/>
                <w:szCs w:val="24"/>
                <w:lang w:eastAsia="en-GB"/>
              </w:rPr>
              <w:t>F</w:t>
            </w:r>
            <w:r w:rsidRPr="00103A0B">
              <w:rPr>
                <w:rFonts w:ascii="Arial" w:eastAsia="Times New Roman" w:hAnsi="Arial" w:cs="Arial"/>
                <w:sz w:val="24"/>
                <w:szCs w:val="24"/>
                <w:lang w:eastAsia="en-GB"/>
              </w:rPr>
              <w:t>actors</w:t>
            </w:r>
          </w:p>
        </w:tc>
        <w:tc>
          <w:tcPr>
            <w:tcW w:w="5523" w:type="dxa"/>
          </w:tcPr>
          <w:p w14:paraId="0E9F8F86" w14:textId="77777777"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The</w:t>
            </w:r>
            <w:r w:rsidR="00844BA1" w:rsidRPr="00103A0B">
              <w:rPr>
                <w:rFonts w:ascii="Arial" w:eastAsia="Times New Roman" w:hAnsi="Arial" w:cs="Arial"/>
                <w:sz w:val="24"/>
                <w:szCs w:val="24"/>
                <w:lang w:eastAsia="en-GB"/>
              </w:rPr>
              <w:t>se are influences that</w:t>
            </w:r>
            <w:r w:rsidRPr="00103A0B">
              <w:rPr>
                <w:rFonts w:ascii="Arial" w:eastAsia="Times New Roman" w:hAnsi="Arial" w:cs="Arial"/>
                <w:sz w:val="24"/>
                <w:szCs w:val="24"/>
                <w:lang w:eastAsia="en-GB"/>
              </w:rPr>
              <w:t xml:space="preserve"> can be changed or improved  </w:t>
            </w:r>
            <w:r w:rsidRPr="00103A0B">
              <w:rPr>
                <w:rFonts w:ascii="Arial" w:eastAsia="Times New Roman" w:hAnsi="Arial" w:cs="Arial"/>
                <w:sz w:val="24"/>
                <w:szCs w:val="24"/>
                <w:lang w:eastAsia="en-GB"/>
              </w:rPr>
              <w:fldChar w:fldCharType="begin" w:fldLock="1"/>
            </w:r>
            <w:r w:rsidR="00833C44" w:rsidRPr="00103A0B">
              <w:rPr>
                <w:rFonts w:ascii="Arial" w:eastAsia="Times New Roman" w:hAnsi="Arial" w:cs="Arial"/>
                <w:sz w:val="24"/>
                <w:szCs w:val="24"/>
                <w:lang w:eastAsia="en-GB"/>
              </w:rPr>
              <w:instrText>ADDIN CSL_CITATION {"citationItems":[{"id":"ITEM-1","itemData":{"DOI":"10.1016/j.dsx.2020.06.069","ISSN":"18780334","PMID":"32688241","abstract":"Background: Prediabetes is a risk state for the future development of type 2 diabetes. Previously, it was evident that the risk factors for diabetes differ by gender. However, conclusive evidence regarding the gender difference in modifiable risk factors associated with the presence of pre-diabetes is still lacking. Aims: To systematically identify and summarize the available literature on whether the modifiable risk factors associated with prediabetes displays similar relationship in both the genders. Methods: A systematic search was performed on electronic databases i.e. PubMed, EBSCOhost, and Scopus using “sex”, “gender”, “modifiable risk factors” and “prediabetes” as keywords. Reference list from identified studies was used to augment the search strategy. Methodological quality and results from individual studies were summarized in tables. Results: Gender differences in the risk factor association were observed among reviewed studies. Overall, reported association between risk factors and prediabetes apparently stronger among men. In particular, abdominal obesity, dyslipidemia, smoking and alcohol drinking habits were risk factors that showed prominent association among men. Hypertension and poor diet quality may appear to be stronger among women. General obesity showed stringent hold, while physical activity not significantly associated with the risk of prediabetes in both the genders. Conclusions: Evidence suggests the existence of gender differences in risk factors associated with prediabetes, demands future researchers to analyze data separately based on gender. The consideration and the implementation of gender differences in health policies and in diabetes prevention programs may improve the quality of care and reduce number of diabetes prevalence among prediabetic subjects.","author":[{"dropping-particle":"","family":"Siddiqui","given":"Sania","non-dropping-particle":"","parse-names":false,"suffix":""},{"dropping-particle":"","family":"Zainal","given":"Hadzliana","non-dropping-particle":"","parse-names":false,"suffix":""},{"dropping-particle":"","family":"Harun","given":"Sabariah Noor","non-dropping-particle":"","parse-names":false,"suffix":""},{"dropping-particle":"","family":"Sheikh Ghadzi","given":"Siti Maisharah","non-dropping-particle":"","parse-names":false,"suffix":""},{"dropping-particle":"","family":"Ghafoor","given":"Saadia","non-dropping-particle":"","parse-names":false,"suffix":""}],"container-title":"Diabetes and Metabolic Syndrome: Clinical Research and Reviews","id":"ITEM-1","issue":"5","issued":{"date-parts":[["2020"]]},"page":"1243-1252","publisher":"Elsevier Ltd","title":"Gender differences in the modifiable risk factors associated with the presence of prediabetes: a systematic review","type":"article-journal","volume":"14"},"uris":["http://www.mendeley.com/documents/?uuid=ef5560c8-04b0-4090-949e-86562bcdbf9c"]},{"id":"ITEM-2","itemData":{"URL":"https://www.heart.org/en/health-topics/diabetes/understand-your-risk-for-diabetes/prediabetes-modifiable-risk-factors","accessed":{"date-parts":[["2020","11","1"]]},"author":[{"dropping-particle":"","family":"American Heart Association","given":"","non-dropping-particle":"","parse-names":false,"suffix":""}],"id":"ITEM-2","issued":{"date-parts":[["2015"]]},"title":"Prediabetes modifiable risk factors","type":"webpage"},"uris":["http://www.mendeley.com/documents/?uuid=0ca16c4c-7999-4044-a1e1-71e97cc7ca8b"]}],"mendeley":{"formattedCitation":"(American Heart Association, 2015; Siddiqui et al., 2020)","plainTextFormattedCitation":"(American Heart Association, 2015; Siddiqui et al., 2020)","previouslyFormattedCitation":"(American Heart Association, 2015; Siddiqui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445FC8" w:rsidRPr="00103A0B">
              <w:rPr>
                <w:rFonts w:ascii="Arial" w:eastAsia="Times New Roman" w:hAnsi="Arial" w:cs="Arial"/>
                <w:noProof/>
                <w:sz w:val="24"/>
                <w:szCs w:val="24"/>
                <w:lang w:eastAsia="en-GB"/>
              </w:rPr>
              <w:t>(American Heart Association, 2015; Siddiqui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p>
          <w:p w14:paraId="4BAB4908" w14:textId="77777777" w:rsidR="009E1AB3" w:rsidRPr="00103A0B" w:rsidRDefault="009E1AB3" w:rsidP="00CD5919">
            <w:pPr>
              <w:spacing w:line="360" w:lineRule="auto"/>
              <w:jc w:val="both"/>
              <w:rPr>
                <w:rFonts w:ascii="Arial" w:eastAsia="Times New Roman" w:hAnsi="Arial" w:cs="Arial"/>
                <w:sz w:val="24"/>
                <w:szCs w:val="24"/>
                <w:lang w:eastAsia="en-GB"/>
              </w:rPr>
            </w:pPr>
          </w:p>
          <w:p w14:paraId="69111B41" w14:textId="1A51B577" w:rsidR="009E1AB3" w:rsidRPr="00103A0B" w:rsidRDefault="009E1AB3" w:rsidP="00CD5919">
            <w:pPr>
              <w:spacing w:line="360" w:lineRule="auto"/>
              <w:jc w:val="both"/>
              <w:rPr>
                <w:rFonts w:ascii="Arial" w:hAnsi="Arial" w:cs="Arial"/>
                <w:sz w:val="24"/>
                <w:szCs w:val="24"/>
              </w:rPr>
            </w:pPr>
          </w:p>
        </w:tc>
      </w:tr>
      <w:tr w:rsidR="00CE00EE" w:rsidRPr="00103A0B" w14:paraId="34F279DC" w14:textId="77777777" w:rsidTr="00CB187F">
        <w:tc>
          <w:tcPr>
            <w:tcW w:w="4826" w:type="dxa"/>
          </w:tcPr>
          <w:p w14:paraId="11E098E4" w14:textId="6B431780"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lastRenderedPageBreak/>
              <w:t>Non-</w:t>
            </w:r>
            <w:r w:rsidR="00D96293" w:rsidRPr="00103A0B">
              <w:rPr>
                <w:rFonts w:ascii="Arial" w:eastAsia="Times New Roman" w:hAnsi="Arial" w:cs="Arial"/>
                <w:sz w:val="24"/>
                <w:szCs w:val="24"/>
                <w:lang w:eastAsia="en-GB"/>
              </w:rPr>
              <w:t>M</w:t>
            </w:r>
            <w:r w:rsidRPr="00103A0B">
              <w:rPr>
                <w:rFonts w:ascii="Arial" w:eastAsia="Times New Roman" w:hAnsi="Arial" w:cs="Arial"/>
                <w:sz w:val="24"/>
                <w:szCs w:val="24"/>
                <w:lang w:eastAsia="en-GB"/>
              </w:rPr>
              <w:t xml:space="preserve">odifiable </w:t>
            </w:r>
            <w:r w:rsidR="00D96293" w:rsidRPr="00103A0B">
              <w:rPr>
                <w:rFonts w:ascii="Arial" w:eastAsia="Times New Roman" w:hAnsi="Arial" w:cs="Arial"/>
                <w:sz w:val="24"/>
                <w:szCs w:val="24"/>
                <w:lang w:eastAsia="en-GB"/>
              </w:rPr>
              <w:t>F</w:t>
            </w:r>
            <w:r w:rsidRPr="00103A0B">
              <w:rPr>
                <w:rFonts w:ascii="Arial" w:eastAsia="Times New Roman" w:hAnsi="Arial" w:cs="Arial"/>
                <w:sz w:val="24"/>
                <w:szCs w:val="24"/>
                <w:lang w:eastAsia="en-GB"/>
              </w:rPr>
              <w:t>actors</w:t>
            </w:r>
          </w:p>
        </w:tc>
        <w:tc>
          <w:tcPr>
            <w:tcW w:w="5523" w:type="dxa"/>
          </w:tcPr>
          <w:p w14:paraId="70562C68" w14:textId="051D9798" w:rsidR="00844BA1"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The</w:t>
            </w:r>
            <w:r w:rsidR="00844BA1" w:rsidRPr="00103A0B">
              <w:rPr>
                <w:rFonts w:ascii="Arial" w:eastAsia="Times New Roman" w:hAnsi="Arial" w:cs="Arial"/>
                <w:sz w:val="24"/>
                <w:szCs w:val="24"/>
                <w:lang w:eastAsia="en-GB"/>
              </w:rPr>
              <w:t>se are influences that</w:t>
            </w:r>
            <w:r w:rsidRPr="00103A0B">
              <w:rPr>
                <w:rFonts w:ascii="Arial" w:eastAsia="Times New Roman" w:hAnsi="Arial" w:cs="Arial"/>
                <w:sz w:val="24"/>
                <w:szCs w:val="24"/>
                <w:lang w:eastAsia="en-GB"/>
              </w:rPr>
              <w:t xml:space="preserve"> cannot be changed or improved  </w:t>
            </w:r>
            <w:r w:rsidRPr="00103A0B">
              <w:rPr>
                <w:rFonts w:ascii="Arial" w:eastAsia="Times New Roman" w:hAnsi="Arial" w:cs="Arial"/>
                <w:sz w:val="24"/>
                <w:szCs w:val="24"/>
                <w:lang w:eastAsia="en-GB"/>
              </w:rPr>
              <w:fldChar w:fldCharType="begin" w:fldLock="1"/>
            </w:r>
            <w:r w:rsidR="00833C44" w:rsidRPr="00103A0B">
              <w:rPr>
                <w:rFonts w:ascii="Arial" w:eastAsia="Times New Roman" w:hAnsi="Arial" w:cs="Arial"/>
                <w:sz w:val="24"/>
                <w:szCs w:val="24"/>
                <w:lang w:eastAsia="en-GB"/>
              </w:rPr>
              <w:instrText>ADDIN CSL_CITATION {"citationItems":[{"id":"ITEM-1","itemData":{"DOI":"10.1016/j.dsx.2020.06.069","ISSN":"18780334","PMID":"32688241","abstract":"Background: Prediabetes is a risk state for the future development of type 2 diabetes. Previously, it was evident that the risk factors for diabetes differ by gender. However, conclusive evidence regarding the gender difference in modifiable risk factors associated with the presence of pre-diabetes is still lacking. Aims: To systematically identify and summarize the available literature on whether the modifiable risk factors associated with prediabetes displays similar relationship in both the genders. Methods: A systematic search was performed on electronic databases i.e. PubMed, EBSCOhost, and Scopus using “sex”, “gender”, “modifiable risk factors” and “prediabetes” as keywords. Reference list from identified studies was used to augment the search strategy. Methodological quality and results from individual studies were summarized in tables. Results: Gender differences in the risk factor association were observed among reviewed studies. Overall, reported association between risk factors and prediabetes apparently stronger among men. In particular, abdominal obesity, dyslipidemia, smoking and alcohol drinking habits were risk factors that showed prominent association among men. Hypertension and poor diet quality may appear to be stronger among women. General obesity showed stringent hold, while physical activity not significantly associated with the risk of prediabetes in both the genders. Conclusions: Evidence suggests the existence of gender differences in risk factors associated with prediabetes, demands future researchers to analyze data separately based on gender. The consideration and the implementation of gender differences in health policies and in diabetes prevention programs may improve the quality of care and reduce number of diabetes prevalence among prediabetic subjects.","author":[{"dropping-particle":"","family":"Siddiqui","given":"Sania","non-dropping-particle":"","parse-names":false,"suffix":""},{"dropping-particle":"","family":"Zainal","given":"Hadzliana","non-dropping-particle":"","parse-names":false,"suffix":""},{"dropping-particle":"","family":"Harun","given":"Sabariah Noor","non-dropping-particle":"","parse-names":false,"suffix":""},{"dropping-particle":"","family":"Sheikh Ghadzi","given":"Siti Maisharah","non-dropping-particle":"","parse-names":false,"suffix":""},{"dropping-particle":"","family":"Ghafoor","given":"Saadia","non-dropping-particle":"","parse-names":false,"suffix":""}],"container-title":"Diabetes and Metabolic Syndrome: Clinical Research and Reviews","id":"ITEM-1","issue":"5","issued":{"date-parts":[["2020"]]},"page":"1243-1252","publisher":"Elsevier Ltd","title":"Gender differences in the modifiable risk factors associated with the presence of prediabetes: a systematic review","type":"article-journal","volume":"14"},"uris":["http://www.mendeley.com/documents/?uuid=ef5560c8-04b0-4090-949e-86562bcdbf9c"]},{"id":"ITEM-2","itemData":{"URL":"https://www.heart.org/en/health-topics/diabetes/understand-your-risk-for-diabetes/prediabetes-modifiable-risk-factors","accessed":{"date-parts":[["2020","11","1"]]},"author":[{"dropping-particle":"","family":"American Heart Association","given":"","non-dropping-particle":"","parse-names":false,"suffix":""}],"id":"ITEM-2","issued":{"date-parts":[["2015"]]},"title":"Prediabetes modifiable risk factors","type":"webpage"},"uris":["http://www.mendeley.com/documents/?uuid=0ca16c4c-7999-4044-a1e1-71e97cc7ca8b"]}],"mendeley":{"formattedCitation":"(American Heart Association, 2015; Siddiqui et al., 2020)","plainTextFormattedCitation":"(American Heart Association, 2015; Siddiqui et al., 2020)","previouslyFormattedCitation":"(American Heart Association, 2015; Siddiqui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445FC8" w:rsidRPr="00103A0B">
              <w:rPr>
                <w:rFonts w:ascii="Arial" w:eastAsia="Times New Roman" w:hAnsi="Arial" w:cs="Arial"/>
                <w:noProof/>
                <w:sz w:val="24"/>
                <w:szCs w:val="24"/>
                <w:lang w:eastAsia="en-GB"/>
              </w:rPr>
              <w:t>(American Heart Association, 2015; Siddiqui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p>
        </w:tc>
      </w:tr>
      <w:tr w:rsidR="00CE00EE" w:rsidRPr="00103A0B" w14:paraId="4BF47E1F" w14:textId="77777777" w:rsidTr="00CB187F">
        <w:tc>
          <w:tcPr>
            <w:tcW w:w="4826" w:type="dxa"/>
          </w:tcPr>
          <w:p w14:paraId="5539ABF0" w14:textId="238B84A1"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Initial </w:t>
            </w:r>
            <w:r w:rsidR="00D96293" w:rsidRPr="00103A0B">
              <w:rPr>
                <w:rFonts w:ascii="Arial" w:eastAsia="Times New Roman" w:hAnsi="Arial" w:cs="Arial"/>
                <w:sz w:val="24"/>
                <w:szCs w:val="24"/>
                <w:lang w:eastAsia="en-GB"/>
              </w:rPr>
              <w:t>A</w:t>
            </w:r>
            <w:r w:rsidRPr="00103A0B">
              <w:rPr>
                <w:rFonts w:ascii="Arial" w:eastAsia="Times New Roman" w:hAnsi="Arial" w:cs="Arial"/>
                <w:sz w:val="24"/>
                <w:szCs w:val="24"/>
                <w:lang w:eastAsia="en-GB"/>
              </w:rPr>
              <w:t xml:space="preserve">ssessment </w:t>
            </w:r>
          </w:p>
        </w:tc>
        <w:tc>
          <w:tcPr>
            <w:tcW w:w="5523" w:type="dxa"/>
          </w:tcPr>
          <w:p w14:paraId="2085E6D0" w14:textId="77FC64C2" w:rsidR="00CE00EE" w:rsidRPr="00103A0B" w:rsidRDefault="001500E4" w:rsidP="00CD5919">
            <w:pPr>
              <w:spacing w:line="360" w:lineRule="auto"/>
              <w:jc w:val="both"/>
              <w:rPr>
                <w:rFonts w:ascii="Arial" w:hAnsi="Arial" w:cs="Arial"/>
                <w:sz w:val="24"/>
                <w:szCs w:val="24"/>
              </w:rPr>
            </w:pPr>
            <w:r w:rsidRPr="00103A0B">
              <w:rPr>
                <w:rFonts w:ascii="Arial" w:hAnsi="Arial" w:cs="Arial"/>
                <w:color w:val="000000" w:themeColor="text1"/>
                <w:sz w:val="24"/>
                <w:szCs w:val="24"/>
              </w:rPr>
              <w:t>Brief appointment</w:t>
            </w:r>
            <w:r w:rsidR="00844BA1" w:rsidRPr="00103A0B">
              <w:rPr>
                <w:rFonts w:ascii="Arial" w:hAnsi="Arial" w:cs="Arial"/>
                <w:color w:val="000000" w:themeColor="text1"/>
                <w:sz w:val="24"/>
                <w:szCs w:val="24"/>
              </w:rPr>
              <w:t xml:space="preserve"> that </w:t>
            </w:r>
            <w:r w:rsidRPr="00103A0B">
              <w:rPr>
                <w:rFonts w:ascii="Arial" w:hAnsi="Arial" w:cs="Arial"/>
                <w:color w:val="000000" w:themeColor="text1"/>
                <w:sz w:val="24"/>
                <w:szCs w:val="24"/>
              </w:rPr>
              <w:t xml:space="preserve">participants are required to attend </w:t>
            </w:r>
            <w:r w:rsidR="00CE00EE" w:rsidRPr="00103A0B">
              <w:rPr>
                <w:rFonts w:ascii="Arial" w:hAnsi="Arial" w:cs="Arial"/>
                <w:color w:val="000000" w:themeColor="text1"/>
                <w:sz w:val="24"/>
                <w:szCs w:val="24"/>
              </w:rPr>
              <w:t>before programme commencement (i.e., before starting the first session of the NHSDPP)</w:t>
            </w:r>
            <w:r w:rsidRPr="00103A0B">
              <w:rPr>
                <w:rFonts w:ascii="Arial" w:hAnsi="Arial" w:cs="Arial"/>
                <w:color w:val="000000" w:themeColor="text1"/>
                <w:sz w:val="24"/>
                <w:szCs w:val="24"/>
              </w:rPr>
              <w:t>.</w:t>
            </w:r>
          </w:p>
        </w:tc>
      </w:tr>
      <w:tr w:rsidR="00CE00EE" w:rsidRPr="00103A0B" w14:paraId="0E589B1B" w14:textId="77777777" w:rsidTr="00CB187F">
        <w:tc>
          <w:tcPr>
            <w:tcW w:w="4826" w:type="dxa"/>
          </w:tcPr>
          <w:p w14:paraId="7D974CD1" w14:textId="5447BBE0"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Secondary </w:t>
            </w:r>
            <w:r w:rsidR="00D96293" w:rsidRPr="00103A0B">
              <w:rPr>
                <w:rFonts w:ascii="Arial" w:eastAsia="Times New Roman" w:hAnsi="Arial" w:cs="Arial"/>
                <w:sz w:val="24"/>
                <w:szCs w:val="24"/>
                <w:lang w:eastAsia="en-GB"/>
              </w:rPr>
              <w:t>D</w:t>
            </w:r>
            <w:r w:rsidRPr="00103A0B">
              <w:rPr>
                <w:rFonts w:ascii="Arial" w:eastAsia="Times New Roman" w:hAnsi="Arial" w:cs="Arial"/>
                <w:sz w:val="24"/>
                <w:szCs w:val="24"/>
                <w:lang w:eastAsia="en-GB"/>
              </w:rPr>
              <w:t>ata</w:t>
            </w:r>
          </w:p>
        </w:tc>
        <w:tc>
          <w:tcPr>
            <w:tcW w:w="5523" w:type="dxa"/>
          </w:tcPr>
          <w:p w14:paraId="306ADACC" w14:textId="1D976D53" w:rsidR="00CE00EE" w:rsidRPr="00103A0B" w:rsidRDefault="001500E4" w:rsidP="00CD5919">
            <w:pPr>
              <w:spacing w:line="360" w:lineRule="auto"/>
              <w:jc w:val="both"/>
              <w:rPr>
                <w:rFonts w:ascii="Arial" w:hAnsi="Arial" w:cs="Arial"/>
                <w:sz w:val="24"/>
                <w:szCs w:val="24"/>
              </w:rPr>
            </w:pPr>
            <w:r w:rsidRPr="00103A0B">
              <w:rPr>
                <w:rFonts w:ascii="Arial" w:hAnsi="Arial" w:cs="Arial"/>
                <w:sz w:val="24"/>
                <w:szCs w:val="24"/>
              </w:rPr>
              <w:t>S</w:t>
            </w:r>
            <w:r w:rsidR="00CE00EE" w:rsidRPr="00103A0B">
              <w:rPr>
                <w:rFonts w:ascii="Arial" w:hAnsi="Arial" w:cs="Arial"/>
                <w:sz w:val="24"/>
                <w:szCs w:val="24"/>
              </w:rPr>
              <w:t xml:space="preserve">ources of data that already exist which can be used for research purposes </w:t>
            </w:r>
            <w:r w:rsidR="00CE00EE" w:rsidRPr="00103A0B">
              <w:rPr>
                <w:rFonts w:ascii="Arial" w:hAnsi="Arial" w:cs="Arial"/>
                <w:sz w:val="24"/>
                <w:szCs w:val="24"/>
              </w:rPr>
              <w:fldChar w:fldCharType="begin" w:fldLock="1"/>
            </w:r>
            <w:r w:rsidR="00F47617" w:rsidRPr="00103A0B">
              <w:rPr>
                <w:rFonts w:ascii="Arial" w:hAnsi="Arial" w:cs="Arial"/>
                <w:sz w:val="24"/>
                <w:szCs w:val="24"/>
              </w:rPr>
              <w:instrText>ADDIN CSL_CITATION {"citationItems":[{"id":"ITEM-1","itemData":{"author":[{"dropping-particle":"","family":"Bowling","given":"A.","non-dropping-particle":"","parse-names":false,"suffix":""}],"edition":"4th","id":"ITEM-1","issued":{"date-parts":[["2014"]]},"number-of-pages":"1-448","publisher":"Open University Press","publisher-place":"Maidenhead","title":"Research methods in health: investigating health and health services","type":"book"},"uris":["http://www.mendeley.com/documents/?uuid=09c8f41f-4f19-49a8-9dd9-1523b54c910d"]}],"mendeley":{"formattedCitation":"(Bowling, 2014)","plainTextFormattedCitation":"(Bowling, 2014)","previouslyFormattedCitation":"(Bowling, 2014)"},"properties":{"noteIndex":0},"schema":"https://github.com/citation-style-language/schema/raw/master/csl-citation.json"}</w:instrText>
            </w:r>
            <w:r w:rsidR="00CE00EE" w:rsidRPr="00103A0B">
              <w:rPr>
                <w:rFonts w:ascii="Arial" w:hAnsi="Arial" w:cs="Arial"/>
                <w:sz w:val="24"/>
                <w:szCs w:val="24"/>
              </w:rPr>
              <w:fldChar w:fldCharType="separate"/>
            </w:r>
            <w:r w:rsidR="00CE00EE" w:rsidRPr="00103A0B">
              <w:rPr>
                <w:rFonts w:ascii="Arial" w:hAnsi="Arial" w:cs="Arial"/>
                <w:noProof/>
                <w:sz w:val="24"/>
                <w:szCs w:val="24"/>
              </w:rPr>
              <w:t>(Bowling, 2014)</w:t>
            </w:r>
            <w:r w:rsidR="00CE00EE" w:rsidRPr="00103A0B">
              <w:rPr>
                <w:rFonts w:ascii="Arial" w:hAnsi="Arial" w:cs="Arial"/>
                <w:sz w:val="24"/>
                <w:szCs w:val="24"/>
              </w:rPr>
              <w:fldChar w:fldCharType="end"/>
            </w:r>
            <w:r w:rsidR="00CE00EE" w:rsidRPr="00103A0B">
              <w:rPr>
                <w:rFonts w:ascii="Arial" w:hAnsi="Arial" w:cs="Arial"/>
                <w:sz w:val="24"/>
                <w:szCs w:val="24"/>
              </w:rPr>
              <w:t>.</w:t>
            </w:r>
          </w:p>
        </w:tc>
      </w:tr>
      <w:tr w:rsidR="00CE00EE" w:rsidRPr="00103A0B" w14:paraId="6F4341B7" w14:textId="77777777" w:rsidTr="007E7233">
        <w:trPr>
          <w:trHeight w:val="1239"/>
        </w:trPr>
        <w:tc>
          <w:tcPr>
            <w:tcW w:w="4826" w:type="dxa"/>
          </w:tcPr>
          <w:p w14:paraId="784309DC" w14:textId="33BDB519" w:rsidR="00CE00EE" w:rsidRPr="00103A0B" w:rsidRDefault="00CE00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 xml:space="preserve">Index of Multiple Deprivation </w:t>
            </w:r>
          </w:p>
        </w:tc>
        <w:tc>
          <w:tcPr>
            <w:tcW w:w="5523" w:type="dxa"/>
          </w:tcPr>
          <w:p w14:paraId="3EDE3FD2" w14:textId="4BA5D366" w:rsidR="00CE00EE" w:rsidRPr="00103A0B" w:rsidRDefault="00CE00EE" w:rsidP="00CD5919">
            <w:pPr>
              <w:spacing w:line="360" w:lineRule="auto"/>
              <w:jc w:val="both"/>
              <w:rPr>
                <w:rFonts w:ascii="Arial" w:hAnsi="Arial" w:cs="Arial"/>
                <w:sz w:val="24"/>
                <w:szCs w:val="24"/>
              </w:rPr>
            </w:pPr>
            <w:r w:rsidRPr="00103A0B">
              <w:rPr>
                <w:rFonts w:ascii="Arial" w:hAnsi="Arial" w:cs="Arial"/>
                <w:sz w:val="24"/>
                <w:szCs w:val="24"/>
              </w:rPr>
              <w:t xml:space="preserve">An overall measure of relative deprivation of small areas or neighbourhoods known as Lower-layer Super Output Areas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{"citationItems":[{"id":"ITEM-1","itemData":{"DOI":"https://assets.publishing.service.gov.uk/government/uploads/system/uploads/attachment_data/file/465791/English_Indices_of_Deprivation_2015_-_Statistical_Release.pdf","author":[{"dropping-particle":"","family":"Department for Communities and Local Government.","given":"","non-dropping-particle":"","parse-names":false,"suffix":""}],"id":"ITEM-1","issued":{"date-parts":[["2015"]]},"number-of-pages":"1-38","title":"The English indices of deprivation 2015","type":"report"},"uris":["http://www.mendeley.com/documents/?uuid=44ae75a6-d880-4a6b-92cb-583fdbbf3abe"]}],"mendeley":{"formattedCitation":"(Department for Communities and Local Government., 2015)","plainTextFormattedCitation":"(Department for Communities and Local Government., 2015)","previouslyFormattedCitation":"(Department for Communities and Local Government.,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(Department for Communities and Local Government., 2015)</w:t>
            </w:r>
            <w:r w:rsidRPr="00103A0B">
              <w:rPr>
                <w:rFonts w:ascii="Arial" w:hAnsi="Arial" w:cs="Arial"/>
                <w:sz w:val="24"/>
                <w:szCs w:val="24"/>
              </w:rPr>
              <w:fldChar w:fldCharType="end"/>
            </w:r>
            <w:r w:rsidRPr="00103A0B">
              <w:rPr>
                <w:rFonts w:ascii="Arial" w:hAnsi="Arial" w:cs="Arial"/>
                <w:sz w:val="24"/>
                <w:szCs w:val="24"/>
              </w:rPr>
              <w:t>.</w:t>
            </w:r>
            <w:r w:rsidR="00597BD1" w:rsidRPr="00103A0B">
              <w:rPr>
                <w:rFonts w:ascii="Arial" w:hAnsi="Arial" w:cs="Arial"/>
                <w:sz w:val="24"/>
                <w:szCs w:val="24"/>
              </w:rPr>
              <w:t xml:space="preserve"> This measure is based on 37 different indicators running across seven separate domains related to income, employment, education, health, crime, housing, and the living environment </w:t>
            </w:r>
            <w:r w:rsidR="00597BD1"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{"citationItems":[{"id":"ITEM-1","itemData":{"DOI":"https://assets.publishing.service.gov.uk/government/uploads/system/uploads/attachment_data/file/465791/English_Indices_of_Deprivation_2015_-_Statistical_Release.pdf","author":[{"dropping-particle":"","family":"Department for Communities and Local Government.","given":"","non-dropping-particle":"","parse-names":false,"suffix":""}],"id":"ITEM-1","issued":{"date-parts":[["2015"]]},"number-of-pages":"1-38","title":"The English indices of deprivation 2015","type":"report"},"uris":["http://www.mendeley.com/documents/?uuid=44ae75a6-d880-4a6b-92cb-583fdbbf3abe"]},{"id":"ITEM-2","itemData":{"author":[{"dropping-particle":"","family":"New Policy Institute","given":"","non-dropping-particle":"","parse-names":false,"suffix":""}],"id":"ITEM-2","issued":{"date-parts":[["2016"]]},"number-of-pages":"1-41","title":"Demography and deprivation in Southwark and Tower Hamlets","type":"report"},"uris":["http://www.mendeley.com/documents/?uuid=99d93356-8ea6-45e8-b861-56b0f78d2dc2"]}],"mendeley":{"formattedCitation":"(Department for Communities and Local Government., 2015; New Policy Institute, 2016)","plainTextFormattedCitation":"(Department for Communities and Local Government., 2015; New Policy Institute, 2016)","previouslyFormattedCitation":"(Department for Communities and Local Government., 2015; New Policy Institute, 2016)"},"properties":{"noteIndex":0},"schema":"https://github.com/citation-style-language/schema/raw/master/csl-citation.json"}</w:instrText>
            </w:r>
            <w:r w:rsidR="00597BD1" w:rsidRPr="00103A0B">
              <w:rPr>
                <w:rFonts w:ascii="Arial" w:hAnsi="Arial" w:cs="Arial"/>
                <w:sz w:val="24"/>
                <w:szCs w:val="24"/>
              </w:rPr>
              <w:fldChar w:fldCharType="separate"/>
            </w:r>
            <w:r w:rsidR="00597BD1" w:rsidRPr="00103A0B">
              <w:rPr>
                <w:rFonts w:ascii="Arial" w:hAnsi="Arial" w:cs="Arial"/>
                <w:noProof/>
                <w:sz w:val="24"/>
                <w:szCs w:val="24"/>
              </w:rPr>
              <w:t>(Department for Communities and Local Government., 2015; New Policy Institute, 2016)</w:t>
            </w:r>
            <w:r w:rsidR="00597BD1" w:rsidRPr="00103A0B">
              <w:rPr>
                <w:rFonts w:ascii="Arial" w:hAnsi="Arial" w:cs="Arial"/>
                <w:sz w:val="24"/>
                <w:szCs w:val="24"/>
              </w:rPr>
              <w:fldChar w:fldCharType="end"/>
            </w:r>
            <w:r w:rsidR="00597BD1" w:rsidRPr="00103A0B">
              <w:rPr>
                <w:rFonts w:ascii="Arial" w:hAnsi="Arial" w:cs="Arial"/>
                <w:sz w:val="24"/>
                <w:szCs w:val="24"/>
              </w:rPr>
              <w:t xml:space="preserve">.  </w:t>
            </w:r>
            <w:r w:rsidRPr="00103A0B">
              <w:rPr>
                <w:rFonts w:ascii="Arial" w:hAnsi="Arial" w:cs="Arial"/>
                <w:sz w:val="24"/>
                <w:szCs w:val="24"/>
              </w:rPr>
              <w:t xml:space="preserve">  </w:t>
            </w:r>
          </w:p>
        </w:tc>
      </w:tr>
    </w:tbl>
    <w:p w14:paraId="0CBAF727" w14:textId="77777777" w:rsidR="007E7233" w:rsidRPr="00103A0B" w:rsidRDefault="007E7233" w:rsidP="00CD5919">
      <w:pPr>
        <w:jc w:val="both"/>
        <w:rPr>
          <w:lang w:bidi="en-US"/>
        </w:rPr>
        <w:sectPr w:rsidR="007E7233" w:rsidRPr="00103A0B" w:rsidSect="007E7233">
          <w:pgSz w:w="11906" w:h="16838"/>
          <w:pgMar w:top="1440" w:right="1440" w:bottom="1440" w:left="1440" w:header="709" w:footer="709" w:gutter="0"/>
          <w:pgNumType w:fmt="lowerRoman" w:start="1"/>
          <w:cols w:space="708"/>
          <w:titlePg/>
          <w:docGrid w:linePitch="360"/>
        </w:sectPr>
      </w:pPr>
    </w:p>
    <w:p w14:paraId="034855C3" w14:textId="77777777" w:rsidR="004D3D5E" w:rsidRPr="00103A0B" w:rsidRDefault="004D3D5E" w:rsidP="00CD5919">
      <w:pPr>
        <w:jc w:val="both"/>
        <w:rPr>
          <w:lang w:bidi="en-US"/>
        </w:rPr>
      </w:pPr>
    </w:p>
    <w:p w14:paraId="4F43F91B" w14:textId="0179DC7B" w:rsidR="002D3F5D" w:rsidRPr="00103A0B" w:rsidRDefault="002D3F5D" w:rsidP="009E1AB3">
      <w:pPr>
        <w:pStyle w:val="Heading1"/>
        <w:keepLines/>
        <w:numPr>
          <w:ilvl w:val="0"/>
          <w:numId w:val="0"/>
        </w:numPr>
        <w:rPr>
          <w:rFonts w:ascii="Arial" w:hAnsi="Arial" w:cs="Arial"/>
        </w:rPr>
      </w:pPr>
      <w:bookmarkStart w:id="51" w:name="_Toc151548291"/>
      <w:r w:rsidRPr="00103A0B">
        <w:rPr>
          <w:rFonts w:ascii="Arial" w:hAnsi="Arial" w:cs="Arial"/>
        </w:rPr>
        <w:t xml:space="preserve">Chapter 1: Literature </w:t>
      </w:r>
      <w:r w:rsidR="00714650" w:rsidRPr="00103A0B">
        <w:rPr>
          <w:rFonts w:ascii="Arial" w:hAnsi="Arial" w:cs="Arial"/>
        </w:rPr>
        <w:t>R</w:t>
      </w:r>
      <w:r w:rsidRPr="00103A0B">
        <w:rPr>
          <w:rFonts w:ascii="Arial" w:hAnsi="Arial" w:cs="Arial"/>
        </w:rPr>
        <w:t>eview</w:t>
      </w:r>
      <w:bookmarkEnd w:id="51"/>
    </w:p>
    <w:p w14:paraId="558381E9" w14:textId="409DBD03" w:rsidR="00423291" w:rsidRPr="00103A0B" w:rsidRDefault="00176AED" w:rsidP="00CD5919">
      <w:pPr>
        <w:spacing w:before="240" w:line="360" w:lineRule="auto"/>
        <w:jc w:val="both"/>
        <w:rPr>
          <w:rFonts w:ascii="Arial" w:hAnsi="Arial" w:cs="Arial"/>
          <w:sz w:val="24"/>
          <w:szCs w:val="24"/>
        </w:rPr>
      </w:pPr>
      <w:r w:rsidRPr="00103A0B">
        <w:rPr>
          <w:rFonts w:ascii="Arial" w:hAnsi="Arial" w:cs="Arial"/>
          <w:sz w:val="24"/>
          <w:szCs w:val="24"/>
        </w:rPr>
        <w:t xml:space="preserve">Type 2 Diabetes Mellitus (T2DM) is a serious, long-term, chronic health condition (i.e., long-lasting) that has become a global epidemic </w:t>
      </w:r>
      <w:r w:rsidRPr="00103A0B">
        <w:rPr>
          <w:rFonts w:ascii="Arial" w:hAnsi="Arial" w:cs="Arial"/>
          <w:sz w:val="24"/>
          <w:szCs w:val="24"/>
        </w:rPr>
        <w:fldChar w:fldCharType="begin" w:fldLock="1"/>
      </w:r>
      <w:r w:rsidR="008E0722" w:rsidRPr="00103A0B">
        <w:rPr>
          <w:rFonts w:ascii="Arial" w:hAnsi="Arial" w:cs="Arial"/>
          <w:sz w:val="24"/>
          <w:szCs w:val="24"/>
        </w:rPr>
        <w:instrText>ADDIN CSL_CITATION {"citationItems":[{"id":"ITEM-1","itemData":{"DOI":"10.1093/fampra/cmh407","ISSN":"02632136","PMID":"15249526","abstract":"Background. With the increasing prevalence of chronic conditions, there is need for a standardized definition of chronicity for use in research, to evaluate the population prevalence and general practice management of chronic conditions. Objectives. Our aims were to determine the characteristics required to define chronicity, apply them to a primary care classification and provide a defined codeset of chronic conditions. Methods. A literature review evaluated characteristics used to define chronic conditions. The final set of characteristics was applied to the International Classification of Primary Care-Version 2 (ICPC-2) through more specific terms available in ICPC-2 PLUS, an extended terminology classified to ICPC-2. A set of ICPC-2 rubrics was delineated as representing chronic conditions. Results. Factors found to be relevant to a definition of chronic conditions for research were: duration; prognosis; pattern; and sequelae. Within ICPC-2, 129 rubrics were described as 'chronic', and another 20 rubrics had elements of chronicity. Duration was the criterion most frequently satisfied (98.4% of chronic rubrics), while 88.2% of rubrics met at least three of the four criteria. Conclusion. Monitoring the prevalence and management of chronic conditions is of increasing importance. This study provided evidence for multifaceted definitions of chronicity. While all characteristics examined could be used by those interested in chronicity, the list has been designed to identify chronic conditions managed in Australian general practice, and is therefore not a nomenclature of all chronic conditions. Subsequent analysis of chronic conditions using pre-existing data sets will provide a baseline measure of chronic condition prevalence and management in general practice. © Oxford University Press 2004, all rights reserved.","author":[{"dropping-particle":"","family":"O'Halloran","given":"Julie","non-dropping-particle":"","parse-names":false,"suffix":""},{"dropping-particle":"","family":"Miller","given":"Graeme C.","non-dropping-particle":"","parse-names":false,"suffix":""},{"dropping-particle":"","family":"Britt","given":"Helena","non-dropping-particle":"","parse-names":false,"suffix":""}],"container-title":"Family Practice","id":"ITEM-1","issue":"4","issued":{"date-parts":[["2004"]]},"page":"381-386","title":"Defining chronic conditions for primary care with ICPC-2","type":"article-journal","volume":"21"},"uris":["http://www.mendeley.com/documents/?uuid=417069e4-b6db-4980-811e-b1991d3d6812"]},{"id":"ITEM-2","itemData":{"DOI":"10.2337/dc12-0298","ISSN":"01495992","PMID":"22517937","author":[{"dropping-particle":"","family":"Herman","given":"William H.","non-dropping-particle":"","parse-names":false,"suffix":""},{"dropping-particle":"","family":"Zimmet","given":"Paul","non-dropping-particle":"","parse-names":false,"suffix":""}],"container-title":"Diabetes Care","id":"ITEM-2","issue":"5","issued":{"date-parts":[["2012"]]},"page":"943-944","title":"Type 2 diabetes: an epidemic requiring global attention and urgent action","type":"article-journal","volume":"35"},"uris":["http://www.mendeley.com/documents/?uuid=6272723c-944b-408d-b289-fe1997c76eaf"]},{"id":"ITEM-3","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Practice","id":"ITEM-3","issued":{"date-parts":[["2019"]]},"page":"107843","publisher":"Elsevier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edition","type":"article-journal","volume":"157"},"uris":["http://www.mendeley.com/documents/?uuid=d2427967-043a-4315-9977-8c46594ef56c"]}],"mendeley":{"formattedCitation":"(Herman &amp; Zimmet, 2012; O’Halloran et al., 2004; Saeedi et al., 2019)","plainTextFormattedCitation":"(Herman &amp; Zimmet, 2012; O’Halloran et al., 2004; Saeedi et al., 2019)","previouslyFormattedCitation":"(Herman &amp; Zimmet, 2012; O’Halloran et al., 2004; Saeedi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(Herman &amp; Zimmet, 2012; O’Halloran et al., 2004; Saeedi et al., 2019)</w:t>
      </w:r>
      <w:r w:rsidRPr="00103A0B">
        <w:rPr>
          <w:rFonts w:ascii="Arial" w:hAnsi="Arial" w:cs="Arial"/>
          <w:sz w:val="24"/>
          <w:szCs w:val="24"/>
        </w:rPr>
        <w:fldChar w:fldCharType="end"/>
      </w:r>
      <w:r w:rsidRPr="00103A0B">
        <w:rPr>
          <w:rFonts w:ascii="Arial" w:hAnsi="Arial" w:cs="Arial"/>
          <w:sz w:val="24"/>
          <w:szCs w:val="24"/>
        </w:rPr>
        <w:t xml:space="preserve">. This condition is a result of insufficient production of insulin by the pancreas or when the insulin does not work properly, leading to increased blood glucose (sugar) levels in the body </w:t>
      </w:r>
      <w:r w:rsidRPr="00103A0B">
        <w:rPr>
          <w:rStyle w:val="FootnoteReference"/>
          <w:rFonts w:ascii="Arial" w:hAnsi="Arial" w:cs="Arial"/>
          <w:sz w:val="24"/>
          <w:szCs w:val="24"/>
        </w:rPr>
        <w:fldChar w:fldCharType="begin" w:fldLock="1"/>
      </w:r>
      <w:r w:rsidR="0092755F" w:rsidRPr="00103A0B">
        <w:rPr>
          <w:rFonts w:ascii="Arial" w:hAnsi="Arial" w:cs="Arial"/>
          <w:sz w:val="24"/>
          <w:szCs w:val="24"/>
        </w:rPr>
        <w:instrText>ADDIN CSL_CITATION {"citationItems":[{"id":"ITEM-1","itemData":{"URL":"https://www.diabetes.org.uk/type-2-diabetes","accessed":{"date-parts":[["2021","7","24"]]},"author":[{"dropping-particle":"","family":"Diabetes UK","given":"","non-dropping-particle":"","parse-names":false,"suffix":""}],"id":"ITEM-1","issued":{"date-parts":[["2021"]]},"title":"Type 2 diabetes","type":"webpage"},"uris":["http://www.mendeley.com/documents/?uuid=d1bdd385-9032-4828-aaf4-aa8144620532"]}],"mendeley":{"formattedCitation":"(Diabetes UK, 2021c)","plainTextFormattedCitation":"(Diabetes UK, 2021c)","previouslyFormattedCitation":"(Diabetes UK, 2021c)"},"properties":{"noteIndex":0},"schema":"https://github.com/citation-style-language/schema/raw/master/csl-citation.json"}</w:instrText>
      </w:r>
      <w:r w:rsidRPr="00103A0B">
        <w:rPr>
          <w:rStyle w:val="FootnoteReference"/>
          <w:rFonts w:ascii="Arial" w:hAnsi="Arial" w:cs="Arial"/>
          <w:sz w:val="24"/>
          <w:szCs w:val="24"/>
        </w:rPr>
        <w:fldChar w:fldCharType="separate"/>
      </w:r>
      <w:r w:rsidR="00391499" w:rsidRPr="00103A0B">
        <w:rPr>
          <w:rFonts w:ascii="Arial" w:hAnsi="Arial" w:cs="Arial"/>
          <w:noProof/>
          <w:sz w:val="24"/>
          <w:szCs w:val="24"/>
        </w:rPr>
        <w:t>(Diabetes UK, 2021c)</w:t>
      </w:r>
      <w:r w:rsidRPr="00103A0B">
        <w:rPr>
          <w:rStyle w:val="FootnoteReference"/>
          <w:rFonts w:ascii="Arial" w:hAnsi="Arial" w:cs="Arial"/>
          <w:sz w:val="24"/>
          <w:szCs w:val="24"/>
        </w:rPr>
        <w:fldChar w:fldCharType="end"/>
      </w:r>
      <w:r w:rsidRPr="00103A0B">
        <w:rPr>
          <w:rFonts w:ascii="Arial" w:hAnsi="Arial" w:cs="Arial"/>
          <w:sz w:val="24"/>
          <w:szCs w:val="24"/>
        </w:rPr>
        <w:t xml:space="preserve">. It is estimated that 463 million people worldwide are living with T2DM with half being unaware of their condition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Practice","id":"ITEM-1","issued":{"date-parts":[["2019"]]},"page":"107843","publisher":"Elsevier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edition","type":"article-journal","volume":"157"},"uris":["http://www.mendeley.com/documents/?uuid=d2427967-043a-4315-9977-8c46594ef56c"]}],"mendeley":{"formattedCitation":"(Saeedi et al., 2019)","plainTextFormattedCitation":"(Saeedi et al., 2019)","previouslyFormattedCitation":"(Saeedi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(Saeedi et al., 2019)</w:t>
      </w:r>
      <w:r w:rsidRPr="00103A0B">
        <w:rPr>
          <w:rFonts w:ascii="Arial" w:hAnsi="Arial" w:cs="Arial"/>
          <w:sz w:val="24"/>
          <w:szCs w:val="24"/>
        </w:rPr>
        <w:fldChar w:fldCharType="end"/>
      </w:r>
      <w:r w:rsidRPr="00103A0B">
        <w:rPr>
          <w:rFonts w:ascii="Arial" w:hAnsi="Arial" w:cs="Arial"/>
          <w:sz w:val="24"/>
          <w:szCs w:val="24"/>
        </w:rPr>
        <w:t xml:space="preserve">. </w:t>
      </w:r>
      <w:bookmarkStart w:id="52" w:name="_Hlk139286804"/>
      <w:r w:rsidRPr="00103A0B">
        <w:rPr>
          <w:rFonts w:ascii="Arial" w:hAnsi="Arial" w:cs="Arial"/>
          <w:sz w:val="24"/>
          <w:szCs w:val="24"/>
        </w:rPr>
        <w:t>Although approximately 1.</w:t>
      </w:r>
      <w:r w:rsidR="003D748F" w:rsidRPr="00103A0B">
        <w:rPr>
          <w:rFonts w:ascii="Arial" w:hAnsi="Arial" w:cs="Arial"/>
          <w:sz w:val="24"/>
          <w:szCs w:val="24"/>
        </w:rPr>
        <w:t>5</w:t>
      </w:r>
      <w:r w:rsidRPr="00103A0B">
        <w:rPr>
          <w:rFonts w:ascii="Arial" w:hAnsi="Arial" w:cs="Arial"/>
          <w:sz w:val="24"/>
          <w:szCs w:val="24"/>
        </w:rPr>
        <w:t xml:space="preserve"> million deaths annually (worldwide) are directly linked to T2DM, this chronic condition is also a major risk factor for other causes of death and conditions such as cardiovascular disease, kidney diseases and blindness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ISBN":"1698379323","author":[{"dropping-particle":"","family":"Bloom","given":"D.E.","non-dropping-particle":"","parse-names":false,"suffix":""},{"dropping-particle":"","family":"Cafiero","given":"E.T.","non-dropping-particle":"","parse-names":false,"suffix":""},{"dropping-particle":"","family":"Jane-Llopis","given":"E.","non-dropping-particle":"","parse-names":false,"suffix":""},{"dropping-particle":"","family":"Abrahams-Gessel","given":"S.","non-dropping-particle":"","parse-names":false,"suffix":""},{"dropping-particle":"","family":"Bloom","given":"L.R.","non-dropping-particle":"","parse-names":false,"suffix":""},{"dropping-particle":"","family":"Fathima","given":"S.","non-dropping-particle":"","parse-names":false,"suffix":""},{"dropping-particle":"","family":"Feigl","given":"A.B.","non-dropping-particle":"","parse-names":false,"suffix":""},{"dropping-particle":"","family":"Gaziano","given":"T.","non-dropping-particle":"","parse-names":false,"suffix":""},{"dropping-particle":"","family":"Mowafi","given":"M.","non-dropping-particle":"","parse-names":false,"suffix":""},{"dropping-particle":"","family":"Pandya","given":"A.","non-dropping-particle":"","parse-names":false,"suffix":""},{"dropping-particle":"","family":"Prettner","given":"K.","non-dropping-particle":"","parse-names":false,"suffix":""},{"dropping-particle":"","family":"Rosenbert","given":"L.","non-dropping-particle":"","parse-names":false,"suffix":""},{"dropping-particle":"","family":"Seligman","given":"B.","non-dropping-particle":"","parse-names":false,"suffix":""},{"dropping-particle":"","family":"Stein","given":"A.Z.","non-dropping-particle":"","parse-names":false,"suffix":""},{"dropping-particle":"","family":"Weinstien","given":"C.","non-dropping-particle":"","parse-names":false,"suffix":""}],"container-title":"Harvard School of Public Health and World Economic Forum","id":"ITEM-1","issued":{"date-parts":[["2011"]]},"number-of-pages":"1-45","title":"The global economic burden of non-communicable diseases","type":"report"},"uris":["http://www.mendeley.com/documents/?uuid=773c9244-2b95-4522-95d3-847da259ffd3"]},{"id":"ITEM-2","itemData":{"URL":"https://www.who.int/news-room/fact-sheets/detail/diabetes","author":[{"dropping-particle":"","family":"World Health Organization","given":"","non-dropping-particle":"","parse-names":false,"suffix":""}],"id":"ITEM-2","issued":{"date-parts":[["2023"]]},"title":"Diabetes","type":"webpage"},"uris":["http://www.mendeley.com/documents/?uuid=c28b6ea3-199b-48e1-b468-c11c17413686"]},{"id":"ITEM-3","itemData":{"DOI":"10.3389/fendo.2022.838027","ISSN":"16642392","abstract":"Aim: To report the point prevalence, deaths and disability-adjusted-life-years (DALYs) due to type 2 diabetes and its attributable risk factors in 204 countries and territories during the period 1990-2019. Methods: We used the data of the Global Burden of Disease (GBD) Study 2019 to report number and age-standardised rates per 100 000 population of type 2 diabetes. Estimates were reported with 95% uncertainty intervals (UIs). Results: In 2019, the global age-standardised point prevalence and death rates for type 2 diabetes were 5282.9 and 18.5 per 100 000, an increase of 49% and 10.8%, respectively, since 1990. Moreover, the global age-standardised DALY rate in 2019 was 801.5 per 100 000, an increase of 27.6% since 1990. In 2019, the global point prevalence of type 2 diabetes was slightly higher in males and increased with age up to the 75-79 age group, decreasing across the remaining age groups. American Samoa [19876.8] had the highest age-standardised point prevalence rates of type 2 diabetes in 2019. Generally, the burden of type 2 diabetes decreased with increasing SDI (Socio-demographic Index). Globally, high body mass index [51.9%], ambient particulate matter pollution [13.6%] and smoking [9.9%] had the three highest proportions of attributable DALYs. Conclusion: Low and middle-income countries have the highest burden and greater investment in type 2 diabetes prevention is needed. In addition, accurate data on type 2 diabetes needs to be collected by the health systems of all countries to allow better monitoring and evaluation of population-level interventions.","author":[{"dropping-particle":"","family":"Safiri","given":"Saeid","non-dropping-particle":"","parse-names":false,"suffix":""},{"dropping-particle":"","family":"Karamzad","given":"Nahid","non-dropping-particle":"","parse-names":false,"suffix":""},{"dropping-particle":"","family":"Kaufman","given":"Jay S.","non-dropping-particle":"","parse-names":false,"suffix":""},{"dropping-particle":"","family":"Bell","given":"Arielle Wilder","non-dropping-particle":"","parse-names":false,"suffix":""},{"dropping-particle":"","family":"Nejadghaderi","given":"Seyed Aria","non-dropping-particle":"","parse-names":false,"suffix":""},{"dropping-particle":"","family":"Sullman","given":"Mark J.M.","non-dropping-particle":"","parse-names":false,"suffix":""},{"dropping-particle":"","family":"Moradi-Lakeh","given":"Maziar","non-dropping-particle":"","parse-names":false,"suffix":""},{"dropping-particle":"","family":"Collins","given":"Gary","non-dropping-particle":"","parse-names":false,"suffix":""},{"dropping-particle":"","family":"Kolahi","given":"Ali Asghar","non-dropping-particle":"","parse-names":false,"suffix":""}],"container-title":"Frontiers in Endocrinology","id":"ITEM-3","issued":{"date-parts":[["2022"]]},"page":"1-14","title":"Prevalence, deaths and disability-adjusted-life-years (DALYs) due to type 2 diabetes and its attributable risk factors in 204 countries and territories, 1990-2019: results from the global burden of disease study 2019","type":"article-journal","volume":"13"},"uris":["http://www.mendeley.com/documents/?uuid=e4ad431d-5453-48f7-b7ca-b7835be2dde7"]}],"mendeley":{"formattedCitation":"(Bloom et al., 2011; Safiri et al., 2022; World Health Organization, 2023)","plainTextFormattedCitation":"(Bloom et al., 2011; Safiri et al., 2022; World Health Organization, 2023)","previouslyFormattedCitation":"(Bloom et al., 2011; Safiri et al., 2022; World Health Organization, 2023)"},"properties":{"noteIndex":0},"schema":"https://github.com/citation-style-language/schema/raw/master/csl-citation.json"}</w:instrText>
      </w:r>
      <w:r w:rsidRPr="00103A0B">
        <w:rPr>
          <w:rFonts w:ascii="Arial" w:hAnsi="Arial" w:cs="Arial"/>
          <w:sz w:val="24"/>
          <w:szCs w:val="24"/>
        </w:rPr>
        <w:fldChar w:fldCharType="separate"/>
      </w:r>
      <w:r w:rsidR="003D748F" w:rsidRPr="00103A0B">
        <w:rPr>
          <w:rFonts w:ascii="Arial" w:hAnsi="Arial" w:cs="Arial"/>
          <w:noProof/>
          <w:sz w:val="24"/>
          <w:szCs w:val="24"/>
        </w:rPr>
        <w:t>(Bloom et al., 2011; Safiri et al., 2022; World Health Organization, 2023)</w:t>
      </w:r>
      <w:r w:rsidRPr="00103A0B">
        <w:rPr>
          <w:rFonts w:ascii="Arial" w:hAnsi="Arial" w:cs="Arial"/>
          <w:sz w:val="24"/>
          <w:szCs w:val="24"/>
        </w:rPr>
        <w:fldChar w:fldCharType="end"/>
      </w:r>
      <w:r w:rsidRPr="00103A0B">
        <w:rPr>
          <w:rFonts w:ascii="Arial" w:hAnsi="Arial" w:cs="Arial"/>
          <w:sz w:val="24"/>
          <w:szCs w:val="24"/>
        </w:rPr>
        <w:t xml:space="preserve">. </w:t>
      </w:r>
      <w:bookmarkEnd w:id="52"/>
      <w:r w:rsidRPr="00103A0B">
        <w:rPr>
          <w:rFonts w:ascii="Arial" w:hAnsi="Arial" w:cs="Arial"/>
          <w:sz w:val="24"/>
          <w:szCs w:val="24"/>
        </w:rPr>
        <w:t xml:space="preserve">This has led to increased financial implications and health care costs </w:t>
      </w:r>
      <w:r w:rsidRPr="00103A0B">
        <w:rPr>
          <w:rFonts w:ascii="Arial" w:hAnsi="Arial" w:cs="Arial"/>
          <w:sz w:val="24"/>
          <w:szCs w:val="24"/>
        </w:rPr>
        <w:fldChar w:fldCharType="begin" w:fldLock="1"/>
      </w:r>
      <w:r w:rsidR="00873997" w:rsidRPr="00103A0B">
        <w:rPr>
          <w:rFonts w:ascii="Arial" w:hAnsi="Arial" w:cs="Arial"/>
          <w:sz w:val="24"/>
          <w:szCs w:val="24"/>
        </w:rPr>
        <w:instrText>ADDIN CSL_CITATION {"citationItems":[{"id":"ITEM-1","itemData":{"DOI":"10.2337/dc17-1962/-/DC1.S.V.","author":[{"dropping-particle":"","family":"Bommer","given":"Christian","non-dropping-particle":"","parse-names":false,"suffix":""},{"dropping-particle":"","family":"Sagalova","given":"Vera","non-dropping-particle":"","parse-names":false,"suffix":""},{"dropping-particle":"","family":"Heesemann","given":"Esther","non-dropping-particle":"","parse-names":false,"suffix":""},{"dropping-particle":"","family":"Manne-goehler","given":"Jennifer","non-dropping-particle":"","parse-names":false,"suffix":""},{"dropping-particle":"","family":"Atun","given":"Rifat.","non-dropping-particle":"","parse-names":false,"suffix":""},{"dropping-particle":"","family":"Barnighausen","given":"Till.","non-dropping-particle":"","parse-names":false,"suffix":""},{"dropping-particle":"","family":"Davies","given":"Justine.","non-dropping-particle":"","parse-names":false,"suffix":""},{"dropping-particle":"","family":"Vollmer","given":"Sebastian.","non-dropping-particle":"","parse-names":false,"suffix":""}],"container-title":"Diabetes Care","id":"ITEM-1","issue":"5","issued":{"date-parts":[["2018"]]},"page":"963-970","title":"Global economic burden of diabetes in adults: projections from 2015 to 2030","type":"article-journal","volume":"41"},"uris":["http://www.mendeley.com/documents/?uuid=13c4a105-05a8-4072-90cb-71f6b19fe5ba"]}],"mendeley":{"formattedCitation":"(Bommer et al., 2018)","plainTextFormattedCitation":"(Bommer et al., 2018)","previouslyFormattedCitation":"(Bommer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(Bommer et al., 2018)</w:t>
      </w:r>
      <w:r w:rsidRPr="00103A0B">
        <w:rPr>
          <w:rFonts w:ascii="Arial" w:hAnsi="Arial" w:cs="Arial"/>
          <w:sz w:val="24"/>
          <w:szCs w:val="24"/>
        </w:rPr>
        <w:fldChar w:fldCharType="end"/>
      </w:r>
      <w:r w:rsidRPr="00103A0B">
        <w:rPr>
          <w:rFonts w:ascii="Arial" w:hAnsi="Arial" w:cs="Arial"/>
          <w:sz w:val="24"/>
          <w:szCs w:val="24"/>
        </w:rPr>
        <w:t xml:space="preserve">. </w:t>
      </w:r>
    </w:p>
    <w:p w14:paraId="2C1DB557" w14:textId="3455AA58" w:rsidR="00423291" w:rsidRPr="00103A0B" w:rsidRDefault="00176AED" w:rsidP="00423291">
      <w:pPr>
        <w:spacing w:before="240" w:line="360" w:lineRule="auto"/>
        <w:jc w:val="both"/>
        <w:rPr>
          <w:rFonts w:ascii="Arial" w:hAnsi="Arial" w:cs="Arial"/>
          <w:sz w:val="24"/>
          <w:szCs w:val="24"/>
        </w:rPr>
      </w:pPr>
      <w:r w:rsidRPr="00103A0B">
        <w:rPr>
          <w:rFonts w:ascii="Arial" w:hAnsi="Arial" w:cs="Arial"/>
          <w:sz w:val="24"/>
          <w:szCs w:val="24"/>
        </w:rPr>
        <w:t xml:space="preserve">The prevention of T2DM is an international health care priority, with prevalence of prediabetes (i.e., those at high risk of T2DM) estimated to rise from 374 million to 548 million between 2019 and 2045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Practice","id":"ITEM-1","issued":{"date-parts":[["2019"]]},"page":"107843","publisher":"Elsevier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edition","type":"article-journal","volume":"157"},"uris":["http://www.mendeley.com/documents/?uuid=d2427967-043a-4315-9977-8c46594ef56c"]}],"mendeley":{"formattedCitation":"(Saeedi et al., 2019)","plainTextFormattedCitation":"(Saeedi et al., 2019)","previouslyFormattedCitation":"(Saeedi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(Saeedi et al., 2019)</w:t>
      </w:r>
      <w:r w:rsidRPr="00103A0B">
        <w:rPr>
          <w:rFonts w:ascii="Arial" w:hAnsi="Arial" w:cs="Arial"/>
          <w:sz w:val="24"/>
          <w:szCs w:val="24"/>
        </w:rPr>
        <w:fldChar w:fldCharType="end"/>
      </w:r>
      <w:r w:rsidRPr="00103A0B">
        <w:rPr>
          <w:rFonts w:ascii="Arial" w:hAnsi="Arial" w:cs="Arial"/>
          <w:sz w:val="24"/>
          <w:szCs w:val="24"/>
        </w:rPr>
        <w:t xml:space="preserve">. Levels of obesity and physical inactivity are also increasing, which are considered to be key causal factors towards the global diabetes burden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{"citationItems":[{"id":"ITEM-1","itemData":{"DOI":"https://doi.org/10.1016/S0140-6736(15)00128-2","ISSN":"0140-6736","abstract":"Summary Background The Global Burden of Disease, Injuries, and Risk Factor study 2013 (GBD 2013) is the first of a series of annual updates of the GBD. Risk factor quantification, particularly of modifiable risk factors, can help to identify emerging threats to population health and opportunities for prevention. The GBD 2013 provides a timely opportunity to update the comparative risk assessment with new data for exposure, relative risks, and evidence on the appropriate counterfactual risk distribution. Methods Attributable deaths, years of life lost, years lived with disability, and disability-adjusted life-years (DALYs) have been estimated for 79 risks or clusters of risks using the GBD 2010 methods. Risk–outcome pairs meeting explicit evidence criteria were assessed for 188 countries for the period 1990–2013 by age and sex using three inputs: risk exposure, relative risks, and the theoretical minimum risk exposure level (TMREL). Risks are organised into a hierarchy with blocks of behavioural, environmental and occupational, and metabolic risks at the first level of the hierarchy. The next level in the hierarchy includes nine clusters of related risks and two individual risks, with more detail provided at levels 3 and 4 of the hierarchy. Compared with GBD 2010, six new risk factors have been added: handwashing practices, occupational exposure to trichloroethylene, childhood wasting, childhood stunting, unsafe sex, and low glomerular filtration rate. For most risks, data for exposure were synthesised with a Bayesian meta-regression method, DisMod-MR 2.0, or spatial-temporal Gaussian process regression. Relative risks were based on meta-regressions of published cohort and intervention studies. Attributable burden for clusters of risks and all risks combined took into account evidence on the mediation of some risks such as high body-mass index (BMI) through other risks such as high systolic blood pressure and high cholesterol. Findings All risks combined account for 57·2% (95% uncertainty interval [UI] 55·8–58·5) of deaths and 41·6% (40·1–43·0) of DALYs. Risks quantified account for 87·9% (86·5–89·3) of cardiovascular disease DALYs, ranging to a low of 0% for neonatal disorders and neglected tropical diseases and malaria. In terms of global DALYs in 2013, six risks or clusters of risks each caused more than 5% of DALYs: dietary risks accounting for 11·3 million deaths and 241·4 million DALYs, high systolic blood pressure for 10·4 million deaths and 208·1…","author":[{"dropping-particle":"","family":"Forouzanfar","given":"Mohammad H","non-dropping-particle":"","parse-names":false,"suffix":""},{"dropping-particle":"","family":"Alexander","given":"Lily","non-dropping-particle":"","parse-names":false,"suffix":""},{"dropping-particle":"","family":"Anderson","given":"H Ross","non-dropping-particle":"","parse-names":false,"suffix":""},{"dropping-particle":"","family":"Bachman","given":"Victoria F","non-dropping-particle":"","parse-names":false,"suffix":""},{"dropping-particle":"","family":"Biryukov","given":"Stan","non-dropping-particle":"","parse-names":false,"suffix":""},{"dropping-particle":"","family":"Brauer","given":"Michael","non-dropping-particle":"","parse-names":false,"suffix":""},{"dropping-particle":"","family":"Burnett","given":"Richard","non-dropping-particle":"","parse-names":false,"suffix":""},{"dropping-particle":"","family":"Casey","given":"Daniel","non-dropping-particle":"","parse-names":false,"suffix":""},{"dropping-particle":"","family":"Coates","given":"Matthew M","non-dropping-particle":"","parse-names":false,"suffix":""},{"dropping-particle":"","family":"Cohen","given":"Aaron","non-dropping-particle":"","parse-names":false,"suffix":""},{"dropping-particle":"","family":"Delwiche","given":"Kristen","non-dropping-particle":"","parse-names":false,"suffix":""},{"dropping-particle":"","family":"Estep","given":"Kara","non-dropping-particle":"","parse-names":false,"suffix":""},{"dropping-particle":"","family":"Frostad","given":"Joseph J","non-dropping-particle":"","parse-names":false,"suffix":""},{"dropping-particle":"","family":"KC","given":"Astha","non-dropping-particle":"","parse-names":false,"suffix":""},{"dropping-particle":"","family":"Kyu","given":"Hmwe H","non-dropping-particle":"","parse-names":false,"suffix":""},{"dropping-particle":"","family":"Moradi-Lakeh","given":"Maziar","non-dropping-particle":"","parse-names":false,"suffix":""},{"dropping-particle":"","family":"Ng","given":"Marie","non-dropping-particle":"","parse-names":false,"suffix":""},{"dropping-particle":"","family":"Slepak","given":"Erica Leigh","non-dropping-particle":"","parse-names":false,"suffix":""},{"dropping-particle":"","family":"Thomas","given":"Bernadette A","non-dropping-particle":"","parse-names":false,"suffix":""},{"dropping-particle":"","family":"Wagner","given":"Joseph","non-dropping-particle":"","parse-names":false,"suffix":""},{"dropping-particle":"","family":"Aasvang","given":"Gunn Marit","non-dropping-particle":"","parse-names":false,"suffix":""},{"dropping-particle":"","family":"Abbafati","given":"Cristiana","non-dropping-particle":"","parse-names":false,"suffix":""},{"dropping-particle":"","family":"Ozgoren","given":"Ayse Abbasoglu","non-dropping-particle":"","parse-names":false,"suffix":""},{"dropping-particle":"","family":"Abd-Allah","given":"Foad","non-dropping-particle":"","parse-names":false,"suffix":""},{"dropping-particle":"","family":"Abera","given":"Semaw F","non-dropping-particle":"","parse-names":false,"suffix":""},{"dropping-particle":"","family":"Aboyans","given":"Victor","non-dropping-particle":"","parse-names":false,"suffix":""},{"dropping-particle":"","family":"Abraham","given":"Biju","non-dropping-particle":"","parse-names":false,"suffix":""},{"dropping-particle":"","family":"Abraham","given":"Jerry Puthenpurakal","non-dropping-particle":"","parse-names":false,"suffix":""},{"dropping-particle":"","family":"Abubakar","given":"Ibrahim","non-dropping-particle":"","parse-names":false,"suffix":""},{"dropping-particle":"","family":"Abu-Rmeileh","given":"Niveen M E","non-dropping-particle":"","parse-names":false,"suffix":""},{"dropping-particle":"","family":"Aburto","given":"Tania C","non-dropping-particle":"","parse-names":false,"suffix":""},{"dropping-particle":"","family":"Achoki","given":"Tom","non-dropping-particle":"","parse-names":false,"suffix":""},{"dropping-particle":"","family":"Adelekan","given":"Ademola","non-dropping-particle":"","parse-names":false,"suffix":""},{"dropping-particle":"","family":"Adofo","given":"Koranteng","non-dropping-particle":"","parse-names":false,"suffix":""},{"dropping-particle":"","family":"Adou","given":"Arsène K","non-dropping-particle":"","parse-names":false,"suffix":""},{"dropping-particle":"","family":"Adsuar","given":"José C","non-dropping-particle":"","parse-names":false,"suffix":""},{"dropping-particle":"","family":"Afshin","given":"Ashkan","non-dropping-particle":"","parse-names":false,"suffix":""},{"dropping-particle":"","family":"Agardh","given":"Emilie E","non-dropping-particle":"","parse-names":false,"suffix":""},{"dropping-particle":"","family":"Khabouri","given":"Mazin J","non-dropping-particle":"Al","parse-names":false,"suffix":""},{"dropping-particle":"","family":"Lami","given":"Faris H","non-dropping-particle":"Al","parse-names":false,"suffix":""},{"dropping-particle":"","family":"Alam","given":"Sayed Saidul","non-dropping-particle":"","parse-names":false,"suffix":""},{"dropping-particle":"","family":"Alasfoor","given":"Deena","non-dropping-particle":"","parse-names":false,"suffix":""},{"dropping-particle":"","family":"Albittar","given":"Mohammed I","non-dropping-particle":"","parse-names":false,"suffix":""},{"dropping-particle":"","family":"Alegretti","given":"Miguel A","non-dropping-particle":"","parse-names":false,"suffix":""},{"dropping-particle":"V","family":"Aleman","given":"Alicia","non-dropping-particle":"","parse-names":false,"suffix":""},{"dropping-particle":"","family":"Alemu","given":"Zewdie A","non-dropping-particle":"","parse-names":false,"suffix":""},{"dropping-particle":"","family":"Alfonso-Cristancho","given":"Rafael","non-dropping-particle":"","parse-names":false,"suffix":""},{"dropping-particle":"","family":"Alhabib","given":"Samia","non-dropping-particle":"","parse-names":false,"suffix":""},{"dropping-particle":"","family":"Ali","given":"Raghib","non-dropping-particle":"","parse-names":false,"suffix":""},{"dropping-particle":"","family":"Ali","given":"Mohammed K","non-dropping-particle":"","parse-names":false,"suffix":""},{"dropping-particle":"","family":"Alla","given":"François","non-dropping-particle":"","parse-names":false,"suffix":""},{"dropping-particle":"","family":"Allebeck","given":"Peter","non-dropping-particle":"","parse-names":false,"suffix":""},{"dropping-particle":"","family":"Allen","given":"Peter J","non-dropping-particle":"","parse-names":false,"suffix":""},{"dropping-particle":"","family":"Alsharif","given":"Ubai","non-dropping-particle":"","parse-names":false,"suffix":""},{"dropping-particle":"","family":"Alvarez","given":"Elena","non-dropping-particle":"","parse-names":false,"suffix":""},{"dropping-particle":"","family":"Alvis-Guzman","given":"Nelson","non-dropping-particle":"","parse-names":false,"suffix":""},{"dropping-particle":"","family":"Amankwaa","given":"Adansi A","non-dropping-particle":"","parse-names":false,"suffix":""},{"dropping-particle":"","family":"Amare","given":"Azmeraw T","non-dropping-particle":"","parse-names":false,"suffix":""},{"dropping-particle":"","family":"Ameh","given":"Emmanuel A","non-dropping-particle":"","parse-names":false,"suffix":""},{"dropping-particle":"","family":"Ameli","given":"Omid","non-dropping-particle":"","parse-names":false,"suffix":""},{"dropping-particle":"","family":"Amini","given":"Heresh","non-dropping-particle":"","parse-names":false,"suffix":""},{"dropping-particle":"","family":"Ammar","given":"Walid","non-dropping-particle":"","parse-names":false,"suffix":""},{"dropping-particle":"","family":"Anderson","given":"Benjamin O","non-dropping-particle":"","parse-names":false,"suffix":""},{"dropping-particle":"","family":"Antonio","given":"Carl Abelardo T","non-dropping-particle":"","parse-names":false,"suffix":""},{"dropping-particle":"","family":"Anwari","given":"Palwasha","non-dropping-particle":"","parse-names":false,"suffix":""},{"dropping-particle":"","family":"Cunningham","given":"Solveig Argeseanu","non-dropping-particle":"","parse-names":false,"suffix":""},{"dropping-particle":"","family":"Arnlöv","given":"Johan","non-dropping-particle":"","parse-names":false,"suffix":""},{"dropping-particle":"","family":"Arsenijevic","given":"Valentina S Arsic","non-dropping-particle":"","parse-names":false,"suffix":""},{"dropping-particle":"","family":"Artaman","given":"Al","non-dropping-particle":"","parse-names":false,"suffix":""},{"dropping-particle":"","family":"Asghar","given":"Rana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S","non-dropping-particle":"","parse-names":false,"suffix":""},{"dropping-particle":"","family":"Atkinson","given":"Charles","non-dropping-particle":"","parse-names":false,"suffix":""},{"dropping-particle":"","family":"Avila","given":"Marco A","non-dropping-particle":"","parse-names":false,"suffix":""},{"dropping-particle":"","family":"Awuah","given":"Baffour","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lu","given":"Ravi Kumar","non-dropping-particle":"","parse-names":false,"suffix":""},{"dropping-particle":"","family":"Banerjee","given":"Amitava","non-dropping-particle":"","parse-names":false,"suffix":""},{"dropping-particle":"","family":"Barber","given":"Ryan M","non-dropping-particle":"","parse-names":false,"suffix":""},{"dropping-particle":"","family":"Barker-Collo","given":"Suzanne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H","non-dropping-particle":"","parse-names":false,"suffix":""},{"dropping-particle":"","family":"Barrientos-Gutierrez","given":"Tonatiuh","non-dropping-particle":"","parse-names":false,"suffix":""},{"dropping-particle":"","family":"Basto-Abreu","given":"Ana C","non-dropping-particle":"","parse-names":false,"suffix":""},{"dropping-particle":"","family":"Basu","given":"Arindam","non-dropping-particle":"","parse-names":false,"suffix":""},{"dropping-particle":"","family":"Basu","given":"Sanjay","non-dropping-particle":"","parse-names":false,"suffix":""},{"dropping-particle":"","family":"Basulaiman","given":"Mohammed O","non-dropping-particle":"","parse-names":false,"suffix":""},{"dropping-particle":"","family":"Ruvalcaba","given":"Carolina Batis","non-dropping-particle":"","parse-names":false,"suffix":""},{"dropping-particle":"","family":"Beardsley","given":"Justin","non-dropping-particle":"","parse-names":false,"suffix":""},{"dropping-particle":"","family":"Bedi","given":"Neeraj","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zian","given":"Habib","non-dropping-particle":"","parse-names":false,"suffix":""},{"dropping-particle":"","family":"Bernabé","given":"Eduardo","non-dropping-particle":"","parse-names":false,"suffix":""},{"dropping-particle":"","family":"Beyene","given":"Tariku J","non-dropping-particle":"","parse-names":false,"suffix":""},{"dropping-particle":"","family":"Bhala","given":"Neeraj","non-dropping-particle":"","parse-names":false,"suffix":""},{"dropping-particle":"","family":"Bhalla","given":"Ashish","non-dropping-particle":"","parse-names":false,"suffix":""},{"dropping-particle":"","family":"Bhutta","given":"Zulfiqar A","non-dropping-particle":"","parse-names":false,"suffix":""},{"dropping-particle":"","family":"Bikbov","given":"Boris","non-dropping-particle":"","parse-names":false,"suffix":""},{"dropping-particle":"Bin","family":"Abdulhak","given":"Aref A","non-dropping-particle":"","parse-names":false,"suffix":""},{"dropping-particle":"","family":"Blore","given":"Jed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A","non-dropping-particle":"","parse-names":false,"suffix":""},{"dropping-particle":"","family":"Başara","given":"Berrak Bora","non-dropping-particle":"","parse-names":false,"suffix":""},{"dropping-particle":"","family":"Borges","given":"Guilherme","non-dropping-particle":"","parse-names":false,"suffix":""},{"dropping-particle":"","family":"Bornstein","given":"Natan M","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rainin","given":"Michael","non-dropping-particle":"","parse-names":false,"suffix":""},{"dropping-particle":"","family":"Brazinova","given":"Alexandra","non-dropping-particle":"","parse-names":false,"suffix":""},{"dropping-particle":"","family":"Breitborde","given":"Nicholas J","non-dropping-particle":"","parse-names":false,"suffix":""},{"dropping-particle":"","family":"Brenner","given":"Hermann","non-dropping-particle":"","parse-names":false,"suffix":""},{"dropping-particle":"","family":"Briggs","given":"Adam D M","non-dropping-particle":"","parse-names":false,"suffix":""},{"dropping-particle":"","family":"Broday","given":"David M","non-dropping-particle":"","parse-names":false,"suffix":""},{"dropping-particle":"","family":"Brooks","given":"Peter M","non-dropping-particle":"","parse-names":false,"suffix":""},{"dropping-particle":"","family":"Bruce","given":"Nigel G","non-dropping-particle":"","parse-names":false,"suffix":""},{"dropping-particle":"","family":"Brugha","given":"Traolach S","non-dropping-particle":"","parse-names":false,"suffix":""},{"dropping-particle":"","family":"Brunekreef","given":"Bert","non-dropping-particle":"","parse-names":false,"suffix":""},{"dropping-particle":"","family":"Buchbinder","given":"Rachelle","non-dropping-particle":"","parse-names":false,"suffix":""},{"dropping-particle":"","family":"Bui","given":"Linh N","non-dropping-particle":"","parse-names":false,"suffix":""},{"dropping-particle":"","family":"Bukhman","given":"Gene","non-dropping-particle":"","parse-names":false,"suffix":""},{"dropping-particle":"","family":"Bulloch","given":"Andrew G","non-dropping-particle":"","parse-names":false,"suffix":""},{"dropping-particle":"","family":"Burch","given":"Michael","non-dropping-particle":"","parse-names":false,"suffix":""},{"dropping-particle":"","family":"Burney","given":"Peter G J","non-dropping-particle":"","parse-names":false,"suffix":""},{"dropping-particle":"","family":"Campos-Nonato","given":"Ismael R","non-dropping-particle":"","parse-names":false,"suffix":""},{"dropping-particle":"","family":"Campuzano","given":"Julio C","non-dropping-particle":"","parse-names":false,"suffix":""},{"dropping-particle":"","family":"Cantoral","given":"Alejandra J","non-dropping-particle":"","parse-names":false,"suffix":""},{"dropping-particle":"","family":"Caravanos","given":"Jack","non-dropping-particle":"","parse-names":false,"suffix":""},{"dropping-particle":"","family":"Cárdenas","given":"Rosario","non-dropping-particle":"","parse-names":false,"suffix":""},{"dropping-particle":"","family":"Cardis","given":"Elisabeth","non-dropping-particle":"","parse-names":false,"suffix":""},{"dropping-particle":"","family":"Carpenter","given":"David O","non-dropping-particle":"","parse-names":false,"suffix":""},{"dropping-particle":"","family":"Caso","given":"Valeria","non-dropping-particle":"","parse-names":false,"suffix":""},{"dropping-particle":"","family":"Castañeda-Orjuela","given":"Carlos A","non-dropping-particle":"","parse-names":false,"suffix":""},{"dropping-particle":"","family":"Castro","given":"Ruben E","non-dropping-particle":"","parse-names":false,"suffix":""},{"dropping-particle":"","family":"Catalá-López","given":"Ferrán","non-dropping-particle":"","parse-names":false,"suffix":""},{"dropping-particle":"","family":"Cavalleri","given":"Fiorella","non-dropping-particle":"","parse-names":false,"suffix":""},{"dropping-particle":"","family":"Çavlin","given":"Alanur","non-dropping-particle":"","parse-names":false,"suffix":""},{"dropping-particle":"","family":"Chadha","given":"Vineet K","non-dropping-particle":"","parse-names":false,"suffix":""},{"dropping-particle":"","family":"Chang","given":"Jung-chen","non-dropping-particle":"","parse-names":false,"suffix":""},{"dropping-particle":"","family":"Charlson","given":"Fiona J","non-dropping-particle":"","parse-names":false,"suffix":""},{"dropping-particle":"","family":"Chen","given":"Honglei","non-dropping-particle":"","parse-names":false,"suffix":""},{"dropping-particle":"","family":"Chen","given":"Wanqing","non-dropping-particle":"","parse-names":false,"suffix":""},{"dropping-particle":"","family":"Chen","given":"Zhengming","non-dropping-particle":"","parse-names":false,"suffix":""},{"dropping-particle":"","family":"Chiang","given":"Peggy P","non-dropping-particle":"","parse-names":false,"suffix":""},{"dropping-particle":"","family":"Chimed-Ochir","given":"Odgerel","non-dropping-particle":"","parse-names":false,"suffix":""},{"dropping-particle":"","family":"Chowdhury","given":"Rajiv","non-dropping-particle":"","parse-names":false,"suffix":""},{"dropping-particle":"","family":"Christophi","given":"Costas A","non-dropping-particle":"","parse-names":false,"suffix":""},{"dropping-particle":"","family":"Chuang","given":"Ting-Wu","non-dropping-particle":"","parse-names":false,"suffix":""},{"dropping-particle":"","family":"Chugh","given":"Sumeet S","non-dropping-particle":"","parse-names":false,"suffix":""},{"dropping-particle":"","family":"Cirillo","given":"Massimo","non-dropping-particle":"","parse-names":false,"suffix":""},{"dropping-particle":"","family":"Claßen","given":"Thomas K D","non-dropping-particle":"","parse-names":false,"suffix":""},{"dropping-particle":"","family":"Colistro","given":"Valentina","non-dropping-particle":"","parse-names":false,"suffix":""},{"dropping-particle":"","family":"Colomar","given":"Mercedes","non-dropping-particle":"","parse-names":false,"suffix":""},{"dropping-particle":"","family":"Colquhoun","given":"Samantha M","non-dropping-particle":"","parse-names":false,"suffix":""},{"dropping-particle":"","family":"Contreras","given":"Alejandra G","non-dropping-particle":"","parse-names":false,"suffix":""},{"dropping-particle":"","family":"Cooper","given":"Cyrus","non-dropping-particle":"","parse-names":false,"suffix":""},{"dropping-particle":"","family":"Cooperrider","given":"Kimberly","non-dropping-particle":"","parse-names":false,"suffix":""},{"dropping-particle":"","family":"Cooper","given":"Leslie T","non-dropping-particle":"","parse-names":false,"suffix":""},{"dropping-particle":"","family":"Coresh","given":"Josef","non-dropping-particle":"","parse-names":false,"suffix":""},{"dropping-particle":"","family":"Courville","given":"Karen J","non-dropping-particle":"","parse-names":false,"suffix":""},{"dropping-particle":"","family":"Criqui","given":"Michael H","non-dropping-particle":"","parse-names":false,"suffix":""},{"dropping-particle":"","family":"Cuevas-Nasu","given":"Lucia","non-dropping-particle":"","parse-names":false,"suffix":""},{"dropping-particle":"","family":"Damsere-Derry","given":"James","non-dropping-particle":"","parse-names":false,"suffix":""},{"dropping-particle":"","family":"Danawi","given":"Hadi","non-dropping-particle":"","parse-names":false,"suffix":""},{"dropping-particle":"","family":"Dandona","given":"Lalit","non-dropping-particle":"","parse-names":false,"suffix":""},{"dropping-particle":"","family":"Dandona","given":"Rakhi","non-dropping-particle":"","parse-names":false,"suffix":""},{"dropping-particle":"","family":"Dargan","given":"Paul I","non-dropping-particle":"","parse-names":false,"suffix":""},{"dropping-particle":"","family":"Davis","given":"Adrian","non-dropping-particle":"","parse-names":false,"suffix":""},{"dropping-particle":"V","family":"Davitoiu","given":"Dragos","non-dropping-particle":"","parse-names":false,"suffix":""},{"dropping-particle":"","family":"Dayama","given":"Anand","non-dropping-particle":"","parse-names":false,"suffix":""},{"dropping-particle":"","family":"Castro","given":"E Filipa","non-dropping-particle":"de","parse-names":false,"suffix":""},{"dropping-particle":"","family":"la Cruz-Góngora","given":"Vanessa","non-dropping-particle":"De","parse-names":false,"suffix":""},{"dropping-particle":"","family":"Leo","given":"Diego","non-dropping-particle":"De","parse-names":false,"suffix":""},{"dropping-particle":"","family":"Lima","given":"Graça","non-dropping-particle":"de","parse-names":false,"suffix":""},{"dropping-particle":"","family":"Degenhardt","given":"Louisa","non-dropping-particl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Derrett","given":"Sarah","non-dropping-particle":"","parse-names":false,"suffix":""},{"dropping-particle":"Des","family":"Jarlais","given":"Don C","non-dropping-particle":"","parse-names":false,"suffix":""},{"dropping-particle":"","family":"Dessalegn","given":"Muluken","non-dropping-particle":"","parse-names":false,"suffix":""},{"dropping-particle":"","family":"DeVeber","given":"Gabrielle A","non-dropping-particle":"","parse-names":false,"suffix":""},{"dropping-particle":"","family":"Devries","given":"Karen M","non-dropping-particle":"","parse-names":false,"suffix":""},{"dropping-particle":"","family":"Dharmaratne","given":"Samath D","non-dropping-particle":"","parse-names":false,"suffix":""},{"dropping-particle":"","family":"Dherani","given":"Mukesh K","non-dropping-particle":"","parse-names":false,"suffix":""},{"dropping-particle":"","family":"Dicker","given":"Daniel","non-dropping-particle":"","parse-names":false,"suffix":""},{"dropping-particle":"","family":"Ding","given":"Eric L","non-dropping-particle":"","parse-names":false,"suffix":""},{"dropping-particle":"","family":"Dokova","given":"Klara","non-dropping-particle":"","parse-names":false,"suffix":""},{"dropping-particle":"","family":"Dorsey","given":"E Ray","non-dropping-particle":"","parse-names":false,"suffix":""},{"dropping-particle":"","family":"Driscoll","given":"Tim R","non-dropping-particle":"","parse-names":false,"suffix":""},{"dropping-particle":"","family":"Duan","given":"Leilei","non-dropping-particle":"","parse-names":false,"suffix":""},{"dropping-particle":"","family":"Durrani","given":"Adnan M","non-dropping-particle":"","parse-names":false,"suffix":""},{"dropping-particle":"","family":"Ebel","given":"Beth E","non-dropping-particle":"","parse-names":false,"suffix":""},{"dropping-particle":"","family":"Ellenbogen","given":"Richard G","non-dropping-particle":"","parse-names":false,"suffix":""},{"dropping-particle":"","family":"Elshrek","given":"Yousef M","non-dropping-particle":"","parse-names":false,"suffix":""},{"dropping-particle":"","family":"Endres","given":"Matthias","non-dropping-particle":"","parse-names":false,"suffix":""},{"dropping-particle":"","family":"Ermakov","given":"Sergey P","non-dropping-particle":"","parse-names":false,"suffix":""},{"dropping-particle":"","family":"Erskine","given":"Holly E","non-dropping-particle":"","parse-names":false,"suffix":""},{"dropping-particle":"","family":"Eshrati","given":"Babak","non-dropping-particle":"","parse-names":false,"suffix":""},{"dropping-particle":"","family":"Esteghamati","given":"Alireza","non-dropping-particle":"","parse-names":false,"suffix":""},{"dropping-particle":"","family":"Fahimi","given":"Saman","non-dropping-particle":"","parse-names":false,"suffix":""},{"dropping-particle":"","family":"Faraon","given":"Emerito Jose A","non-dropping-particle":"","parse-names":false,"suffix":""},{"dropping-particle":"","family":"Farzadfar","given":"Farshad","non-dropping-particle":"","parse-names":false,"suffix":""},{"dropping-particle":"","family":"Fay","given":"Derek F J","non-dropping-particle":"","parse-names":false,"suffix":""},{"dropping-particle":"","family":"Feigin","given":"Valery L","non-dropping-particle":"","parse-names":false,"suffix":""},{"dropping-particle":"","family":"Feigl","given":"Andrea B","non-dropping-particle":"","parse-names":false,"suffix":""},{"dropping-particle":"","family":"Fereshtehnejad","given":"Seyed-Mohammad","non-dropping-particle":"","parse-names":false,"suffix":""},{"dropping-particle":"","family":"Ferrari","given":"Alize J","non-dropping-particle":"","parse-names":false,"suffix":""},{"dropping-particle":"","family":"Ferri","given":"Cleusa P","non-dropping-particle":"","parse-names":false,"suffix":""},{"dropping-particle":"","family":"Flaxman","given":"Abraham D","non-dropping-particle":"","parse-names":false,"suffix":""},{"dropping-particle":"","family":"Fleming","given":"Thomas D","non-dropping-particle":"","parse-names":false,"suffix":""},{"dropping-particle":"","family":"Foigt","given":"Nataliya","non-dropping-particle":"","parse-names":false,"suffix":""},{"dropping-particle":"","family":"Foreman","given":"Kyle J","non-dropping-particle":"","parse-names":false,"suffix":""},{"dropping-particle":"","family":"Paleo","given":"Urbano Fra","non-dropping-particle":"","parse-names":false,"suffix":""},{"dropping-particle":"","family":"Franklin","given":"Richard C","non-dropping-particle":"","parse-names":false,"suffix":""},{"dropping-particle":"","family":"Gabbe","given":"Belinda","non-dropping-particle":"","parse-names":false,"suffix":""},{"dropping-particle":"","family":"Gaffikin","given":"Lynne","non-dropping-particle":"","parse-names":false,"suffix":""},{"dropping-particle":"","family":"Gakidou","given":"Emmanuela","non-dropping-particle":"","parse-names":false,"suffix":""},{"dropping-particle":"","family":"Gamkrelidze","given":"Amiran","non-dropping-particle":"","parse-names":false,"suffix":""},{"dropping-particle":"","family":"Gankpé","given":"Fortuné G","non-dropping-particle":"","parse-names":false,"suffix":""},{"dropping-particle":"","family":"Gansevoort","given":"Ron T","non-dropping-particle":"","parse-names":false,"suffix":""},{"dropping-particle":"","family":"García-Guerra","given":"Francisco A","non-dropping-particle":"","parse-names":false,"suffix":""},{"dropping-particle":"","family":"Gasana","given":"Evariste","non-dropping-particle":"","parse-names":false,"suffix":""},{"dropping-particle":"","family":"Geleijnse","given":"Johanna M","non-dropping-particle":"","parse-names":false,"suffix":""},{"dropping-particle":"","family":"Gessner","given":"Bradford D","non-dropping-particle":"","parse-names":false,"suffix":""},{"dropping-particle":"","family":"Gething","given":"Pete","non-dropping-particle":"","parse-names":false,"suffix":""},{"dropping-particle":"","family":"Gibney","given":"Katherine B","non-dropping-particle":"","parse-names":false,"suffix":""},{"dropping-particle":"","family":"Gillum","given":"Richard F","non-dropping-particle":"","parse-names":false,"suffix":""},{"dropping-particle":"","family":"Ginawi","given":"Ibrahim A M","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ginashvili","given":"Ketevan","non-dropping-particle":"","parse-names":false,"suffix":""},{"dropping-particle":"","family":"Dantes","given":"Hector Gomez","non-dropping-particle":"","parse-names":false,"suffix":""},{"dropping-particle":"","family":"Gona","given":"Philimon","non-dropping-particle":"","parse-names":false,"suffix":""},{"dropping-particle":"","family":"Cosio","given":"Teresita Gonzalez","non-dropping-particle":"de","parse-names":false,"suffix":""},{"dropping-particle":"","family":"González-Castell","given":"Dinorah","non-dropping-particle":"","parse-names":false,"suffix":""},{"dropping-particle":"","family":"Gotay","given":"Carolyn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N","non-dropping-particle":"","parse-names":false,"suffix":""},{"dropping-particle":"","family":"Guerrant","given":"Richard L","non-dropping-particle":"","parse-names":false,"suffix":""},{"dropping-particle":"","family":"Gugnani","given":"Harish C","non-dropping-particle":"","parse-names":false,"suffix":""},{"dropping-particle":"","family":"Guillemin","given":"Francis","non-dropping-particle":"","parse-names":false,"suffix":""},{"dropping-particle":"","family":"Gunnell","given":"David","non-dropping-particle":"","parse-names":false,"suffix":""},{"dropping-particle":"","family":"Gupta","given":"Rahul","non-dropping-particle":"","parse-names":false,"suffix":""},{"dropping-particle":"","family":"Gupta","given":"Rajeev","non-dropping-particle":"","parse-names":false,"suffix":""},{"dropping-particle":"","family":"Gutiérrez","given":"Reyna A","non-dropping-particle":"","parse-names":false,"suffix":""},{"dropping-particle":"","family":"Hafezi-Nejad","given":"Nima","non-dropping-particle":"","parse-names":false,"suffix":""},{"dropping-particle":"","family":"Hagan","given":"Holly","non-dropping-particle":"","parse-names":false,"suffix":""},{"dropping-particle":"","family":"Hagstromer","given":"Maria","non-dropping-particle":"","parse-names":false,"suffix":""},{"dropping-particle":"","family":"Halasa","given":"Yara A","non-dropping-particle":"","parse-names":false,"suffix":""},{"dropping-particle":"","family":"Hamadeh","given":"Randah R","non-dropping-particle":"","parse-names":false,"suffix":""},{"dropping-particle":"","family":"Hammami","given":"Mouhanad","non-dropping-particle":"","parse-names":false,"suffix":""},{"dropping-particle":"","family":"Hankey","given":"Graeme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L","non-dropping-particle":"","parse-names":false,"suffix":""},{"dropping-particle":"","family":"Haregu","given":"Tilahun Nigatu","non-dropping-particle":"","parse-names":false,"suffix":""},{"dropping-particle":"","family":"Haro","given":"Josep Maria","non-dropping-particle":"","parse-names":false,"suffix":""},{"dropping-particle":"","family":"Havmoeller","given":"Rasmus","non-dropping-particle":"","parse-names":false,"suffix":""},{"dropping-particle":"","family":"Hay","given":"Simon I","non-dropping-particle":"","parse-names":false,"suffix":""},{"dropping-particle":"","family":"Hedayati","given":"Mohammad T","non-dropping-particle":"","parse-names":false,"suffix":""},{"dropping-particle":"","family":"Heredia-Pi","given":"Ileana B","non-dropping-particle":"","parse-names":false,"suffix":""},{"dropping-particle":"","family":"Hernandez","given":"Lucia","non-dropping-particle":"","parse-names":false,"suffix":""},{"dropping-particle":"","family":"Heuton","given":"Kyle R","non-dropping-particle":"","parse-names":false,"suffix":""},{"dropping-particle":"","family":"Heydarpour","given":"Pouria","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Dean","non-dropping-particle":"","parse-names":false,"suffix":""},{"dropping-particle":"","family":"Hoy","given":"Damian G","non-dropping-particle":"","parse-names":false,"suffix":""},{"dropping-particle":"","family":"Hsairi","given":"Mohamed","non-dropping-particle":"","parse-names":false,"suffix":""},{"dropping-particle":"","family":"Hu","given":"Guoqing","non-dropping-particle":"","parse-names":false,"suffix":""},{"dropping-particle":"","family":"Hu","given":"Howard","non-dropping-particle":"","parse-names":false,"suffix":""},{"dropping-particle":"","family":"Huang","given":"Cheng","non-dropping-particle":"","parse-names":false,"suffix":""},{"dropping-particle":"","family":"Huang","given":"John J","non-dropping-particle":"","parse-names":false,"suffix":""},{"dropping-particle":"","family":"Hubbell","given":"Bryan J","non-dropping-particle":"","parse-names":false,"suffix":""},{"dropping-particle":"","family":"Huiart","given":"Laetitia","non-dropping-particle":"","parse-names":false,"suffix":""},{"dropping-particle":"","family":"Husseini","given":"Abdullatif","non-dropping-particle":"","parse-names":false,"suffix":""},{"dropping-particle":"","family":"Iannarone","given":"Marissa L","non-dropping-particle":"","parse-names":false,"suffix":""},{"dropping-particle":"","family":"Iburg","given":"Kim M","non-dropping-particle":"","parse-names":false,"suffix":""},{"dropping-particle":"","family":"Idrisov","given":"Bulat T","non-dropping-particle":"","parse-names":false,"suffix":""},{"dropping-particle":"","family":"Ikeda","given":"Nayu","non-dropping-particle":"","parse-names":false,"suffix":""},{"dropping-particle":"","family":"Innos","given":"Kaire","non-dropping-particle":"","parse-names":false,"suffix":""},{"dropping-particle":"","family":"Inoue","given":"Manami","non-dropping-particle":"","parse-names":false,"suffix":""},{"dropping-particle":"","family":"Islami","given":"Farhad","non-dropping-particle":"","parse-names":false,"suffix":""},{"dropping-particle":"","family":"Ismayilova","given":"Samaya","non-dropping-particle":"","parse-names":false,"suffix":""},{"dropping-particle":"","family":"Jacobsen","given":"Kathryn H","non-dropping-particle":"","parse-names":false,"suffix":""},{"dropping-particle":"","family":"Jansen","given":"Henrica A","non-dropping-particle":"","parse-names":false,"suffix":""},{"dropping-particle":"","family":"Jarvis","given":"Deborah L","non-dropping-particle":"","parse-names":false,"suffix":""},{"dropping-particle":"","family":"Jassal","given":"Simerjot K","non-dropping-particle":"","parse-names":false,"suffix":""},{"dropping-particle":"","family":"Jauregui","given":"Alejandra","non-dropping-particle":"","parse-names":false,"suffix":""},{"dropping-particle":"","family":"Jayaraman","given":"Sudha","non-dropping-particle":"","parse-names":false,"suffix":""},{"dropping-particle":"","family":"Jeemon","given":"Panniyammakal","non-dropping-particle":"","parse-names":false,"suffix":""},{"dropping-particle":"","family":"Jensen","given":"Paul N","non-dropping-particle":"","parse-names":false,"suffix":""},{"dropping-particle":"","family":"Jha","given":"Vivekanand","non-dropping-particle":"","parse-names":false,"suffix":""},{"dropping-particle":"","family":"Jiang","given":"Fan","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uel","given":"Knud","non-dropping-particle":"","parse-names":false,"suffix":""},{"dropping-particle":"","family":"Kan","given":"Haidong","non-dropping-particle":"","parse-names":false,"suffix":""},{"dropping-particle":"","family":"Roseline","given":"Sidibe S Kany","non-dropping-particle":"","parse-names":false,"suffix":""},{"dropping-particle":"","family":"Karam","given":"Nadim E","non-dropping-particle":"","parse-names":false,"suffix":""},{"dropping-particle":"","family":"Karch","given":"André","non-dropping-particle":"","parse-names":false,"suffix":""},{"dropping-particle":"","family":"Karema","given":"Corine K","non-dropping-particle":"","parse-names":false,"suffix":""},{"dropping-particle":"","family":"Karthikeyan","given":"Ganesan","non-dropping-particle":"","parse-names":false,"suffix":""},{"dropping-particle":"","family":"Kaul","given":"Anil","non-dropping-particle":"","parse-names":false,"suffix":""},{"dropping-particle":"","family":"Kawakami","given":"Norito","non-dropping-particle":"","parse-names":false,"suffix":""},{"dropping-particle":"","family":"Kazi","given":"Dhruv S","non-dropping-particle":"","parse-names":false,"suffix":""},{"dropping-particle":"","family":"Kemp","given":"Andrew H","non-dropping-particle":"","parse-names":false,"suffix":""},{"dropping-particle":"","family":"Kengne","given":"Andre P","non-dropping-particle":"","parse-names":false,"suffix":""},{"dropping-particle":"","family":"Keren","given":"Andre","non-dropping-particle":"","parse-names":false,"suffix":""},{"dropping-particle":"","family":"Khader","given":"Yousef S","non-dropping-particle":"","parse-names":false,"suffix":""},{"dropping-particle":"","family":"Khalifa","given":"Shams Eldin Ali Hassan","non-dropping-particle":"","parse-names":false,"suffix":""},{"dropping-particle":"","family":"Khan","given":"Ejaz A","non-dropping-particle":"","parse-names":false,"suffix":""},{"dropping-particle":"","family":"Khang","given":"Young-Ho","non-dropping-particle":"","parse-names":false,"suffix":""},{"dropping-particle":"","family":"Khatibzadeh","given":"Shahab","non-dropping-particle":"","parse-names":false,"suffix":""},{"dropping-particle":"","family":"Khonelidze","given":"Irma","non-dropping-particle":"","parse-names":false,"suffix":""},{"dropping-particle":"","family":"Kieling","given":"Christian","non-dropping-particle":"","parse-names":false,"suffix":""},{"dropping-particle":"","family":"Kim","given":"Daniel","non-dropping-particle":"","parse-names":false,"suffix":""},{"dropping-particle":"","family":"Kim","given":"Sungroul","non-dropping-particle":"","parse-names":false,"suffix":""},{"dropping-particle":"","family":"Kim","given":"Yunjin","non-dropping-particle":"","parse-names":false,"suffix":""},{"dropping-particle":"","family":"Kimokoti","given":"Ruth W","non-dropping-particle":"","parse-names":false,"suffix":""},{"dropping-particle":"","family":"Kinfu","given":"Yohannes","non-dropping-particle":"","parse-names":false,"suffix":""},{"dropping-particle":"","family":"Kinge","given":"Jonas M","non-dropping-particle":"","parse-names":false,"suffix":""},{"dropping-particle":"","family":"Kissela","given":"Brett M","non-dropping-particle":"","parse-names":false,"suffix":""},{"dropping-particle":"","family":"Kivipelto","given":"Miia","non-dropping-particle":"","parse-names":false,"suffix":""},{"dropping-particle":"","family":"Knibbs","given":"Luke D","non-dropping-particle":"","parse-names":false,"suffix":""},{"dropping-particle":"","family":"Knudsen","given":"Ann Kristin","non-dropping-particle":"","parse-names":false,"suffix":""},{"dropping-particle":"","family":"Kokubo","given":"Yoshihiro","non-dropping-particle":"","parse-names":false,"suffix":""},{"dropping-particle":"","family":"Kose","given":"M Rifat","non-dropping-particle":"","parse-names":false,"suffix":""},{"dropping-particle":"","family":"Kosen","given":"Soewarta","non-dropping-particle":"","parse-names":false,"suffix":""},{"dropping-particle":"","family":"Kraemer","given":"Alexander","non-dropping-particle":"","parse-names":false,"suffix":""},{"dropping-particle":"","family":"Kravchenko","given":"Michael","non-dropping-particle":"","parse-names":false,"suffix":""},{"dropping-particle":"","family":"Krishnaswami","given":"Sanjay","non-dropping-particle":"","parse-names":false,"suffix":""},{"dropping-particle":"","family":"Kromhout","given":"Hans","non-dropping-particle":"","parse-names":false,"suffix":""},{"dropping-particle":"","family":"Ku","given":"Tiffany","non-dropping-particle":"","parse-names":false,"suffix":""},{"dropping-particle":"","family":"Defo","given":"Barthelemy Kuate","non-dropping-particle":"","parse-names":false,"suffix":""},{"dropping-particle":"","family":"Bicer","given":"Burcu Kucuk","non-dropping-particle":"","parse-names":false,"suffix":""},{"dropping-particle":"","family":"Kuipers","given":"Ernst J","non-dropping-particle":"","parse-names":false,"suffix":""},{"dropping-particle":"","family":"Kulkarni","given":"Chanda","non-dropping-particle":"","parse-names":false,"suffix":""},{"dropping-particle":"","family":"Kulkarni","given":"Veena S","non-dropping-particle":"","parse-names":false,"suffix":""},{"dropping-particle":"","family":"Kumar","given":"G Anil","non-dropping-particle":"","parse-names":false,"suffix":""},{"dropping-particle":"","family":"Kwan","given":"Gene F","non-dropping-particle":"","parse-names":false,"suffix":""},{"dropping-particle":"","family":"Lai","given":"Taavi","non-dropping-particle":"","parse-names":false,"suffix":""},{"dropping-particle":"","family":"Balaji","given":"Arjun Lakshmana","non-dropping-particle":"","parse-names":false,"suffix":""},{"dropping-particle":"","family":"Lalloo","given":"Ratilal","non-dropping-particle":"","parse-names":false,"suffix":""},{"dropping-particle":"","family":"Lallukka","given":"Tea","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 J","non-dropping-particle":"","parse-names":false,"suffix":""},{"dropping-particle":"","family":"Larsson","given":"Anders","non-dropping-particle":"","parse-names":false,"suffix":""},{"dropping-particle":"","family":"Laryea","given":"Dennis O","non-dropping-particle":"","parse-names":false,"suffix":""},{"dropping-particle":"","family":"Lavados","given":"Pablo M","non-dropping-particle":"","parse-names":false,"suffix":""},{"dropping-particle":"","family":"Lawrynowicz","given":"Alicia E","non-dropping-particle":"","parse-names":false,"suffix":""},{"dropping-particle":"","family":"Leasher","given":"Janet L","non-dropping-particle":"","parse-names":false,"suffix":""},{"dropping-particle":"","family":"Lee","given":"Jong-Tae","non-dropping-particle":"","parse-names":false,"suffix":""},{"dropping-particle":"","family":"Leigh","given":"James","non-dropping-particle":"","parse-names":false,"suffix":""},{"dropping-particle":"","family":"Leung","given":"Ricky","non-dropping-particle":"","parse-names":false,"suffix":""},{"dropping-particle":"","family":"Levi","given":"Miriam","non-dropping-particle":"","parse-names":false,"suffix":""},{"dropping-particle":"","family":"Li","given":"Yichong","non-dropping-particle":"","parse-names":false,"suffix":""},{"dropping-particle":"","family":"Li","given":"Yongmei","non-dropping-particle":"","parse-names":false,"suffix":""},{"dropping-particle":"","family":"Liang","given":"Juan","non-dropping-particle":"","parse-names":false,"suffix":""},{"dropping-particle":"","family":"Liang","given":"Xiaofeng","non-dropping-particle":"","parse-names":false,"suffix":""},{"dropping-particle":"","family":"Lim","given":"Stephen S","non-dropping-particle":"","parse-names":false,"suffix":""},{"dropping-particle":"","family":"Lindsay","given":"M Patrice","non-dropping-particle":"","parse-names":false,"suffix":""},{"dropping-particle":"","family":"Lipshultz","given":"Steven E","non-dropping-particle":"","parse-names":false,"suffix":""},{"dropping-particle":"","family":"Liu","given":"Shiwei","non-dropping-particle":"","parse-names":false,"suffix":""},{"dropping-particle":"","family":"Liu","given":"Yang","non-dropping-particle":"","parse-names":false,"suffix":""},{"dropping-particle":"","family":"Lloyd","given":"Belinda K","non-dropping-particle":"","parse-names":false,"suffix":""},{"dropping-particle":"","family":"Logroscino","given":"Giancarlo","non-dropping-particle":"","parse-names":false,"suffix":""},{"dropping-particle":"","family":"London","given":"Stephanie J","non-dropping-particle":"","parse-names":false,"suffix":""},{"dropping-particle":"","family":"Lopez","given":"Nancy","non-dropping-particle":"","parse-names":false,"suffix":""},{"dropping-particle":"","family":"Lortet-Tieulent","given":"Joannie","non-dropping-particle":"","parse-names":false,"suffix":""},{"dropping-particle":"","family":"Lotufo","given":"Paulo A","non-dropping-particle":"","parse-names":false,"suffix":""},{"dropping-particle":"","family":"Lozano","given":"Rafael","non-dropping-particle":"","parse-names":false,"suffix":""},{"dropping-particle":"","family":"Lunevicius","given":"Raimundas","non-dropping-particle":"","parse-names":false,"suffix":""},{"dropping-particle":"","family":"Ma","given":"Jixiang","non-dropping-particle":"","parse-names":false,"suffix":""},{"dropping-particle":"","family":"Ma","given":"Stefan","non-dropping-particle":"","parse-names":false,"suffix":""},{"dropping-particle":"","family":"Machado","given":"Vasco M P","non-dropping-particle":"","parse-names":false,"suffix":""},{"dropping-particle":"","family":"MacIntyre","given":"Michael F","non-dropping-particle":"","parse-names":false,"suffix":""},{"dropping-particle":"","family":"Magis-Rodriguez","given":"Carlos","non-dropping-particle":"","parse-names":false,"suffix":""},{"dropping-particle":"","family":"Mahdi","given":"Abbas A","non-dropping-particle":"","parse-names":false,"suffix":""},{"dropping-particle":"","family":"Majdan","given":"Marek","non-dropping-particle":"","parse-names":false,"suffix":""},{"dropping-particle":"","family":"Malekzadeh","given":"Reza","non-dropping-particle":"","parse-names":false,"suffix":""},{"dropping-particle":"","family":"Mangalam","given":"Srikanth","non-dropping-particle":"","parse-names":false,"suffix":""},{"dropping-particle":"","family":"Mapoma","given":"Christopher C","non-dropping-particle":"","parse-names":false,"suffix":""},{"dropping-particle":"","family":"Marape","given":"Marape","non-dropping-particle":"","parse-names":false,"suffix":""},{"dropping-particle":"","family":"Marcenes","given":"Wagner","non-dropping-particle":"","parse-names":false,"suffix":""},{"dropping-particle":"","family":"Margolis","given":"David J","non-dropping-particle":"","parse-names":false,"suffix":""},{"dropping-particle":"","family":"Margono","given":"Christopher","non-dropping-particle":"","parse-names":false,"suffix":""},{"dropping-particle":"","family":"Marks","given":"Guy B","non-dropping-particle":"","parse-names":false,"suffix":""},{"dropping-particle":"V","family":"Martin","given":"Randall","non-dropping-particle":"","parse-names":false,"suffix":""},{"dropping-particle":"","family":"Marzan","given":"Melvin B","non-dropping-particle":"","parse-names":false,"suffix":""},{"dropping-particle":"","family":"Mashal","given":"Mohammad T","non-dropping-particle":"","parse-names":false,"suffix":""},{"dropping-particle":"","family":"Masiye","given":"Felix","non-dropping-particle":"","parse-names":false,"suffix":""},{"dropping-particle":"","family":"Mason-Jones","given":"Amanda J","non-dropping-particle":"","parse-names":false,"suffix":""},{"dropping-particle":"","family":"Matsushita","given":"Kunihiro","non-dropping-particle":"","parse-names":false,"suffix":""},{"dropping-particle":"","family":"Matzopoulos","given":"Richard","non-dropping-particle":"","parse-names":false,"suffix":""},{"dropping-particle":"","family":"Mayosi","given":"Bongani M","non-dropping-particle":"","parse-names":false,"suffix":""},{"dropping-particle":"","family":"Mazorodze","given":"Tasara T","non-dropping-particle":"","parse-names":false,"suffix":""},{"dropping-particle":"","family":"McKay","given":"Abigail C","non-dropping-particle":"","parse-names":false,"suffix":""},{"dropping-particle":"","family":"McKee","given":"Martin","non-dropping-particle":"","parse-names":false,"suffix":""},{"dropping-particle":"","family":"McLain","given":"Abigail","non-dropping-particle":"","parse-names":false,"suffix":""},{"dropping-particle":"","family":"Meaney","given":"Peter A","non-dropping-particle":"","parse-names":false,"suffix":""},{"dropping-particle":"","family":"Medina","given":"Catalina","non-dropping-particle":"","parse-names":false,"suffix":""},{"dropping-particle":"","family":"Mehndiratta","given":"Man Mohan","non-dropping-particle":"","parse-names":false,"suffix":""},{"dropping-particle":"","family":"Mejia-Rodriguez","given":"Fabiola","non-dropping-particle":"","parse-names":false,"suffix":""},{"dropping-particle":"","family":"Mekonnen","given":"Wubegzier","non-dropping-particle":"","parse-names":false,"suffix":""},{"dropping-particle":"","family":"Melaku","given":"Yohannes A","non-dropping-particle":"","parse-names":false,"suffix":""},{"dropping-particle":"","family":"Meltzer","given":"Michele","non-dropping-particle":"","parse-names":false,"suffix":""},{"dropping-particle":"","family":"Memish","given":"Ziad A","non-dropping-particle":"","parse-names":false,"suffix":""},{"dropping-particle":"","family":"Mendoza","given":"Walter","non-dropping-particle":"","parse-names":false,"suffix":""},{"dropping-particle":"","family":"Mensah","given":"George A","non-dropping-particle":"","parse-names":false,"suffix":""},{"dropping-particle":"","family":"Meretoja","given":"Atte","non-dropping-particle":"","parse-names":false,"suffix":""},{"dropping-particle":"","family":"Mhimbira","given":"Francis Apolinary","non-dropping-particle":"","parse-names":false,"suffix":""},{"dropping-particle":"","family":"Micha","given":"Renata","non-dropping-particle":"","parse-names":false,"suffix":""},{"dropping-particle":"","family":"Miller","given":"Ted R","non-dropping-particle":"","parse-names":false,"suffix":""},{"dropping-particle":"","family":"Mills","given":"Edward J","non-dropping-particle":"","parse-names":false,"suffix":""},{"dropping-particle":"","family":"Misganaw","given":"Awoke","non-dropping-particle":"","parse-names":false,"suffix":""},{"dropping-particle":"","family":"Mishra","given":"Santosh","non-dropping-particle":"","parse-names":false,"suffix":""},{"dropping-particle":"","family":"Ibrahim","given":"Norlinah Mohamed","non-dropping-particle":"","parse-names":false,"suffix":""},{"dropping-particle":"","family":"Mohammad","given":"Karzan A","non-dropping-particle":"","parse-names":false,"suffix":""},{"dropping-particle":"","family":"Mokdad","given":"Ali H","non-dropping-particle":"","parse-names":false,"suffix":""},{"dropping-particle":"","family":"Mola","given":"Glen L","non-dropping-particle":"","parse-names":false,"suffix":""},{"dropping-particle":"","family":"Monasta","given":"Lorenzo","non-dropping-particle":"","parse-names":false,"suffix":""},{"dropping-particle":"","family":"Hernandez","given":"Julio C Montañez","non-dropping-particle":"","parse-names":false,"suffix":""},{"dropping-particle":"","family":"Montico","given":"Marcella","non-dropping-particle":"","parse-names":false,"suffix":""},{"dropping-particle":"","family":"Moore","given":"Ami R","non-dropping-particle":"","parse-names":false,"suffix":""},{"dropping-particle":"","family":"Morawska","given":"Lidia","non-dropping-particle":"","parse-names":false,"suffix":""},{"dropping-particle":"","family":"Mori","given":"Rintaro","non-dropping-particle":"","parse-names":false,"suffix":""},{"dropping-particle":"","family":"Moschandreas","given":"Joanna","non-dropping-particle":"","parse-names":false,"suffix":""},{"dropping-particle":"","family":"Moturi","given":"Wilkister N","non-dropping-particle":"","parse-names":false,"suffix":""},{"dropping-particle":"","family":"Mozaffarian","given":"Dariush","non-dropping-particle":"","parse-names":false,"suffix":""},{"dropping-particle":"","family":"Mueller","given":"Ulrich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O","non-dropping-particle":"","parse-names":false,"suffix":""},{"dropping-particle":"","family":"Mukaigawara","given":"Mitsuru","non-dropping-particle":"","parse-names":false,"suffix":""},{"dropping-particle":"","family":"Mullany","given":"Erin C","non-dropping-particle":"","parse-names":false,"suffix":""},{"dropping-particle":"","family":"Murthy","given":"Kinnari S","non-dropping-particle":"","parse-names":false,"suffix":""},{"dropping-particle":"","family":"Naghavi","given":"Mohsen","non-dropping-particle":"","parse-names":false,"suffix":""},{"dropping-particle":"","family":"Nahas","given":"Ziad","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 Venkat","non-dropping-particle":"","parse-names":false,"suffix":""},{"dropping-particle":"","family":"Nash","given":"Denis","non-dropping-particle":"","parse-names":false,"suffix":""},{"dropping-particle":"","family":"Neal","given":"Bruce","non-dropping-particle":"","parse-names":false,"suffix":""},{"dropping-particle":"","family":"Nejjari","given":"Chakib","non-dropping-particle":"","parse-names":false,"suffix":""},{"dropping-particle":"","family":"Neupane","given":"Sudan P","non-dropping-particle":"","parse-names":false,"suffix":""},{"dropping-particle":"","family":"Newton","given":"Charles R","non-dropping-particle":"","parse-names":false,"suffix":""},{"dropping-particle":"","family":"Ngalesoni","given":"Frida N","non-dropping-particle":"","parse-names":false,"suffix":""},{"dropping-particle":"","family":"Dieu Ngirabega","given":"Jean","non-dropping-particle":"de","parse-names":false,"suffix":""},{"dropping-particle":"","family":"Nguyen","given":"Grant","non-dropping-particle":"","parse-names":false,"suffix":""},{"dropping-particle":"","family":"Nguyen","given":"Nhung T","non-dropping-particle":"","parse-names":false,"suffix":""},{"dropping-particle":"","family":"Nieuwenhuijsen","given":"Mark J","non-dropping-particle":"","parse-names":false,"suffix":""},{"dropping-particle":"","family":"Nisar","given":"Muhammad I","non-dropping-particle":"","parse-names":false,"suffix":""},{"dropping-particle":"","family":"Nogueira","given":"José R","non-dropping-particle":"","parse-names":false,"suffix":""},{"dropping-particle":"","family":"Nolla","given":"Joan M","non-dropping-particle":"","parse-names":false,"suffix":""},{"dropping-particle":"","family":"Nolte","given":"Sandra","non-dropping-particle":"","parse-names":false,"suffix":""},{"dropping-particle":"","family":"Norheim","given":"Ole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h","given":"In-Hwan","non-dropping-particle":"","parse-names":false,"suffix":""},{"dropping-particle":"","family":"Ohkubo","given":"Takayoshi","non-dropping-particle":"","parse-names":false,"suffix":""},{"dropping-particle":"","family":"Olusanya","given":"Bolajoko O","non-dropping-particle":"","parse-names":false,"suffix":""},{"dropping-particle":"","family":"Omer","given":"Saad B","non-dropping-particle":"","parse-names":false,"suffix":""},{"dropping-particle":"","family":"Opio","given":"John Nelson","non-dropping-particle":"","parse-names":false,"suffix":""},{"dropping-particle":"","family":"Orozco","given":"Ricardo","non-dropping-particle":"","parse-names":false,"suffix":""},{"dropping-particle":"","family":"Pagcatipunan","given":"Rodolfo S","non-dropping-particle":"","parse-names":false,"suffix":""},{"dropping-particle":"","family":"Pain","given":"Amanda W","non-dropping-particle":"","parse-names":false,"suffix":""},{"dropping-particle":"","family":"Pandian","given":"Jeyaraj D","non-dropping-particle":"","parse-names":false,"suffix":""},{"dropping-particle":"","family":"Panelo","given":"Carlo Irwin A","non-dropping-particle":"","parse-names":false,"suffix":""},{"dropping-particle":"","family":"Papachristou","given":"Christina","non-dropping-particle":"","parse-names":false,"suffix":""},{"dropping-particle":"","family":"Park","given":"Eun-Kee","non-dropping-particle":"","parse-names":false,"suffix":""},{"dropping-particle":"","family":"Parry","given":"Charles D","non-dropping-particle":"","parse-names":false,"suffix":""},{"dropping-particle":"","family":"Caicedo","given":"Angel J Paternina","non-dropping-particle":"","parse-names":false,"suffix":""},{"dropping-particle":"","family":"Patten","given":"Scott B","non-dropping-particle":"","parse-names":false,"suffix":""},{"dropping-particle":"","family":"Paul","given":"Vinod K","non-dropping-particle":"","parse-names":false,"suffix":""},{"dropping-particle":"","family":"Pavlin","given":"Boris I","non-dropping-particle":"","parse-names":false,"suffix":""},{"dropping-particle":"","family":"Pearce","given":"Neil","non-dropping-particle":"","parse-names":false,"suffix":""},{"dropping-particle":"","family":"Pedraza","given":"Lilia S","non-dropping-particle":"","parse-names":false,"suffix":""},{"dropping-particle":"","family":"Pedroza","given":"Andrea","non-dropping-particle":"","parse-names":false,"suffix":""},{"dropping-particle":"","family":"Stokic","given":"Ljiljana Pejin","non-dropping-particle":"","parse-names":false,"suffix":""},{"dropping-particle":"","family":"Pekericli","given":"Ayfer","non-dropping-particle":"","parse-names":false,"suffix":""},{"dropping-particle":"","family":"Pereira","given":"David M","non-dropping-particle":"","parse-names":false,"suffix":""},{"dropping-particle":"","family":"Perez-Padilla","given":"Rogelio","non-dropping-particle":"","parse-names":false,"suffix":""},{"dropping-particle":"","family":"Perez-Ruiz","given":"Fernando","non-dropping-particle":"","parse-names":false,"suffix":""},{"dropping-particle":"","family":"Perico","given":"Norberto","non-dropping-particle":"","parse-names":false,"suffix":""},{"dropping-particle":"","family":"Perry","given":"Samuel A L","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B","non-dropping-particle":"","parse-names":false,"suffix":""},{"dropping-particle":"","family":"Petzold","given":"Max","non-dropping-particle":"","parse-names":false,"suffix":""},{"dropping-particle":"","family":"Phillips","given":"Michael R","non-dropping-particle":"","parse-names":false,"suffix":""},{"dropping-particle":"","family":"Phua","given":"Hwee Pin","non-dropping-particle":"","parse-names":false,"suffix":""},{"dropping-particle":"","family":"Plass","given":"Dietrich","non-dropping-particle":"","parse-names":false,"suffix":""},{"dropping-particle":"","family":"Poenaru","given":"Dan","non-dropping-particle":"","parse-names":false,"suffix":""},{"dropping-particle":"V","family":"Polanczyk","given":"Guilherme","non-dropping-particle":"","parse-names":false,"suffix":""},{"dropping-particle":"","family":"Polinder","given":"Suzanne","non-dropping-particle":"","parse-names":false,"suffix":""},{"dropping-particle":"","family":"Pond","given":"Constance D","non-dropping-particle":"","parse-names":false,"suffix":""},{"dropping-particle":"","family":"Pope","given":"C Arden","non-dropping-particle":"","parse-names":false,"suffix":""},{"dropping-particle":"","family":"Pope","given":"Daniel","non-dropping-particle":"","parse-names":false,"suffix":""},{"dropping-particle":"","family":"Popova","given":"Svetlana","non-dropping-particle":"","parse-names":false,"suffix":""},{"dropping-particle":"","family":"Pourmalek","given":"Farshad","non-dropping-particle":"","parse-names":false,"suffix":""},{"dropping-particle":"","family":"Powles","given":"John","non-dropping-particle":"","parse-names":false,"suffix":""},{"dropping-particle":"","family":"Prabhakaran","given":"Dorairaj","non-dropping-particle":"","parse-names":false,"suffix":""},{"dropping-particle":"","family":"Prasad","given":"Noela M","non-dropping-particle":"","parse-names":false,"suffix":""},{"dropping-particle":"","family":"Qato","given":"Dima M","non-dropping-particle":"","parse-names":false,"suffix":""},{"dropping-particle":"","family":"Quezada","given":"Amado D","non-dropping-particle":"","parse-names":false,"suffix":""},{"dropping-particle":"","family":"Quistberg","given":"D Alex A","non-dropping-particle":"","parse-names":false,"suffix":""},{"dropping-particle":"","family":"Racapé","given":"Lionel","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ao","given":"Mayuree","non-dropping-particle":"","parse-names":false,"suffix":""},{"dropping-particle":"","family":"Razavi","given":"Homie","non-dropping-particle":"","parse-names":false,"suffix":""},{"dropping-particle":"","family":"Reddy","given":"K Srinath","non-dropping-particle":"","parse-names":false,"suffix":""},{"dropping-particle":"","family":"Refaat","given":"Amany H","non-dropping-particle":"","parse-names":false,"suffix":""},{"dropping-particle":"","family":"Rehm","given":"Jürgen","non-dropping-particle":"","parse-names":false,"suffix":""},{"dropping-particle":"","family":"Remuzzi","given":"Giuseppe","non-dropping-particle":"","parse-names":false,"suffix":""},{"dropping-particle":"","family":"Ribeiro","given":"Antonio L","non-dropping-particle":"","parse-names":false,"suffix":""},{"dropping-particle":"","family":"Riccio","given":"Patricia M","non-dropping-particle":"","parse-names":false,"suffix":""},{"dropping-particle":"","family":"Richardson","given":"Lee","non-dropping-particle":"","parse-names":false,"suffix":""},{"dropping-particle":"","family":"Riederer","given":"Anne","non-dropping-particle":"","parse-names":false,"suffix":""},{"dropping-particle":"","family":"Robinson","given":"Margare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mieu","given":"Isabelle","non-dropping-particle":"","parse-names":false,"suffix":""},{"dropping-particle":"","family":"Ronfani","given":"Luca","non-dropping-particle":"","parse-names":false,"suffix":""},{"dropping-particle":"","family":"Room","given":"Robin","non-dropping-particle":"","parse-names":false,"suffix":""},{"dropping-particle":"","family":"Roy","given":"Nobhojit","non-dropping-particle":"","parse-names":false,"suffix":""},{"dropping-particle":"","family":"Ruhago","given":"George M","non-dropping-particle":"","parse-names":false,"suffix":""},{"dropping-particle":"","family":"Rushton","given":"Lesley","non-dropping-particle":"","parse-names":false,"suffix":""},{"dropping-particle":"","family":"Sabin","given":"Nsanzimana","non-dropping-particle":"","parse-names":false,"suffix":""},{"dropping-particle":"","family":"Sacco","given":"Ralph L","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Ali","non-dropping-particle":"","parse-names":false,"suffix":""},{"dropping-particle":"","family":"Salomon","given":"Joshua A","non-dropping-particle":"","parse-names":false,"suffix":""},{"dropping-particle":"","family":"Salvo","given":"Deborah","non-dropping-particle":"","parse-names":false,"suffix":""},{"dropping-particle":"","family":"Sampson","given":"Uchechukwu K","non-dropping-particle":"","parse-names":false,"suffix":""},{"dropping-particle":"","family":"Sanabria","given":"Juan R","non-dropping-particle":"","parse-names":false,"suffix":""},{"dropping-particle":"","family":"Sanchez","given":"Luz Maria","non-dropping-particle":"","parse-names":false,"suffix":""},{"dropping-particle":"","family":"Sánchez-Pimienta","given":"Tania G","non-dropping-particle":"","parse-names":false,"suffix":""},{"dropping-particle":"","family":"Sanchez-Riera","given":"Lidia","non-dropping-particle":"","parse-names":false,"suffix":""},{"dropping-particle":"","family":"Sandar","given":"Logan","non-dropping-particle":"","parse-names":false,"suffix":""},{"dropping-particle":"","family":"Santos","given":"Itamar S","non-dropping-particle":"","parse-names":false,"suffix":""},{"dropping-particle":"","family":"Sapkota","given":"Amir","non-dropping-particle":"","parse-names":false,"suffix":""},{"dropping-particle":"","family":"Satpathy","given":"Maheswar","non-dropping-particle":"","parse-names":false,"suffix":""},{"dropping-particle":"","family":"Saunders","given":"James E","non-dropping-particle":"","parse-names":false,"suffix":""},{"dropping-particle":"","family":"Sawhney","given":"Monika","non-dropping-particle":"","parse-names":false,"suffix":""},{"dropping-particle":"","family":"Saylan","given":"Mete I","non-dropping-particle":"","parse-names":false,"suffix":""},{"dropping-particle":"","family":"Scarborough","given":"Peter","non-dropping-particle":"","parse-names":false,"suffix":""},{"dropping-particle":"","family":"Schmidt","given":"Jürgen C","non-dropping-particle":"","parse-names":false,"suffix":""},{"dropping-particle":"","family":"Schneider","given":"Ione J C","non-dropping-particle":"","parse-names":false,"suffix":""},{"dropping-particle":"","family":"Schöttker","given":"Ben","non-dropping-particle":"","parse-names":false,"suffix":""},{"dropping-particle":"","family":"Schwebel","given":"David C","non-dropping-particle":"","parse-names":false,"suffix":""},{"dropping-particle":"","family":"Scott","given":"James G","non-dropping-particle":"","parse-names":false,"suffix":""},{"dropping-particle":"","family":"Seedat","given":"Soraya","non-dropping-particle":"","parse-names":false,"suffix":""},{"dropping-particle":"","family":"Sepanlou","given":"Sadaf G","non-dropping-particle":"","parse-names":false,"suffix":""},{"dropping-particle":"","family":"Serdar","given":"Berrin","non-dropping-particle":"","parse-names":false,"suffix":""},{"dropping-particle":"","family":"Servan-Mori","given":"Edson E","non-dropping-particle":"","parse-names":false,"suffix":""},{"dropping-particle":"","family":"Shaddick","given":"Gavin","non-dropping-particle":"","parse-names":false,"suffix":""},{"dropping-particle":"","family":"Shahraz","given":"Saeid","non-dropping-particle":"","parse-names":false,"suffix":""},{"dropping-particle":"","family":"Levy","given":"Teresa Shamah","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ibuya","given":"Kenji","non-dropping-particle":"","parse-names":false,"suffix":""},{"dropping-particle":"","family":"Shin","given":"Hwashin H","non-dropping-particle":"","parse-names":false,"suffix":""},{"dropping-particle":"","family":"Shinohara","given":"Yukito","non-dropping-particle":"","parse-names":false,"suffix":""},{"dropping-particle":"","family":"Shiri","given":"Rahman","non-dropping-particle":"","parse-names":false,"suffix":""},{"dropping-particle":"","family":"Shishani","given":"Kawkab","non-dropping-particle":"","parse-names":false,"suffix":""},{"dropping-particle":"","family":"Shiue","given":"Ivy","non-dropping-particle":"","parse-names":false,"suffix":""},{"dropping-particle":"","family":"Sigfusdottir","given":"Inga D","non-dropping-particle":"","parse-names":false,"suffix":""},{"dropping-particle":"","family":"Silberberg","given":"Donald H","non-dropping-particle":"","parse-names":false,"suffix":""},{"dropping-particle":"","family":"Simard","given":"Edgar P","non-dropping-particle":"","parse-names":false,"suffix":""},{"dropping-particle":"","family":"Sindi","given":"Shireen","non-dropping-particle":"","parse-names":false,"suffix":""},{"dropping-particle":"","family":"Singh","given":"Abhishek","non-dropping-particle":"","parse-names":false,"suffix":""},{"dropping-particle":"","family":"Singh","given":"Gitanjali M","non-dropping-particle":"","parse-names":false,"suffix":""},{"dropping-particle":"","family":"Singh","given":"Jasvinder A","non-dropping-particle":"","parse-names":false,"suffix":""},{"dropping-particle":"","family":"Skirbekk","given":"Vegard","non-dropping-particle":"","parse-names":false,"suffix":""},{"dropping-particle":"","family":"Sliwa","given":"Karen","non-dropping-particle":"","parse-names":false,"suffix":""},{"dropping-particle":"","family":"Soljak","given":"Michael","non-dropping-particle":"","parse-names":false,"suffix":""},{"dropping-particle":"","family":"Soneji","given":"Samir","non-dropping-particle":"","parse-names":false,"suffix":""},{"dropping-particle":"","family":"Søreide","given":"Kjetil","non-dropping-particle":"","parse-names":false,"suffix":""},{"dropping-particle":"","family":"Soshnikov","given":"Sergey","non-dropping-particle":"","parse-names":false,"suffix":""},{"dropping-particle":"","family":"Sposato","given":"Luciano A","non-dropping-particle":"","parse-names":false,"suffix":""},{"dropping-particle":"","family":"Sreeramareddy","given":"Chandrashekhar T","non-dropping-particle":"","parse-names":false,"suffix":""},{"dropping-particle":"","family":"Stapelberg","given":"Nicolas J C","non-dropping-particle":"","parse-names":false,"suffix":""},{"dropping-particle":"","family":"Stathopoulou","given":"Vasiliki","non-dropping-particle":"","parse-names":false,"suffix":""},{"dropping-particle":"","family":"Steckling","given":"Nadine","non-dropping-particle":"","parse-names":false,"suffix":""},{"dropping-particle":"","family":"Stein","given":"Dan J","non-dropping-particle":"","parse-names":false,"suffix":""},{"dropping-particle":"","family":"Stein","given":"Murray B","non-dropping-particle":"","parse-names":false,"suffix":""},{"dropping-particle":"","family":"Stephens","given":"Natalie","non-dropping-particle":"","parse-names":false,"suffix":""},{"dropping-particle":"","family":"Stöckl","given":"Heidi","non-dropping-particle":"","parse-names":false,"suffix":""},{"dropping-particle":"","family":"Straif","given":"Kurt","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minathan","given":"Soumya","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M","non-dropping-particle":"","parse-names":false,"suffix":""},{"dropping-particle":"","family":"Takahashi","given":"Ken","non-dropping-particle":"","parse-names":false,"suffix":""},{"dropping-particle":"","family":"Talongwa","given":"Roberto T","non-dropping-particle":"","parse-names":false,"suffix":""},{"dropping-particle":"","family":"Tandon","given":"Nikhil","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Ao","given":"Braden J","non-dropping-particle":"Te","parse-names":false,"suffix":""},{"dropping-particle":"","family":"Teixeira","given":"Carolina M","non-dropping-particle":"","parse-names":false,"suffix":""},{"dropping-particle":"","family":"Téllez Rojo","given":"Martha M","non-dropping-particle":"","parse-names":false,"suffix":""},{"dropping-particle":"","family":"Terkawi","given":"Abdullah S","non-dropping-particle":"","parse-names":false,"suffix":""},{"dropping-particle":"","family":"Texcalac-Sangrador","given":"José Luis","non-dropping-particle":"","parse-names":false,"suffix":""},{"dropping-particle":"V","family":"Thackway","given":"Sarah","non-dropping-particle":"","parse-names":false,"suffix":""},{"dropping-particle":"","family":"Thomson","given":"Blake","non-dropping-particle":"","parse-names":false,"suffix":""},{"dropping-particle":"","family":"Thorne-Lyman","given":"Andrew L","non-dropping-particle":"","parse-names":false,"suffix":""},{"dropping-particle":"","family":"Thrift","given":"Amanda G","non-dropping-particle":"","parse-names":false,"suffix":""},{"dropping-particle":"","family":"Thurston","given":"George D","non-dropping-particle":"","parse-names":false,"suffix":""},{"dropping-particle":"","family":"Tillmann","given":"Taavi","non-dropping-particle":"","parse-names":false,"suffix":""},{"dropping-particle":"","family":"Tobollik","given":"Myria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asande","given":"Leonardo","non-dropping-particle":"","parse-names":false,"suffix":""},{"dropping-particle":"","family":"Trillini","given":"Matias","non-dropping-particle":"","parse-names":false,"suffix":""},{"dropping-particle":"","family":"Trujillo","given":"Ulises","non-dropping-particle":"","parse-names":false,"suffix":""},{"dropping-particle":"","family":"Dimbuene","given":"Zacharie Tsala","non-dropping-particle":"","parse-names":false,"suffix":""},{"dropping-particle":"","family":"Tsilimbaris","given":"Miltiadis","non-dropping-particle":"","parse-names":false,"suffix":""},{"dropping-particle":"","family":"Tuzcu","given":"Emin Murat","non-dropping-particle":"","parse-names":false,"suffix":""},{"dropping-particle":"","family":"Uchendu","given":"Uche S","non-dropping-particle":"","parse-names":false,"suffix":""},{"dropping-particle":"","family":"Ukwaja","given":"Kingsley N","non-dropping-particle":"","parse-names":false,"suffix":""},{"dropping-particle":"","family":"Uzun","given":"Selen B","non-dropping-particle":"","parse-names":false,"suffix":""},{"dropping-particle":"","family":"Vijver","given":"Steven","non-dropping-particle":"van de","parse-names":false,"suffix":""},{"dropping-particle":"","family":"Dingenen","given":"Rita","non-dropping-particle":"Van","parse-names":false,"suffix":""},{"dropping-particle":"","family":"Gool","given":"Coen H","non-dropping-particle":"van","parse-names":false,"suffix":""},{"dropping-particle":"","family":"Os","given":"Jim","non-dropping-particle":"van","parse-names":false,"suffix":""},{"dropping-particle":"","family":"Varakin","given":"Yuri Y","non-dropping-particle":"","parse-names":false,"suffix":""},{"dropping-particle":"","family":"Vasankari","given":"Tommi J","non-dropping-particle":"","parse-names":false,"suffix":""},{"dropping-particle":"","family":"Vasconcelos","given":"Ana Maria N","non-dropping-particle":"","parse-names":false,"suffix":""},{"dropping-particle":"","family":"Vavilala","given":"Monica S","non-dropping-particle":"","parse-names":false,"suffix":""},{"dropping-particle":"","family":"Veerman","given":"Lennert J","non-dropping-particle":"","parse-names":false,"suffix":""},{"dropping-particle":"","family":"Velasquez-Melendez","given":"Gustavo","non-dropping-particle":"","parse-names":false,"suffix":""},{"dropping-particle":"","family":"Venketasubramanian","given":"N","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S","non-dropping-particle":"","parse-names":false,"suffix":""},{"dropping-particle":"","family":"Vlassov","given":"Vasiliy Victorovich","non-dropping-particle":"","parse-names":false,"suffix":""},{"dropping-particle":"","family":"Vollset","given":"Stein Emil","non-dropping-particle":"","parse-names":false,"suffix":""},{"dropping-particle":"","family":"Wagner","given":"Gregory R","non-dropping-particle":"","parse-names":false,"suffix":""},{"dropping-particle":"","family":"Waller","given":"Stephen G","non-dropping-particle":"","parse-names":false,"suffix":""},{"dropping-particle":"","family":"Wallin","given":"Mitchell T","non-dropping-particle":"","parse-names":false,"suffix":""},{"dropping-particle":"","family":"Wan","given":"Xia","non-dropping-particle":"","parse-names":false,"suffix":""},{"dropping-particle":"","family":"Wang","given":"Haidong","non-dropping-particle":"","parse-names":false,"suffix":""},{"dropping-particle":"","family":"Wang","given":"JianLi","non-dropping-particle":"","parse-names":false,"suffix":""},{"dropping-particle":"","family":"Wang","given":"Linhong","non-dropping-particle":"","parse-names":false,"suffix":""},{"dropping-particle":"","family":"Wang","given":"Wenzhi","non-dropping-particle":"","parse-names":false,"suffix":""},{"dropping-particle":"","family":"Wang","given":"Yanping","non-dropping-particle":"","parse-names":false,"suffix":""},{"dropping-particle":"","family":"Warouw","given":"Tati S","non-dropping-particle":"","parse-names":false,"suffix":""},{"dropping-particle":"","family":"Watts","given":"Charlotte H","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G","non-dropping-particle":"","parse-names":false,"suffix":""},{"dropping-particle":"","family":"Werdecker","given":"Andrea","non-dropping-particle":"","parse-names":false,"suffix":""},{"dropping-particle":"","family":"Wessells","given":"K Ryan","non-dropping-particle":"","parse-names":false,"suffix":""},{"dropping-particle":"","family":"Westerman","given":"Ronny","non-dropping-particle":"","parse-names":false,"suffix":""},{"dropping-particle":"","family":"Whiteford","given":"Harvey A","non-dropping-particle":"","parse-names":false,"suffix":""},{"dropping-particle":"","family":"Wilkinson","given":"James D","non-dropping-particle":"","parse-names":false,"suffix":""},{"dropping-particle":"","family":"Williams","given":"Hywel C","non-dropping-particle":"","parse-names":false,"suffix":""},{"dropping-particle":"","family":"Williams","given":"Thomas N","non-dropping-particle":"","parse-names":false,"suffix":""},{"dropping-particle":"","family":"Woldeyohannes","given":"Solomon M","non-dropping-particle":"","parse-names":false,"suffix":""},{"dropping-particle":"","family":"Wolfe","given":"Charles D A","non-dropping-particle":"","parse-names":false,"suffix":""},{"dropping-particle":"","family":"Wong","given":"John Q","non-dropping-particle":"","parse-names":false,"suffix":""},{"dropping-particle":"","family":"Woolf","given":"Anthony D","non-dropping-particle":"","parse-names":false,"suffix":""},{"dropping-particle":"","family":"Wright","given":"Jonathan L","non-dropping-particle":"","parse-names":false,"suffix":""},{"dropping-particle":"","family":"Wurtz","given":"Brittany","non-dropping-particle":"","parse-names":false,"suffix":""},{"dropping-particle":"","family":"Xu","given":"Gelin","non-dropping-particle":"","parse-names":false,"suffix":""},{"dropping-particle":"","family":"Yan","given":"Lijing L","non-dropping-particle":"","parse-names":false,"suffix":""},{"dropping-particle":"","family":"Yang","given":"Gonghuan","non-dropping-particle":"","parse-names":false,"suffix":""},{"dropping-particle":"","family":"Yano","given":"Yuichiro","non-dropping-particle":"","parse-names":false,"suffix":""},{"dropping-particle":"","family":"Ye","given":"Pengpeng","non-dropping-particle":"","parse-names":false,"suffix":""},{"dropping-particle":"","family":"Yenesew","given":"Muluken","non-dropping-particle":"","parse-names":false,"suffix":""},{"dropping-particle":"","family":"Yentür","given":"Gökalp K","non-dropping-particle":"","parse-names":false,"suffix":""},{"dropping-particle":"","family":"Yip","given":"Paul","non-dropping-particle":"","parse-names":false,"suffix":""},{"dropping-particle":"","family":"Yonemoto","given":"Naohiro","non-dropping-particle":"","parse-names":false,"suffix":""},{"dropping-particle":"","family":"Yoon","given":"Seok-Jun","non-dropping-particle":"","parse-names":false,"suffix":""},{"dropping-particle":"","family":"Younis","given":"Mustafa Z","non-dropping-particle":"","parse-names":false,"suffix":""},{"dropping-particle":"","family":"Younoussi","given":"Zourkaleini","non-dropping-particle":"","parse-names":false,"suffix":""},{"dropping-particle":"","family":"Yu","given":"Chuanhua","non-dropping-particle":"","parse-names":false,"suffix":""},{"dropping-particle":"","family":"Zaki","given":"Maysaa E","non-dropping-particle":"","parse-names":false,"suffix":""},{"dropping-particle":"","family":"Zhao","given":"Yong","non-dropping-particle":"","parse-names":false,"suffix":""},{"dropping-particle":"","family":"Zheng","given":"Yingfeng","non-dropping-particle":"","parse-names":false,"suffix":""},{"dropping-particle":"","family":"Zhou","given":"Maigeng","non-dropping-particle":"","parse-names":false,"suffix":""},{"dropping-particle":"","family":"Zhu","given":"Jun","non-dropping-particle":"","parse-names":false,"suffix":""},{"dropping-particle":"","family":"Zhu","given":"Shankuan","non-dropping-particle":"","parse-names":false,"suffix":""},{"dropping-particle":"","family":"Zou","given":"Xiaonong","non-dropping-particle":"","parse-names":false,"suffix":""},{"dropping-particle":"","family":"Zunt","given":"Joseph R","non-dropping-particle":"","parse-names":false,"suffix":""},{"dropping-particle":"","family":"Lopez","given":"Alan D","non-dropping-particle":"","parse-names":false,"suffix":""},{"dropping-particle":"","family":"Vos","given":"Theo","non-dropping-particle":"","parse-names":false,"suffix":""},{"dropping-particle":"","family":"Murray","given":"Christopher J","non-dropping-particle":"","parse-names":false,"suffix":""}],"container-title":"The Lancet","id":"ITEM-1","issue":"10010","issued":{"date-parts":[["2015"]]},"page":"2287-2323","title":"Global, regional, and national comparative risk assessment of 79 behavioural, environmental and occupational, and metabolic risks or clusters of risks in 188 countries, 1990–2013: a systematic analysis for the global burden of disease study 2013","type":"article-journal","volume":"386"},"uris":["http://www.mendeley.com/documents/?uuid=8fd7baaa-482f-4cfb-ba2a-2acaa1985a4f"]},{"id":"ITEM-2","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Practice","id":"ITEM-2","issued":{"date-parts":[["2019"]]},"page":"107843","publisher":"Elsevier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edition","type":"article-journal","volume":"157"},"uris":["http://www.mendeley.com/documents/?uuid=d2427967-043a-4315-9977-8c46594ef56c"]}],"mendeley":{"formattedCitation":"(Forouzanfar et al., 2015; Saeedi et al., 2019)","plainTextFormattedCitation":"(Forouzanfar et al., 2015; Saeedi et al., 2019)","previouslyFormattedCitation":"(Forouzanfar et al., 2015; Saeedi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(Forouzanfar et al., 2015; Saeedi et al., 2019)</w:t>
      </w:r>
      <w:r w:rsidRPr="00103A0B">
        <w:rPr>
          <w:rFonts w:ascii="Arial" w:hAnsi="Arial" w:cs="Arial"/>
          <w:sz w:val="24"/>
          <w:szCs w:val="24"/>
        </w:rPr>
        <w:fldChar w:fldCharType="end"/>
      </w:r>
      <w:r w:rsidRPr="00103A0B">
        <w:rPr>
          <w:rFonts w:ascii="Arial" w:hAnsi="Arial" w:cs="Arial"/>
          <w:sz w:val="24"/>
          <w:szCs w:val="24"/>
        </w:rPr>
        <w:t xml:space="preserve">. </w:t>
      </w:r>
      <w:r w:rsidRPr="00103A0B">
        <w:rPr>
          <w:rFonts w:ascii="Arial" w:eastAsia="Times New Roman" w:hAnsi="Arial" w:cs="Arial"/>
          <w:sz w:val="24"/>
          <w:szCs w:val="24"/>
          <w:lang w:eastAsia="en-GB"/>
        </w:rPr>
        <w:t xml:space="preserve">Current research has also shown the importance of T2DM to Coronavirus Disease 2019 (COVID-19) outcomes such as increased mortality rates, which further highlights the need for T2DM prevention </w:t>
      </w:r>
      <w:r w:rsidRPr="00103A0B">
        <w:rPr>
          <w:rFonts w:ascii="Arial" w:eastAsia="Times New Roman" w:hAnsi="Arial" w:cs="Arial"/>
          <w:sz w:val="24"/>
          <w:szCs w:val="24"/>
          <w:lang w:eastAsia="en-GB"/>
        </w:rPr>
        <w:fldChar w:fldCharType="begin" w:fldLock="1"/>
      </w:r>
      <w:r w:rsidR="00F064BD" w:rsidRPr="00103A0B">
        <w:rPr>
          <w:rFonts w:ascii="Arial" w:eastAsia="Times New Roman" w:hAnsi="Arial" w:cs="Arial"/>
          <w:sz w:val="24"/>
          <w:szCs w:val="24"/>
          <w:lang w:eastAsia="en-GB"/>
        </w:rPr>
        <w:instrText xml:space="preserve">ADDIN CSL_CITATION {"citationItems":[{"id":"ITEM-1","itemData":{"DOI":"10.1016/s2213-8587(20)30238-2","ISSN":"22138587","PMID":"32687793","abstract":"Since the initial COVID-19 outbreak in China, much attention has focused on people with diabetes because of poor prognosis in those with the infection. Initial reports were mainly on people with type 2 diabetes, although recent surveys have shown that individuals with type 1 diabetes are also at risk of severe COVID-19. The reason for worse prognosis in people with diabetes is likely to be multifactorial, thus reflecting the syndromic nature of diabetes. Age, sex, ethnicity, comorbidities such as hypertension and cardiovascular disease, obesity, and a pro-inflammatory and pro-coagulative state all probably contribute to the risk of worse outcomes. Glucose-lowering agents and anti-viral treatments can modulate the risk, but limitations to their use and potential interactions with COVID-19 treatments should be carefully assessed. Finally, severe acute respiratory syndrome coronavirus 2 infection itself might represent a worsening factor for people with diabetes, as it can precipitate acute metabolic complications through direct negative effects on β-cell function. These effects on β-cell function might also cause diabetic ketoacidosis in individuals with diabetes, hyperglycaemia at hospital admission in individuals with unknown history of diabetes, and potentially new-onset diabetes.","author":[{"dropping-particle":"","family":"Apicella","given":"Matteo","non-dropping-particle":"","parse-names":false,"suffix":""},{"dropping-particle":"","family":"Campopiano","given":"Maria Cristina","non-dropping-particle":"","parse-names":false,"suffix":""},{"dropping-particle":"","family":"Mantuano","given":"Michele","non-dropping-particle":"","parse-names":false,"suffix":""},{"dropping-particle":"","family":"Mazoni","given":"Laura","non-dropping-particle":"","parse-names":false,"suffix":""},{"dropping-particle":"","family":"Coppelli","given":"Alberto","non-dropping-particle":"","parse-names":false,"suffix":""},{"dropping-particle":"","family":"Prato","given":"Stefano","non-dropping-particle":"Del","parse-names":false,"suffix":""}],"container-title":"The Lancet Diabetes and Endocrinology","id":"ITEM-1","issue":"9","issued":{"date-parts":[["2020"]]},"page":"782-792","publisher":"Elsevier Ltd","title":"COVID-19 in people with diabetes: understanding the reasons for worse outcomes","type":"article-journal","volume":"8"},"uris":["http://www.mendeley.com/documents/?uuid=a025ca6f-a3c7-45a8-ab05-a96205b9be5e"]},{"id":"ITEM-2","itemData":{"DOI":"10.1186/s12933-020-01047-y","ISSN":"14752840","PMID":"32527257","abstract":"A possible association could exist between type 2 diabetes mellitus (T2DM) and Coronavirus-19 (Covid-19) infection. Indeed, patients with T2DM show high prevalence, severity of disease and mortality during Covid-19 infection. However, the rates of severe disease are significantly higher in patients with diabetes compared with non-diabetes (34.6% vs. 14.2%; p &lt; 0.001). Similarly, T2DM patients have higher rates of need for Intensive Care Unit (ICU, 37.0% vs. 26.7%; p = 0.028). Thus, about the pneumonia of Covid-19, we might speculate that the complicated alveolar-capillary network of lungs could be targeted by T2DM micro-vascular damage. Therefore, T2DM patients frequently report respiratory symptoms and are at increased risk of several pulmonary diseases. In addition, pro-inflammatory pathways as that involving interleukin 6 (IL-6), could be a severity predictor of lung diseases. Therefore, it looks intuitive to speculate that this condition could explain the growing trend of cases, hospitalization and mortality for patients with T2DM during Covid-19 infection. To date, an ongoing experimental therapy with monoclonal antibody against the IL-6 receptor in Italy seems to have beneficial effects on severe lung disease and prognosis in patients with Covid-19 infection. Therefore, should patients with T2DM be treated with more attention to glycemic control and monoclonal antibody against the IL-6 receptor during the Covid-19 infection?","author":[{"dropping-particle":"","family":"Sardu","given":"Celestino","non-dropping-particle":"","parse-names":false,"suffix":""},{"dropping-particle":"","family":"Gargiulo","given":"Giuseppe","non-dropping-particle":"","parse-names":false,"suffix":""},{"dropping-particle":"","family":"Esposito","given":"Giovanni","non-dropping-particle":"","parse-names":false,"suffix":""},{"dropping-particle":"","family":"Paolisso","given":"Giuseppe","non-dropping-particle":"","parse-names":false,"suffix":""},{"dropping-particle":"","family":"Marfella","given":"Raffaele","non-dropping-particle":"","parse-names":false,"suffix":""}],"container-title":"Cardiovascular Diabetology","id":"ITEM-2","issue":"1","issued":{"date-parts":[["2020"]]},"page":"4-7","publisher":"BioMed Central","title":"Impact of diabetes mellitus on clinical outcomes in patients affected by Covid-19","type":"article-journal","volume":"19"},"uris":["http://www.mendeley.com/documents/?uuid=c07d1dc8-8edb-45cd-b4ad-b1e10edd5a4d"]},{"id":"ITEM-3","itemData":{"DOI":"10.2139/ssrn.3605226","ISSN":"1556-5068","abstract":"Background Although diabetes has been associated with COVID-19 mortality, its scale and relationships with modifiable risk factors including hyperglycaemia and obesity in Type 1 and Type 2 diabetes remain unclear. Methods National diabetes and mortality data in England identified deaths in people with Type 1 and Type 2 diabetes weekly from 1st January 2017 to 1st May 2020. Cox proportional hazards analysis investigated the relationship between risk factors and COVID-19 related death in a cohort alive on 1st January 2020 and followed to 1st May 2020. Findings Methods National diabetes and mortality data in England identified deaths in people with Type 1 and Type 2 diabetes weekly from 1st January 2017 to 1st May 2020. Cox proportional hazards analysis investigated the relationship between risk factors and COVID-19 related death in a cohort alive on 1st January 2020 and followed to 1st May 2020. Findings Weekly deaths in Type 1 and Type 2 diabetes more than doubled from the week ending 3rd April 2020 exceeding expected variation (3SD). Among 265,090 people with Type 1 and 2,889,210 people with Type 2 diabetes there were 418 and 9377 COVID-19 related deaths respectively. The adjusted hazard ratio (HR) of HbA1c &gt;86 mmol/mol compared to HbA1c 48-53 mmol/mol was 2·19 (95% CI 1·46-3·29) for Type 1 and 1·62 (95% CI 1·48-1·79) for Type 2 diabetes. The relationship between BMI and COVID-19 mortality was U- shaped; HRs for BMI &gt;40 kg/m2 compared to 25-29.9 kg/m2 were 2·15 (95% 1·37-3·36) and 1·46 (95% CI 1·50-1·79) for Type 1 and Type 2 respectively. Interpretation Deaths in people with diabetes in England have more than doubled during the COVID-19 epidemic. Hyperglycaemia and obesity in both Type 1 and Type 2 diabetes were independently associated with increased COVID-19 mortality. Risk factor control could diminish the impact of COVID-19 in diabetes. Funding NHS England &amp; Improvement and NHS Digital.","author":[{"dropping-particle":"","family":"Holman","given":"Naomi","non-dropping-particle":"","parse-names":false,"suffix":""},{"dropping-particle":"","family":"Knighton","given":"Peter","non-dropping-particle":"","parse-names":false,"suffix":""},{"dropping-particle":"","family":"Kar","given":"Partha","non-dropping-particle":"","parse-names":false,"suffix":""},{"dropping-particle":"","family":"O’Keefe","given":"Jackie","non-dropping-particle":"","parse-names":false,"suffix":""},{"dropping-particle":"","family":"Curley","given":"Matt","non-dropping-particle":"","parse-names":false,"suffix":""},{"dropping-particle":"","family":"Weaver","given":"Andy","non-dropping-particle":"","parse-names":false,"suffix":""},{"dropping-particle":"","family":"Barron","given":"Emma","non-dropping-particle":"","parse-names":false,"suffix":""},{"dropping-particle":"","family":"Bakhai","given":"Chirag","non-dropping-particle":"","parse-names":false,"suffix":""},{"dropping-particle":"","family":"Khunti","given":"Kamlesh","non-dropping-particle":"","parse-names":false,"suffix":""},{"dropping-particle":"","family":"Wareham","given":"Nick J.","non-dropping-particle":"","parse-names":false,"suffix":""},{"dropping-particle":"","family":"Sattar","given":"Naveed","non-dropping-particle":"","parse-names":false,"suffix":""},{"dropping-particle":"","family":"Young","given":"Bob","non-dropping-particle":"","parse-names":false,"suffix":""},{"dropping-particle":"","family":"Valabhji","given":"Jonathan","non-dropping-particle":"","parse-names":false,"suffix":""}],"container-title":"Lancet Diabetes and Endocrinology","id":"ITEM-3","issued":{"date-parts":[["2020"]]},"page":"1-11","publisher":"Elsevier Ltd","title":"Risk factors for COVID-19-related mortality in people with type 1 and type 2 diabetes in England: a population-based cohort study","type":"article-journal"},"uris":["http://www.mendeley.com/documents/?uuid=e4959347-ade4-4013-af71-269da29eb760"]},{"id":"ITEM-4","itemData":{"DOI":"10.1016/j.cmet.2020.04.021","ISSN":"19327420","PMID":"32369736","abstract":"Type 2 diabetes (T2D) correlates with a worse outcome for COVID-19. Here, Zhu et al. show that among </w:instrText>
      </w:r>
      <w:r w:rsidR="00F064BD" w:rsidRPr="00103A0B">
        <w:rPr>
          <w:rFonts w:ascii="Cambria Math" w:eastAsia="Times New Roman" w:hAnsi="Cambria Math" w:cs="Cambria Math"/>
          <w:sz w:val="24"/>
          <w:szCs w:val="24"/>
          <w:lang w:eastAsia="en-GB"/>
        </w:rPr>
        <w:instrText>∼</w:instrText>
      </w:r>
      <w:r w:rsidR="00F064BD" w:rsidRPr="00103A0B">
        <w:rPr>
          <w:rFonts w:ascii="Arial" w:eastAsia="Times New Roman" w:hAnsi="Arial" w:cs="Arial"/>
          <w:sz w:val="24"/>
          <w:szCs w:val="24"/>
          <w:lang w:eastAsia="en-GB"/>
        </w:rPr>
        <w:instrText>7,300 cases of COVID-19, T2D is associated with a higher death rate, but diabetics with better controlled blood glucose die at a lower rate than diabetics with poorly controlled blood glucose.","author":[{"dropping-particle":"","family":"Zhu","given":"Lihua","non-dropping-particle":"","parse-names":false,"suffix":""},{"dropping-particle":"","family":"She","given":"Zhi Gang","non-dropping-particle":"","parse-names":false,"suffix":""},{"dropping-particle":"","family":"Cheng","given":"Xu","non-dropping-particle":"","parse-names":false,"suffix":""},{"dropping-particle":"","family":"Qin","given":"Juan Juan","non-dropping-particle":"","parse-names":false,"suffix":""},{"dropping-particle":"","family":"Zhang","given":"Xiao Jing","non-dropping-particle":"","parse-names":false,"suffix":""},{"dropping-particle":"","family":"Cai","given":"Jingjing","non-dropping-particle":"","parse-names":false,"suffix":""},{"dropping-particle":"","family":"Lei","given":"Fang","non-dropping-particle":"","parse-names":false,"suffix":""},{"dropping-particle":"","family":"Wang","given":"Haitao","non-dropping-particle":"","parse-names":false,"suffix":""},{"dropping-particle":"","family":"Xie","given":"Jing","non-dropping-particle":"","parse-names":false,"suffix":""},{"dropping-particle":"","family":"Wang","given":"Wenxin","non-dropping-particle":"","parse-names":false,"suffix":""},{"dropping-particle":"","family":"Li","given":"Haomiao","non-dropping-particle":"","parse-names":false,"suffix":""},{"dropping-particle":"","family":"Zhang","given":"Peng","non-dropping-particle":"","parse-names":false,"suffix":""},{"dropping-particle":"","family":"Song","given":"Xiaohui","non-dropping-particle":"","parse-names":false,"suffix":""},{"dropping-particle":"","family":"Chen","given":"Xi","non-dropping-particle":"","parse-names":false,"suffix":""},{"dropping-particle":"","family":"Xiang","given":"Mei","non-dropping-particle":"","parse-names":false,"suffix":""},{"dropping-particle":"","family":"Zhang","given":"Chaozheng","non-dropping-particle":"","parse-names":false,"suffix":""},{"dropping-particle":"","family":"Bai","given":"Liangjie","non-dropping-particle":"","parse-names":false,"suffix":""},{"dropping-particle":"","family":"Xiang","given":"Da","non-dropping-particle":"","parse-names":false,"suffix":""},{"dropping-particle":"","family":"Chen","given":"Ming Ming","non-dropping-particle":"","parse-names":false,"suffix":""},{"dropping-particle":"","family":"Liu","given":"Yanqiong","non-dropping-particle":"","parse-names":false,"suffix":""},{"dropping-particle":"","family":"Yan","given":"Youqin","non-dropping-particle":"","parse-names":false,"suffix":""},{"dropping-particle":"","family":"Liu","given":"Mingyu","non-dropping-particle":"","parse-names":false,"suffix":""},{"dropping-particle":"","family":"Mao","given":"Weiming","non-dropping-particle":"","parse-names":false,"suffix":""},{"dropping-particle":"","family":"Zou","given":"Jinjing","non-dropping-particle":"","parse-names":false,"suffix":""},{"dropping-particle":"","family":"Liu","given":"Liming","non-dropping-particle":"","parse-names":false,"suffix":""},{"dropping-particle":"","family":"Chen","given":"Guohua","non-dropping-particle":"","parse-names":false,"suffix":""},{"dropping-particle":"","family":"Luo","given":"Pengcheng","non-dropping-particle":"","parse-names":false,"suffix":""},{"dropping-particle":"","family":"Xiao","given":"Bing","non-dropping-particle":"","parse-names":false,"suffix":""},{"dropping-particle":"","family":"Zhang","given":"Changjiang","non-dropping-particle":"","parse-names":false,"suffix":""},{"dropping-particle":"","family":"Zhang","given":"Zixiong","non-dropping-particle":"","parse-names":false,"suffix":""},{"dropping-particle":"","family":"Lu","given":"Zhigang","non-dropping-particle":"","parse-names":false,"suffix":""},{"dropping-particle":"","family":"Wang","given":"Junhai","non-dropping-particle":"","parse-names":false,"suffix":""},{"dropping-particle":"","family":"Lu","given":"Haofeng","non-dropping-particle":"","parse-names":false,"suffix":""},{"dropping-particle":"","family":"Xia","given":"Xigang","non-dropping-particle":"","parse-names":false,"suffix":""},{"dropping-particle":"","family":"Wang","given":"Daihong","non-dropping-particle":"","parse-names":false,"suffix":""},{"dropping-particle":"","family":"Liao","given":"Xiaofeng","non-dropping-particle":"","parse-names":false,"suffix":""},{"dropping-particle":"","family":"Peng","given":"Gang","non-dropping-particle":"","parse-names":false,"suffix":""},{"dropping-particle":"","family":"Ye","given":"Ping","non-dropping-particle":"","parse-names":false,"suffix":""},{"dropping-particle":"","family":"Yang","given":"Jun","non-dropping-particle":"","parse-names":false,"suffix":""},{"dropping-particle":"","family":"Yuan","given":"Yufeng","non-dropping-particle":"","parse-names":false,"suffix":""},{"dropping-particle":"","family":"Huang","given":"Xiaodong","non-dropping-particle":"","parse-names":false,"suffix":""},{"dropping-particle":"","family":"Guo","given":"Jiao","non-dropping-particle":"","parse-names":false,"suffix":""},{"dropping-particle":"","family":"Zhang","given":"Bing Hong","non-dropping-particle":"","parse-names":false,"suffix":""},{"dropping-particle":"","family":"Li","given":"Hongliang","non-dropping-particle":"","parse-names":false,"suffix":""}],"container-title":"Cell Metabolism","id":"ITEM-4","issued":{"date-parts":[["2020"]]},"page":"1068-1077","publisher":"Elsevier Inc.","title":"Association of blood glucose control and outcomes in patients with COVID-19 and pre-existing type 2 diabetes","type":"article-journal","volume":"31"},"uris":["http://www.mendeley.com/documents/?uuid=d46fb530-37f7-4f75-b669-e5f3908b9e5d"]},{"id":"ITEM-5","itemData":{"DOI":"10.3390/nu12082327","ISSN":"20726643","PMID":"32759636","abstract":"The COVID-19 lockdown clearly affected the lifestyle of the population and entailed changes in their daily habits, which involved potential health consequences, especially on patients with Type 2 Diabetes Mellitus (T2DM). We aimed to examine the impact of the lockdown caused by COVID-19 pandemic on both nutrition and exercise habits, as well as the psychological effects in patients with T2DM, compared to their usual diet and physical activity level previous to the complete home confinement. We also intended to analyse any potential variables that may have influenced these lifestyle modifications. A Food Frequency Questionnaire (FFQ), Physical Activity Questionnaire (IPAQ), Food Craving Questionnaire-State (FCQ-S) and Food Craving Questionnaire-Trait (FCQ-T) were used. Our results showed an increase in vegetable, sugary food and snack consumption. An association between levels of foods cravings and snack consumption was also found. Data also showed a high percentage of physical inactivity before the COVID-19 lockdown, which was exacerbated during the home confinement. These findings emphasise the great importance to do further research with larger study samples to analyse and explore dietary habits and to develop public health policies to promote a healthy lifestyle in terms of diet and physical activity in these patients, especially after this strict period of lockdown.","author":[{"dropping-particle":"","family":"Ruiz-Roso","given":"María Belén","non-dropping-particle":"","parse-names":false,"suffix":""},{"dropping-particle":"","family":"Knott-Torcal","given":"Carolina","non-dropping-particle":"","parse-names":false,"suffix":""},{"dropping-particle":"","family":"Matilla-Escalante","given":"Diana C.","non-dropping-particle":"","parse-names":false,"suffix":""},{"dropping-particle":"","family":"Garcimartín","given":"Alba","non-dropping-particle":"","parse-names":false,"suffix":""},{"dropping-particle":"","family":"Sampedro-Nuñez","given":"Miguel A.","non-dropping-particle":"","parse-names":false,"suffix":""},{"dropping-particle":"","family":"Dávalos","given":"Alberto","non-dropping-particle":"","parse-names":false,"suffix":""},{"dropping-particle":"","family":"Marazuela","given":"Mónica","non-dropping-particle":"","parse-names":false,"suffix":""}],"container-title":"Nutrients","id":"ITEM-5","issue":"8","issued":{"date-parts":[["2020"]]},"title":"COVID-19 lockdown and changes of the dietary pattern and physical activity habits in a cohort of patients with type 2 diabetes mellitus","type":"article-journal","volume":"12"},"uris":["http://www.mendeley.com/documents/?uuid=9494b7bc-1cab-4bf9-b63d-4117e7d67cc2"]}],"mendeley":{"formattedCitation":"(Apicella et al., 2020; Holman et al., 2020; Ruiz-Roso et al., 2020; Sardu et al., 2020; Zhu et al., 2020)","plainTextFormattedCitation":"(Apicella et al., 2020; Holman et al., 2020; Ruiz-Roso et al., 2020; Sardu et al., 2020; Zhu et al., 2020)","previouslyFormattedCitation":"(Apicella et al., 2020; Holman et al., 2020; Ruiz-Roso et al., 2020; Sardu et al., 2020; Zhu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8E0722" w:rsidRPr="00103A0B">
        <w:rPr>
          <w:rFonts w:ascii="Arial" w:eastAsia="Times New Roman" w:hAnsi="Arial" w:cs="Arial"/>
          <w:noProof/>
          <w:sz w:val="24"/>
          <w:szCs w:val="24"/>
          <w:lang w:eastAsia="en-GB"/>
        </w:rPr>
        <w:t>(Apicella et al., 2020; Holman et al., 2020; Ruiz-Roso et al., 2020; Sardu et al., 2020; Zhu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5574D386" w14:textId="77777777" w:rsidR="00423291" w:rsidRPr="00103A0B" w:rsidRDefault="00423291" w:rsidP="00423291">
      <w:pPr>
        <w:spacing w:before="240" w:line="360" w:lineRule="auto"/>
        <w:jc w:val="both"/>
        <w:rPr>
          <w:rFonts w:ascii="Arial" w:hAnsi="Arial" w:cs="Arial"/>
          <w:sz w:val="24"/>
          <w:szCs w:val="24"/>
        </w:rPr>
      </w:pPr>
    </w:p>
    <w:p w14:paraId="09CAB818" w14:textId="4DA2C716" w:rsidR="002D3F5D" w:rsidRPr="00103A0B" w:rsidRDefault="002D3F5D" w:rsidP="00CD5919">
      <w:pPr>
        <w:pStyle w:val="Heading2"/>
        <w:jc w:val="both"/>
        <w:rPr>
          <w:rFonts w:ascii="Arial" w:hAnsi="Arial" w:cs="Arial"/>
          <w:sz w:val="28"/>
        </w:rPr>
      </w:pPr>
      <w:bookmarkStart w:id="53" w:name="_Toc151548292"/>
      <w:r w:rsidRPr="00103A0B">
        <w:rPr>
          <w:rFonts w:ascii="Arial" w:hAnsi="Arial" w:cs="Arial"/>
          <w:sz w:val="28"/>
        </w:rPr>
        <w:t>Policy and Position Statements around Diabetes Prevention</w:t>
      </w:r>
      <w:bookmarkEnd w:id="53"/>
    </w:p>
    <w:p w14:paraId="71863E6F" w14:textId="43196794" w:rsidR="00176AED" w:rsidRPr="00103A0B" w:rsidRDefault="00176AED" w:rsidP="00CD5919">
      <w:pPr>
        <w:spacing w:before="240" w:line="360" w:lineRule="auto"/>
        <w:jc w:val="both"/>
        <w:rPr>
          <w:rFonts w:ascii="Arial" w:hAnsi="Arial" w:cs="Arial"/>
          <w:sz w:val="24"/>
          <w:szCs w:val="24"/>
        </w:rPr>
      </w:pPr>
      <w:r w:rsidRPr="00103A0B">
        <w:rPr>
          <w:rFonts w:ascii="Arial" w:hAnsi="Arial" w:cs="Arial"/>
          <w:sz w:val="24"/>
          <w:szCs w:val="24"/>
        </w:rPr>
        <w:t xml:space="preserve">Type 2 Diabetes prevention has featured high on national and international public health agendas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{"citationItems":[{"id":"ITEM-1","itemData":{"DOI":"ISBN 978 92 4 156525 7","ISBN":"978 92 4 156525 7","ISSN":"1098-6596","PMID":"25246403","abstract":"Diabetes is a serious, chronic disease that occurs either when the pancreas does not produce enough insulin (a hormone that regulates blood sugar, or glucose), or when the body cannot effectively use the insulin it produces. Diabetes is an important public health problem, one of four priority noncommunicable diseases (NCDs) targeted for action by world leaders. Both the number of cases and the prevalence of diabetes have been steadily increasing over the past few decades.","author":[{"dropping-particle":"","family":"World Health Organization (WHO)","given":"","non-dropping-particle":"","parse-names":false,"suffix":""}],"id":"ITEM-1","issued":{"date-parts":[["2016"]]},"number-of-pages":"88","title":"Global Report on Diabetes","type":"report"},"uris":["http://www.mendeley.com/documents/?uuid=0133d977-4488-47a0-bc3c-e61df8f0f802"]},{"id":"ITEM-2","itemData":{"ISBN":"9789617002157","author":[{"dropping-particle":"","family":"Richardson","given":"Erica","non-dropping-particle":"","parse-names":false,"suffix":""},{"dropping-particle":"","family":"Zaletel","given":"Jelka","non-dropping-particle":"","parse-names":false,"suffix":""},{"dropping-particle":"","family":"Nolte","given":"Ellen","non-dropping-particle":"","parse-names":false,"suffix":""}],"container-title":"National Institute of Public Health","id":"ITEM-2","issued":{"date-parts":[["2016"]]},"number-of-pages":"1-27","title":"National diabetes plans in Europe: what lessons are there for the prevention and control of chronic diseases in Europe?","type":"report"},"uris":["http://www.mendeley.com/documents/?uuid=5c696a29-de82-4a1e-9bc1-c53f37b191b7"]}],"mendeley":{"formattedCitation":"(Richardson et al., 2016; World Health Organization (WHO), 2016)","plainTextFormattedCitation":"(Richardson et al., 2016; World Health Organization (WHO), 2016)","previouslyFormattedCitation":"(Richardson et al., 2016; World Health Organization (WHO),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(Richardson et al., 2016; World Health Organization (WHO), 2016)</w:t>
      </w:r>
      <w:r w:rsidRPr="00103A0B">
        <w:rPr>
          <w:rFonts w:ascii="Arial" w:hAnsi="Arial" w:cs="Arial"/>
          <w:sz w:val="24"/>
          <w:szCs w:val="24"/>
        </w:rPr>
        <w:fldChar w:fldCharType="end"/>
      </w:r>
      <w:r w:rsidRPr="00103A0B">
        <w:rPr>
          <w:rFonts w:ascii="Arial" w:hAnsi="Arial" w:cs="Arial"/>
          <w:sz w:val="24"/>
          <w:szCs w:val="24"/>
        </w:rPr>
        <w:t xml:space="preserve">. The World Health Organisation (WHO) Global report highlights the international diabetes problem and provides key recommendations on addressing this such as evaluating behaviour change programmes, ensuring national policies are effectively </w:t>
      </w:r>
      <w:r w:rsidRPr="00103A0B">
        <w:rPr>
          <w:rFonts w:ascii="Arial" w:hAnsi="Arial" w:cs="Arial"/>
          <w:sz w:val="24"/>
          <w:szCs w:val="24"/>
        </w:rPr>
        <w:lastRenderedPageBreak/>
        <w:t xml:space="preserve">implemented and evaluated, and prioritising actions that prevent individuals from becoming overweight and obese </w:t>
      </w:r>
      <w:r w:rsidRPr="00103A0B">
        <w:rPr>
          <w:rFonts w:ascii="Arial" w:hAnsi="Arial" w:cs="Arial"/>
          <w:sz w:val="24"/>
          <w:szCs w:val="24"/>
        </w:rPr>
        <w:fldChar w:fldCharType="begin" w:fldLock="1"/>
      </w:r>
      <w:r w:rsidR="00DF24A3" w:rsidRPr="00103A0B">
        <w:rPr>
          <w:rFonts w:ascii="Arial" w:hAnsi="Arial" w:cs="Arial"/>
          <w:sz w:val="24"/>
          <w:szCs w:val="24"/>
        </w:rPr>
        <w:instrText>ADDIN CSL_CITATION {"citationItems":[{"id":"ITEM-1","itemData":{"DOI":"ISBN 978 92 4 156525 7","ISBN":"978 92 4 156525 7","ISSN":"1098-6596","PMID":"25246403","abstract":"Diabetes is a serious, chronic disease that occurs either when the pancreas does not produce enough insulin (a hormone that regulates blood sugar, or glucose), or when the body cannot effectively use the insulin it produces. Diabetes is an important public health problem, one of four priority noncommunicable diseases (NCDs) targeted for action by world leaders. Both the number of cases and the prevalence of diabetes have been steadily increasing over the past few decades.","author":[{"dropping-particle":"","family":"World Health Organization (WHO)","given":"","non-dropping-particle":"","parse-names":false,"suffix":""}],"id":"ITEM-1","issued":{"date-parts":[["2016"]]},"number-of-pages":"88","title":"Global Report on Diabetes","type":"report"},"uris":["http://www.mendeley.com/documents/?uuid=0133d977-4488-47a0-bc3c-e61df8f0f802"]},{"id":"ITEM-2","itemData":{"URL":"https://www.who.int/news-room/fact-sheets/detail/diabetes","author":[{"dropping-particle":"","family":"World Health Organization","given":"","non-dropping-particle":"","parse-names":false,"suffix":""}],"id":"ITEM-2","issued":{"date-parts":[["2023"]]},"title":"Diabetes","type":"webpage"},"uris":["http://www.mendeley.com/documents/?uuid=c28b6ea3-199b-48e1-b468-c11c17413686"]}],"mendeley":{"formattedCitation":"(World Health Organization (WHO), 2016; World Health Organization, 2023)","plainTextFormattedCitation":"(World Health Organization (WHO), 2016; World Health Organization, 2023)","previouslyFormattedCitation":"(World Health Organization (WHO), 2016; World Health Organization, 2023)"},"properties":{"noteIndex":0},"schema":"https://github.com/citation-style-language/schema/raw/master/csl-citation.json"}</w:instrText>
      </w:r>
      <w:r w:rsidRPr="00103A0B">
        <w:rPr>
          <w:rFonts w:ascii="Arial" w:hAnsi="Arial" w:cs="Arial"/>
          <w:sz w:val="24"/>
          <w:szCs w:val="24"/>
        </w:rPr>
        <w:fldChar w:fldCharType="separate"/>
      </w:r>
      <w:r w:rsidR="00DF24A3" w:rsidRPr="00103A0B">
        <w:rPr>
          <w:rFonts w:ascii="Arial" w:hAnsi="Arial" w:cs="Arial"/>
          <w:noProof/>
          <w:sz w:val="24"/>
          <w:szCs w:val="24"/>
        </w:rPr>
        <w:t>(World Health Organization (WHO), 2016; World Health Organization, 2023)</w:t>
      </w:r>
      <w:r w:rsidRPr="00103A0B">
        <w:rPr>
          <w:rFonts w:ascii="Arial" w:hAnsi="Arial" w:cs="Arial"/>
          <w:sz w:val="24"/>
          <w:szCs w:val="24"/>
        </w:rPr>
        <w:fldChar w:fldCharType="end"/>
      </w:r>
      <w:r w:rsidRPr="00103A0B">
        <w:rPr>
          <w:rFonts w:ascii="Arial" w:hAnsi="Arial" w:cs="Arial"/>
          <w:sz w:val="24"/>
          <w:szCs w:val="24"/>
        </w:rPr>
        <w:t xml:space="preserve">. Obesity increases the likelihood of T2DM so attempts have also been made internationally to reduce obesity rates, and halt the rise of both obesity and T2DM </w:t>
      </w:r>
      <w:r w:rsidRPr="00103A0B">
        <w:rPr>
          <w:rFonts w:ascii="Arial" w:hAnsi="Arial" w:cs="Arial"/>
          <w:sz w:val="24"/>
          <w:szCs w:val="24"/>
        </w:rPr>
        <w:fldChar w:fldCharType="begin" w:fldLock="1"/>
      </w:r>
      <w:r w:rsidR="004D3378" w:rsidRPr="00103A0B">
        <w:rPr>
          <w:rFonts w:ascii="Arial" w:hAnsi="Arial" w:cs="Arial"/>
          <w:sz w:val="24"/>
          <w:szCs w:val="24"/>
        </w:rPr>
        <w:instrText>ADDIN CSL_CITATION {"citationItems":[{"id":"ITEM-1","itemData":{"DOI":"ISBN 9789241564854","ISBN":"978 92 4 156485 4","ISSN":"1475-5785","PMID":"16904354","abstract":"Description of the global burden of NCDs, their risk factors and determinants","author":[{"dropping-particle":"","family":"Mendis","given":"S.","non-dropping-particle":"","parse-names":false,"suffix":""}],"container-title":"World Health Organization (WHO)","id":"ITEM-1","issued":{"date-parts":[["2014"]]},"number-of-pages":"176","title":"Global status report on noncommunicable diseases 2014","type":"report"},"uris":["http://www.mendeley.com/documents/?uuid=dc91051d-6006-450a-9756-887817c21f7f"]},{"id":"ITEM-2","itemData":{"URL":"https://www.who.int/news-room/fact-sheets/detail/diabetes","author":[{"dropping-particle":"","family":"World Health Organization","given":"","non-dropping-particle":"","parse-names":false,"suffix":""}],"id":"ITEM-2","issued":{"date-parts":[["2023"]]},"title":"Diabetes","type":"webpage"},"uris":["http://www.mendeley.com/documents/?uuid=c28b6ea3-199b-48e1-b468-c11c17413686"]}],"mendeley":{"formattedCitation":"(Mendis, 2014; World Health Organization, 2023)","plainTextFormattedCitation":"(Mendis, 2014; World Health Organization, 2023)","previouslyFormattedCitation":"(Mendis, 2014; World Health Organization, 2023)"},"properties":{"noteIndex":0},"schema":"https://github.com/citation-style-language/schema/raw/master/csl-citation.json"}</w:instrText>
      </w:r>
      <w:r w:rsidRPr="00103A0B">
        <w:rPr>
          <w:rFonts w:ascii="Arial" w:hAnsi="Arial" w:cs="Arial"/>
          <w:sz w:val="24"/>
          <w:szCs w:val="24"/>
        </w:rPr>
        <w:fldChar w:fldCharType="separate"/>
      </w:r>
      <w:r w:rsidR="00DF24A3" w:rsidRPr="00103A0B">
        <w:rPr>
          <w:rFonts w:ascii="Arial" w:hAnsi="Arial" w:cs="Arial"/>
          <w:noProof/>
          <w:sz w:val="24"/>
          <w:szCs w:val="24"/>
        </w:rPr>
        <w:t>(Mendis, 2014; World Health Organization, 2023)</w:t>
      </w:r>
      <w:r w:rsidRPr="00103A0B">
        <w:rPr>
          <w:rFonts w:ascii="Arial" w:hAnsi="Arial" w:cs="Arial"/>
          <w:sz w:val="24"/>
          <w:szCs w:val="24"/>
        </w:rPr>
        <w:fldChar w:fldCharType="end"/>
      </w:r>
      <w:r w:rsidRPr="00103A0B">
        <w:rPr>
          <w:rFonts w:ascii="Arial" w:hAnsi="Arial" w:cs="Arial"/>
          <w:sz w:val="24"/>
          <w:szCs w:val="24"/>
        </w:rPr>
        <w:t xml:space="preserve">. The International Diabetes Federation (IDF) also recommends countries to implement comprehensive, cost-effective lifestyle programmes for those with prediabetes, and implement public health measures to encourage healthier diets </w:t>
      </w:r>
      <w:r w:rsidRPr="00103A0B">
        <w:rPr>
          <w:rFonts w:ascii="Arial" w:hAnsi="Arial" w:cs="Arial"/>
          <w:sz w:val="24"/>
          <w:szCs w:val="24"/>
        </w:rPr>
        <w:fldChar w:fldCharType="begin" w:fldLock="1"/>
      </w:r>
      <w:r w:rsidR="00CA6338" w:rsidRPr="00103A0B">
        <w:rPr>
          <w:rFonts w:ascii="Arial" w:hAnsi="Arial" w:cs="Arial"/>
          <w:sz w:val="24"/>
          <w:szCs w:val="24"/>
        </w:rPr>
        <w:instrText>ADDIN CSL_CITATION {"citationItems":[{"id":"ITEM-1","itemData":{"ISBN":"9782930229843","abstract":"Research on the sexual lives of bisexually-identified women tends to focus on their heightened risk for sexually transmitted infection acquisition. The development of effective, tailored interventions would benefit from detailed behavior estimates from a large sample of bisexual women. Thus, this study collected sexual behavior data from 710 bisexually-identified women. When possible, items were adapted from the National Survey of Sexual Health and Behavior. Approximately equal proportions of participants reported no recent (past 30 days) sexual partners, male sexual partners only, female sexual partners only and male and female sexual partners. The majority of participants reported a diverse sexual repertoire. © 2012 Copyright Taylor and Francis Group, LLC.","author":[{"dropping-particle":"","family":"International Diabetes Federation","given":"","non-dropping-particle":"","parse-names":false,"suffix":""}],"id":"ITEM-1","issued":{"date-parts":[["2016"]]},"number-of-pages":"1-68","title":"Cost-effective solutions for the prevention of type 2 diabetes","type":"report"},"uris":["http://www.mendeley.com/documents/?uuid=c4ac29b7-8f64-41b1-a2d1-21c43511bf2d"]},{"id":"ITEM-2","itemData":{"URL":"https://idf.org/about-diabetes/diabetes-prevention/","author":[{"dropping-particle":"","family":"International Diabetes Federation","given":"","non-dropping-particle":"","parse-names":false,"suffix":""}],"id":"ITEM-2","issued":{"date-parts":[["2023"]]},"title":"Diabetes prevention","type":"webpage"},"uris":["http://www.mendeley.com/documents/?uuid=2be58e66-ebf7-46b6-961d-3b82c046a308"]}],"mendeley":{"formattedCitation":"(International Diabetes Federation, 2016, 2023)","plainTextFormattedCitation":"(International Diabetes Federation, 2016, 2023)","previouslyFormattedCitation":"(International Diabetes Federation, 2016, 2023)"},"properties":{"noteIndex":0},"schema":"https://github.com/citation-style-language/schema/raw/master/csl-citation.json"}</w:instrText>
      </w:r>
      <w:r w:rsidRPr="00103A0B">
        <w:rPr>
          <w:rFonts w:ascii="Arial" w:hAnsi="Arial" w:cs="Arial"/>
          <w:sz w:val="24"/>
          <w:szCs w:val="24"/>
        </w:rPr>
        <w:fldChar w:fldCharType="separate"/>
      </w:r>
      <w:r w:rsidR="004D3378" w:rsidRPr="00103A0B">
        <w:rPr>
          <w:rFonts w:ascii="Arial" w:hAnsi="Arial" w:cs="Arial"/>
          <w:noProof/>
          <w:sz w:val="24"/>
          <w:szCs w:val="24"/>
        </w:rPr>
        <w:t>(International Diabetes Federation, 2016, 2023)</w:t>
      </w:r>
      <w:r w:rsidRPr="00103A0B">
        <w:rPr>
          <w:rFonts w:ascii="Arial" w:hAnsi="Arial" w:cs="Arial"/>
          <w:sz w:val="24"/>
          <w:szCs w:val="24"/>
        </w:rPr>
        <w:fldChar w:fldCharType="end"/>
      </w:r>
      <w:r w:rsidRPr="00103A0B">
        <w:rPr>
          <w:rFonts w:ascii="Arial" w:hAnsi="Arial" w:cs="Arial"/>
          <w:sz w:val="24"/>
          <w:szCs w:val="24"/>
        </w:rPr>
        <w:t xml:space="preserve">. </w:t>
      </w:r>
    </w:p>
    <w:p w14:paraId="461622D5" w14:textId="77777777" w:rsidR="00176AED" w:rsidRPr="00103A0B" w:rsidRDefault="00176AED" w:rsidP="00CD5919">
      <w:pPr>
        <w:spacing w:before="240" w:line="360" w:lineRule="auto"/>
        <w:jc w:val="both"/>
        <w:rPr>
          <w:rFonts w:ascii="Arial" w:hAnsi="Arial" w:cs="Arial"/>
          <w:sz w:val="24"/>
          <w:szCs w:val="24"/>
        </w:rPr>
      </w:pPr>
      <w:r w:rsidRPr="00103A0B">
        <w:rPr>
          <w:rFonts w:ascii="Arial" w:hAnsi="Arial" w:cs="Arial"/>
          <w:sz w:val="24"/>
          <w:szCs w:val="24"/>
        </w:rPr>
        <w:t xml:space="preserve">Type 2 Diabetes prevention has also been a key focus for the UK. Currently, there are 4.9 million people with diabetes living in the UK, of which 90% have T2DM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{"citationItems":[{"id":"ITEM-1","itemData":{"URL":"https://www.diabetes.org.uk/about_us/news/diabetes-diagnoses-doubled-prevalence-2021","accessed":{"date-parts":[["2021","7","24"]]},"author":[{"dropping-particle":"","family":"Diabetes UK","given":"","non-dropping-particle":"","parse-names":false,"suffix":""}],"id":"ITEM-1","issued":{"date-parts":[["2021"]]},"title":"Diabetes diagnosis double in the last 15 years","type":"webpage"},"uris":["http://www.mendeley.com/documents/?uuid=ad8fafae-d2c6-4a30-9b44-03021d84f90d"]}],"mendeley":{"formattedCitation":"(Diabetes UK, 2021a)","plainTextFormattedCitation":"(Diabetes UK, 2021a)","previouslyFormattedCitation":"(Diabetes UK, 2021a)"},"properties":{"noteIndex":0},"schema":"https://github.com/citation-style-language/schema/raw/master/csl-citation.json"}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UK, 2021a)</w:t>
      </w:r>
      <w:r w:rsidRPr="00103A0B">
        <w:rPr>
          <w:rFonts w:ascii="Arial" w:hAnsi="Arial" w:cs="Arial"/>
          <w:sz w:val="24"/>
          <w:szCs w:val="24"/>
        </w:rPr>
        <w:fldChar w:fldCharType="end"/>
      </w:r>
      <w:r w:rsidRPr="00103A0B">
        <w:rPr>
          <w:rFonts w:ascii="Arial" w:hAnsi="Arial" w:cs="Arial"/>
          <w:sz w:val="24"/>
          <w:szCs w:val="24"/>
        </w:rPr>
        <w:t xml:space="preserve">. In addition, it is estimated there are an extra 850,000 people living with T2DM who are not yet diagnosed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{"citationItems":[{"id":"ITEM-1","itemData":{"URL":"https://www.diabetes.org.uk/about_us/news/diabetes-diagnoses-doubled-prevalence-2021","accessed":{"date-parts":[["2021","7","24"]]},"author":[{"dropping-particle":"","family":"Diabetes UK","given":"","non-dropping-particle":"","parse-names":false,"suffix":""}],"id":"ITEM-1","issued":{"date-parts":[["2021"]]},"title":"Diabetes diagnosis double in the last 15 years","type":"webpage"},"uris":["http://www.mendeley.com/documents/?uuid=ad8fafae-d2c6-4a30-9b44-03021d84f90d"]}],"mendeley":{"formattedCitation":"(Diabetes UK, 2021a)","plainTextFormattedCitation":"(Diabetes UK, 2021a)","previouslyFormattedCitation":"(Diabetes UK, 2021a)"},"properties":{"noteIndex":0},"schema":"https://github.com/citation-style-language/schema/raw/master/csl-citation.json"}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UK, 2021a)</w:t>
      </w:r>
      <w:r w:rsidRPr="00103A0B">
        <w:rPr>
          <w:rFonts w:ascii="Arial" w:hAnsi="Arial" w:cs="Arial"/>
          <w:sz w:val="24"/>
          <w:szCs w:val="24"/>
        </w:rPr>
        <w:fldChar w:fldCharType="end"/>
      </w:r>
      <w:r w:rsidRPr="00103A0B">
        <w:rPr>
          <w:rFonts w:ascii="Arial" w:hAnsi="Arial" w:cs="Arial"/>
          <w:sz w:val="24"/>
          <w:szCs w:val="24"/>
        </w:rPr>
        <w:t xml:space="preserve">. Furthermore, there are more than 13.6 million people at high risk of developing T2DM and it is estimated that the number of individuals with diabetes will increase to 5.5 million by 2030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{"citationItems":[{"id":"ITEM-1","itemData":{"URL":"https://www.diabetes.org.uk/about_us/news/diabetes-diagnoses-doubled-prevalence-2021","accessed":{"date-parts":[["2021","7","24"]]},"author":[{"dropping-particle":"","family":"Diabetes UK","given":"","non-dropping-particle":"","parse-names":false,"suffix":""}],"id":"ITEM-1","issued":{"date-parts":[["2021"]]},"title":"Diabetes diagnosis double in the last 15 years","type":"webpage"},"uris":["http://www.mendeley.com/documents/?uuid=ad8fafae-d2c6-4a30-9b44-03021d84f90d"]}],"mendeley":{"formattedCitation":"(Diabetes UK, 2021a)","plainTextFormattedCitation":"(Diabetes UK, 2021a)","previouslyFormattedCitation":"(Diabetes UK, 2021a)"},"properties":{"noteIndex":0},"schema":"https://github.com/citation-style-language/schema/raw/master/csl-citation.json"}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UK, 2021a)</w:t>
      </w:r>
      <w:r w:rsidRPr="00103A0B">
        <w:rPr>
          <w:rFonts w:ascii="Arial" w:hAnsi="Arial" w:cs="Arial"/>
          <w:sz w:val="24"/>
          <w:szCs w:val="24"/>
        </w:rPr>
        <w:fldChar w:fldCharType="end"/>
      </w:r>
      <w:r w:rsidRPr="00103A0B">
        <w:rPr>
          <w:rFonts w:ascii="Arial" w:hAnsi="Arial" w:cs="Arial"/>
          <w:sz w:val="24"/>
          <w:szCs w:val="24"/>
        </w:rPr>
        <w:t xml:space="preserve">. This highlights the importance of T2DM prevention. </w:t>
      </w:r>
    </w:p>
    <w:p w14:paraId="5A431E9E" w14:textId="266C1B4C" w:rsidR="00176AED" w:rsidRPr="00103A0B" w:rsidRDefault="00176AED" w:rsidP="00CD5919">
      <w:pPr>
        <w:spacing w:before="240" w:line="360" w:lineRule="auto"/>
        <w:jc w:val="both"/>
        <w:rPr>
          <w:rFonts w:ascii="Arial" w:hAnsi="Arial" w:cs="Arial"/>
          <w:sz w:val="24"/>
          <w:szCs w:val="24"/>
        </w:rPr>
      </w:pPr>
      <w:r w:rsidRPr="00103A0B">
        <w:rPr>
          <w:rFonts w:ascii="Arial" w:hAnsi="Arial" w:cs="Arial"/>
          <w:sz w:val="24"/>
          <w:szCs w:val="24"/>
        </w:rPr>
        <w:t xml:space="preserve">Diabetes UK, the UK`s leading diabetes charity, has position statements that provide recommendations on early identification of T2DM and preventing T2DM through reducing levels of obesity </w:t>
      </w:r>
      <w:r w:rsidRPr="00103A0B">
        <w:rPr>
          <w:rFonts w:ascii="Arial" w:hAnsi="Arial" w:cs="Arial"/>
          <w:sz w:val="24"/>
          <w:szCs w:val="24"/>
        </w:rPr>
        <w:fldChar w:fldCharType="begin" w:fldLock="1"/>
      </w:r>
      <w:r w:rsidR="0092755F" w:rsidRPr="00103A0B">
        <w:rPr>
          <w:rFonts w:ascii="Arial" w:hAnsi="Arial" w:cs="Arial"/>
          <w:sz w:val="24"/>
          <w:szCs w:val="24"/>
        </w:rPr>
        <w:instrText>ADDIN CSL_CITATION {"citationItems":[{"id":"ITEM-1","itemData":{"ISSN":"2627-0439","abstract":"Dieser Artikel ist nur als PDF-Dokument verfügbar.","author":[{"dropping-particle":"","family":"Diabetes UK","given":"","non-dropping-particle":"","parse-names":false,"suffix":""}],"id":"ITEM-1","issued":{"date-parts":[["2021"]]},"number-of-pages":"1-5","title":"Early identification of type 2 diabetes","type":"report"},"uris":["http://www.mendeley.com/documents/?uuid=78e152f8-8fd7-4b4e-b7fa-b49f620c0f1a"]},{"id":"ITEM-2","itemData":{"author":[{"dropping-particle":"","family":"Diabetes UK","given":"","non-dropping-particle":"","parse-names":false,"suffix":""}],"id":"ITEM-2","issued":{"date-parts":[["2020"]]},"number-of-pages":"1-6","title":"Prevention of type 2 diabetes through reducing obesity","type":"report"},"uris":["http://www.mendeley.com/documents/?uuid=44d2293c-4215-4137-95f1-d78380838257"]}],"mendeley":{"formattedCitation":"(Diabetes UK, 2020, 2021b)","plainTextFormattedCitation":"(Diabetes UK, 2020, 2021b)","previouslyFormattedCitation":"(Diabetes UK, 2020, 2021b)"},"properties":{"noteIndex":0},"schema":"https://github.com/citation-style-language/schema/raw/master/csl-citation.json"}</w:instrText>
      </w:r>
      <w:r w:rsidRPr="00103A0B">
        <w:rPr>
          <w:rFonts w:ascii="Arial" w:hAnsi="Arial" w:cs="Arial"/>
          <w:sz w:val="24"/>
          <w:szCs w:val="24"/>
        </w:rPr>
        <w:fldChar w:fldCharType="separate"/>
      </w:r>
      <w:r w:rsidR="00391499" w:rsidRPr="00103A0B">
        <w:rPr>
          <w:rFonts w:ascii="Arial" w:hAnsi="Arial" w:cs="Arial"/>
          <w:noProof/>
          <w:sz w:val="24"/>
          <w:szCs w:val="24"/>
        </w:rPr>
        <w:t>(Diabetes UK, 2020, 2021b)</w:t>
      </w:r>
      <w:r w:rsidRPr="00103A0B">
        <w:rPr>
          <w:rFonts w:ascii="Arial" w:hAnsi="Arial" w:cs="Arial"/>
          <w:sz w:val="24"/>
          <w:szCs w:val="24"/>
        </w:rPr>
        <w:fldChar w:fldCharType="end"/>
      </w:r>
      <w:r w:rsidRPr="00103A0B">
        <w:rPr>
          <w:rFonts w:ascii="Arial" w:hAnsi="Arial" w:cs="Arial"/>
          <w:sz w:val="24"/>
          <w:szCs w:val="24"/>
        </w:rPr>
        <w:t>. Public Health England</w:t>
      </w:r>
      <w:r w:rsidR="0031126E" w:rsidRPr="00103A0B">
        <w:rPr>
          <w:rFonts w:ascii="Arial" w:hAnsi="Arial" w:cs="Arial"/>
          <w:sz w:val="24"/>
          <w:szCs w:val="24"/>
        </w:rPr>
        <w:t xml:space="preserve"> (now known as </w:t>
      </w:r>
      <w:r w:rsidR="00096944" w:rsidRPr="00103A0B">
        <w:rPr>
          <w:rFonts w:ascii="Arial" w:hAnsi="Arial" w:cs="Arial"/>
          <w:sz w:val="24"/>
          <w:szCs w:val="24"/>
        </w:rPr>
        <w:t xml:space="preserve">the </w:t>
      </w:r>
      <w:r w:rsidR="0031126E" w:rsidRPr="00103A0B">
        <w:rPr>
          <w:rFonts w:ascii="Arial" w:hAnsi="Arial" w:cs="Arial"/>
          <w:color w:val="000000"/>
          <w:sz w:val="24"/>
          <w:szCs w:val="24"/>
          <w:shd w:val="clear" w:color="auto" w:fill="FFFFFF"/>
        </w:rPr>
        <w:t>UK Health Security Agency and Office for Health Improvement and Disparities since October 2021)</w:t>
      </w:r>
      <w:r w:rsidRPr="00103A0B">
        <w:rPr>
          <w:rFonts w:ascii="Arial" w:hAnsi="Arial" w:cs="Arial"/>
          <w:sz w:val="24"/>
          <w:szCs w:val="24"/>
        </w:rPr>
        <w:t xml:space="preserve"> have also provided recommendations on how to prevent T2DM and implement the NHS Diabetes Prevention Programme (NHSDPP), a joint commitment from NHS England, Public Health </w:t>
      </w:r>
      <w:proofErr w:type="gramStart"/>
      <w:r w:rsidRPr="00103A0B">
        <w:rPr>
          <w:rFonts w:ascii="Arial" w:hAnsi="Arial" w:cs="Arial"/>
          <w:sz w:val="24"/>
          <w:szCs w:val="24"/>
        </w:rPr>
        <w:t>England</w:t>
      </w:r>
      <w:proofErr w:type="gramEnd"/>
      <w:r w:rsidRPr="00103A0B">
        <w:rPr>
          <w:rFonts w:ascii="Arial" w:hAnsi="Arial" w:cs="Arial"/>
          <w:sz w:val="24"/>
          <w:szCs w:val="24"/>
        </w:rPr>
        <w:t xml:space="preserve"> and Diabetes UK. This is an evidence-based programme for individuals with prediabetes (and will be discussed further in Chapter 4)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{"citationItems":[{"id":"ITEM-1","itemData":{"URL":"https://www.gov.uk/government/publications/health-matters-preventing-type-2-diabetes/health-matters-preventing-type-2-diabetes","author":[{"dropping-particle":"","family":"Public Health England (PHE)","given":"","non-dropping-particle":"","parse-names":false,"suffix":""}],"id":"ITEM-1","issued":{"date-parts":[["2018"]]},"title":"Health Matters: Preventing Type 2 Diabetes","type":"webpage"},"uris":["http://www.mendeley.com/documents/?uuid=8cf788cb-e2d3-4803-95bb-01eeaab8325b"]},{"id":"ITEM-2","itemData":{"author":[{"dropping-particle":"","family":"NHS England Publications","given":"","non-dropping-particle":"","parse-names":false,"suffix":""}],"id":"ITEM-2","issued":{"date-parts":[["2016"]]},"number-of-pages":"1-10","title":"NHS diabetes prevention programme","type":"report"},"uris":["http://www.mendeley.com/documents/?uuid=4adde129-faf3-4fa1-9148-6d11267fab38"]}],"mendeley":{"formattedCitation":"(NHS England Publications, 2016; Public Health England (PHE), 2018)","plainTextFormattedCitation":"(NHS England Publications, 2016; Public Health England (PHE), 2018)","previouslyFormattedCitation":"(NHS England Publications, 2016; Public Health England (PHE),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England Publications, 2016; Public Health England (PHE), 2018)</w:t>
      </w:r>
      <w:r w:rsidRPr="00103A0B">
        <w:rPr>
          <w:rFonts w:ascii="Arial" w:hAnsi="Arial" w:cs="Arial"/>
          <w:sz w:val="24"/>
          <w:szCs w:val="24"/>
        </w:rPr>
        <w:fldChar w:fldCharType="end"/>
      </w:r>
      <w:r w:rsidRPr="00103A0B">
        <w:rPr>
          <w:rFonts w:ascii="Arial" w:hAnsi="Arial" w:cs="Arial"/>
          <w:sz w:val="24"/>
          <w:szCs w:val="24"/>
        </w:rPr>
        <w:t xml:space="preserve">. National policies and campaigns have been implemented to tackle obesity and prevent T2DM, and the National Institute for Health and Care Excellence (NICE) have also provided guidance on how to prevent T2DM at both the population and community level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{"citationItems":[{"id":"ITEM-1","itemData":{"URL":"https://www.gov.uk/government/publications/health-matters-preventing-type-2-diabetes/health-matters-preventing-type-2-diabetes","author":[{"dropping-particle":"","family":"Public Health England (PHE)","given":"","non-dropping-particle":"","parse-names":false,"suffix":""}],"id":"ITEM-1","issued":{"date-parts":[["2018"]]},"title":"Health Matters: Preventing Type 2 Diabetes","type":"webpage"},"uris":["http://www.mendeley.com/documents/?uuid=8cf788cb-e2d3-4803-95bb-01eeaab8325b"]},{"id":"ITEM-2","itemData":{"author":[{"dropping-particle":"","family":"National Institute for Health and Care Excellence (NICE)","given":"","non-dropping-particle":"","parse-names":false,"suffix":""}],"id":"ITEM-2","issued":{"date-parts":[["2011"]]},"number-of-pages":"1-84","title":"Type 2 diabetes prevention: population and community-level interventions","type":"report"},"uris":["http://www.mendeley.com/documents/?uuid=17ac8fd4-ef34-4d63-b6c1-750a43ee37dd"]}],"mendeley":{"formattedCitation":"(National Institute for Health and Care Excellence (NICE), 2011; Public Health England (PHE), 2018)","plainTextFormattedCitation":"(National Institute for Health and Care Excellence (NICE), 2011; Public Health England (PHE), 2018)","previouslyFormattedCitation":"(National Institute for Health and Care Excellence (NICE), 2011; Public Health England (PHE), 2018)"},"properties":{"noteIndex":0},"schema":"https://github.com/citation-style-language/schema/raw/master/csl-citation.json"}</w:instrText>
      </w:r>
      <w:r w:rsidRPr="00103A0B">
        <w:rPr>
          <w:rFonts w:ascii="Arial" w:hAnsi="Arial" w:cs="Arial"/>
          <w:sz w:val="24"/>
          <w:szCs w:val="24"/>
        </w:rPr>
        <w:fldChar w:fldCharType="separate"/>
      </w:r>
      <w:r w:rsidR="007E0EE7" w:rsidRPr="00103A0B">
        <w:rPr>
          <w:rFonts w:ascii="Arial" w:hAnsi="Arial" w:cs="Arial"/>
          <w:noProof/>
          <w:sz w:val="24"/>
          <w:szCs w:val="24"/>
        </w:rPr>
        <w:t>(National Institute for Health and Care Excellence (NICE), 2011; Public Health England (PHE), 2018)</w:t>
      </w:r>
      <w:r w:rsidRPr="00103A0B">
        <w:rPr>
          <w:rFonts w:ascii="Arial" w:hAnsi="Arial" w:cs="Arial"/>
          <w:sz w:val="24"/>
          <w:szCs w:val="24"/>
        </w:rPr>
        <w:fldChar w:fldCharType="end"/>
      </w:r>
      <w:r w:rsidRPr="00103A0B">
        <w:rPr>
          <w:rFonts w:ascii="Arial" w:hAnsi="Arial" w:cs="Arial"/>
          <w:sz w:val="24"/>
          <w:szCs w:val="24"/>
        </w:rPr>
        <w:t>.</w:t>
      </w:r>
    </w:p>
    <w:p w14:paraId="78BC794C" w14:textId="77777777" w:rsidR="00176AED" w:rsidRPr="00103A0B" w:rsidRDefault="00176AED" w:rsidP="00CD5919">
      <w:pPr>
        <w:jc w:val="both"/>
        <w:rPr>
          <w:lang w:eastAsia="en-GB" w:bidi="en-US"/>
        </w:rPr>
      </w:pPr>
    </w:p>
    <w:p w14:paraId="6C61E0E8" w14:textId="62AC4E64" w:rsidR="002D3F5D" w:rsidRPr="00103A0B" w:rsidRDefault="002D3F5D" w:rsidP="00CD5919">
      <w:pPr>
        <w:pStyle w:val="Heading2"/>
        <w:jc w:val="both"/>
        <w:rPr>
          <w:rFonts w:ascii="Arial" w:hAnsi="Arial" w:cs="Arial"/>
          <w:sz w:val="28"/>
        </w:rPr>
      </w:pPr>
      <w:bookmarkStart w:id="54" w:name="_Toc151548293"/>
      <w:r w:rsidRPr="00103A0B">
        <w:rPr>
          <w:rFonts w:ascii="Arial" w:hAnsi="Arial" w:cs="Arial"/>
          <w:sz w:val="28"/>
        </w:rPr>
        <w:lastRenderedPageBreak/>
        <w:t>Defining Prediabetes</w:t>
      </w:r>
      <w:bookmarkEnd w:id="54"/>
    </w:p>
    <w:p w14:paraId="7979A0C5" w14:textId="02094ADE" w:rsidR="009651BC" w:rsidRPr="00103A0B" w:rsidRDefault="009651BC" w:rsidP="00CD5919">
      <w:pPr>
        <w:spacing w:before="240" w:line="360" w:lineRule="auto"/>
        <w:jc w:val="both"/>
        <w:rPr>
          <w:rFonts w:ascii="Arial" w:hAnsi="Arial" w:cs="Arial"/>
          <w:sz w:val="24"/>
          <w:szCs w:val="24"/>
        </w:rPr>
      </w:pPr>
      <w:r w:rsidRPr="00103A0B">
        <w:rPr>
          <w:rFonts w:ascii="Arial" w:hAnsi="Arial" w:cs="Arial"/>
          <w:sz w:val="24"/>
          <w:szCs w:val="24"/>
        </w:rPr>
        <w:t>There are various terms used to describe those who are at high risk of developing T2DM.</w:t>
      </w:r>
      <w:r w:rsidR="00344367" w:rsidRPr="00103A0B">
        <w:rPr>
          <w:rFonts w:ascii="Arial" w:hAnsi="Arial" w:cs="Arial"/>
          <w:sz w:val="24"/>
          <w:szCs w:val="24"/>
        </w:rPr>
        <w:t xml:space="preserve"> People with</w:t>
      </w:r>
      <w:r w:rsidRPr="00103A0B">
        <w:rPr>
          <w:rFonts w:ascii="Arial" w:hAnsi="Arial" w:cs="Arial"/>
          <w:sz w:val="24"/>
          <w:szCs w:val="24"/>
        </w:rPr>
        <w:t xml:space="preserve"> “</w:t>
      </w:r>
      <w:r w:rsidR="00344367" w:rsidRPr="00103A0B">
        <w:rPr>
          <w:rFonts w:ascii="Arial" w:hAnsi="Arial" w:cs="Arial"/>
          <w:sz w:val="24"/>
          <w:szCs w:val="24"/>
        </w:rPr>
        <w:t>p</w:t>
      </w:r>
      <w:r w:rsidRPr="00103A0B">
        <w:rPr>
          <w:rFonts w:ascii="Arial" w:hAnsi="Arial" w:cs="Arial"/>
          <w:sz w:val="24"/>
          <w:szCs w:val="24"/>
        </w:rPr>
        <w:t xml:space="preserve">rediabetes” </w:t>
      </w:r>
      <w:r w:rsidR="00344367" w:rsidRPr="00103A0B">
        <w:rPr>
          <w:rFonts w:ascii="Arial" w:hAnsi="Arial" w:cs="Arial"/>
          <w:sz w:val="24"/>
          <w:szCs w:val="24"/>
        </w:rPr>
        <w:t>are</w:t>
      </w:r>
      <w:r w:rsidRPr="00103A0B">
        <w:rPr>
          <w:rFonts w:ascii="Arial" w:hAnsi="Arial" w:cs="Arial"/>
          <w:sz w:val="24"/>
          <w:szCs w:val="24"/>
        </w:rPr>
        <w:t xml:space="preserve"> defined as those individuals who have higher than normal blood glucose levels but not high enough to be classified as having T2DM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{"citationItems":[{"id":"ITEM-1","itemData":{"DOI":"10.2337/dc08-S055","ISSN":"01495992","PMID":"18165338","author":[{"dropping-particle":"","family":"American Diabetes Association","given":"","non-dropping-particle":"","parse-names":false,"suffix":""}],"container-title":"Diabetes Care","id":"ITEM-1","issue":"SUPPL. 1","issued":{"date-parts":[["2008"]]},"page":"55-60","title":"Diagnosis and classification of diabetes mellitus","type":"article-journal","volume":"31"},"uris":["http://www.mendeley.com/documents/?uuid=7527e5ee-5a74-4e33-9b9a-a367d53aa03d"]}],"mendeley":{"formattedCitation":"(American Diabetes Association, 2008)","plainTextFormattedCitation":"(American Diabetes Association, 2008)","previouslyFormattedCitation":"(American Diabetes Association, 2008)"},"properties":{"noteIndex":0},"schema":"https://github.com/citation-style-language/schema/raw/master/csl-citation.json"}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(American Diabetes Association, 2008)</w:t>
      </w:r>
      <w:r w:rsidRPr="00103A0B">
        <w:rPr>
          <w:rFonts w:ascii="Arial" w:hAnsi="Arial" w:cs="Arial"/>
          <w:sz w:val="24"/>
          <w:szCs w:val="24"/>
        </w:rPr>
        <w:fldChar w:fldCharType="end"/>
      </w:r>
      <w:r w:rsidRPr="00103A0B">
        <w:rPr>
          <w:rFonts w:ascii="Arial" w:hAnsi="Arial" w:cs="Arial"/>
          <w:sz w:val="24"/>
          <w:szCs w:val="24"/>
        </w:rPr>
        <w:t xml:space="preserve">. Prediabetes can also be described in terms of impaired glucose regulation (IGR), non-diabetic hyperglycaemia </w:t>
      </w:r>
      <w:r w:rsidRPr="00103A0B">
        <w:rPr>
          <w:rFonts w:ascii="Arial" w:hAnsi="Arial" w:cs="Arial"/>
          <w:sz w:val="24"/>
          <w:szCs w:val="24"/>
        </w:rPr>
        <w:fldChar w:fldCharType="begin" w:fldLock="1"/>
      </w:r>
      <w:r w:rsidR="0092755F" w:rsidRPr="00103A0B">
        <w:rPr>
          <w:rFonts w:ascii="Arial" w:hAnsi="Arial" w:cs="Arial"/>
          <w:sz w:val="24"/>
          <w:szCs w:val="24"/>
        </w:rPr>
        <w:instrText>ADDIN CSL_CITATION {"citationItems":[{"id":"ITEM-1","itemData":{"ISSN":"2627-0439","abstract":"Dieser Artikel ist nur als PDF-Dokument verfügbar.","author":[{"dropping-particle":"","family":"Diabetes UK","given":"","non-dropping-particle":"","parse-names":false,"suffix":""}],"id":"ITEM-1","issued":{"date-parts":[["2021"]]},"number-of-pages":"1-5","title":"Early identification of type 2 diabetes","type":"report"},"uris":["http://www.mendeley.com/documents/?uuid=78e152f8-8fd7-4b4e-b7fa-b49f620c0f1a"]}],"mendeley":{"formattedCitation":"(Diabetes UK, 2021b)","plainTextFormattedCitation":"(Diabetes UK, 2021b)","previouslyFormattedCitation":"(Diabetes UK, 2021b)"},"properties":{"noteIndex":0},"schema":"https://github.com/citation-style-language/schema/raw/master/csl-citation.json"}</w:instrText>
      </w:r>
      <w:r w:rsidRPr="00103A0B">
        <w:rPr>
          <w:rFonts w:ascii="Arial" w:hAnsi="Arial" w:cs="Arial"/>
          <w:sz w:val="24"/>
          <w:szCs w:val="24"/>
        </w:rPr>
        <w:fldChar w:fldCharType="separate"/>
      </w:r>
      <w:r w:rsidR="00391499" w:rsidRPr="00103A0B">
        <w:rPr>
          <w:rFonts w:ascii="Arial" w:hAnsi="Arial" w:cs="Arial"/>
          <w:noProof/>
          <w:sz w:val="24"/>
          <w:szCs w:val="24"/>
        </w:rPr>
        <w:t>(Diabetes UK, 2021b)</w:t>
      </w:r>
      <w:r w:rsidRPr="00103A0B">
        <w:rPr>
          <w:rFonts w:ascii="Arial" w:hAnsi="Arial" w:cs="Arial"/>
          <w:sz w:val="24"/>
          <w:szCs w:val="24"/>
        </w:rPr>
        <w:fldChar w:fldCharType="end"/>
      </w:r>
      <w:r w:rsidRPr="00103A0B">
        <w:rPr>
          <w:rFonts w:ascii="Arial" w:hAnsi="Arial" w:cs="Arial"/>
          <w:sz w:val="24"/>
          <w:szCs w:val="24"/>
        </w:rPr>
        <w:t xml:space="preserve">, impaired glucose tolerance (IGT) or impaired fasting glucose (IFG) </w:t>
      </w:r>
      <w:r w:rsidRPr="00103A0B">
        <w:rPr>
          <w:rFonts w:ascii="Arial" w:hAnsi="Arial" w:cs="Arial"/>
          <w:sz w:val="24"/>
          <w:szCs w:val="24"/>
        </w:rPr>
        <w:fldChar w:fldCharType="begin" w:fldLock="1"/>
      </w:r>
      <w:r w:rsidR="00810F86" w:rsidRPr="00103A0B">
        <w:rPr>
          <w:rFonts w:ascii="Arial" w:hAnsi="Arial" w:cs="Arial"/>
          <w:sz w:val="24"/>
          <w:szCs w:val="24"/>
        </w:rPr>
        <w:instrText>ADDIN CSL_CITATION {"citationItems":[{"id":"ITEM-1","itemData":{"DOI":"10.1016/j.jcjd.2017.10.003","ISSN":"23523840","PMID":"29650080","author":[{"dropping-particle":"","family":"Punthakee","given":"Zubin","non-dropping-particle":"","parse-names":false,"suffix":""},{"dropping-particle":"","family":"Goldenberg","given":"Ronald","non-dropping-particle":"","parse-names":false,"suffix":""},{"dropping-particle":"","family":"Katz","given":"Pamela","non-dropping-particle":"","parse-names":false,"suffix":""}],"container-title":"Canadian Journal of Diabetes","id":"ITEM-1","issued":{"date-parts":[["2018"]]},"page":"S10-S15","publisher":"Elsevier Inc.","title":"Definition, classification and diagnosis of diabetes, prediabetes and metabolic syndrome","type":"article-journal","volume":"42"},"uris":["http://www.mendeley.com/documents/?uuid=8844bb26-36c6-424d-8b27-42cc833020ec"]}],"mendeley":{"formattedCitation":"(Punthakee et al., 2018)","plainTextFormattedCitation":"(Punthakee et al., 2018)","previouslyFormattedCitation":"(Punthakee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(Punthakee et al., 2018)</w:t>
      </w:r>
      <w:r w:rsidRPr="00103A0B">
        <w:rPr>
          <w:rFonts w:ascii="Arial" w:hAnsi="Arial" w:cs="Arial"/>
          <w:sz w:val="24"/>
          <w:szCs w:val="24"/>
        </w:rPr>
        <w:fldChar w:fldCharType="end"/>
      </w:r>
      <w:r w:rsidRPr="00103A0B">
        <w:rPr>
          <w:rFonts w:ascii="Arial" w:hAnsi="Arial" w:cs="Arial"/>
          <w:sz w:val="24"/>
          <w:szCs w:val="24"/>
        </w:rPr>
        <w:t xml:space="preserve">. Prediabetes is diagnosed in different ways such as assessing glycated haemoglobin (HbA1c) levels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{"citationItems":[{"id":"ITEM-1","itemData":{"DOI":"ISBN 978 92 4 156525 7","ISBN":"978 92 4 156525 7","ISSN":"1098-6596","PMID":"25246403","abstract":"Diabetes is a serious, chronic disease that occurs either when the pancreas does not produce enough insulin (a hormone that regulates blood sugar, or glucose), or when the body cannot effectively use the insulin it produces. Diabetes is an important public health problem, one of four priority noncommunicable diseases (NCDs) targeted for action by world leaders. Both the number of cases and the prevalence of diabetes have been steadily increasing over the past few decades.","author":[{"dropping-particle":"","family":"World Health Organization (WHO)","given":"","non-dropping-particle":"","parse-names":false,"suffix":""}],"id":"ITEM-1","issued":{"date-parts":[["2016"]]},"number-of-pages":"88","title":"Global Report on Diabetes","type":"report"},"uris":["http://www.mendeley.com/documents/?uuid=0133d977-4488-47a0-bc3c-e61df8f0f802"]},{"id":"ITEM-2","itemData":{"DOI":"10.1016/j.jcjd.2017.10.003","ISSN":"23523840","PMID":"29650080","author":[{"dropping-particle":"","family":"Punthakee","given":"Zubin","non-dropping-particle":"","parse-names":false,"suffix":""},{"dropping-particle":"","family":"Goldenberg","given":"Ronald","non-dropping-particle":"","parse-names":false,"suffix":""},{"dropping-particle":"","family":"Katz","given":"Pamela","non-dropping-particle":"","parse-names":false,"suffix":""}],"container-title":"Canadian Journal of Diabetes","id":"ITEM-2","issued":{"date-parts":[["2018"]]},"page":"S10-S15","publisher":"Elsevier Inc.","title":"Definition, classification and diagnosis of diabetes, prediabetes and metabolic syndrome","type":"article-journal","volume":"42"},"uris":["http://www.mendeley.com/documents/?uuid=8844bb26-36c6-424d-8b27-42cc833020ec"]},{"id":"ITEM-3","itemData":{"DOI":"10.2337/dc08-S055","ISSN":"01495992","PMID":"18165338","author":[{"dropping-particle":"","family":"American Diabetes Association","given":"","non-dropping-particle":"","parse-names":false,"suffix":""}],"container-title":"Diabetes Care","id":"ITEM-3","issue":"SUPPL. 1","issued":{"date-parts":[["2008"]]},"page":"55-60","title":"Diagnosis and classification of diabetes mellitus","type":"article-journal","volume":"31"},"uris":["http://www.mendeley.com/documents/?uuid=7527e5ee-5a74-4e33-9b9a-a367d53aa03d"]}],"mendeley":{"formattedCitation":"(American Diabetes Association, 2008; Punthakee et al., 2018; World Health Organization (WHO), 2016)","plainTextFormattedCitation":"(American Diabetes Association, 2008; Punthakee et al., 2018; World Health Organization (WHO), 2016)","previouslyFormattedCitation":"(American Diabetes Association, 2008; Punthakee et al., 2018; World Health Organization (WHO),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(American Diabetes Association, 2008; Punthakee et al., 2018; World Health Organization (WHO), 2016)</w:t>
      </w:r>
      <w:r w:rsidRPr="00103A0B">
        <w:rPr>
          <w:rFonts w:ascii="Arial" w:hAnsi="Arial" w:cs="Arial"/>
          <w:sz w:val="24"/>
          <w:szCs w:val="24"/>
        </w:rPr>
        <w:fldChar w:fldCharType="end"/>
      </w:r>
      <w:r w:rsidRPr="00103A0B">
        <w:rPr>
          <w:rFonts w:ascii="Arial" w:hAnsi="Arial" w:cs="Arial"/>
          <w:sz w:val="24"/>
          <w:szCs w:val="24"/>
        </w:rPr>
        <w:t xml:space="preserve"> or through using  </w:t>
      </w:r>
      <w:r w:rsidRPr="00103A0B">
        <w:rPr>
          <w:rFonts w:ascii="Arial" w:eastAsia="Times New Roman" w:hAnsi="Arial" w:cs="Arial"/>
          <w:sz w:val="24"/>
          <w:szCs w:val="24"/>
          <w:lang w:eastAsia="en-GB"/>
        </w:rPr>
        <w:t xml:space="preserve">diabetes risk scores such as </w:t>
      </w:r>
      <w:r w:rsidRPr="00103A0B">
        <w:rPr>
          <w:rFonts w:ascii="Arial" w:hAnsi="Arial" w:cs="Arial"/>
          <w:sz w:val="24"/>
          <w:szCs w:val="24"/>
        </w:rPr>
        <w:t xml:space="preserve">the Finnish diabetes risk score (FINDRISC) </w:t>
      </w:r>
      <w:r w:rsidRPr="00103A0B">
        <w:rPr>
          <w:rFonts w:ascii="Arial" w:hAnsi="Arial" w:cs="Arial"/>
          <w:sz w:val="24"/>
          <w:szCs w:val="24"/>
        </w:rPr>
        <w:fldChar w:fldCharType="begin" w:fldLock="1"/>
      </w:r>
      <w:r w:rsidR="008E0722" w:rsidRPr="00103A0B">
        <w:rPr>
          <w:rFonts w:ascii="Arial" w:hAnsi="Arial" w:cs="Arial"/>
          <w:sz w:val="24"/>
          <w:szCs w:val="24"/>
        </w:rPr>
        <w:instrText>ADDIN CSL_CITATION {"citationItems":[{"id":"ITEM-1","itemData":{"DOI":"10.1186/1471-2458-12-510","ISSN":"14712458","abstract":"Background: Error in self-reported measures of obesity has been frequently described, but the effect of self-reported error on recruitment into diabetes prevention programs is not well established. The aim of this study was to examine the effect of using self-reported obesity data from the Finnish diabetes risk score (FINDRISC) on recruitment into the Greater Green Triangle Diabetes Prevention Project (GGT DPP). Methods. The GGT DPP was a structured group-based lifestyle modification program delivered in primary health care settings in South-Eastern Australia. Between 2004-05, 850 FINDRISC forms were collected during recruitment for the GGT DPP. Eligible individuals, at moderate to high risk of developing diabetes, were invited to undertake baseline tests, including anthropometric measurements performed by specially trained nurses. In addition to errors in calculating total risk scores, accuracy of self-reported data (height, weight, waist circumference (WC) and Body Mass Index (BMI)) from FINDRISCs was compared with baseline data, with impact on participation eligibility presented. Results: Overall, calculation errors impacted on eligibility in 18 cases (2.1%). Of n=279 GGT DPP participants with measured data, errors (total score calculation, BMI or WC) in self-report were found in n=90 (32.3%). These errors were equally likely to result in under- or over-reported risk. Under-reporting was more common in those reporting lower risk scores (Spearman-rho=0.226, p-value&lt;0.001). However, underestimation resulted in only 6% of individuals at high risk of diabetes being incorrectly categorised as moderate or low risk of diabetes. Conclusions: Overall FINDRISC was found to be an effective tool to screen and recruit participants at moderate to high risk of diabetes, accurately categorising levels of overweight and obesity using self-report data. The results could be generalisable to other diabetes prevention programs using screening tools which include self-reported levels of obesity. © 2012 Hernan et al.; licensee BioMed Central Ltd.","author":[{"dropping-particle":"","family":"Hernan","given":"Andrea","non-dropping-particle":"","parse-names":false,"suffix":""},{"dropping-particle":"","family":"Philpot","given":"Benjamin","non-dropping-particle":"","parse-names":false,"suffix":""},{"dropping-particle":"","family":"Janus","given":"Edward D.","non-dropping-particle":"","parse-names":false,"suffix":""},{"dropping-particle":"","family":"Dunbar","given":"James A.","non-dropping-particle":"","parse-names":false,"suffix":""}],"container-title":"BMC Public Health","id":"ITEM-1","issued":{"date-parts":[["2012"]]},"page":"510","title":"Recruitment into diabetes prevention programs: what is the impact of errors in self-reported measures of obesity?","type":"article-journal","volume":"12"},"uris":["http://www.mendeley.com/documents/?uuid=944d0d10-6429-4e08-9ddb-9ccfab722fca"]}],"mendeley":{"formattedCitation":"(Hernan et al., 2012)","plainTextFormattedCitation":"(Hernan et al., 2012)","previouslyFormattedCitation":"(Hernan et al., 2012)"},"properties":{"noteIndex":0},"schema":"https://github.com/citation-style-language/schema/raw/master/csl-citation.json"}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(Hernan et al., 2012)</w:t>
      </w:r>
      <w:r w:rsidRPr="00103A0B">
        <w:rPr>
          <w:rFonts w:ascii="Arial" w:hAnsi="Arial" w:cs="Arial"/>
          <w:sz w:val="24"/>
          <w:szCs w:val="24"/>
        </w:rPr>
        <w:fldChar w:fldCharType="end"/>
      </w:r>
      <w:r w:rsidRPr="00103A0B">
        <w:rPr>
          <w:rFonts w:ascii="Arial" w:hAnsi="Arial" w:cs="Arial"/>
          <w:sz w:val="24"/>
          <w:szCs w:val="24"/>
        </w:rPr>
        <w:t xml:space="preserve">. </w:t>
      </w:r>
    </w:p>
    <w:p w14:paraId="00F8DA0B" w14:textId="77777777" w:rsidR="00423291" w:rsidRPr="00103A0B" w:rsidRDefault="009651BC" w:rsidP="00423291">
      <w:pPr>
        <w:spacing w:before="240" w:line="360" w:lineRule="auto"/>
        <w:jc w:val="both"/>
        <w:rPr>
          <w:rFonts w:ascii="Arial" w:hAnsi="Arial" w:cs="Arial"/>
          <w:sz w:val="24"/>
          <w:szCs w:val="24"/>
        </w:rPr>
      </w:pPr>
      <w:r w:rsidRPr="00103A0B">
        <w:rPr>
          <w:rFonts w:ascii="Arial" w:hAnsi="Arial" w:cs="Arial"/>
          <w:sz w:val="24"/>
          <w:szCs w:val="24"/>
        </w:rPr>
        <w:t xml:space="preserve">There are many factors (both modifiable and non-modifiable) which increase someone's risk of developing T2DM. Many of these are non-modifiable such as  increasing age, a previous history of gestational diabetes, a family history of T2DM, those from lower socioeconomic groups, and </w:t>
      </w:r>
      <w:r w:rsidR="00344367" w:rsidRPr="00103A0B">
        <w:rPr>
          <w:rFonts w:ascii="Arial" w:hAnsi="Arial" w:cs="Arial"/>
          <w:sz w:val="24"/>
          <w:szCs w:val="24"/>
        </w:rPr>
        <w:t>ethnicity (some</w:t>
      </w:r>
      <w:r w:rsidRPr="00103A0B">
        <w:rPr>
          <w:rFonts w:ascii="Arial" w:hAnsi="Arial" w:cs="Arial"/>
          <w:sz w:val="24"/>
          <w:szCs w:val="24"/>
        </w:rPr>
        <w:t xml:space="preserve"> ethnic groups</w:t>
      </w:r>
      <w:r w:rsidR="00344367" w:rsidRPr="00103A0B">
        <w:rPr>
          <w:rFonts w:ascii="Arial" w:hAnsi="Arial" w:cs="Arial"/>
          <w:sz w:val="24"/>
          <w:szCs w:val="24"/>
        </w:rPr>
        <w:t xml:space="preserve"> have higher risk</w:t>
      </w:r>
      <w:r w:rsidRPr="00103A0B">
        <w:rPr>
          <w:rFonts w:ascii="Arial" w:hAnsi="Arial" w:cs="Arial"/>
          <w:sz w:val="24"/>
          <w:szCs w:val="24"/>
        </w:rPr>
        <w:t xml:space="preserve"> such as South Asian, African-Caribbean, </w:t>
      </w:r>
      <w:r w:rsidR="00CB187F" w:rsidRPr="00103A0B">
        <w:rPr>
          <w:rFonts w:ascii="Arial" w:hAnsi="Arial" w:cs="Arial"/>
          <w:sz w:val="24"/>
          <w:szCs w:val="24"/>
        </w:rPr>
        <w:t>B</w:t>
      </w:r>
      <w:r w:rsidRPr="00103A0B">
        <w:rPr>
          <w:rFonts w:ascii="Arial" w:hAnsi="Arial" w:cs="Arial"/>
          <w:sz w:val="24"/>
          <w:szCs w:val="24"/>
        </w:rPr>
        <w:t>lack African and Chinese</w:t>
      </w:r>
      <w:r w:rsidR="00344367" w:rsidRPr="00103A0B">
        <w:rPr>
          <w:rFonts w:ascii="Arial" w:hAnsi="Arial" w:cs="Arial"/>
          <w:sz w:val="24"/>
          <w:szCs w:val="24"/>
        </w:rPr>
        <w:t>)</w:t>
      </w:r>
      <w:r w:rsidRPr="00103A0B">
        <w:rPr>
          <w:rFonts w:ascii="Arial" w:hAnsi="Arial" w:cs="Arial"/>
          <w:sz w:val="24"/>
          <w:szCs w:val="24"/>
        </w:rPr>
        <w:t xml:space="preserve">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{"citationItems":[{"id":"ITEM-1","itemData":{"author":[{"dropping-particle":"","family":"National Institute for Health and Care Excellence (NICE)","given":"","non-dropping-particle":"","parse-names":false,"suffix":""}],"id":"ITEM-1","issued":{"date-parts":[["2011"]]},"number-of-pages":"1-84","title":"Type 2 diabetes prevention: population and community-level interventions","type":"report"},"uris":["http://www.mendeley.com/documents/?uuid=17ac8fd4-ef34-4d63-b6c1-750a43ee37dd"]},{"id":"ITEM-2","itemData":{"DOI":"ISBN 978 92 4 156525 7","ISBN":"978 92 4 156525 7","ISSN":"1098-6596","PMID":"25246403","abstract":"Diabetes is a serious, chronic disease that occurs either when the pancreas does not produce enough insulin (a hormone that regulates blood sugar, or glucose), or when the body cannot effectively use the insulin it produces. Diabetes is an important public health problem, one of four priority noncommunicable diseases (NCDs) targeted for action by world leaders. Both the number of cases and the prevalence of diabetes have been steadily increasing over the past few decades.","author":[{"dropping-particle":"","family":"World Health Organization (WHO)","given":"","non-dropping-particle":"","parse-names":false,"suffix":""}],"id":"ITEM-2","issued":{"date-parts":[["2016"]]},"number-of-pages":"88","title":"Global Report on Diabetes","type":"report"},"uris":["http://www.mendeley.com/documents/?uuid=0133d977-4488-47a0-bc3c-e61df8f0f802"]}],"mendeley":{"formattedCitation":"(National Institute for Health and Care Excellence (NICE), 2011; World Health Organization (WHO), 2016)","plainTextFormattedCitation":"(National Institute for Health and Care Excellence (NICE), 2011; World Health Organization (WHO), 2016)","previouslyFormattedCitation":"(National Institute for Health and Care Excellence (NICE), 2011; World Health Organization (WHO), 2016)"},"properties":{"noteIndex":0},"schema":"https://github.com/citation-style-language/schema/raw/master/csl-citation.json"}</w:instrText>
      </w:r>
      <w:r w:rsidRPr="00103A0B">
        <w:rPr>
          <w:rFonts w:ascii="Arial" w:hAnsi="Arial" w:cs="Arial"/>
          <w:sz w:val="24"/>
          <w:szCs w:val="24"/>
        </w:rPr>
        <w:fldChar w:fldCharType="separate"/>
      </w:r>
      <w:r w:rsidR="007E0EE7" w:rsidRPr="00103A0B">
        <w:rPr>
          <w:rFonts w:ascii="Arial" w:hAnsi="Arial" w:cs="Arial"/>
          <w:noProof/>
          <w:sz w:val="24"/>
          <w:szCs w:val="24"/>
        </w:rPr>
        <w:t>(National Institute for Health and Care Excellence (NICE), 2011; World Health Organization (WHO), 2016)</w:t>
      </w:r>
      <w:r w:rsidRPr="00103A0B">
        <w:rPr>
          <w:rFonts w:ascii="Arial" w:hAnsi="Arial" w:cs="Arial"/>
          <w:sz w:val="24"/>
          <w:szCs w:val="24"/>
        </w:rPr>
        <w:fldChar w:fldCharType="end"/>
      </w:r>
      <w:r w:rsidRPr="00103A0B">
        <w:rPr>
          <w:rFonts w:ascii="Arial" w:hAnsi="Arial" w:cs="Arial"/>
          <w:sz w:val="24"/>
          <w:szCs w:val="24"/>
        </w:rPr>
        <w:t xml:space="preserve">. However, a number of risk factors are modifiable including being overweight or obese, having high waist circumference, unhealthy diets, being physically inactive, smoking, high blood pressure (hypertension) and abnormal cholesterol (lipid) levels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{"citationItems":[{"id":"ITEM-1","itemData":{"author":[{"dropping-particle":"","family":"National Institute for Health and Care Excellence (NICE)","given":"","non-dropping-particle":"","parse-names":false,"suffix":""}],"id":"ITEM-1","issued":{"date-parts":[["2011"]]},"number-of-pages":"1-84","title":"Type 2 diabetes prevention: population and community-level interventions","type":"report"},"uris":["http://www.mendeley.com/documents/?uuid=17ac8fd4-ef34-4d63-b6c1-750a43ee37dd"]},{"id":"ITEM-2","itemData":{"DOI":"ISBN 978 92 4 156525 7","ISBN":"978 92 4 156525 7","ISSN":"1098-6596","PMID":"25246403","abstract":"Diabetes is a serious, chronic disease that occurs either when the pancreas does not produce enough insulin (a hormone that regulates blood sugar, or glucose), or when the body cannot effectively use the insulin it produces. Diabetes is an important public health problem, one of four priority noncommunicable diseases (NCDs) targeted for action by world leaders. Both the number of cases and the prevalence of diabetes have been steadily increasing over the past few decades.","author":[{"dropping-particle":"","family":"World Health Organization (WHO)","given":"","non-dropping-particle":"","parse-names":false,"suffix":""}],"id":"ITEM-2","issued":{"date-parts":[["2016"]]},"number-of-pages":"88","title":"Global Report on Diabetes","type":"report"},"uris":["http://www.mendeley.com/documents/?uuid=0133d977-4488-47a0-bc3c-e61df8f0f802"]},{"id":"ITEM-3","itemData":{"DOI":"10.1186/s12875-014-0216-3","ISSN":"14712296","PMID":"25609029","abstract":"Background: Prediabetes is a high-risk state for diabetes development, but little is known about the factors associated with this state. The aim of the study was to identify modifiable risk factors associated with the presence of prediabetes in men and women. Methods: Cohort Study in Primary Health Care on the Evolution of Patients with Prediabetes (PREDAPS-Study) is a prospective study on a cohort of 1184 subjects with prediabetes and another cohort of 838 subjects without glucose metabolism disorders. It is being conducted by 125 general practitioners in Spain. Data for this analysis were collected during the baseline stage in 2012. The modifiable risk factors included were: smoking habit, alcohol consumption, low physical activity, inadequate diet, hypertension, dyslipidemia, and obesity. To assess independent association between each factor and prediabetes, odds ratios (ORs) were estimated using logistic regression models. Results: Abdominal obesity, low plasma levels of high-density lipoprotein cholesterol (HDL-cholesterol), and hypertension were independently associated with the presence of prediabetes in both men and women. After adjusting for all factors, the respective ORs (95% Confidence Intervals) were 1.98 (1.41-2.79), 1.88 (1.23-2.88) and 1.86 (1.39-2.51) for men, and 1.89 (1.36-2.62), 1.58 (1.12-2.23) and 1.44 (1.07-1.92) for women. Also, general obesity was a risk factor in both sexes but did not reach statistical significance among men, after adjusting for all factors. Risky alcohol consumption was a risk factor for prediabetes in men, OR 1.49 (1.00-2.24). Conclusions: Obesity, low HDL-cholesterol levels, and hypertension were modifiable risk factors independently related to the presence of prediabetes in both sexes. The magnitudes of the associations were stronger for men than women. Abdominal obesity in both men and women displayed the strongest association with prediabetes. The findings suggest that there are some differences between men and women, which should be taken into account when implementing specific recommendations to prevent or delay the onset of diabetes in adult population.","author":[{"dropping-particle":"","family":"Díaz-Redondo","given":"Alicia","non-dropping-particle":"","parse-names":false,"suffix":""},{"dropping-particle":"","family":"Giráldez-García","given":"Carolina","non-dropping-particle":"","parse-names":false,"suffix":""},{"dropping-particle":"","family":"Carrillo","given":"Lourdes","non-dropping-particle":"","parse-names":false,"suffix":""},{"dropping-particle":"","family":"Serrano","given":"Rosario","non-dropping-particle":"","parse-names":false,"suffix":""},{"dropping-particle":"","family":"García-Soidán","given":"Francisco Javier","non-dropping-particle":"","parse-names":false,"suffix":""},{"dropping-particle":"","family":"Artola","given":"Sara","non-dropping-particle":"","parse-names":false,"suffix":""},{"dropping-particle":"","family":"Franch","given":"Josep","non-dropping-particle":"","parse-names":false,"suffix":""},{"dropping-particle":"","family":"Díez","given":"Javier","non-dropping-particle":"","parse-names":false,"suffix":""},{"dropping-particle":"","family":"Ezkurra","given":"Patxi","non-dropping-particle":"","parse-names":false,"suffix":""},{"dropping-particle":"","family":"Millaruelo","given":"José Manuel","non-dropping-particle":"","parse-names":false,"suffix":""},{"dropping-particle":"","family":"Seguí","given":"Mateu","non-dropping-particle":"","parse-names":false,"suffix":""},{"dropping-particle":"","family":"Sangrós","given":"Javier","non-dropping-particle":"","parse-names":false,"suffix":""},{"dropping-particle":"","family":"Martínez-Candela","given":"Juan","non-dropping-particle":"","parse-names":false,"suffix":""},{"dropping-particle":"","family":"Muñoz","given":"Pedro","non-dropping-particle":"","parse-names":false,"suffix":""},{"dropping-particle":"","family":"Goday","given":"Albert","non-dropping-particle":"","parse-names":false,"suffix":""},{"dropping-particle":"","family":"Regidor","given":"Enrique","non-dropping-particle":"","parse-names":false,"suffix":""},{"dropping-particle":"","family":"Alonso","given":"M.","non-dropping-particle":"","parse-names":false,"suffix":""},{"dropping-particle":"","family":"Álvarez","given":"B.","non-dropping-particle":"","parse-names":false,"suffix":""},{"dropping-particle":"","family":"Álvarez","given":"F.","non-dropping-particle":"","parse-names":false,"suffix":""},{"dropping-particle":"","family":"Álvarez","given":"J. C.","non-dropping-particle":"","parse-names":false,"suffix":""},{"dropping-particle":"","family":"Antón","given":"J. J.","non-dropping-particle":"","parse-names":false,"suffix":""},{"dropping-particle":"","family":"Armengol","given":"O.","non-dropping-particle":"","parse-names":false,"suffix":""},{"dropping-particle":"","family":"Ávila","given":"L.","non-dropping-particle":"","parse-names":false,"suffix":""},{"dropping-particle":"","family":"Babace","given":"C.","non-dropping-particle":"","parse-names":false,"suffix":""},{"dropping-particle":"","family":"Barutell","given":"L.","non-dropping-particle":"","parse-names":false,"suffix":""},{"dropping-particle":"","family":"Bedoya","given":"M. J.","non-dropping-particle":"","parse-names":false,"suffix":""},{"dropping-particle":"","family":"Benito","given":"B.","non-dropping-particle":"","parse-names":false,"suffix":""},{"dropping-particle":"","family":"Bilbeny","given":"B.","non-dropping-particle":"","parse-names":false,"suffix":""},{"dropping-particle":"","family":"Birules","given":"M.","non-dropping-particle":"","parse-names":false,"suffix":""},{"dropping-particle":"","family":"Blanco","given":"C.","non-dropping-particle":"","parse-names":false,"suffix":""},{"dropping-particle":"","family":"Bobé","given":"M. I.","non-dropping-particle":"","parse-names":false,"suffix":""},{"dropping-particle":"","family":"Boente","given":"C.","non-dropping-particle":"","parse-names":false,"suffix":""},{"dropping-particle":"","family":"Borras","given":"A.","non-dropping-particle":"","parse-names":false,"suffix":""},{"dropping-particle":"","family":"Bosch","given":"R.","non-dropping-particle":"","parse-names":false,"suffix":""},{"dropping-particle":"","family":"Brito","given":"M. J.","non-dropping-particle":"","parse-names":false,"suffix":""},{"dropping-particle":"","family":"Buil","given":"P.","non-dropping-particle":"","parse-names":false,"suffix":""},{"dropping-particle":"","family":"Cabré","given":"J. J.","non-dropping-particle":"","parse-names":false,"suffix":""},{"dropping-particle":"","family":"Carbonell","given":"F.","non-dropping-particle":"","parse-names":false,"suffix":""},{"dropping-particle":"","family":"Carramiñana","given":"F.","non-dropping-particle":"","parse-names":false,"suffix":""},{"dropping-particle":"","family":"Casorrán","given":"A.","non-dropping-particle":"","parse-names":false,"suffix":""},{"dropping-particle":"","family":"Colas","given":"R.","non-dropping-particle":"","parse-names":false,"suffix":""},{"dropping-particle":"","family":"Cordero","given":"B.","non-dropping-particle":"","parse-names":false,"suffix":""},{"dropping-particle":"","family":"Cos","given":"X.","non-dropping-particle":"","parse-names":false,"suffix":""},{"dropping-particle":"","family":"Cuatrecasas","given":"G.","non-dropping-particle":"","parse-names":false,"suffix":""},{"dropping-particle":"","family":"Castro","given":"C.","non-dropping-particle":"De","parse-names":false,"suffix":""},{"dropping-particle":"","family":"La Flor","given":"M.","non-dropping-particle":"De","parse-names":false,"suffix":""},{"dropping-particle":"","family":"La Sen","given":"C.","non-dropping-particle":"De","parse-names":false,"suffix":""},{"dropping-particle":"","family":"Miguel","given":"R. M.","non-dropping-particle":"De","parse-names":false,"suffix":""},{"dropping-particle":"","family":"Santiago","given":"A. M.","non-dropping-particle":"De","parse-names":false,"suffix":""},{"dropping-particle":"","family":"Castillo","given":"M.","non-dropping-particle":"Del","parse-names":false,"suffix":""},{"dropping-particle":"","family":"Domínguez","given":"D.","non-dropping-particle":"","parse-names":false,"suffix":""},{"dropping-particle":"","family":"Durán","given":"C.","non-dropping-particle":"","parse-names":false,"suffix":""},{"dropping-particle":"","family":"Ferreiro","given":"M.","non-dropping-particle":"","parse-names":false,"suffix":""},{"dropping-particle":"","family":"Gamarra","given":"J.","non-dropping-particle":"","parse-names":false,"suffix":""},{"dropping-particle":"","family":"García","given":"F.","non-dropping-particle":"","parse-names":false,"suffix":""},{"dropping-particle":"","family":"García-Giralda","given":"L.","non-dropping-particle":"","parse-names":false,"suffix":""},{"dropping-particle":"","family":"Gijón","given":"M. T.","non-dropping-particle":"","parse-names":false,"suffix":""},{"dropping-particle":"","family":"Gómez","given":"","non-dropping-particle":"","parse-names":false,"suffix":""},{"dropping-particle":"","family":"Gómez","given":"M. C.","non-dropping-particle":"","parse-names":false,"suffix":""},{"dropping-particle":"","family":"González","given":"J. C.","non-dropping-particle":"","parse-names":false,"suffix":""},{"dropping-particle":"","family":"González","given":"M.","non-dropping-particle":"","parse-names":false,"suffix":""},{"dropping-particle":"","family":"Granero","given":"E.","non-dropping-particle":"","parse-names":false,"suffix":""},{"dropping-particle":"","family":"Gutiérrez","given":"A. Trinidad","non-dropping-particle":"","parse-names":false,"suffix":""},{"dropping-particle":"","family":"Gutiérrez","given":"F.","non-dropping-particle":"","parse-names":false,"suffix":""},{"dropping-particle":"","family":"Gutiérrez","given":"L.","non-dropping-particle":"","parse-names":false,"suffix":""},{"dropping-particle":"","family":"Gutiérrez","given":"M. A.","non-dropping-particle":"","parse-names":false,"suffix":""},{"dropping-particle":"","family":"Hernández","given":"A. M.","non-dropping-particle":"","parse-names":false,"suffix":""},{"dropping-particle":"","family":"Ibáñez","given":"M.","non-dropping-particle":"","parse-names":false,"suffix":""},{"dropping-particle":"","family":"Iglesias","given":"R.","non-dropping-particle":"","parse-names":false,"suffix":""},{"dropping-particle":"","family":"Igual","given":"D.","non-dropping-particle":"","parse-names":false,"suffix":""},{"dropping-particle":"","family":"Jurado","given":"A.","non-dropping-particle":"","parse-names":false,"suffix":""},{"dropping-particle":"","family":"Llanes","given":"R.","non-dropping-particle":"","parse-names":false,"suffix":""},{"dropping-particle":"","family":"López","given":"F.","non-dropping-particle":"","parse-names":false,"suffix":""},{"dropping-particle":"","family":"López","given":"R.","non-dropping-particle":"","parse-names":false,"suffix":""},{"dropping-particle":"","family":"Lorenzo","given":"A.","non-dropping-particle":"","parse-names":false,"suffix":""},{"dropping-particle":"","family":"Losada","given":"C.","non-dropping-particle":"","parse-names":false,"suffix":""},{"dropping-particle":"","family":"Macía","given":"R.","non-dropping-particle":"","parse-names":false,"suffix":""},{"dropping-particle":"","family":"Magallón","given":"R.","non-dropping-particle":"","parse-names":false,"suffix":""},{"dropping-particle":"","family":"Malo","given":"F.","non-dropping-particle":"","parse-names":false,"suffix":""},{"dropping-particle":"","family":"Mancera","given":"J.","non-dropping-particle":"","parse-names":false,"suffix":""},{"dropping-particle":"","family":"Mansilla","given":"M. J.","non-dropping-particle":"","parse-names":false,"suffix":""},{"dropping-particle":"","family":"Marín","given":"M. T.","non-dropping-particle":"","parse-names":false,"suffix":""},{"dropping-particle":"","family":"Martínez","given":"F. J.","non-dropping-particle":"","parse-names":false,"suffix":""},{"dropping-particle":"","family":"Martín","given":"J. L.","non-dropping-particle":"","parse-names":false,"suffix":""},{"dropping-particle":"","family":"Martínez","given":"M. C.","non-dropping-particle":"","parse-names":false,"suffix":""},{"dropping-particle":"","family":"Martínez","given":"R.","non-dropping-particle":"","parse-names":false,"suffix":""},{"dropping-particle":"","family":"Massana","given":"A.","non-dropping-particle":"","parse-names":false,"suffix":""},{"dropping-particle":"","family":"Mata","given":"M.","non-dropping-particle":"","parse-names":false,"suffix":""},{"dropping-particle":"","family":"Mayayo","given":"M. S.","non-dropping-particle":"","parse-names":false,"suffix":""},{"dropping-particle":"","family":"Mediavilla","given":"J. J.","non-dropping-particle":"","parse-names":false,"suffix":""},{"dropping-particle":"","family":"Mendo","given":"L.","non-dropping-particle":"","parse-names":false,"suffix":""},{"dropping-particle":"","family":"Monzón","given":"A.","non-dropping-particle":"","parse-names":false,"suffix":""},{"dropping-particle":"","family":"Moreno","given":"A.","non-dropping-particle":"","parse-names":false,"suffix":""},{"dropping-particle":"","family":"Mundet","given":"X.","non-dropping-particle":"","parse-names":false,"suffix":""},{"dropping-particle":"","family":"Mur","given":"T.","non-dropping-particle":"","parse-names":false,"suffix":""},{"dropping-particle":"","family":"Navarro","given":"E.","non-dropping-particle":"","parse-names":false,"suffix":""},{"dropping-particle":"","family":"Navarro","given":"J.","non-dropping-particle":"","parse-names":false,"suffix":""},{"dropping-particle":"","family":"Nogales","given":"P.","non-dropping-particle":"","parse-names":false,"suffix":""},{"dropping-particle":"","family":"Obaya","given":"J. C.","non-dropping-particle":"","parse-names":false,"suffix":""},{"dropping-particle":"","family":"Oria","given":"C.","non-dropping-particle":"","parse-names":false,"suffix":""},{"dropping-particle":"","family":"Ortega","given":"F. Javier","non-dropping-particle":"","parse-names":false,"suffix":""},{"dropping-particle":"","family":"Paniagua","given":"F.","non-dropping-particle":"","parse-names":false,"suffix":""},{"dropping-particle":"","family":"Pardo","given":"J. L.","non-dropping-particle":"","parse-names":false,"suffix":""},{"dropping-particle":"","family":"Pérez","given":"F. C.","non-dropping-particle":"","parse-names":false,"suffix":""},{"dropping-particle":"","family":"Pérez","given":"P. P.","non-dropping-particle":"","parse-names":false,"suffix":""},{"dropping-particle":"","family":"Piulats","given":"N.","non-dropping-particle":"","parse-names":false,"suffix":""},{"dropping-particle":"","family":"Plana","given":"R.","non-dropping-particle":"","parse-names":false,"suffix":""},{"dropping-particle":"","family":"Porta","given":"N.","non-dropping-particle":"","parse-names":false,"suffix":""},{"dropping-particle":"","family":"Poveda","given":"S.","non-dropping-particle":"","parse-names":false,"suffix":""},{"dropping-particle":"","family":"Prieto","given":"L.","non-dropping-particle":"","parse-names":false,"suffix":""},{"dropping-particle":"","family":"Pujol","given":"R.","non-dropping-particle":"","parse-names":false,"suffix":""},{"dropping-particle":"","family":"Reixa","given":"S.","non-dropping-particle":"","parse-names":false,"suffix":""},{"dropping-particle":"","family":"Ripoll","given":"J.","non-dropping-particle":"","parse-names":false,"suffix":""},{"dropping-particle":"","family":"Rodríguez","given":"A.","non-dropping-particle":"","parse-names":false,"suffix":""},{"dropping-particle":"","family":"Rodríguez","given":"J. J.","non-dropping-particle":"","parse-names":false,"suffix":""},{"dropping-particle":"","family":"Rollán","given":"M. A.","non-dropping-particle":"","parse-names":false,"suffix":""},{"dropping-particle":"","family":"Rollán","given":"M. T.","non-dropping-particle":"","parse-names":false,"suffix":""},{"dropping-particle":"","family":"Romera","given":"L.","non-dropping-particle":"","parse-names":false,"suffix":""},{"dropping-particle":"","family":"Roura","given":"P.","non-dropping-particle":"","parse-names":false,"suffix":""},{"dropping-particle":"","family":"Rubio","given":"J. F.","non-dropping-particle":"","parse-names":false,"suffix":""},{"dropping-particle":"","family":"Ruiz","given":"A.","non-dropping-particle":"","parse-names":false,"suffix":""},{"dropping-particle":"","family":"Ruiz","given":"I.","non-dropping-particle":"","parse-names":false,"suffix":""},{"dropping-particle":"","family":"Ruiz","given":"M. A.","non-dropping-particle":"","parse-names":false,"suffix":""},{"dropping-particle":"","family":"Saenz","given":"I.","non-dropping-particle":"","parse-names":false,"suffix":""},{"dropping-particle":"","family":"Sagredo","given":"J.","non-dropping-particle":"","parse-names":false,"suffix":""},{"dropping-particle":"","family":"Salanova","given":"A.","non-dropping-particle":"","parse-names":false,"suffix":""},{"dropping-particle":"","family":"Sánchez","given":"L. G.","non-dropping-particle":"","parse-names":false,"suffix":""},{"dropping-particle":"","family":"Sánchez","given":"M.","non-dropping-particle":"","parse-names":false,"suffix":""},{"dropping-particle":"","family":"Sanz","given":"G.","non-dropping-particle":"","parse-names":false,"suffix":""},{"dropping-particle":"","family":"Suárez","given":"D.","non-dropping-particle":"","parse-names":false,"suffix":""},{"dropping-particle":"","family":"Tarragó","given":"E.","non-dropping-particle":"","parse-names":false,"suffix":""},{"dropping-particle":"","family":"Torrecilla","given":"J.","non-dropping-particle":"","parse-names":false,"suffix":""},{"dropping-particle":"","family":"Torres","given":"J. L.","non-dropping-particle":"","parse-names":false,"suffix":""},{"dropping-particle":"","family":"Villaró","given":"M.","non-dropping-particle":"","parse-names":false,"suffix":""}],"container-title":"BMC Family Practice","id":"ITEM-3","issued":{"date-parts":[["2015"]]},"page":"5","title":"Modifiable risk factors associated with prediabetes in men and women: a cross-sectional analysis of the cohort study in primary health care on the evolution of patients with prediabetes (PREDAPS-Study)","type":"article-journal","volume":"16"},"uris":["http://www.mendeley.com/documents/?uuid=f7961a7e-7036-46eb-968d-cbfce574c946"]}],"mendeley":{"formattedCitation":"(Díaz-Redondo et al., 2015; National Institute for Health and Care Excellence (NICE), 2011; World Health Organization (WHO), 2016)","plainTextFormattedCitation":"(Díaz-Redondo et al., 2015; National Institute for Health and Care Excellence (NICE), 2011; World Health Organization (WHO), 2016)","previouslyFormattedCitation":"(Díaz-Redondo et al., 2015; National Institute for Health and Care Excellence (NICE), 2011; World Health Organization (WHO), 2016)"},"properties":{"noteIndex":0},"schema":"https://github.com/citation-style-language/schema/raw/master/csl-citation.json"}</w:instrText>
      </w:r>
      <w:r w:rsidRPr="00103A0B">
        <w:rPr>
          <w:rFonts w:ascii="Arial" w:hAnsi="Arial" w:cs="Arial"/>
          <w:sz w:val="24"/>
          <w:szCs w:val="24"/>
        </w:rPr>
        <w:fldChar w:fldCharType="separate"/>
      </w:r>
      <w:r w:rsidR="007E0EE7" w:rsidRPr="00103A0B">
        <w:rPr>
          <w:rFonts w:ascii="Arial" w:hAnsi="Arial" w:cs="Arial"/>
          <w:noProof/>
          <w:sz w:val="24"/>
          <w:szCs w:val="24"/>
        </w:rPr>
        <w:t>(Díaz-Redondo et al., 2015; National Institute for Health and Care Excellence (NICE), 2011; World Health Organization (WHO), 2016)</w:t>
      </w:r>
      <w:r w:rsidRPr="00103A0B">
        <w:rPr>
          <w:rFonts w:ascii="Arial" w:hAnsi="Arial" w:cs="Arial"/>
          <w:sz w:val="24"/>
          <w:szCs w:val="24"/>
        </w:rPr>
        <w:fldChar w:fldCharType="end"/>
      </w:r>
      <w:r w:rsidRPr="00103A0B">
        <w:rPr>
          <w:rFonts w:ascii="Arial" w:hAnsi="Arial" w:cs="Arial"/>
          <w:sz w:val="24"/>
          <w:szCs w:val="24"/>
        </w:rPr>
        <w:t xml:space="preserve">.   </w:t>
      </w:r>
    </w:p>
    <w:p w14:paraId="6EEC18B5" w14:textId="595AE8AF" w:rsidR="00423291" w:rsidRPr="00103A0B" w:rsidRDefault="009651BC" w:rsidP="00423291">
      <w:pPr>
        <w:spacing w:before="240" w:line="360" w:lineRule="auto"/>
        <w:jc w:val="both"/>
        <w:rPr>
          <w:rFonts w:ascii="Arial" w:hAnsi="Arial" w:cs="Arial"/>
          <w:sz w:val="24"/>
          <w:szCs w:val="24"/>
        </w:rPr>
      </w:pPr>
      <w:r w:rsidRPr="00103A0B">
        <w:rPr>
          <w:rFonts w:ascii="Arial" w:hAnsi="Arial" w:cs="Arial"/>
          <w:sz w:val="24"/>
          <w:szCs w:val="24"/>
        </w:rPr>
        <w:t xml:space="preserve">There is overwhelming evidence that T2DM can be prevented or delayed by making changes to the modifiable factors, such as adopting healthier diets, losing weight and increasing levels of physical activity </w:t>
      </w:r>
      <w:r w:rsidRPr="00103A0B">
        <w:rPr>
          <w:rFonts w:ascii="Arial" w:hAnsi="Arial" w:cs="Arial"/>
          <w:sz w:val="24"/>
          <w:szCs w:val="24"/>
        </w:rPr>
        <w:fldChar w:fldCharType="begin" w:fldLock="1"/>
      </w:r>
      <w:r w:rsidR="00CA6338" w:rsidRPr="00103A0B">
        <w:rPr>
          <w:rFonts w:ascii="Arial" w:hAnsi="Arial" w:cs="Arial"/>
          <w:sz w:val="24"/>
          <w:szCs w:val="24"/>
        </w:rPr>
        <w:instrText>ADDIN CSL_CITATION {"citationItems":[{"id":"ITEM-1","itemData":{"ISBN":"9782930229843","abstract":"Research on the sexual lives of bisexually-identified women tends to focus on their heightened risk for sexually transmitted infection acquisition. The development of effective, tailored interventions would benefit from detailed behavior estimates from a large sample of bisexual women. Thus, this study collected sexual behavior data from 710 bisexually-identified women. When possible, items were adapted from the National Survey of Sexual Health and Behavior. Approximately equal proportions of participants reported no recent (past 30 days) sexual partners, male sexual partners only, female sexual partners only and male and female sexual partners. The majority of participants reported a diverse sexual repertoire. © 2012 Copyright Taylor and Francis Group, LLC.","author":[{"dropping-particle":"","family":"International Diabetes Federation","given":"","non-dropping-particle":"","parse-names":false,"suffix":""}],"id":"ITEM-1","issued":{"date-parts":[["2016"]]},"number-of-pages":"1-68","title":"Cost-effective solutions for the prevention of type 2 diabetes","type":"report"},"uris":["http://www.mendeley.com/documents/?uuid=c4ac29b7-8f64-41b1-a2d1-21c43511bf2d"]},{"id":"ITEM-2","itemData":{"DOI":"10.1186/1471-2458-9-342","ISSN":"14712458","PMID":"19758428","abstract":"Background. Diabetes prevalence is increasing. The Finnish Diabetes Prevention Study (DPS) showed a 58% reduction in Type 2 Diabetes (T2D) incidence in adults with impaired glucose tolerance (IGT). The European Diabetes Prevention Study (EDIPS) extends the DPS to different European populations, using the same study design. In the Newcastle arm of this study (EDIPS-Newcastle), we tested the hypothesis that T2D can be prevented by lifestyle intervention and explored secondary outcomes in relation to diabetes incidence. Methods. We recruited 102 participants (42 men and 60 women, mean age 57 years, mean BMI 34 kgm-2) with IGT to EDIPS-Newcastle and randomised to Intervention and usual care Control groups. The intervention included individual motivational interviewing aimed at: weight reduction, increase in physical activity, fibre and carbohydrate intake and reduction of fat intake (secondary outcomes). The primary outcome was diagnosis of T2D. Results. Mean duration of follow-up was 3.1 years. T2D was diagnosed in 16 participants (I = 5, C = 11). Absolute incidence of T2D was 32.7 per 1000 person-years in the Intervention-group and 67.1 per 1000 person-years in the Control-group. The overall incidence of diabetes was reduced by 55% in the Intervention-group, compared with the Control-group: RR 0.45 (95%CI 0.2 to 1.2). Explanatory survival analysis of secondary outcomes showed that those who sustained beneficial changes for two or more years reduced their risk of developing T2D. Conclusion. Our results are consistent with other diabetes prevention trials. This study was designed as part of a larger study and although the sample size limits statistical significance, the results contribute to the evidence that T2D can be prevented by lifestyle changes in adults with IGT. In explanatory analysis small sustained beneficial changes in weight, physical activity or dietary factors were associated with reduction in T2D incidence. Trial Registration. International Standard Randomised Controlled Trial Number registry (ISRCTN). © 2009 Penn et al.","author":[{"dropping-particle":"","family":"Penn","given":"Linda","non-dropping-particle":"","parse-names":false,"suffix":""},{"dropping-particle":"","family":"White","given":"Martin","non-dropping-particle":"","parse-names":false,"suffix":""},{"dropping-particle":"","family":"Oldroyd","given":"John","non-dropping-particle":"","parse-names":false,"suffix":""},{"dropping-particle":"","family":"Walker","given":"Mark","non-dropping-particle":"","parse-names":false,"suffix":""},{"dropping-particle":"","family":"Alberti","given":"K. George M.M.","non-dropping-particle":"","parse-names":false,"suffix":""},{"dropping-particle":"","family":"Mathers","given":"John C.","non-dropping-particle":"","parse-names":false,"suffix":""}],"container-title":"BMC Public Health","id":"ITEM-2","issued":{"date-parts":[["2009"]]},"page":"1-14","title":"Prevention of type 2 diabetes in adults with impaired glucose tolerance: the european diabetes prevention RCT in Newcastle upon Tyne, UK","type":"article-journal","volume":"9"},"uris":["http://www.mendeley.com/documents/?uuid=4da463a7-594e-4fcf-9a0e-da56e0fee324"]},{"id":"ITEM-3","itemData":{"DOI":"10.1056/NEJMoa012512","ISSN":"00284793","PMID":"11832527","abstract":"Background: Type 2 diabetes affects approximately 8 percent of adults in the United States. Some risk factors - elevated plasma glucose concentrations in the fasting state and after an oral glucose load, overweight, and a sedentary lifestyle - are potentially reversible. We hypothesized that modifying these factors with a lifestyle-intervention program or the administration of metformin would prevent or delay the development of diabetes. Methods: We randomly assigned 3234 nondiabetic persons with elevated fasting and post-load plasma glucose concentrations to placebo, metformin (850 mg twice daily), or a lifestyle-modification program with the goals of at least a 7 percent weight loss and at least 150 minutes of physical activity per week. The mean age of the participants was 51 years, and the mean body-mass index (the weight in kilograms divided by the square of the height in meters) was 34.0; 68 percent were women, and 45 percent were members of minority groups. Results: The average follow-up was 2.8 years. The incidence of diabetes was 11.0, 7.8, and 4.8 cases per 100 person-years in the placebo, metformin, and lifestyle groups, respectively. The lifestyle intervention reduced the incidence by 58 percent (95 percent confidence interval, 48 to 66 percent) and metformin by 31 percent (95 percent confidence interval, 17 to 43 percent), as compared with placebo; the lifestyle intervention was significantly more effective than metformin. To prevent one case of diabetes during a period of three years, 6.9 persons would have to participate in the lifestyle-intervention program, and 13.9 would have to receive metformin. Conclusions: Lifestyle changes and treatment with metformin both reduced the incidence of diabetes in persons at high risk. The lifestyle intervention was more effective than metformin. Copyright © 2002 Massachusetts Medical Society.","author":[{"dropping-particle":"","family":"Knowler","given":"William C.","non-dropping-particle":"","parse-names":false,"suffix":""},{"dropping-particle":"","family":"Barrett-Connor","given":"Elizabeth","non-dropping-particle":"","parse-names":false,"suffix":""},{"dropping-particle":"","family":"Fowler","given":"Sarah E.","non-dropping-particle":"","parse-names":false,"suffix":""},{"dropping-particle":"","family":"Hamman","given":"Richard F.","non-dropping-particle":"","parse-names":false,"suffix":""},{"dropping-particle":"","family":"Lachin","given":"John M.","non-dropping-particle":"","parse-names":false,"suffix":""},{"dropping-particle":"","family":"Walker","given":"Elizabeth A.","non-dropping-particle":"","parse-names":false,"suffix":""},{"dropping-particle":"","family":"Nathan","given":"David M.","non-dropping-particle":"","parse-names":false,"suffix":""}],"container-title":"New England Journal of Medicine","id":"ITEM-3","issue":"6","issued":{"date-parts":[["2002"]]},"page":"393-403","title":"Reduction in the incidence of type 2 diabetes with lifestyle intervention or metformin","type":"article-journal","volume":"346"},"uris":["http://www.mendeley.com/documents/?uuid=41bf43c8-ef1a-4662-873e-ab0e9454425f"]},{"id":"ITEM-4","itemData":{"DOI":"10.1007/s00125-005-0097-z","ISBN":"9144259549","ISSN":"0012186X","PMID":"16391903","abstract":"Aims/hypothesis: Lifestyle modification helps in the primary prevention of diabetes in multiethnic American, Finnish and Chinese populations. In a prospective community-based study, we tested whether the progression to diabetes could be influenced by interventions in native Asian Indians with IGT who were younger, leaner and more insulin resistant than the above populations. Methods: We randomised 531 (421 men 110 women) subjects with IGT (mean age 45.9±5.7 years, BMI 25.8±3.5 kg/m2) into four groups. Group 1 was the control, Group 2 was given advice on lifestyle modification (LSM), Group 3 was treated with metformin (MET) and Group 4 was given LSM plus MET. The primary outcome measure was type 2 diabetes as diagnosed using World Health Organization criteria. Results: The median follow-up period was 30 months, and the 3-year cumulative incidences of diabetes were 55.0%, 39.3%, 40.5% and 39.5% in Groups 1-4, respectively. The relative risk reduction was 28.5% with LSM (95% CI 20.5-37.3, p=0.018), 26.4% with MET (95% CI 19.1-35.1, p=0.029) and 28.2% with LSM + MET (95% CI 20.3-37.0, p=0.022), as compared with the control group. The number needed to treat to prevent one incident case of diabetes was 6.4 for LSM, 6.9 for MET and 6.5 for LSM + MET. Conclusions/interpretation: Progression of IGT to diabetes is high in native Asian Indians. Both LSM and MET significantly reduced the incidence of diabetes in Asian Indians with IGT; there was no added benefit from combining them. © Springer-Verlag 2006.","author":[{"dropping-particle":"","family":"Ramachandran","given":"A.","non-dropping-particle":"","parse-names":false,"suffix":""},{"dropping-particle":"","family":"Snehalatha","given":"C.","non-dropping-particle":"","parse-names":false,"suffix":""},{"dropping-particle":"","family":"Mary","given":"S.","non-dropping-particle":"","parse-names":false,"suffix":""},{"dropping-particle":"","family":"Mukesh","given":"B.","non-dropping-particle":"","parse-names":false,"suffix":""},{"dropping-particle":"","family":"Bhaskar","given":"A. D.","non-dropping-particle":"","parse-names":false,"suffix":""},{"dropping-particle":"","family":"Vijay","given":"V.","non-dropping-particle":"","parse-names":false,"suffix":""}],"container-title":"Diabetologia","id":"ITEM-4","issue":"2","issued":{"date-parts":[["2006"]]},"page":"289-297","title":"The Indian diabetes prevention programme shows that lifestyle modification and metformin prevent type 2 diabetes in Asian Indian subjects with impaired glucose tolerance (IDPP-1)","type":"article-journal","volume":"49"},"uris":["http://www.mendeley.com/documents/?uuid=7736e1db-32e9-4750-b77e-2b399a593cd1"]},{"id":"ITEM-5","itemData":{"URL":"https://www.who.int/news-room/fact-sheets/detail/diabetes","author":[{"dropping-particle":"","family":"World Health Organization","given":"","non-dropping-particle":"","parse-names":false,"suffix":""}],"id":"ITEM-5","issued":{"date-parts":[["2023"]]},"title":"Diabetes","type":"webpage"},"uris":["http://www.mendeley.com/documents/?uuid=c28b6ea3-199b-48e1-b468-c11c17413686"]},{"id":"ITEM-6","itemData":{"URL":"https://idf.org/about-diabetes/diabetes-prevention/","author":[{"dropping-particle":"","family":"International Diabetes Federation","given":"","non-dropping-particle":"","parse-names":false,"suffix":""}],"id":"ITEM-6","issued":{"date-parts":[["2023"]]},"title":"Diabetes prevention","type":"webpage"},"uris":["http://www.mendeley.com/documents/?uuid=2be58e66-ebf7-46b6-961d-3b82c046a308"]}],"mendeley":{"formattedCitation":"(International Diabetes Federation, 2016, 2023; Knowler et al., 2002; Penn et al., 2009; Ramachandran et al., 2006; World Health Organization, 2023)","plainTextFormattedCitation":"(International Diabetes Federation, 2016, 2023; Knowler et al., 2002; Penn et al., 2009; Ramachandran et al., 2006; World Health Organization, 2023)","previouslyFormattedCitation":"(International Diabetes Federation, 2016, 2023; Knowler et al., 2002; Penn et al., 2009; Ramachandran et al., 2006; World Health Organization, 2023)"},"properties":{"noteIndex":0},"schema":"https://github.com/citation-style-language/schema/raw/master/csl-citation.json"}</w:instrText>
      </w:r>
      <w:r w:rsidRPr="00103A0B">
        <w:rPr>
          <w:rFonts w:ascii="Arial" w:hAnsi="Arial" w:cs="Arial"/>
          <w:sz w:val="24"/>
          <w:szCs w:val="24"/>
        </w:rPr>
        <w:fldChar w:fldCharType="separate"/>
      </w:r>
      <w:r w:rsidR="00CA6338" w:rsidRPr="00103A0B">
        <w:rPr>
          <w:rFonts w:ascii="Arial" w:hAnsi="Arial" w:cs="Arial"/>
          <w:noProof/>
          <w:sz w:val="24"/>
          <w:szCs w:val="24"/>
        </w:rPr>
        <w:t>(International Diabetes Federation, 2016, 2023; Knowler et al., 2002; Penn et al., 2009; Ramachandran et al., 2006; World Health Organization, 2023)</w:t>
      </w:r>
      <w:r w:rsidRPr="00103A0B">
        <w:rPr>
          <w:rFonts w:ascii="Arial" w:hAnsi="Arial" w:cs="Arial"/>
          <w:sz w:val="24"/>
          <w:szCs w:val="24"/>
        </w:rPr>
        <w:fldChar w:fldCharType="end"/>
      </w:r>
      <w:r w:rsidRPr="00103A0B">
        <w:rPr>
          <w:rFonts w:ascii="Arial" w:hAnsi="Arial" w:cs="Arial"/>
          <w:sz w:val="24"/>
          <w:szCs w:val="24"/>
        </w:rPr>
        <w:t>.</w:t>
      </w:r>
      <w:r w:rsidRPr="00103A0B">
        <w:rPr>
          <w:rFonts w:ascii="Arial" w:eastAsia="Times New Roman" w:hAnsi="Arial" w:cs="Arial"/>
          <w:sz w:val="24"/>
          <w:szCs w:val="24"/>
          <w:lang w:eastAsia="en-GB"/>
        </w:rPr>
        <w:t xml:space="preserve"> This is why </w:t>
      </w:r>
      <w:r w:rsidRPr="00103A0B">
        <w:rPr>
          <w:rFonts w:ascii="Arial" w:hAnsi="Arial" w:cs="Arial"/>
          <w:sz w:val="24"/>
          <w:szCs w:val="24"/>
        </w:rPr>
        <w:t xml:space="preserve">many countries such as Finland, USA, Australia, China and the UK have implemented diabetes prevention programmes (DPPs) </w:t>
      </w:r>
      <w:r w:rsidRPr="00103A0B">
        <w:rPr>
          <w:rFonts w:ascii="Arial" w:eastAsia="Times New Roman" w:hAnsi="Arial" w:cs="Arial"/>
          <w:sz w:val="24"/>
          <w:szCs w:val="24"/>
          <w:lang w:eastAsia="en-GB"/>
        </w:rPr>
        <w:t xml:space="preserve">to support those with prediabetes </w:t>
      </w:r>
      <w:r w:rsidRPr="00103A0B">
        <w:rPr>
          <w:rFonts w:ascii="Arial" w:hAnsi="Arial" w:cs="Arial"/>
          <w:sz w:val="24"/>
          <w:szCs w:val="24"/>
        </w:rPr>
        <w:t xml:space="preserve">to delay or prevent the onset of T2DM by encouraging lifestyle modification and weight loss through physical activity and diet usually in a group setting </w:t>
      </w:r>
      <w:r w:rsidRPr="00103A0B">
        <w:rPr>
          <w:rFonts w:ascii="Arial" w:hAnsi="Arial" w:cs="Arial"/>
          <w:sz w:val="24"/>
          <w:szCs w:val="24"/>
        </w:rPr>
        <w:fldChar w:fldCharType="begin" w:fldLock="1"/>
      </w:r>
      <w:r w:rsidR="00CA6338" w:rsidRPr="00103A0B">
        <w:rPr>
          <w:rFonts w:ascii="Arial" w:hAnsi="Arial" w:cs="Arial"/>
          <w:sz w:val="24"/>
          <w:szCs w:val="24"/>
        </w:rPr>
        <w:instrText xml:space="preserve">ADDIN CSL_CITATION {"citationItems":[{"id":"ITEM-1","itemData":{"DOI":"10.1016/S0140- 6736(09)61457-4","ISBN":"1474-547X (Electronic)\\n0140-6736 (Linking)","ISSN":"01406736","PMID":"19878986","abstract":"Background: In the 2·8 years of the Diabetes Prevention Program (DPP) randomised clinical trial, diabetes incidence in high-risk adults was reduced by 58% with intensive lifestyle intervention and by 31% with metformin, compared with placebo. We investigated the persistence of these effects in the long term. Methods: All active DPP participants were eligible for continued follow-up. 2766 of 3150 (88%) enrolled for a median additional follow-up of 5·7 years (IQR 5·5-5·8). 910 participants were from the lifestyle, 924 from the metformin, and 932 were from the original placebo groups. On the basis of the benefits from the intensive lifestyle intervention in the DPP, all three groups were offered group-implemented lifestyle intervention. Metformin treatment was continued in the original metformin group (850 mg twice daily as tolerated), with participants unmasked to assignment, and the original lifestyle intervention group was offered additional lifestyle support. The primary outcome was development of diabetes according to American Diabetes Association criteria. Analysis was by intention-to-treat. This study is registered with ClinicalTrials.gov, number NCT00038727. Findings: During the 10·0-year (IQR 9·0-10·5) follow-up since randomisation to DPP, the original lifestyle group lost, then partly regained weight. The modest weight loss with metformin was maintained. Diabetes incidence rates during the DPP were 4·8 cases per 100 person-years (95% CI 4·1-5·7) in the intensive lifestyle intervention group, 7·8 (6·8-8·8) in the metformin group, and 11·0 (9·8-12·3) in the placebo group. Diabetes incidence rates in this follow-up study were similar between treatment groups: 5·9 per 100 person-years (5·1-6·8) for lifestyle, 4·9 (4·2-5·7) for metformin, and 5·6 (4·8-6·5) for placebo. Diabetes incidence in the 10 years since DPP randomisation was reduced by 34% (24-42) in the lifestyle group and 18% (7-28) in the metformin group compared with placebo. Interpretation: During follow-up after DPP, incidences in the former placebo and metformin groups fell to equal those in the former lifestyle group, but the cumulative incidence of diabetes remained lowest in the lifestyle group. Prevention or delay of diabetes with lifestyle intervention or metformin can persist for at least 10 years. Funding: National Institute of Diabetes and Digestive and Kidney Diseases (NIDDK). © 2009 Elsevier Ltd. All rights reserved.","author":[{"dropping-particle":"","family":"Diabetes Prevention Program Research Group","given":"","non-dropping-particle":"","parse-names":false,"suffix":""}],"container-title":"The Lancet","id":"ITEM-1","issued":{"date-parts":[["2009"]]},"page":"1677-1686","publisher":"Elsevier Ltd","title":"10-year follow-up of diabetes incidence and weight loss in the diabetes prevention program outcomes study","type":"article-journal","volume":"374"},"uris":["http://www.mendeley.com/documents/?uuid=5beeceec-4d29-4c17-b528-7b647c5a8b77"]},{"id":"ITEM-2","itemData":{"DOI":"10.4093/dmj.2017.41.3.160","ISSN":"22336087","abstract":"Clinical trials have demonstrated the efficacy of lifestyle modification for the prevention of type 2 diabetes mellitus but it was achieved at higher cost than can be sustained in routine health services. The first clinical trial to report was the Finnish Diabetes Prevention Study. This paper describes how Australia worked with Finnish colleagues to adapt the findings of that study to achieve a statewide diabetes prevention program. Small evaluative, effectiveness trials have been conducted in a number of countries to see if the results of the clinical trials can be replicated in routine health services. The Australian evaluative trial, Greater Green Triangle Diabetes Prevention Program is described in detail to demonstrate the ingredients for success in moving a program from one country to another. Few countries have managed to scale up from evaluative trials to statewide or national programs. The Australian experience is described in detail including lessons learned about what reduced the effectiveness, particularly the need for policy makers in government, people from the implementing organisation and researchers to work together from the start of the evaluative trial and throughout the first 5 years of a national program.Copyright © 2017 Korean Diabetes Association.","author":[{"dropping-particle":"","family":"Dunbar","given":"James A.","non-dropping-particle":"","parse-names":false,"suffix":""}],"container-title":"Diabetes and Metabolism Journal","id":"ITEM-2","issue":"3","issued":{"date-parts":[["2017"]]},"page":"160-167","title":"Diabetes prevention in Australia: 10 years results and experience","type":"article-journal","volume":"41"},"uris":["http://www.mendeley.com/documents/?uuid=6a7dbe64-1d2a-433a-9323-e04dff75c7ef"]},{"id":"ITEM-3","itemData":{"DOI":"10.1186/1471-2458-7-249","ISBN":"1471-2458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Health","id":"ITEM-3","issue":"249","issued":{"date-parts":[["2007"]]},"title":"Prevention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project","type":"article-journal","volume":"7"},"uris":["http://www.mendeley.com/documents/?uuid=ef090087-0d56-42cf-8079-ddbfceb8d350"]},{"id":"ITEM-4","itemData":{"DOI":"10.2337/dc07-0171","ISBN":"0149-5992","ISSN":"0149-5992","PMID":"17586741","abstract":"OBJECTIVE— “Real-world” implementation of lifestyle interventions is a challenge. The Good Ageing in Lahti Region (GOAL) Lifestyle Implementation Trial was designed for the primary health care setting, with lifestyle and risk reduction objectives derived from the major diabetes prevention efficacy trials. We report on the program’s effectiveness as well as findings related to the program’s reach, adoption, and implementation. RESEARCHDESIGNANDMETHODS— A total of 352 middle-aged participants with elevated type 2 diabetes risk were recruited from the health care centers in Pa¨ija¨t-Ha¨me Province in Finland. The intervention included six group counseling sessions, delivered by trained public health nurses. Measurement was conducted at baseline and 12 months. Clinical risk factors were measured by study nurses, and lifestyle outcomes were analyzed from self-reports. Lifestyle outcomes were compared with the outcomes achieved in relevant efficacy trials, and within- subject changes were tested for risk reduction. RESULTS— At baseline, mean BMI was </w:instrText>
      </w:r>
      <w:r w:rsidR="00CA6338" w:rsidRPr="00103A0B">
        <w:rPr>
          <w:rFonts w:ascii="Arial" w:hAnsi="Arial" w:cs="Arial" w:hint="eastAsia"/>
          <w:sz w:val="24"/>
          <w:szCs w:val="24"/>
        </w:rPr>
        <w:instrText></w:instrText>
      </w:r>
      <w:r w:rsidR="00CA6338" w:rsidRPr="00103A0B">
        <w:rPr>
          <w:rFonts w:ascii="Arial" w:hAnsi="Arial" w:cs="Arial"/>
          <w:sz w:val="24"/>
          <w:szCs w:val="24"/>
        </w:rPr>
        <w:instrText>32 kg/m2 , and 25% of the participants had im- paired glucose tolerance. At 12 months, 20% of participants achieved at least four of five key lifestyle outcomes, with these results being comparable with the reference trials. However, physical activity and weight loss goals were achieved significantly less frequently (65 vs.86%and 12 vs. 43%, respectively). Several clinical risk factors decreased, more so among men than women. CONCLUSIONS— This trial demonstrates that lifestyle counseling can be effective and is feasible in real-world settings for individuals with elevated risk of type 2 diabetes. To increase program impact, program exposure and treatment intensity need to be increased","author":[{"dropping-particle":"","family":"Absetz","given":"P.","non-dropping-particle":"","parse-names":false,"suffix":""},{"dropping-particle":"","family":"Valve","given":"R.","non-dropping-particle":"","parse-names":false,"suffix":""},{"dropping-particle":"","family":"Oldenburg","given":"B.","non-dropping-particle":"","parse-names":false,"suffix":""},{"dropping-particle":"","family":"Heinonen","given":"H.","non-dropping-particle":"","parse-names":false,"suffix":""},{"dropping-particle":"","family":"Nissinen","given":"A.","non-dropping-particle":"","parse-names":false,"suffix":""},{"dropping-particle":"","family":"Fogelholm","given":"M.","non-dropping-particle":"","parse-names":false,"suffix":""},{"dropping-particle":"","family":"Ilvesmaki","given":"V.","non-dropping-particle":"","parse-names":false,"suffix":""},{"dropping-particle":"","family":"Talja","given":"M.","non-dropping-particle":"","parse-names":false,"suffix":""},{"dropping-particle":"","family":"Uutela","given":"A.","non-dropping-particle":"","parse-names":false,"suffix":""}],"container-title":"Diabetes Care","id":"ITEM-4","issue":"10","issued":{"date-parts":[["2007"]]},"page":"2465-2470","title":"Type 2 diabetes prevention in the “real world”","type":"article-journal","volume":"30"},"uris":["http://www.mendeley.com/documents/?uuid=14151607-3873-4b0d-b0a6-ed2d7911e6d4"]},{"id":"ITEM-5","itemData":{"ISBN":"0140-6736","ISSN":"1474-547X","PMID":"17098085","abstract":"SummaryBackground Lifestyle interventions can prevent the deterioration of impaired glucose tolerance to manifest type 2 diabetes, at least as long as the intervention continues. In the extended follow-up of the Finnish Diabetes Prevention Study, we assessed the extent to which the originally-achieved lifestyle changes and risk reduction remain after discontinuation of active counselling. Methods Overweight, middle-aged men (n=172) and women (n=350) with impaired glucose tolerance were randomly assigned to intensive lifestyle intervention or control group. After a median of 4 years of active intervention period, participants who were still free of diabetes were further followed up for a median of 3 years, with median total follow-up of 7 years. Diabetes incidence, bodyweight, physical activity, and dietary intakes of fat, saturated fat, and fibre were measured. Findings During the total follow-up, the incidence of type 2 diabetes was 4·3 and 7·4 per 100 person-years in the intervention and control group, respectively (log-rank test p=0·0001), indicating 43% reduction in relative risk. The risk reduction was related to the success in achieving the intervention goals of weight loss, reduced intake of total and saturated fat and increased intake of dietary fibre, and increased physical activity. Beneficial lifestyle changes achieved by participants in the intervention group were maintained after the discontinuation of the intervention, and the corresponding incidence rates during the post-intervention follow-up were 4·6 and 7·2 (p=0·0401), indicating 36% reduction in relative risk. Interpretation Lifestyle intervention in people at high risk for type 2 diabetes resulted in sustained lifestyle changes and a reduction in diabetes incidence, which remained after the individual lifestyle counselling was stopped.","author":[{"dropping-particle":"","family":"Lindstrom","given":"J","non-dropping-particle":"","parse-names":false,"suffix":""},{"dropping-particle":"","family":"Ilanne-Parikka","given":"Pirjo","non-dropping-particle":"","parse-names":false,"suffix":""},{"dropping-particle":"","family":"Peltonen","given":"Markku","non-dropping-particle":"","parse-names":false,"suffix":""},{"dropping-particle":"","family":"Aunola","given":"Sirkka","non-dropping-particle":"","parse-names":false,"suffix":""},{"dropping-particle":"","family":"Eriksson","given":"Johan G","non-dropping-particle":"","parse-names":false,"suffix":""},{"dropping-particle":"","family":"Hemio","given":"K","non-dropping-particle":"","parse-names":false,"suffix":""},{"dropping-particle":"","family":"Hamalainen","given":"H","non-dropping-particle":"","parse-names":false,"suffix":""},{"dropping-particle":"","family":"Harkonen","given":"P","non-dropping-particle":"","parse-names":false,"suffix":""},{"dropping-particle":"","family":"Keinanen-Kiukaanniemi","given":"S","non-dropping-particle":"","parse-names":false,"suffix":""},{"dropping-particle":"","family":"Laakso","given":"Mauri","non-dropping-particle":"","parse-names":false,"suffix":""},{"dropping-particle":"","family":"Louheranta","given":"Anne","non-dropping-particle":"","parse-names":false,"suffix":""},{"dropping-particle":"","family":"Mannelin","given":"Marjo","non-dropping-particle":"","parse-names":false,"suffix":""},{"dropping-particle":"","family":"Paturi","given":"Merja","non-dropping-particle":"","parse-names":false,"suffix":""},{"dropping-particle":"","family":"Sundvall","given":"Jouko","non-dropping-particle":"","parse-names":false,"suffix":""},{"dropping-particle":"","family":"Valle","given":"Timo T","non-dropping-particle":"","parse-names":false,"suffix":""},{"dropping-particle":"","family":"Uusitupa","given":"Matti","non-dropping-particle":"","parse-names":false,"suffix":""},{"dropping-particle":"","family":"Tuomilehto","given":"Jaakko","non-dropping-particle":"","parse-names":false,"suffix":""}],"container-title":"The Lancet","id":"ITEM-5","issued":{"date-parts":[["2006"]]},"page":"1673-1679","title":"Sustained reduction in the incidence of type 2 diabetes by lifestyle intervention: follow-up of the Finnish diabetes prevention study","type":"article-journal","volume":"368"},"uris":["http://www.mendeley.com/documents/?uuid=d27c96c5-e2fc-4ac6-8909-642dbf236daf"]},{"id":"ITEM-6","itemData":{"DOI":"10.2337/diacare.20.4.537","ISBN":"0149-5992 (Print)\\r0149-5992 (Linking)","ISSN":"0149-5992","PMID":"9096977","abstract":"See, stats, and : https : / / www . researchgate . net / publication / 14120015 Effects NIDDM Tolerance : The . . . ArticleDOI:10.2337/diacare.20.4.537:PubMedCITATIONS2,508READS4,59118,including:ZhiweiMax503,016SEEJianzhongTsinghua73,235SEEJianlongIcahn309,412SEEHuiPublic5,413SEEAll.The.All-textand,letting.OBJECTIVE—Individualswithimpairedglucosetolerance(IGT)haveahighriskofdevelopingNIDDM.ThepurposeofthisstudywastodeterminewhetherdietandexerciseinterventionsinthosewithIGTmaydelaythedevelopmentofNIDDM,i.e.,reducetheinci-denceofNIDDM,andtherebyreducetheoverallincidenceofdiabeticcomplications,suchascardiovascular,renal,andretinaldisease,andtheexcessmortalityattributabletothesecom-plications.RESEARCHDESIGNANDMETHODS—In1986,110,660menandwomenfrom33healthcareclinicsinthecityofDaQing,China,werescreenedforIGTandNIDDM.Oftheseindividuals,577wereclassified(usingWorldHealthOrganizationcriteria)ashavingIGT.Sub-jectswererandomizedbyclinicintoaclinicaltrial,eithertoacontrolgrouportooneofthreeactivetreatmentgroups:dietonly,exerciseonly,ordietplusexercise.Follow-upevaluationexaminationswereconductedat2-yearintervalsovera6-yearperiodtoidentifysubjectswhodevelopedNIDDM.Cox'sproportionalhazardanalysiswasusedtodetermineiftheincidenceofNIDDMvariedbytreatmentassignment.RESULTS—Thecumulativeincidenceofdiabetesat6yearswas67.7%(95%CI,59.8-75.2)inthecontrolgroupcomparedwith43.8%(95%CI,35.5-52.3)inthedietgroup,41.1%(95%CI,33.4-49.4)intheexercisegroup,and46.0%(95%CI,37.3-54.7)inthediet-plus-exercisegroup(P&lt;0.05).Whenanalyzedbyclinic,eachoftheactiveinterventiongroupsdifferedsignificantlyfromthecontrolclinics(P&lt;0.05).Therelativedecreaseinrateofdevelopmentofdiabetesintheactivetreatmentgroupswassimilarwhensubjectswerestratifiedasleanoroverweight(BMI&lt;or&gt;25kg/m2).InaproportionalhazardsanalysisadjustedfordifferencesinbaselineBMIandfastingglucose,thediet,exercise,anddiet-plus-exerciseinterventionswereassociatedwith31%(P&lt;0.03),46%(P&lt;0.0005),and42%(P&lt;0.005)reductionsinriskofdevelopingdiabetes,respectively.","author":[{"dropping-particle":"","family":"Pan","given":"X-R.","non-dropping-particle":"","parse-names":false,"suffix":""},{"dropping-particle":"","family":"Li","given":"G-W.","non-dropping-particle":"","parse-names":false,"suffix":""},{"dropping-particle":"","family":"Hu","given":"Y-H.","non-dropping-particle":"","parse-names":false,"suffix":""},{"dropping-particle":"","family":"Wang","given":"J-X.","non-dropping-particle":"","parse-names":false,"suffix":""},{"dropping-particle":"","family":"Yang","given":"W-Y.","non-dropping-particle":"","parse-names":false,"suffix":""},{"dropping-particle":"","family":"An","given":"Z-X.","non-dropping-particle":"","parse-names":false,"suffix":""},{"dropping-particle":"al","family":"Hu, Z-X.","given":"et","non-dropping-particle":"","parse-names":false,"suffix":""}],"container-title":"Diabetes Care","id":"ITEM-6","issue":"4","issued":{"date-parts":[["1997"]]},"page":"537-44","title":"Effects of diet and exercise in preventing NIDDM in people with impaired glucose tolerance","type":"article-journal","volume":"20"},"uris":["http://www.mendeley.com/documents/?uuid=0f5d3e9c-189a-44dc-b4e1-852897dab408"]},{"id":"ITEM-7","itemData":{"ISSN":"2044-6055","abstract":"Objectives: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Open","id":"ITEM-7","issued":{"date-parts":[["2018"]]},"note":"Accession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implementation.","type":"article-journal","volume":"8"},"uris":["http://www.mendeley.com/documents/?uuid=0a421108-0e51-4039-8549-33e6c08f2b12"]},{"id":"ITEM-8","itemData":{"DOI":"10.1016/j.pcd.2021.03.002","ISSN":"18780210","PMID":"33771515","abstract":"Aims: The Finnish National Diabetes Prevention Program (FIN-D2D) was the first large-scale diabetes prevention program in a primary health care setting in the world. The risk reduction of type 2 diabetes was 69% after one-year intervention in high-risk individuals who were able to lose 5% of their weight. We investigated long-term effects of one-year weight change on the incidence of type 2 diabetes, cardiovascular events, and all-cause mortality. Methods: A total of 10,149 high-risk individuals for type 2 diabetes were identified in primary health care centers and they were offered lifestyle intervention to prevent diabetes. Of these individuals who participated in the baseline screening, 8353 had an oral glucose tolerance test (OGTT). Complete follow-up data during one-year intervention were available for 2730 individuals and those were included in the follow-up analysis. The long-term outcome events were collected from national health registers after the median follow-up of 7.4 years. Results: Among individuals who lost weight 2.5−4.9% and 5% or more during the first year, the hazard ratio for the incidence of drug-treated diabetes was 0.63 (95% CI 0.49−0.81, p = 0.0001), and 0.71 (95% CI 0.56−0.90, p = 0.004), respectively, compared with those with stable weight. There were no significant differences in cardiovascular events or all-cause mortality among study participants according to one-year weight changes. Conclusions: High-risk individuals for type 2 diabetes who achieved a moderate weight loss by one-year lifestyle counseling in primary health care had a long-term reduction in the incidence of drug-treated type 2 diabetes. The observed moderate weight loss was not associated with a reduction in cardiovascular events.","author":[{"dropping-particle":"","family":"Rintamäki","given":"Reeta","non-dropping-particle":"","parse-names":false,"suffix":""},{"dropping-particle":"","family":"Rautio","given":"Nina","non-dropping-particle":"","parse-names":false,"suffix":""},{"dropping-particle":"","family":"Peltonen","given":"Markku","non-dropping-particle":"","parse-names":false,"suffix":""},{"dropping-particle":"","family":"Jokelainen","given":"Jari","non-dropping-particle":"","parse-names":false,"suffix":""},{"dropping-particle":"","family":"Keinänen-Kiukaanniemi","given":"Sirkka","non-dropping-particle":"","parse-names":false,"suffix":""},{"dropping-particle":"","family":"Oksa","given":"Heikki","non-dropping-particle":"","parse-names":false,"suffix":""},{"dropping-particle":"","family":"Saaristo","given":"Timo","non-dropping-particle":"","parse-names":false,"suffix":""},{"dropping-particle":"","family":"Puolijoki","given":"Hannu","non-dropping-particle":"","parse-names":false,"suffix":""},{"dropping-particle":"","family":"Saltevo","given":"Juha","non-dropping-particle":"","parse-names":false,"suffix":""},{"dropping-particle":"","family":"Tuomilehto","given":"Jaakko","non-dropping-particle":"","parse-names":false,"suffix":""},{"dropping-particle":"","family":"Uusitupa","given":"Matti","non-dropping-particle":"","parse-names":false,"suffix":""},{"dropping-particle":"","family":"Moilanen","given":"Leena","non-dropping-particle":"","parse-names":false,"suffix":""}],"container-title":"Primary Care Diabetes","id":"ITEM-8","issue":"3","issued":{"date-parts":[["2021"]]},"page":"444-450","title":"Long-term outcomes of lifestyle intervention to prevent type 2 diabetes in people at high risk in primary health care","type":"article-journal","volume":"15"},"uris":["http://www.mendeley.com/documents/?uuid=9fc6a2dd-8ecd-4f54-a3c1-c2d2362be09c"]},{"id":"ITEM-9","itemData":{"ISSN":"20524897","PMID":"33303493","abstract":"Introduction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Care","id":"ITEM-9","issued":{"date-parts":[["2020"]]},"page":"e001835","title":"'Going the distance': an independent cohort study of engagement and dropout among the first 100 000 referrals into a large-scale diabetes prevention program","type":"article-journal","volume":"8"},"uris":["http://www.mendeley.com/documents/?uuid=40d46080-9604-42ba-942c-0e13d9f1562f"]},{"id":"ITEM-10","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Care","id":"ITEM-10","issued":{"date-parts":[["2020"]]},"page":"152-160","title":"Early outcomes from the English National Health Service diabetes prevention programme","type":"article-journal","volume":"43"},"uris":["http://www.mendeley.com/documents/?uuid=32a7a44a-df0b-4cde-9269-536e48e08190"]}],"mendeley":{"formattedCitation":"(Absetz et al., 2007; Diabetes Prevention Program Research Group, 2009; Dunbar, 2017; Howarth et al., 2020; Laatikainen et al., 2007; Lindstrom et al., 2006; Pan et al., 1997; Penn et al., 2018; Rintamäki et al., 2021; Valabhji et al., 2020)","plainTextFormattedCitation":"(Absetz et al., 2007; Diabetes Prevention Program Research Group, 2009; Dunbar, 2017; Howarth et al., 2020; Laatikainen et al., 2007; Lindstrom et al., 2006; Pan et al., 1997; Penn et al., 2018; Rintamäki et al., 2021; Valabhji et al., 2020)","previouslyFormattedCitation":"(Absetz et al., 2007; Diabetes Prevention Program Research Group, 2009; Dunbar, 2017; Howarth et al., 2020; Laatikainen et al., 2007; Lindstrom et al., 2006; Pan et al., 1997; Penn et al., 2018; Rintamäki et al., 2021; Valabhji et al., 2020)"},"properties":{"noteIndex":0},"schema":"https://github.com/citation-style-language/schema/raw/master/csl-citation.json"}</w:instrText>
      </w:r>
      <w:r w:rsidRPr="00103A0B">
        <w:rPr>
          <w:rFonts w:ascii="Arial" w:hAnsi="Arial" w:cs="Arial"/>
          <w:sz w:val="24"/>
          <w:szCs w:val="24"/>
        </w:rPr>
        <w:fldChar w:fldCharType="separate"/>
      </w:r>
      <w:r w:rsidR="00CA6338" w:rsidRPr="00103A0B">
        <w:rPr>
          <w:rFonts w:ascii="Arial" w:hAnsi="Arial" w:cs="Arial"/>
          <w:noProof/>
          <w:sz w:val="24"/>
          <w:szCs w:val="24"/>
        </w:rPr>
        <w:t xml:space="preserve">(Absetz et al., 2007; Diabetes Prevention Program Research Group, </w:t>
      </w:r>
      <w:r w:rsidR="00CA6338" w:rsidRPr="00103A0B">
        <w:rPr>
          <w:rFonts w:ascii="Arial" w:hAnsi="Arial" w:cs="Arial"/>
          <w:noProof/>
          <w:sz w:val="24"/>
          <w:szCs w:val="24"/>
        </w:rPr>
        <w:lastRenderedPageBreak/>
        <w:t>2009; Dunbar, 2017; Howarth et al., 2020; Laatikainen et al., 2007; Lindstrom et al., 2006; Pan et al., 1997; Penn et al., 2018; Rintamäki et al., 2021; Valabhji et al., 2020)</w:t>
      </w:r>
      <w:r w:rsidRPr="00103A0B">
        <w:rPr>
          <w:rFonts w:ascii="Arial" w:hAnsi="Arial" w:cs="Arial"/>
          <w:sz w:val="24"/>
          <w:szCs w:val="24"/>
        </w:rPr>
        <w:fldChar w:fldCharType="end"/>
      </w:r>
      <w:r w:rsidRPr="00103A0B">
        <w:rPr>
          <w:rFonts w:ascii="Arial" w:hAnsi="Arial" w:cs="Arial"/>
          <w:sz w:val="24"/>
          <w:szCs w:val="24"/>
        </w:rPr>
        <w:t xml:space="preserve">. </w:t>
      </w:r>
    </w:p>
    <w:p w14:paraId="0F9D76B1" w14:textId="77777777" w:rsidR="00423291" w:rsidRPr="00103A0B" w:rsidRDefault="00423291" w:rsidP="00423291">
      <w:pPr>
        <w:spacing w:before="240" w:line="360" w:lineRule="auto"/>
        <w:jc w:val="both"/>
        <w:rPr>
          <w:rFonts w:ascii="Arial" w:hAnsi="Arial" w:cs="Arial"/>
          <w:sz w:val="24"/>
          <w:szCs w:val="24"/>
        </w:rPr>
      </w:pPr>
    </w:p>
    <w:p w14:paraId="643AE092" w14:textId="68726AC9" w:rsidR="002D3F5D" w:rsidRPr="00103A0B" w:rsidRDefault="002D3F5D" w:rsidP="00423291">
      <w:pPr>
        <w:pStyle w:val="Heading2"/>
        <w:spacing w:before="240"/>
        <w:jc w:val="both"/>
        <w:rPr>
          <w:rFonts w:ascii="Arial" w:hAnsi="Arial" w:cs="Arial"/>
          <w:sz w:val="28"/>
        </w:rPr>
      </w:pPr>
      <w:bookmarkStart w:id="55" w:name="_Toc151548294"/>
      <w:r w:rsidRPr="00103A0B">
        <w:rPr>
          <w:rFonts w:ascii="Arial" w:hAnsi="Arial" w:cs="Arial"/>
          <w:sz w:val="28"/>
        </w:rPr>
        <w:t>Importance of Uptake and Retention</w:t>
      </w:r>
      <w:bookmarkEnd w:id="55"/>
    </w:p>
    <w:p w14:paraId="2E75B3E8" w14:textId="77777777" w:rsidR="00423291" w:rsidRPr="00103A0B" w:rsidRDefault="009651BC" w:rsidP="00423291">
      <w:pPr>
        <w:spacing w:before="240"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It is vital that DPPs are clinically effective and financially viable particularly when they are delivered at scale to improve population health </w:t>
      </w:r>
      <w:r w:rsidRPr="00103A0B">
        <w:rPr>
          <w:rFonts w:ascii="Arial" w:hAnsi="Arial" w:cs="Arial"/>
          <w:sz w:val="24"/>
          <w:szCs w:val="24"/>
        </w:rPr>
        <w:fldChar w:fldCharType="begin" w:fldLock="1"/>
      </w:r>
      <w:r w:rsidR="007C3391" w:rsidRPr="00103A0B">
        <w:rPr>
          <w:rFonts w:ascii="Arial" w:eastAsia="Times New Roman" w:hAnsi="Arial" w:cs="Arial"/>
          <w:sz w:val="24"/>
          <w:szCs w:val="24"/>
          <w:lang w:eastAsia="en-GB"/>
        </w:rPr>
        <w:instrText>ADDIN CSL_CITATION {"citationItems":[{"id":"ITEM-1","itemData":{"abstract":"The significant rise and projected trends in the incidence of type 2 diabetes argue for a concerted effort on prevention. The strongest currently available evidence for diabetes prevention involves people at high risk for type 2 diabetes (i.e., those with prediabetes). Randomized, controlled trials and translation studies have demonstrated that type 2 diabetes can be prevented or delayed through a structured lifestyle intervention that can be delivered cost-effectively in a variety of settings. For the first time in the United States, a coordinated, focused effort is underway to bring this effective and cost-conscious lifestyle intervention to communities across the country to ultimately reduce the incidence of type 2 diabetes.","author":[{"dropping-particle":"","family":"Albright","given":"Ann","non-dropping-particle":"","parse-names":false,"suffix":""}],"container-title":"Diabetes care Educ Newsl.","id":"ITEM-1","issue":"4","issued":{"date-parts":[["2012"]]},"page":"4-7","title":"The national diabetes prevention program: from research to reality","type":"article-journal","volume":"33"},"uris":["http://www.mendeley.com/documents/?uuid=36427db8-9c7a-4530-b370-c8e7d9de3abb"]},{"id":"ITEM-2","itemData":{"DOI":"https://doi.org/10.1177/0890117119848985","author":[{"dropping-particle":"","family":"Alva","given":"M.L.","non-dropping-particle":"","parse-names":false,"suffix":""}],"container-title":"American Journal of Health Promotion","id":"ITEM-2","issue":"7","issued":{"date-parts":[["2019"]]},"page":"1067-72","title":"How much does attendance impact weight loss and health care spending in a diabetes prevention program serving older adults?","type":"article-journal","volume":"33"},"uris":["http://www.mendeley.com/documents/?uuid=ab27f0b0-3076-419f-87af-9f779434d81e"]}],"mendeley":{"formattedCitation":"(Albright, 2012; Alva, 2019a)","manualFormatting":"(Albright, 2012; Alva, 2019)","plainTextFormattedCitation":"(Albright, 2012; Alva, 2019a)","previouslyFormattedCitation":"(Albright, 2012; Alva, 2019a)"},"properties":{"noteIndex":0},"schema":"https://github.com/citation-style-language/schema/raw/master/csl-citation.json"}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(Albright, 2012; Alva, 2019)</w:t>
      </w:r>
      <w:r w:rsidRPr="00103A0B">
        <w:rPr>
          <w:rFonts w:ascii="Arial" w:hAnsi="Arial" w:cs="Arial"/>
          <w:sz w:val="24"/>
          <w:szCs w:val="24"/>
        </w:rPr>
        <w:fldChar w:fldCharType="end"/>
      </w:r>
      <w:r w:rsidRPr="00103A0B">
        <w:rPr>
          <w:rFonts w:ascii="Arial" w:eastAsia="Times New Roman" w:hAnsi="Arial" w:cs="Arial"/>
          <w:sz w:val="24"/>
          <w:szCs w:val="24"/>
          <w:lang w:eastAsia="en-GB"/>
        </w:rPr>
        <w:t xml:space="preserve">. Continued or renewed funding for community health programmes like DPPs is usually dependent on achieving high uptake and retention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{"citationItems":[{"id":"ITEM-1","itemData":{"author":[{"dropping-particle":"","family":"McCann","given":"Jennifer","non-dropping-particle":"","parse-names":false,"suffix":""},{"dropping-particle":"","family":"Ridgers","given":"Nicola D","non-dropping-particle":"","parse-names":false,"suffix":""},{"dropping-particle":"","family":"Carver","given":"Alison","non-dropping-particle":"","parse-names":false,"suffix":""},{"dropping-particle":"","family":"Thornton","given":"Lukar E","non-dropping-particle":"","parse-names":false,"suffix":""},{"dropping-particle":"","family":"Teychenne","given":"Megan","non-dropping-particle":"","parse-names":false,"suffix":""}],"container-title":"Health Promotion Journal of Australia","id":"ITEM-1","issued":{"date-parts":[["2013"]]},"page":"104-10","title":"Effective recruitment and retention strategies in community health programs","type":"article-journal","volume":"24"},"uris":["http://www.mendeley.com/documents/?uuid=e354c3e0-0452-4b26-8e0b-2fdc24d400dc"]}],"mendeley":{"formattedCitation":"(McCann et al., 2013)","plainTextFormattedCitation":"(McCann et al., 2013)","previouslyFormattedCitation":"(McCann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7E0EE7" w:rsidRPr="00103A0B">
        <w:rPr>
          <w:rFonts w:ascii="Arial" w:eastAsia="Times New Roman" w:hAnsi="Arial" w:cs="Arial"/>
          <w:noProof/>
          <w:sz w:val="24"/>
          <w:szCs w:val="24"/>
          <w:lang w:eastAsia="en-GB"/>
        </w:rPr>
        <w:t>(McCann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The importance of good participant uptake and retention is emphasised as it significantly contributes to clinically relevant changes </w:t>
      </w:r>
      <w:r w:rsidRPr="00103A0B">
        <w:rPr>
          <w:rFonts w:ascii="Arial" w:eastAsia="Times New Roman" w:hAnsi="Arial" w:cs="Arial"/>
          <w:sz w:val="24"/>
          <w:szCs w:val="24"/>
          <w:lang w:eastAsia="en-GB"/>
        </w:rPr>
        <w:fldChar w:fldCharType="begin" w:fldLock="1"/>
      </w:r>
      <w:r w:rsidR="00AF410C" w:rsidRPr="00103A0B">
        <w:rPr>
          <w:rFonts w:ascii="Arial" w:eastAsia="Times New Roman" w:hAnsi="Arial" w:cs="Arial"/>
          <w:sz w:val="24"/>
          <w:szCs w:val="24"/>
          <w:lang w:eastAsia="en-GB"/>
        </w:rPr>
        <w:instrText>ADDIN CSL_CITATION {"citationItems":[{"id":"ITEM-1","itemData":{"DOI":"10.1016/j.pec.2018.01.001","ISSN":"18735134","abstract":"Purpose: The primary purpose is to review diabetes workplace interventions and the degree to which they improve diabetes-related outcomes in employees diagnosed with or at risk for T2DM. Methods: Three electronic databases and ancestry searches were used to identify peer reviewed articles published in English from 2000 to June 2017. Results: The number of participants represented by the 22 selected studies, excluding one large outlier, was 4243. On average, the samples were 57% female and ethnically diverse. Interventions—healthy eating behaviors, physical activity, and/or monitoring and self-managing diabetes and cardiovascular risk factors—were delivered in group sessions of fewer than 20 employees. Programs involved 1-h weekly sessions held during lunch hour or at other times during the workday for 12 to 24 weeks. Study outcomes, commonly measured at 6 and/or 12 months, were consistently positive. Conclusion: The literature search uncovered beginning evidence that workplace interventions hold promise for preventing diabetes and/or its complications. More rigorous, creatively designed, workplace studies, are needed for employees at high-risk for developing diabetes. Practice implications: Implications include the need for employer education about the benefits of employer support for such programs and attention to motivational strategies so employees will take full advantage of programs that are offered.","author":[{"dropping-particle":"","family":"Brown","given":"Sharon A.","non-dropping-particle":"","parse-names":false,"suffix":""},{"dropping-particle":"","family":"García","given":"Alexandra A.","non-dropping-particle":"","parse-names":false,"suffix":""},{"dropping-particle":"","family":"Zuñiga","given":"Julie A.","non-dropping-particle":"","parse-names":false,"suffix":""},{"dropping-particle":"","family":"Lewis","given":"Kimberly A.","non-dropping-particle":"","parse-names":false,"suffix":""}],"container-title":"Patient Education and Counseling","id":"ITEM-1","issue":"6","issued":{"date-parts":[["2018"]]},"page":"1036-1050","publisher":"Elsevier Ireland Ltd","title":"Effectiveness of workplace diabetes prevention programs: a systematic review of the evidence","type":"article-journal","volume":"101"},"uris":["http://www.mendeley.com/documents/?uuid=92ec3f31-2010-477a-bf2f-f30921b8afd6"]},{"id":"ITEM-2","itemData":{"DOI":"10.1089/pop.2016.0055","ISSN":"19427905","abstract":"The purpose of this study was to assess the impact of a program to prevent the development of type 2 diabetes among participants with prediabetes. The program focused on a healthy eating style, behavior modification, daily physical activity, and achieving a healthy weight. This was a retrospective observational analysis of a pilot program designed to prevent diabetes among employees with prediabetes. This intervention involved 12-16 weeks of nutrition counseling with the registered dietitian and participation in physical activity of at least 150 min/week. The primary outcome for this study was the prevention of type 2 diabetes. Secondary outcome measures included changes in the following biometrics: Body mass index (BMI), systolic blood pressure (SBP), diastolic blood press (DBP), high-density lipoprotein cholesterol (HDL-C), low-density lipoprotein cholesterol (LDL-C), total cholesterol, waist circumference, and triglyceride levels. The diabetes prevention intervention was associated with significant improvements in glucose (-6.6%), A1c (-2.9%), weight (-5.5%), BMI (-5.5%), SBP (-4.9%), DBP (-3.9%), total cholesterol (-5.0%), LDL-C (-7.0%), and triglycerides (-13.9%). After the 12-16-week intervention, the prevalence of prediabetes was reduced by 31% by fasting blood glucose or A1c levels. Baseline A1c, baseline glucose level, age, and number of sessions attended were all significant predictors of the odds of transitioning out of the prediabetes stage, controlling for all other covariates in the model. This pilot study suggests that the implementation of a worksite diabetes prevention intervention can help employees transition from a prediabetes status to no risk of diabetes.","author":[{"dropping-particle":"","family":"Clark","given":"Bobby","non-dropping-particle":"","parse-names":false,"suffix":""},{"dropping-particle":"","family":"Boghani","given":"Safia","non-dropping-particle":"","parse-names":false,"suffix":""},{"dropping-particle":"","family":"Grullon","given":"Cristina","non-dropping-particle":"","parse-names":false,"suffix":""},{"dropping-particle":"","family":"Batista","given":"Marcia","non-dropping-particle":"","parse-names":false,"suffix":""}],"container-title":"Population Health Management","id":"ITEM-2","issue":"3","issued":{"date-parts":[["2017"]]},"page":"233-238","title":"The impact of a worksite-based diabetes prevention intervention: a pilot study","type":"article-journal","volume":"20"},"uris":["http://www.mendeley.com/documents/?uuid=2cb7ad00-7f7b-4477-a714-16f61cff3629"]}],"mendeley":{"formattedCitation":"(Brown et al., 2018; Clark et al., 2017)","plainTextFormattedCitation":"(Brown et al., 2018; Clark et al., 2017)","previouslyFormattedCitation":"(Brown et al., 2018; Clark et al., 2017)"},"properties":{"noteIndex":0},"schema":"https://github.com/citation-style-language/schema/raw/master/csl-citation.json"}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(Brown et al., 2018; Clark et al., 2017)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w:t>
      </w:r>
      <w:r w:rsidRPr="00103A0B">
        <w:rPr>
          <w:rFonts w:ascii="Arial" w:hAnsi="Arial" w:cs="Arial"/>
          <w:sz w:val="24"/>
          <w:szCs w:val="24"/>
        </w:rPr>
        <w:t xml:space="preserve">economically relevant savings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{"citationItems":[{"id":"ITEM-1","itemData":{"author":[{"dropping-particle":"","family":"Alva","given":"M.L.","non-dropping-particle":"","parse-names":false,"suffix":""}],"container-title":"American Journal of Health Promotion","id":"ITEM-1","issue":"7","issued":{"date-parts":[["2019"]]},"page":"1067-72","title":"How much does attendance impact weight loss and health care spending in a diabetes prevention program serving older adults?","type":"article-journal","volume":"33"},"uris":["http://www.mendeley.com/documents/?uuid=f1207552-91e1-416b-bc68-b0587dd06592"]},{"id":"ITEM-2","itemData":{"ISSN":"21665435","abstract":"Introduction: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Disease","id":"ITEM-2","issued":{"date-parts":[["2014"]]},"page":"140006","title":"Implementation and outcomes of the New York state YMCA diabetes prevention program: A multisite community-based translation, 2010-2012","type":"article-journal","volume":"11"},"uris":["http://www.mendeley.com/documents/?uuid=d5f59245-ab59-4ba0-bd1c-beec143eb24b"]}],"mendeley":{"formattedCitation":"(Alva, 2019b; Bozack et al., 2014)","manualFormatting":"(Alva, 2019; Bozack et al., 2014)","plainTextFormattedCitation":"(Alva, 2019b; Bozack et al., 2014)","previouslyFormattedCitation":"(Alva, 2019b; Bozack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(Alva, 2019; Bozack et al., 2014)</w:t>
      </w:r>
      <w:r w:rsidRPr="00103A0B">
        <w:rPr>
          <w:rFonts w:ascii="Arial" w:hAnsi="Arial" w:cs="Arial"/>
          <w:sz w:val="24"/>
          <w:szCs w:val="24"/>
        </w:rPr>
        <w:fldChar w:fldCharType="end"/>
      </w:r>
      <w:r w:rsidRPr="00103A0B">
        <w:rPr>
          <w:rFonts w:ascii="Arial" w:hAnsi="Arial" w:cs="Arial"/>
          <w:sz w:val="24"/>
          <w:szCs w:val="24"/>
        </w:rPr>
        <w:t xml:space="preserve">.  </w:t>
      </w:r>
      <w:r w:rsidRPr="00103A0B">
        <w:rPr>
          <w:rFonts w:ascii="Arial" w:eastAsia="Times New Roman" w:hAnsi="Arial" w:cs="Arial"/>
          <w:sz w:val="24"/>
          <w:szCs w:val="24"/>
          <w:lang w:eastAsia="en-GB"/>
        </w:rPr>
        <w:t xml:space="preserve">Exploring uptake and retention in group-based DPPs in particular is important as many national and community level DPPs and lifestyle programmes have a group-based element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{"citationItems":[{"id":"ITEM-1","itemData":{"DOI":"10.1111/j.1467-789X.2007.00351.x","ISSN":"14677881","PMID":"17716301","abstract":"The purpose of this study was to review existing behavioural interventions for preventing and treating obesity in adult population that were published between 2000 and September 2006. A total of 23 interventions were found. Most of these interventions targeted both physical activity and nutrition behaviours. Majority of the interventions were not based on any explicit behavioural theory. In terms of duration, the interventions ranged from 3 weeks to 9 years. Approximately half of the interventions were less than 6 months in duration. Most of the interventions were implemented by the researchers themselves. However, some interventions were implemented by nurse educators, nutritionists, trained public health nurses, dietitians, healthcare providers, fitness workers and certified diabetic educators. Most of the interventions used group sessions as the predominant method to deliver the programme. Three of the interventions used media. Majority of the interventions were implemented in patient care settings with some in community settings. The most common determinant for measuring impact of the interventions has been body mass index. Fifteen interventions showed positive change in adiposity indices while six showed no change in adiposity indices. Recommendations for enhancing the effectiveness of behavioural interventions for prevention of obesity are presented. © 2007 The Author.","author":[{"dropping-particle":"","family":"Sharma","given":"M.","non-dropping-particle":"","parse-names":false,"suffix":""}],"container-title":"Obesity Reviews","id":"ITEM-1","issue":"5","issued":{"date-parts":[["2007"]]},"page":"441-449","title":"Behavioural interventions for preventing and treating obesity in adults","type":"article-journal","volume":"8"},"uris":["http://www.mendeley.com/documents/?uuid=b328afdc-fccc-4f79-8271-98efc20dab77"]},{"id":"ITEM-2","itemData":{"DOI":"10.1186/1471-2458-7-249","ISBN":"1471-2458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Health","id":"ITEM-2","issue":"249","issued":{"date-parts":[["2007"]]},"title":"Prevention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project","type":"article-journal","volume":"7"},"uris":["http://www.mendeley.com/documents/?uuid=ef090087-0d56-42cf-8079-ddbfceb8d350"]},{"id":"ITEM-3","itemData":{"DOI":"10.4093/dmj.2017.41.3.160","ISSN":"22336087","abstract":"Clinical trials have demonstrated the efficacy of lifestyle modification for the prevention of type 2 diabetes mellitus but it was achieved at higher cost than can be sustained in routine health services. The first clinical trial to report was the Finnish Diabetes Prevention Study. This paper describes how Australia worked with Finnish colleagues to adapt the findings of that study to achieve a statewide diabetes prevention program. Small evaluative, effectiveness trials have been conducted in a number of countries to see if the results of the clinical trials can be replicated in routine health services. The Australian evaluative trial, Greater Green Triangle Diabetes Prevention Program is described in detail to demonstrate the ingredients for success in moving a program from one country to another. Few countries have managed to scale up from evaluative trials to statewide or national programs. The Australian experience is described in detail including lessons learned about what reduced the effectiveness, particularly the need for policy makers in government, people from the implementing organisation and researchers to work together from the start of the evaluative trial and throughout the first 5 years of a national program.Copyright © 2017 Korean Diabetes Association.","author":[{"dropping-particle":"","family":"Dunbar","given":"James A.","non-dropping-particle":"","parse-names":false,"suffix":""}],"container-title":"Diabetes and Metabolism Journal","id":"ITEM-3","issue":"3","issued":{"date-parts":[["2017"]]},"page":"160-167","title":"Diabetes prevention in Australia: 10 years results and experience","type":"article-journal","volume":"41"},"uris":["http://www.mendeley.com/documents/?uuid=6a7dbe64-1d2a-433a-9323-e04dff75c7ef"]},{"id":"ITEM-4","itemData":{"ISSN":"2044-6055","abstract":"Objectives: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Open","id":"ITEM-4","issued":{"date-parts":[["2018"]]},"note":"Accession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implementation.","type":"article-journal","volume":"8"},"uris":["http://www.mendeley.com/documents/?uuid=0a421108-0e51-4039-8549-33e6c08f2b12"]}],"mendeley":{"formattedCitation":"(Dunbar, 2017; Laatikainen et al., 2007; Penn et al., 2018; Sharma, 2007)","plainTextFormattedCitation":"(Dunbar, 2017; Laatikainen et al., 2007; Penn et al., 2018; Sharma, 2007)","previouslyFormattedCitation":"(Dunbar, 2017; Laatikainen et al., 2007; Penn et al., 2018; Sharma, 2007)"},"properties":{"noteIndex":0},"schema":"https://github.com/citation-style-language/schema/raw/master/csl-citation.json"}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(Dunbar, 2017; Laatikainen et al., 2007; Penn et al., 2018; Sharma, 2007)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Group-based programmes can produce better clinical health outcomes and are more cost-effective by reducing staff costs when compared to individual-based programmes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{"citationItems":[{"id":"ITEM-1","itemData":{"DOI":"10.1111/aphw.12121","ISSN":"17580854","PMID":"29446541","abstract":"Background: Many weight-loss interventions are delivered in groups but evidence on their effectiveness, and characteristics associated with effectiveness, is limited. We synthesised evidence on (1) design and delivery of group-based weight-loss interventions; (2) effectiveness; and (3) associations between intervention characteristics, change techniques, and effectiveness. Methods: Five online databases were searched to May 2017 for randomised controlled trials (RCTs) of group-based diet and/or physical activity interventions for overweight/obese adults (BMI ≥ 25). Intervention characteristics were synthesised narratively. Mean differences (MD) in weight loss were calculated using a random-effects meta-analysis, and sub-group analyses were conducted to identify moderators of effectiveness. Results: Forty-seven RCTs reporting 60 evaluations of group-based interventions were included. MD in weight loss between intervention and control groups was −3.49 [95% CI −4.15, −2.84], −3.44 [−4.23, −2.85], and −2.56 kg [−3.79, −1.33] at follow-ups closest to 6, 12, and 24 months, respectively. Explicitly targeting weight loss, men-only groups providing feedback and dietary goals were significantly associated with greater effectiveness (p &lt;.05). Conclusions: Diet and physical activity interventions delivered in groups are effective in promoting clinically meaningful weight loss at 12 months. Intervention design and effectiveness vary considerably between studies, and evidence on what optimises the effectiveness of group-based weight-loss interventions remains limited.","author":[{"dropping-particle":"","family":"Borek","given":"Aleksandra J.","non-dropping-particle":"","parse-names":false,"suffix":""},{"dropping-particle":"","family":"Abraham","given":"Charles","non-dropping-particle":"","parse-names":false,"suffix":""},{"dropping-particle":"","family":"Greaves","given":"Colin J.","non-dropping-particle":"","parse-names":false,"suffix":""},{"dropping-particle":"","family":"Tarrant","given":"Mark","non-dropping-particle":"","parse-names":false,"suffix":""}],"container-title":"Applied Psychology: Health and Well-Being","id":"ITEM-1","issue":"1","issued":{"date-parts":[["2018"]]},"page":"62-86","title":"Group-based diet and physical activity weight-loss interventions: a systematic review and meta-analysis of randomised controlled trials","type":"article-journal","volume":"10"},"uris":["http://www.mendeley.com/documents/?uuid=d2f7e3be-f6d1-4953-95ab-6109fefcdc5e"]},{"id":"ITEM-2","itemData":{"DOI":"10.1111/dme.13340","ISSN":"14645491","PMID":"28226200","abstract":"Aims: Patient education for the management of Type 2 diabetes can be delivered in various forms, with the goal of promoting and supporting positive self-management behaviours. This systematic review aimed to determine the effectiveness of group-based interventions compared with individual interventions or usual care for improving clinical, lifestyle and psychosocial outcomes in people with Type 2 diabetes. Methods: Six electronic databases were searched. Group-based education programmes for adults with Type 2 diabetes that measured glycated haemoglobin (HbA1c) and followed participants for ≥ 6 months were included. The primary outcome was HbA1c, and secondary outcomes included fasting blood glucose, weight, body mass index, waist circumference, blood pressure, blood lipid profiles, diabetes knowledge and self-efficacy. Results: Fifty-three publications describing 47 studies were included (n = 8533 participants). Greater reductions in HbA1c occurred in group-based education compared with controls at 6–10 months [n = 30 studies; mean difference (MD) = 3 mmol/mol (0.3%); 95% confidence interval (CI): −0.48, −0.15; P = 0.0002], 12–14 months [n = 27 studies; MD = 4 mmol/mol (0.3%); 95% CI: −0.49, −0.17; P &lt; 0.0001], 18 months [n = 3 studies; MD = 8 mmol/mol (0.7%); 95% CI: −1.26, −0.18; P = 0.009] and 36–48 months [n = 5 studies; MD = 10 mmol/mol (0.9%); 95% CI: −1.52, −0.34; P = 0.002], but not at 24 months. Outcomes also favoured group-based education for fasting blood glucose, body weight, waist circumference, triglyceride levels and diabetes knowledge, but not at all time points. Interventions facilitated by a single discipline, multidisciplinary teams or health professionals with peer supporters resulted in improved outcomes in HbA1c when compared with peer-led interventions. Conclusions: Group-based education interventions are more effective than usual care, waiting list control and individual education at improving clinical, lifestyle and psychosocial outcomes in people with Type 2 diabetes.","author":[{"dropping-particle":"","family":"Odgers-Jewell","given":"K.","non-dropping-particle":"","parse-names":false,"suffix":""},{"dropping-particle":"","family":"Ball","given":"L. E.","non-dropping-particle":"","parse-names":false,"suffix":""},{"dropping-particle":"","family":"Kelly","given":"J. T.","non-dropping-particle":"","parse-names":false,"suffix":""},{"dropping-particle":"","family":"Isenring","given":"E. A.","non-dropping-particle":"","parse-names":false,"suffix":""},{"dropping-particle":"","family":"Reidlinger","given":"D. P.","non-dropping-particle":"","parse-names":false,"suffix":""},{"dropping-particle":"","family":"Thomas","given":"R.","non-dropping-particle":"","parse-names":false,"suffix":""}],"container-title":"Diabetic Medicine","id":"ITEM-2","issue":"8","issued":{"date-parts":[["2017"]]},"page":"1027-1039","title":"Effectiveness of group-based self-management education for individuals with type 2 diabetes: a systematic review with meta-analyses and meta-regression","type":"article-journal","volume":"34"},"uris":["http://www.mendeley.com/documents/?uuid=d7de4748-c73a-4767-882f-eb23e430a601"]},{"id":"ITEM-3","itemData":{"DOI":"10.1038/jid.2014.371","ISBN":"6176321972","PMID":"1000000221","author":[{"dropping-particle":"","family":"Ackermann","given":"R.T","non-dropping-particle":"","parse-names":false,"suffix":""},{"dropping-particle":"","family":"Finch","given":"Emily A","non-dropping-particle":"","parse-names":false,"suffix":""},{"dropping-particle":"","family":"Brizendine","given":"E.","non-dropping-particle":"","parse-names":false,"suffix":""},{"dropping-particle":"","family":"Zhou","given":"H.","non-dropping-particle":"","parse-names":false,"suffix":""},{"dropping-particle":"","family":"Marrero","given":"David G.","non-dropping-particle":"","parse-names":false,"suffix":""}],"container-title":"American Journal of Preventive Medicine","id":"ITEM-3","issue":"4","issued":{"date-parts":[["2008"]]},"page":"357-363","title":"Translating the diabetes prevention program into the community the DEPLOY pilot study","type":"article-journal","volume":"35"},"uris":["http://www.mendeley.com/documents/?uuid=36c637d7-e26f-4204-ab0c-c8965edbc013"]}],"mendeley":{"formattedCitation":"(Ackermann et al., 2008; Borek et al., 2018; Odgers-Jewell et al., 2017)","plainTextFormattedCitation":"(Ackermann et al., 2008; Borek et al., 2018; Odgers-Jewell et al., 2017)","previouslyFormattedCitation":"(Ackermann et al., 2008; Borek et al., 2018; Odgers-Jewell et al., 2017)"},"properties":{"noteIndex":0},"schema":"https://github.com/citation-style-language/schema/raw/master/csl-citation.json"}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(Ackermann et al., 2008; Borek et al., 2018; Odgers-Jewell et al., 2017)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(see Chapter 2).</w:t>
      </w:r>
    </w:p>
    <w:p w14:paraId="1E7988A0" w14:textId="1389F481" w:rsidR="00423291" w:rsidRPr="00103A0B" w:rsidRDefault="009651BC" w:rsidP="00423291">
      <w:pPr>
        <w:spacing w:before="240"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However, issues with low uptake and retention are common in DPPs </w:t>
      </w:r>
      <w:r w:rsidRPr="00103A0B">
        <w:rPr>
          <w:rFonts w:ascii="Arial" w:eastAsia="Times New Roman" w:hAnsi="Arial" w:cs="Arial"/>
          <w:sz w:val="24"/>
          <w:szCs w:val="24"/>
          <w:lang w:eastAsia="en-GB"/>
        </w:rPr>
        <w:fldChar w:fldCharType="begin" w:fldLock="1"/>
      </w:r>
      <w:r w:rsidR="00391499" w:rsidRPr="00103A0B">
        <w:rPr>
          <w:rFonts w:ascii="Arial" w:eastAsia="Times New Roman" w:hAnsi="Arial" w:cs="Arial"/>
          <w:sz w:val="24"/>
          <w:szCs w:val="24"/>
          <w:lang w:eastAsia="en-GB"/>
        </w:rPr>
        <w:instrText xml:space="preserve">ADDIN CSL_CITATION {"citationItems":[{"id":"ITEM-1","itemData":{"DOI":"10.1017/CBO9781107415324.004","ISBN":"9788578110796","ISSN":"1098-6596","PMID":"25246403","abstract":"Aims: This study aimed to investigate whether an established behavioural intervention, Walking Away from Type 2 Diabetes, is effective at promoting and sustaining increased walking activity when delivered within primary care. Methods: Cluster randomised controlled trial involving ten General Practices recruited from Leicestershire, UK, 2009-2010. 808 (36% female) individuals with a high risk of T2DM, identified through a validated risk score, were included. Participants in five practices were randomised to Walking Away from Type 2 Diabetes, a pragmatic 3-hour group-based structured education programme incorporating pedometer use with annual follow-on refresher sessions. The primary outcome was accelerometer assessed ambulatory activity (steps/day) at 12 months. Longer-term maintenance was assessed at 24 and 36 months. Results were analysed using generalised estimating equation models, accounting for clustering. Results: Complete accelerometer data for the primary outcome was available for 571 (71%) participants. Increases in ambulatory activity of 411 (95% CI; 117, 704) steps/day and self-reported vigorous-intensity physical activity of 218 (6, 425) MET.min/week at 12 months were observed in the intervention group compared to control; differences between groups were not sustained at 36 months. No differences between groups were observed for markers of cardiometabolic health. Replacing missing data with multiple imputation did not affect the results.Conclusions: A pragmatic low-resource group-based structured education programme with pedometer use resulted in modest increases in ambulatory activity compared to control conditions after 12 months when implemented within a primary care setting to those at high risk of T2DM, however results were not maintained over 36 months.","author":[{"dropping-particle":"","family":"Yates","given":"Thomas","non-dropping-particle":"","parse-names":false,"suffix":""},{"dropping-particle":"","family":"Edwardson","given":"C.L","non-dropping-particle":"","parse-names":false,"suffix":""},{"dropping-particle":"","family":"Henson","given":"J","non-dropping-particle":"","parse-names":false,"suffix":""},{"dropping-particle":"","family":"Gray","given":"Laura J.","non-dropping-particle":"","parse-names":false,"suffix":""},{"dropping-particle":"","family":"Ashra","given":"N.B.","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J.","non-dropping-particle":"","parse-names":false,"suffix":""}],"container-title":"Diabetic Medicine","id":"ITEM-1","issue":"5","issued":{"date-parts":[["2017"]]},"page":"698-707","title":"Walking away from type 2 diabetes: a cluster randomised controlled trial","type":"article-journal","volume":"34"},"uris":["http://www.mendeley.com/documents/?uuid=69490039-e755-4650-8c97-f615b163ca19"]},{"id":"ITEM-2","itemData":{"DOI":"10.1038/jid.2014.371","ISBN":"6176321972","PMID":"1000000221","author":[{"dropping-particle":"","family":"Ackermann","given":"R.T","non-dropping-particle":"","parse-names":false,"suffix":""},{"dropping-particle":"","family":"Finch","given":"Emily A","non-dropping-particle":"","parse-names":false,"suffix":""},{"dropping-particle":"","family":"Brizendine","given":"E.","non-dropping-particle":"","parse-names":false,"suffix":""},{"dropping-particle":"","family":"Zhou","given":"H.","non-dropping-particle":"","parse-names":false,"suffix":""},{"dropping-particle":"","family":"Marrero","given":"David G.","non-dropping-particle":"","parse-names":false,"suffix":""}],"container-title":"American Journal of Preventive Medicine","id":"ITEM-2","issue":"4","issued":{"date-parts":[["2008"]]},"page":"357-363","title":"Translating the diabetes prevention program into the community the DEPLOY pilot study","type":"article-journal","volume":"35"},"uris":["http://www.mendeley.com/documents/?uuid=36c637d7-e26f-4204-ab0c-c8965edbc013"]},{"id":"ITEM-3","itemData":{"DOI":"10.2337/dc07-0171","ISBN":"0149-5992","ISSN":"0149-5992","PMID":"17586741","abstract":"OBJECTIVE— “Real-world” implementation of lifestyle interventions is a challenge. The Good Ageing in Lahti Region (GOAL) Lifestyle Implementation Trial was designed for the primary health care setting, with lifestyle and risk reduction objectives derived from the major diabetes prevention efficacy trials. We report on the program’s effectiveness as well as findings related to the program’s reach, adoption, and implementation. RESEARCHDESIGNANDMETHODS— A total of 352 middle-aged participants with elevated type 2 diabetes risk were recruited from the health care centers in Pa¨ija¨t-Ha¨me Province in Finland. The intervention included six group counseling sessions, delivered by trained public health nurses. Measurement was conducted at baseline and 12 months. Clinical risk factors were measured by study nurses, and lifestyle outcomes were analyzed from self-reports. Lifestyle outcomes were compared with the outcomes achieved in relevant efficacy trials, and within- subject changes were tested for risk reduction. RESULTS— At baseline, mean BMI was </w:instrText>
      </w:r>
      <w:r w:rsidR="00391499" w:rsidRPr="00103A0B">
        <w:rPr>
          <w:rFonts w:ascii="Arial" w:eastAsia="Times New Roman" w:hAnsi="Arial" w:cs="Arial" w:hint="eastAsia"/>
          <w:sz w:val="24"/>
          <w:szCs w:val="24"/>
          <w:lang w:eastAsia="en-GB"/>
        </w:rPr>
        <w:instrText></w:instrText>
      </w:r>
      <w:r w:rsidR="00391499" w:rsidRPr="00103A0B">
        <w:rPr>
          <w:rFonts w:ascii="Arial" w:eastAsia="Times New Roman" w:hAnsi="Arial" w:cs="Arial"/>
          <w:sz w:val="24"/>
          <w:szCs w:val="24"/>
          <w:lang w:eastAsia="en-GB"/>
        </w:rPr>
        <w:instrText>32 kg/m2 , and 25% of the participants had im- paired glucose tolerance. At 12 months, 20% of participants achieved at least four of five key lifestyle outcomes, with these results being comparable with the reference trials. However, physical activity and weight loss goals were achieved significantly less frequently (65 vs.86%and 12 vs. 43%, respectively). Several clinical risk factors decreased, more so among men than women. CONCLUSIONS— This trial demonstrates that lifestyle counseling can be effective and is feasible in real-world settings for individuals with elevated risk of type 2 diabetes. To increase program impact, program exposure and treatment intensity need to be increased","author":[{"dropping-particle":"","family":"Absetz","given":"P.","non-dropping-particle":"","parse-names":false,"suffix":""},{"dropping-particle":"","family":"Valve","given":"R.","non-dropping-particle":"","parse-names":false,"suffix":""},{"dropping-particle":"","family":"Oldenburg","given":"B.","non-dropping-particle":"","parse-names":false,"suffix":""},{"dropping-particle":"","family":"Heinonen","given":"H.","non-dropping-particle":"","parse-names":false,"suffix":""},{"dropping-particle":"","family":"Nissinen","given":"A.","non-dropping-particle":"","parse-names":false,"suffix":""},{"dropping-particle":"","family":"Fogelholm","given":"M.","non-dropping-particle":"","parse-names":false,"suffix":""},{"dropping-particle":"","family":"Ilvesmaki","given":"V.","non-dropping-particle":"","parse-names":false,"suffix":""},{"dropping-particle":"","family":"Talja","given":"M.","non-dropping-particle":"","parse-names":false,"suffix":""},{"dropping-particle":"","family":"Uutela","given":"A.","non-dropping-particle":"","parse-names":false,"suffix":""}],"container-title":"Diabetes Care","id":"ITEM-3","issue":"10","issued":{"date-parts":[["2007"]]},"page":"2465-2470","title":"Type 2 diabetes prevention in the “real world”","type":"article-journal","volume":"30"},"uris":["http://www.mendeley.com/documents/?uuid=14151607-3873-4b0d-b0a6-ed2d7911e6d4"]},{"id":"ITEM-4","itemData":{"ISSN":"18732607","PMID":"30661888","abstract":"Introduction: As the burden of type 2 diabetes rises, there is increasing focus on improving the reach of evidence-based lifestyle interventions. Using nationally representative data, this study identifies how frequently at-risk adults are being referred to and participating in diabetes prevention programming, and explores correlates of referral, participation, and interest. Methods: Data from the 2016 National Health Interview Survey, a cross-sectional survey of U.S. households, were analyzed in 2017. The study population consisted of adults (aged ≥18 years) without a self-reported diabetes diagnosis, who were likely eligible for diabetes prevention programming based on (1) self-reported diagnosis of prediabetes or gestational diabetes, and (2) meeting BMI criteria. Prevalence of self-reported referral and participation was determined, and sociodemographic correlates of referral, participation, and interest were characterized through multivariable logistic regression analyses. Results: The study population consisted of 2,341 adults. The majority were female (63%), white (74.6%), non-Hispanic (83.4%), and aged ≥45 years (68.2%). A total of 4.2% reported ever being referred to a 12-month prevention program and only 2.4% reported ever participating. In multivariable logistic regression, race was correlated with referral (black and Asian adults more likely to report referral) and age was positively correlated with participation. More than 25% of adults who were never referred or participated reported an interest in engaging in programming. Conclusions: Although more than one quarter of adults likely eligible for diabetes prevention programming express interest in participating, few are being referred and fewer still have participated. This underscores the need for efforts to enhance program referral and access.","author":[{"dropping-particle":"","family":"Venkataramani","given":"Maya","non-dropping-particle":"","parse-names":false,"suffix":""},{"dropping-particle":"","family":"Pollack","given":"Craig Evan","non-dropping-particle":"","parse-names":false,"suffix":""},{"dropping-particle":"","family":"Yeh","given":"Hsin Chieh","non-dropping-particle":"","parse-names":false,"suffix":""},{"dropping-particle":"","family":"Maruthur","given":"Nisa M.","non-dropping-particle":"","parse-names":false,"suffix":""}],"container-title":"American Journal of Preventive Medicine","id":"ITEM-4","issue":"3","issued":{"date-parts":[["2019"]]},"page":"452-457","publisher":"Elsevier Inc.","title":"Prevalence and correlates of diabetes prevention program referral and participation","type":"article-journal","volume":"56"},"uris":["http://www.mendeley.com/documents/?uuid=4b34fdeb-95e2-4c75-a3e4-aaff4bc151e7"]},{"id":"ITEM-5","itemData":{"DOI":"10.1186/s13012-015-0354-6","author":[{"dropping-particle":"","family":"Aziz","given":"Zahra","non-dropping-particle":"","parse-names":false,"suffix":""},{"dropping-particle":"","family":"Absetz","given":"Pilvikki","non-dropping-particle":"","parse-names":false,"suffix":""},{"dropping-particle":"","family":"Oldroyd","given":"John","non-dropping-particle":"","parse-names":false,"suffix":""},{"dropping-particle":"","family":"Pronk","given":"Nicolaas P","non-dropping-particle":"","parse-names":false,"suffix":""},{"dropping-particle":"","family":"Oldenburg","given":"Brian","non-dropping-particle":"","parse-names":false,"suffix":""}],"container-title":"Implementation Science","id":"ITEM-5","issue":"172","issued":{"date-parts":[["2015"]]},"page":"1-17","publisher":"Implementation Science","title":"A systematic review of real-world diabetes prevention programs : learnings from the last 15 years","type":"article-journal","volume":"10"},"uris":["http://www.mendeley.com/documents/?uuid=1cf51005-c143-49f1-97fc-6ad81fc1944a"]},{"id":"ITEM-6","itemData":{"DOI":"https://doi.org/10.1016/j.cct.2020.105960","ISSN":"15592030","PMID":"32087338","abstract":"Diabetes prevalence has risen rapidly and has become a global health challenge. The Diabetes Prevention Program (DPP) has been shown to prevent or delay the development of diabetes among individuals with prediabetes. Yet, diabetes prevention studies within the Medicaid population are limited and results are mixed. This study aimed to evaluate the impact of different financial incentive strategies on the utilization of the DPP for Medicaid managed care adults in New York State. A four-arm randomized controlled trial was conducted among Medicaid managed care adult enrollees diagnosed with prediabetes and/or obesity. Study participants were offered a 16-week DPP with various incentive strategies based on class attendance and weight loss as follows: Attendance-Only, Weight-Loss Only, and both Attendance and Weight-Loss. A control group was offered DPP with no incentives for attendance or weight loss. We evaluated the impact of incentives on achievement of the program completion and weight-loss milestone. Participants who received incentives for the Attendance-Only class were least likely to be lost to follow-up, more likely to complete the program, and had two times higher percentage of meeting the weight-loss milestone compared to the control group. Results for the other incentive cohorts were mixed. A strong positive association was observed for participants who attended 9 or more classes and weight-loss regardless of incentive strategies. Providing monetary incentives for DPP class attendance had a positive impact on program completion and achieving the weight-loss milestone. However, the results from this study indicate that participant enrollment and retention remained challenges despite the incentives.","author":[{"dropping-particle":"","family":"Chin","given":"Jo Yu","non-dropping-particle":"","parse-names":false,"suffix":""},{"dropping-particle":"","family":"Matson","given":"Jacqueline","non-dropping-particle":"","parse-names":false,"suffix":""},{"dropping-particle":"","family":"McCauley","given":"Susan","non-dropping-particle":"","parse-names":false,"suffix":""},{"dropping-particle":"","family":"Anarella","given":"Joseph","non-dropping-particle":"","parse-names":false,"suffix":""},{"dropping-particle":"","family":"Gesten","given":"Foster","non-dropping-particle":"","parse-names":false,"suffix":""},{"dropping-particle":"","family":"Roohan","given":"Patrick","non-dropping-particle":"","parse-names":false,"suffix":""}],"container-title":"Contemporary Clinical Trials","id":"ITEM-6","issued":{"date-parts":[["2020"]]},"page":"105960","publisher":"Elsevier","title":"The impact of financial incentives on utilization and outcomes of diabetes prevention programs among Medicaid managed care adults in New York state","type":"article-journal","volume":"91"},"uris":["http://www.mendeley.com/documents/?uuid=73705fca-c50d-4e34-861c-f5f59cddb6a5"]}],"mendeley":{"formattedCitation":"(Absetz et al., 2007; Ackermann et al., 2008; Aziz et al., 2015; Chin et al., 2020; Venkataramani et al., 2019; Yates et al., 2017)","plainTextFormattedCitation":"(Absetz et al., 2007; Ackermann et al., 2008; Aziz et al., 2015; Chin et al., 2020; Venkataramani et al., 2019; Yates et al., 2017)","previouslyFormattedCitation":"(Absetz et al., 2007; Ackermann et al., 2008; Aziz et al., 2015; Chin et al., 2020; Venkataramani et al., 2019; Yates et al., 2017)"},"properties":{"noteIndex":0},"schema":"https://github.com/citation-style-language/schema/raw/master/csl-citation.json"}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F064BD" w:rsidRPr="00103A0B">
        <w:rPr>
          <w:rFonts w:ascii="Arial" w:eastAsia="Times New Roman" w:hAnsi="Arial" w:cs="Arial"/>
          <w:noProof/>
          <w:sz w:val="24"/>
          <w:szCs w:val="24"/>
          <w:lang w:eastAsia="en-GB"/>
        </w:rPr>
        <w:t>(Absetz et al., 2007; Ackermann et al., 2008; Aziz et al., 2015; Chin et al., 2020; Venkataramani et al., 2019; Yates et al., 2017)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These issues impact programme sustainability leading to some DPPs being discontinued in certain locations </w:t>
      </w:r>
      <w:r w:rsidRPr="00103A0B">
        <w:rPr>
          <w:rFonts w:ascii="Arial" w:eastAsia="Times New Roman" w:hAnsi="Arial" w:cs="Arial"/>
          <w:sz w:val="24"/>
          <w:szCs w:val="24"/>
          <w:lang w:eastAsia="en-GB"/>
        </w:rPr>
        <w:fldChar w:fldCharType="begin" w:fldLock="1"/>
      </w:r>
      <w:r w:rsidR="00AF410C" w:rsidRPr="00103A0B">
        <w:rPr>
          <w:rFonts w:ascii="Arial" w:eastAsia="Times New Roman" w:hAnsi="Arial" w:cs="Arial"/>
          <w:sz w:val="24"/>
          <w:szCs w:val="24"/>
          <w:lang w:eastAsia="en-GB"/>
        </w:rPr>
        <w:instrText>ADDIN CSL_CITATION {"citationItems":[{"id":"ITEM-1","itemData":{"DOI":"10.1186/s12913-019-4569-0","ISSN":"14726963","PMID":"31615525","abstract":"Background: Group-based Diabetes Prevention Programs (DPP), aligned with recommendations from the Centers for Disease Control and Prevention, promote clinically significant weight loss and reduce cardio-metabolic risks. Studies have examined implementation of the DPP in community settings, but less is known about its integration in healthcare systems. In 2010, a group-based DPP known as the Group Lifestyle Balance (GLB) was implemented within a large healthcare delivery system in Northern California, across three geographically distinct regional administration divisions of the organization within 12 state counties, with varying underlying socio-demographics. The regional divisions implemented the program independently, allowing for natural variation in its real-world integration. We leveraged this natural experiment to qualitatively assess the implementation of a DPP in this healthcare system and, especially, its fidelity to the original GLB curriculum and potential heterogeneity in implementation across clinics and regional divisions. Methods: Using purposive sampling, we conducted semi-structured interviews with DPP lifestyle coaches. Data were analyzed using mixed-method techniques, guided by an implementation outcomes framework consisting of eight constructs: acceptability, adoption, appropriateness, cost, feasibility, fidelity, penetration, and sustainability. Results: We conducted 33 interviews at 20 clinics across the three regional administrative divisions. Consistencies in implementation of the program were found across regions in terms of satisfaction with the evidence base (acceptability), referral methods (adoption), eligibility criteria (fidelity), and strategies to increase retention and effectiveness (sustainability). Heterogeneity in implementation across regions were found in all categories, including: the number and frequency of sessions (fidelity); program branding (adoption); lifestyle coach training (adoption), and patient-facing cost (cost). Lifestyle coaches expressed differing attitudes about curriculum content (acceptability) and suitability of educational level (appropriateness). While difficulties with recruitment were common across regions (feasibility), strategies used to address these challenges differed (sustainability). Conclusions: Variation exists in the implementation of the DPP within a large multi-site healthcare system, revealing a dynamic and important tension between retaining fidelity to the original program and …","author":[{"dropping-particle":"","family":"Azar","given":"Kristen M.J.","non-dropping-particle":"","parse-names":false,"suffix":""},{"dropping-particle":"","family":"Nasrallah","given":"Catherine","non-dropping-particle":"","parse-names":false,"suffix":""},{"dropping-particle":"","family":"Szwerinski","given":"Nina K.","non-dropping-particle":"","parse-names":false,"suffix":""},{"dropping-particle":"","family":"Petersen","given":"John J.","non-dropping-particle":"","parse-names":false,"suffix":""},{"dropping-particle":"","family":"Halley","given":"Meghan C.","non-dropping-particle":"","parse-names":false,"suffix":""},{"dropping-particle":"","family":"Greenwood","given":"Deborah","non-dropping-particle":"","parse-names":false,"suffix":""},{"dropping-particle":"","family":"Romanelli","given":"Robert J.","non-dropping-particle":"","parse-names":false,"suffix":""}],"container-title":"BMC Health Services Research","id":"ITEM-1","issue":"1","issued":{"date-parts":[["2019"]]},"page":"1-13","publisher":"BMC Health Services Research","title":"Implementation of a group-based diabetes prevention program within a healthcare delivery system","type":"article-journal","volume":"19"},"uris":["http://www.mendeley.com/documents/?uuid=9ee5b111-d102-4126-8caf-e36c7b29ec3d"]},{"id":"ITEM-2","itemData":{"DOI":"10.1016/j.pec.2018.01.001","ISSN":"18735134","abstract":"Purpose: The primary purpose is to review diabetes workplace interventions and the degree to which they improve diabetes-related outcomes in employees diagnosed with or at risk for T2DM. Methods: Three electronic databases and ancestry searches were used to identify peer reviewed articles published in English from 2000 to June 2017. Results: The number of participants represented by the 22 selected studies, excluding one large outlier, was 4243. On average, the samples were 57% female and ethnically diverse. Interventions—healthy eating behaviors, physical activity, and/or monitoring and self-managing diabetes and cardiovascular risk factors—were delivered in group sessions of fewer than 20 employees. Programs involved 1-h weekly sessions held during lunch hour or at other times during the workday for 12 to 24 weeks. Study outcomes, commonly measured at 6 and/or 12 months, were consistently positive. Conclusion: The literature search uncovered beginning evidence that workplace interventions hold promise for preventing diabetes and/or its complications. More rigorous, creatively designed, workplace studies, are needed for employees at high-risk for developing diabetes. Practice implications: Implications include the need for employer education about the benefits of employer support for such programs and attention to motivational strategies so employees will take full advantage of programs that are offered.","author":[{"dropping-particle":"","family":"Brown","given":"Sharon A.","non-dropping-particle":"","parse-names":false,"suffix":""},{"dropping-particle":"","family":"García","given":"Alexandra A.","non-dropping-particle":"","parse-names":false,"suffix":""},{"dropping-particle":"","family":"Zuñiga","given":"Julie A.","non-dropping-particle":"","parse-names":false,"suffix":""},{"dropping-particle":"","family":"Lewis","given":"Kimberly A.","non-dropping-particle":"","parse-names":false,"suffix":""}],"container-title":"Patient Education and Counseling","id":"ITEM-2","issue":"6","issued":{"date-parts":[["2018"]]},"page":"1036-1050","publisher":"Elsevier Ireland Ltd","title":"Effectiveness of workplace diabetes prevention programs: a systematic review of the evidence","type":"article-journal","volume":"101"},"uris":["http://www.mendeley.com/documents/?uuid=92ec3f31-2010-477a-bf2f-f30921b8afd6"]}],"mendeley":{"formattedCitation":"(Azar et al., 2019; Brown et al., 2018)","plainTextFormattedCitation":"(Azar et al., 2019; Brown et al., 2018)","previouslyFormattedCitation":"(Azar et al., 2019; Brown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(Azar et al., 2019; Brown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Many DPPs have stated </w:t>
      </w:r>
      <w:r w:rsidRPr="00103A0B">
        <w:rPr>
          <w:rFonts w:ascii="Arial" w:hAnsi="Arial" w:cs="Arial"/>
          <w:sz w:val="24"/>
          <w:szCs w:val="24"/>
        </w:rPr>
        <w:t>more needs to be done to improve and optimise uptake and retention, in order for programmes to be effective, reach their full potential, help to reduce health inequalities and</w:t>
      </w:r>
      <w:r w:rsidRPr="00103A0B">
        <w:rPr>
          <w:rFonts w:ascii="Arial" w:eastAsia="Times New Roman" w:hAnsi="Arial" w:cs="Arial"/>
          <w:sz w:val="24"/>
          <w:szCs w:val="24"/>
          <w:lang w:eastAsia="en-GB"/>
        </w:rPr>
        <w:t xml:space="preserve"> achieve the desired effects</w:t>
      </w:r>
      <w:r w:rsidR="00CA6338" w:rsidRPr="00103A0B">
        <w:rPr>
          <w:rFonts w:ascii="Arial" w:eastAsia="Times New Roman" w:hAnsi="Arial" w:cs="Arial"/>
          <w:sz w:val="24"/>
          <w:szCs w:val="24"/>
          <w:lang w:eastAsia="en-GB"/>
        </w:rPr>
        <w:t xml:space="preserve"> </w:t>
      </w:r>
      <w:r w:rsidR="00CA6338" w:rsidRPr="00103A0B">
        <w:rPr>
          <w:rFonts w:ascii="Arial" w:eastAsia="Times New Roman" w:hAnsi="Arial" w:cs="Arial"/>
          <w:sz w:val="24"/>
          <w:szCs w:val="24"/>
          <w:lang w:eastAsia="en-GB"/>
        </w:rPr>
        <w:fldChar w:fldCharType="begin" w:fldLock="1"/>
      </w:r>
      <w:r w:rsidR="00717295" w:rsidRPr="00103A0B">
        <w:rPr>
          <w:rFonts w:ascii="Arial" w:eastAsia="Times New Roman" w:hAnsi="Arial" w:cs="Arial"/>
          <w:sz w:val="24"/>
          <w:szCs w:val="24"/>
          <w:lang w:eastAsia="en-GB"/>
        </w:rPr>
        <w:instrText>ADDIN CSL_CITATION {"citationItems":[{"id":"ITEM-1","itemData":{"DOI":"10.1186/s12913-019-4569-0","ISSN":"14726963","PMID":"31615525","abstract":"Background: Group-based Diabetes Prevention Programs (DPP), aligned with recommendations from the Centers for Disease Control and Prevention, promote clinically significant weight loss and reduce cardio-metabolic risks. Studies have examined implementation of the DPP in community settings, but less is known about its integration in healthcare systems. In 2010, a group-based DPP known as the Group Lifestyle Balance (GLB) was implemented within a large healthcare delivery system in Northern California, across three geographically distinct regional administration divisions of the organization within 12 state counties, with varying underlying socio-demographics. The regional divisions implemented the program independently, allowing for natural variation in its real-world integration. We leveraged this natural experiment to qualitatively assess the implementation of a DPP in this healthcare system and, especially, its fidelity to the original GLB curriculum and potential heterogeneity in implementation across clinics and regional divisions. Methods: Using purposive sampling, we conducted semi-structured interviews with DPP lifestyle coaches. Data were analyzed using mixed-method techniques, guided by an implementation outcomes framework consisting of eight constructs: acceptability, adoption, appropriateness, cost, feasibility, fidelity, penetration, and sustainability. Results: We conducted 33 interviews at 20 clinics across the three regional administrative divisions. Consistencies in implementation of the program were found across regions in terms of satisfaction with the evidence base (acceptability), referral methods (adoption), eligibility criteria (fidelity), and strategies to increase retention and effectiveness (sustainability). Heterogeneity in implementation across regions were found in all categories, including: the number and frequency of sessions (fidelity); program branding (adoption); lifestyle coach training (adoption), and patient-facing cost (cost). Lifestyle coaches expressed differing attitudes about curriculum content (acceptability) and suitability of educational level (appropriateness). While difficulties with recruitment were common across regions (feasibility), strategies used to address these challenges differed (sustainability). Conclusions: Variation exists in the implementation of the DPP within a large multi-site healthcare system, revealing a dynamic and important tension between retaining fidelity to the original program and …","author":[{"dropping-particle":"","family":"Azar","given":"Kristen M.J.","non-dropping-particle":"","parse-names":false,"suffix":""},{"dropping-particle":"","family":"Nasrallah","given":"Catherine","non-dropping-particle":"","parse-names":false,"suffix":""},{"dropping-particle":"","family":"Szwerinski","given":"Nina K.","non-dropping-particle":"","parse-names":false,"suffix":""},{"dropping-particle":"","family":"Petersen","given":"John J.","non-dropping-particle":"","parse-names":false,"suffix":""},{"dropping-particle":"","family":"Halley","given":"Meghan C.","non-dropping-particle":"","parse-names":false,"suffix":""},{"dropping-particle":"","family":"Greenwood","given":"Deborah","non-dropping-particle":"","parse-names":false,"suffix":""},{"dropping-particle":"","family":"Romanelli","given":"Robert J.","non-dropping-particle":"","parse-names":false,"suffix":""}],"container-title":"BMC Health Services Research","id":"ITEM-1","issue":"1","issued":{"date-parts":[["2019"]]},"page":"1-13","publisher":"BMC Health Services Research","title":"Implementation of a group-based diabetes prevention program within a healthcare delivery system","type":"article-journal","volume":"19"},"uris":["http://www.mendeley.com/documents/?uuid=9ee5b111-d102-4126-8caf-e36c7b29ec3d"]},{"id":"ITEM-2","itemData":{"DOI":"10.1016/j.pec.2018.01.001","ISSN":"18735134","abstract":"Purpose: The primary purpose is to review diabetes workplace interventions and the degree to which they improve diabetes-related outcomes in employees diagnosed with or at risk for T2DM. Methods: Three electronic databases and ancestry searches were used to identify peer reviewed articles published in English from 2000 to June 2017. Results: The number of participants represented by the 22 selected studies, excluding one large outlier, was 4243. On average, the samples were 57% female and ethnically diverse. Interventions—healthy eating behaviors, physical activity, and/or monitoring and self-managing diabetes and cardiovascular risk factors—were delivered in group sessions of fewer than 20 employees. Programs involved 1-h weekly sessions held during lunch hour or at other times during the workday for 12 to 24 weeks. Study outcomes, commonly measured at 6 and/or 12 months, were consistently positive. Conclusion: The literature search uncovered beginning evidence that workplace interventions hold promise for preventing diabetes and/or its complications. More rigorous, creatively designed, workplace studies, are needed for employees at high-risk for developing diabetes. Practice implications: Implications include the need for employer education about the benefits of employer support for such programs and attention to motivational strategies so employees will take full advantage of programs that are offered.","author":[{"dropping-particle":"","family":"Brown","given":"Sharon A.","non-dropping-particle":"","parse-names":false,"suffix":""},{"dropping-particle":"","family":"García","given":"Alexandra A.","non-dropping-particle":"","parse-names":false,"suffix":""},{"dropping-particle":"","family":"Zuñiga","given":"Julie A.","non-dropping-particle":"","parse-names":false,"suffix":""},{"dropping-particle":"","family":"Lewis","given":"Kimberly A.","non-dropping-particle":"","parse-names":false,"suffix":""}],"container-title":"Patient Education and Counseling","id":"ITEM-2","issue":"6","issued":{"date-parts":[["2018"]]},"page":"1036-1050","publisher":"Elsevier Ireland Ltd","title":"Effectiveness of workplace diabetes prevention programs: a systematic review of the evidence","type":"article-journal","volume":"101"},"uris":["http://www.mendeley.com/documents/?uuid=92ec3f31-2010-477a-bf2f-f30921b8afd6"]},{"id":"ITEM-3","itemData":{"ISBN":"1549-1277","ISSN":"15491676","PMID":"27404094","abstract":"BACKGROUND: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Medicine","id":"ITEM-3","issue":"7","issued":{"date-parts":[["2016"]]},"page":"e1002078","title":"Engagement, retention, and progression to type 2 diabetes: a retrospective analysis of the cluster-randomised \"Let's Prevent Diabetes\" trial","type":"article-journal","volume":"13"},"uris":["http://www.mendeley.com/documents/?uuid=34e3af29-349e-4120-a3cb-a3a7408ba3b4"]},{"id":"ITEM-4","itemData":{"DOI":"10.2196/11267","ISSN":"14388871","abstract":"Background: Despite evidence that Diabetes Prevention Programs (DPPs) can delay or prevent progression to type 2 diabetes mellitus (T2DM), few individuals with prediabetes enroll in offered programs. This may be in part because many individuals with prediabetes have low levels of autonomous motivation (ie, motivation that arises from internal sources) to prevent T2DM. Objective: This study aims to examine the feasibility and acceptability of a mobile health (mHealth) intervention designed to increase autonomous motivation and healthy behaviors among adults with prediabetes who previously declined participation free DPPs. In addition, the study aims to examine changes in autonomous motivation among adults offered 2 versions of the mHealth program compared with an information-only control group. Methods: In this 12-week, parallel, 3-arm, mixed-methods pilot randomized controlled trial, participants were randomized to (1) a group that received information about prediabetes and strategies to prevent T2DM (control); (2) a group that received a mHealth app that aims to increase autonomous motivation among users (app-only); or (3) a group that received the app plus a physical activity tracker and wireless-enabled digital scale for self-monitoring (app-plus). Primary outcome measures included rates of intervention uptake (number of individuals enrolled/number of individuals assessed for eligibility), retention (number of 12-week survey completers/number of participants), and adherence (number of device-usage days). The secondary outcome measure was change in autonomous motivation (measured using the Treatment Self-Regulation Questionnaire), which was examined using difference-in-difference analysis. Furthermore, we conducted postintervention qualitative interviews with participants. Results: Overall, 28% (69/244) of eligible individuals were randomized; of these, 80% (55/69) completed the 12-week survey. Retention rates were significantly higher among app-plus participants than participants in the other 2 study arms combined (P=.004, χ2). No significant differences were observed in adherence rates between app-only and app-plus participants (43 days vs 37 days; P=.34). Among all participants, mean autonomous motivation measures were relatively high at baseline (6.0 of 7.0 scale), with no statistically significant within- or between-group differences in follow-up scores. In qualitative interviews (n=15), participants identified reasons that they enjoyed using the…","author":[{"dropping-particle":"","family":"Griauzde","given":"Dina","non-dropping-particle":"","parse-names":false,"suffix":""},{"dropping-particle":"","family":"Kullgren","given":"Jeffrey T.","non-dropping-particle":"","parse-names":false,"suffix":""},{"dropping-particle":"","family":"Liestenfeltz","given":"Brad","non-dropping-particle":"","parse-names":false,"suffix":""},{"dropping-particle":"","family":"Ansari","given":"Tahoora","non-dropping-particle":"","parse-names":false,"suffix":""},{"dropping-particle":"","family":"Johnson","given":"Emily H.","non-dropping-particle":"","parse-names":false,"suffix":""},{"dropping-particle":"","family":"Fedewa","given":"Allison","non-dropping-particle":"","parse-names":false,"suffix":""},{"dropping-particle":"","family":"Saslow","given":"Laura R.","non-dropping-particle":"","parse-names":false,"suffix":""},{"dropping-particle":"","family":"Richardson","given":"Caroline","non-dropping-particle":"","parse-names":false,"suffix":""},{"dropping-particle":"","family":"Heisler","given":"Michele","non-dropping-particle":"","parse-names":false,"suffix":""}],"container-title":"Journal of Medical Internet Research","id":"ITEM-4","issue":"1","issued":{"date-parts":[["2019"]]},"page":"1-11","title":"A mobile phone-based program to promote healthy behaviors among adults with prediabetes who declined participation in free diabetes prevention programs: mixed-methods pilot randomized controlled trial","type":"article-journal","volume":"21"},"uris":["http://www.mendeley.com/documents/?uuid=da85770c-0726-4f89-a170-7ad0061e6d1c"]},{"id":"ITEM-5","itemData":{"DOI":"10.2337/dc17-2685","ISSN":"19355548","PMID":"29915128","abstract":"OBJECTIVE Evidence for long-term translational effectiveness of lifestyle interventions in minority populations is scarce. This article reports long-term outcomes, for up to 10 years, of such an intervention to prevent diabetes in American Indian and Alaska Native (AI/AN) communities. RESEARCH DESIGN AND METHODS From January 2006 to July 2016, the Special Diabetes Program for Indians Diabetes Prevention Program implemented the Diabetes Prevention Program lifestyle intervention among 46 AI/AN health care programs. Enrolled participants underwent a thorough clinical assessment at baseline, after completing the Lifestyle Balance Curriculum (postcurriculum assessment), and annually thereafter. Proportional hazards regression was used to estimate the association between diabetes incidence and postcurriculum weight loss status. RESULTS Of 8,652 enrolled participants, 65% finished the postcurriculum assessment. The assessment completion rate diminished over time to 13% in year 10. Among those with postcurriculum weight measurements, 2,028 (36%) lost &gt;5% of their initial weight, 978 (17%) lost 3–5%, whereas 2,604 (47%) had &lt;3% weight loss (average weight loss 3.8%). Compared with those with &lt;3% weight loss, participants with &gt;5% weight loss had a 64% (95% CI 54–72) lower risk of developing diabetes during the first 6 years of follow-up, whereas those with 3–5% weight loss had 40% (95% CI 24–53) lower risk. CONCLUSIONS Moderate to small weight loss was associated with substantially reduced long-term risk of diabetes in diverse AI/AN communities. High participant attrition rates and nonoptimal postcurriculum weight loss are important challenges found in this translational effort implemented in an underserved population.","author":[{"dropping-particle":"","family":"Jiang","given":"Luohua","non-dropping-particle":"","parse-names":false,"suffix":""},{"dropping-particle":"","family":"Johnson","given":"Ann","non-dropping-particle":"","parse-names":false,"suffix":""},{"dropping-particle":"","family":"Pratte","given":"Katherine","non-dropping-particle":"","parse-names":false,"suffix":""},{"dropping-particle":"","family":"Beals","given":"Janette","non-dropping-particle":"","parse-names":false,"suffix":""},{"dropping-particle":"","family":"Bullock","given":"Ann","non-dropping-particle":"","parse-names":false,"suffix":""},{"dropping-particle":"","family":"Manson","given":"Spero M.","non-dropping-particle":"","parse-names":false,"suffix":""}],"container-title":"Diabetes Care","id":"ITEM-5","issue":"7","issued":{"date-parts":[["2018"]]},"page":"1462-1470","title":"Long-term outcomes of lifestyle intervention to prevent diabetes in American Indian and Alaska native communities: the special diabetes program for Indians diabetes prevention program","type":"article-journal","volume":"41"},"uris":["http://www.mendeley.com/documents/?uuid=fceddfc2-2447-4629-94c0-c0a4a1015cce"]},{"id":"ITEM-6","itemData":{"DOI":"10.1177/0890117117698623","ISSN":"08901171","abstract":"&lt;bold&gt;Purpose: &lt;/bold&gt;To study the effect of the National Diabetes Prevention Program (NDPP) on weight loss in Latinos.&lt;bold&gt;Design: &lt;/bold&gt;No-control, cohort study comparing Latino and non-Hispanic white (NHW) participants.&lt;bold&gt;Setting: &lt;/bold&gt;A health-care system.&lt;bold&gt;Participants: &lt;/bold&gt;Five hundred sixty-seven Latino and 175 NHW patients who enrolled in the NDPP. A total of 45.2% of Latinos selected the Spanish-language NDPP.&lt;bold&gt;Intervention: &lt;/bold&gt;The NDPP is a nationwide translation of a clinical trial and seeks to prevent diabetes through weight loss in a yearlong group program.&lt;bold&gt;Measures: &lt;/bold&gt;Independent variables included ethnicity, class language, and number of sessions attended. Main outcomes were initial attendance, number of sessions attended, and weight loss.&lt;bold&gt;Analysis: &lt;/bold&gt;Multivariate logistic regression and analysis of covariance were used to determine differences in NDPP outcomes by ethnicity, language, and number of sessions attended.&lt;bold&gt;Results: &lt;/bold&gt;Mean attendance was 8.60 of 22 sessions. Each session was associated with 0.30% (±0.02; P &lt; .001) body weight loss. Latinos were half as likely to attend as NHWs, odds ratio 0.52 ( P &lt; .001). Latino attendees came to 2.67 ± 0.63 ( P &lt; .001) fewer sessions than NHWs. There were no weight loss differences by ethnicity after controlling for attendance. Outcomes did not differ among Latinos in the English- and Spanish-language NDPP.&lt;bold&gt;Conclusion: &lt;/bold&gt;Latinos appeared to benefit less from the NDPP compared to NHWs, likely due to lower attendance rates. Further efforts are needed to support their participation. ABSTRACT FROM AUTHOR","author":[{"dropping-particle":"","family":"Ritchie","given":"Natalie D","non-dropping-particle":"","parse-names":false,"suffix":""},{"dropping-particle":"","family":"Christoe-Frazier","given":"Liesel","non-dropping-particle":"","parse-names":false,"suffix":""},{"dropping-particle":"","family":"McFann","given":"Kim K","non-dropping-particle":"","parse-names":false,"suffix":""},{"dropping-particle":"","family":"Havranek","given":"Edward P","non-dropping-particle":"","parse-names":false,"suffix":""},{"dropping-particle":"","family":"Pereira","given":"Rocio I","non-dropping-particle":"","parse-names":false,"suffix":""}],"container-title":"American Journal of Health Promotion","id":"ITEM-6","issue":"3","issued":{"date-parts":[["2018","3"]]},"note":"Accession Number: 127969961; Author: Ritchie, Natalie D.: 1,2 email: natalie.ritchie@dhha.org. Author: Christoe-Frazier, Liesel: 3 Author: McFann, Kim K.: 4 Author: Havranek, Edward P.: 5,6 Author: Pereira, Rocio I.: 5,7 ; Author Affiliation: 1 Ambulatory Care Services, Denver Health and Hospital Authority, Denver, CO, USA: 2 Department of Psychiatry, University of Colorado School of Medicine, Aurora, CO, USA: 3 Department of Counseling Psychology, University of Northern Colorado, Greeley, CO, USA: 4 Colorado School of Public Health, University of Colorado, Aurora, CO, USA: 5 Department of Medicine, Denver Health and Hospital Authority, Denver, CO, USA: 6 Department of Medicine, University of Colorado School of Medicine, Aurora, CO, USA: 7 Department of Endocrinology, University of Colorado School of Medicine, Aurora, CO, USA; No. of Pages: 4; Language: English; Publication Type: journal article; Update Code: 20180214","page":"812-815","title":"Effect of the national diabetes prevention program on weight loss for english- and spanish-speaking Latinos.","type":"article-journal","volume":"32"},"uris":["http://www.mendeley.com/documents/?uuid=7a97fc1b-c0ce-4a0c-b957-ea4f7f197adf"]},{"id":"ITEM-7","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Care","id":"ITEM-7","issued":{"date-parts":[["2020"]]},"page":"152-160","title":"Early outcomes from the English National Health Service diabetes prevention programme","type":"article-journal","volume":"43"},"uris":["http://www.mendeley.com/documents/?uuid=32a7a44a-df0b-4cde-9269-536e48e08190"]},{"id":"ITEM-8","itemData":{"ISSN":"18732607","PMID":"30661888","abstract":"Introduction: As the burden of type 2 diabetes rises, there is increasing focus on improving the reach of evidence-based lifestyle interventions. Using nationally representative data, this study identifies how frequently at-risk adults are being referred to and participating in diabetes prevention programming, and explores correlates of referral, participation, and interest. Methods: Data from the 2016 National Health Interview Survey, a cross-sectional survey of U.S. households, were analyzed in 2017. The study population consisted of adults (aged ≥18 years) without a self-reported diabetes diagnosis, who were likely eligible for diabetes prevention programming based on (1) self-reported diagnosis of prediabetes or gestational diabetes, and (2) meeting BMI criteria. Prevalence of self-reported referral and participation was determined, and sociodemographic correlates of referral, participation, and interest were characterized through multivariable logistic regression analyses. Results: The study population consisted of 2,341 adults. The majority were female (63%), white (74.6%), non-Hispanic (83.4%), and aged ≥45 years (68.2%). A total of 4.2% reported ever being referred to a 12-month prevention program and only 2.4% reported ever participating. In multivariable logistic regression, race was correlated with referral (black and Asian adults more likely to report referral) and age was positively correlated with participation. More than 25% of adults who were never referred or participated reported an interest in engaging in programming. Conclusions: Although more than one quarter of adults likely eligible for diabetes prevention programming express interest in participating, few are being referred and fewer still have participated. This underscores the need for efforts to enhance program referral and access.","author":[{"dropping-particle":"","family":"Venkataramani","given":"Maya","non-dropping-particle":"","parse-names":false,"suffix":""},{"dropping-particle":"","family":"Pollack","given":"Craig Evan","non-dropping-particle":"","parse-names":false,"suffix":""},{"dropping-particle":"","family":"Yeh","given":"Hsin Chieh","non-dropping-particle":"","parse-names":false,"suffix":""},{"dropping-particle":"","family":"Maruthur","given":"Nisa M.","non-dropping-particle":"","parse-names":false,"suffix":""}],"container-title":"American Journal of Preventive Medicine","id":"ITEM-8","issue":"3","issued":{"date-parts":[["2019"]]},"page":"452-457","publisher":"Elsevier Inc.","title":"Prevalence and correlates of diabetes prevention program referral and participation","type":"article-journal","volume":"56"},"uris":["http://www.mendeley.com/documents/?uuid=4b34fdeb-95e2-4c75-a3e4-aaff4bc151e7"]},{"id":"ITEM-9","itemData":{"DOI":"10.1111/dme.14855","ISSN":"14645491","PMID":"35441747","abstract":"Aims: The English National Health Service Diabetes Prevention Programme (NHS DPP) is commissioned by NHS England and has been rolled out across England to adults identified as being at high risk of type 2 diabetes. The present scoping review aimed to identify the extent and nature of evidence to date on the NHS DPP and describe what the evidence has reported. Methods: A scoping review involving searches of various sources (including MEDLINE, CINAHL, MediArXiv, Google Scholar and GreyLit) was conducted on 31 August 2021 and repeated on 09 February 2022. Only articles reporting on the NHS DPP made available since 2015 were eligible for inclusion. Results: 65 articles were included. Of these, 37 were journal publications. Most articles were made available in 2018 and 2020 (total n = 25). The majority of articles reported on uptake and retention (n = 27) whilst others reported on implementation considerations (n = 24), programme outcomes (n = 21), stakeholder experience (n = 8) and screening and referral processes (n = 3). Various research methods were reported and included qualitative (n = 9) and document analysis (n = 8). Articles revealed preliminary evidence on service user characteristics, rates of referral, uptake and retention as well as how far the NHS DPP is being delivered in line with its evidence base and service specification. Conclusions: The evidence is accumulating on NHS DPP uptake and retention most, with emerging evidence on programme outcomes (such as weight loss and HbA1c). More evidence is warranted on stakeholder experience to decipher how to overcome low initial and long-term engagement reported by the current evidence base.","author":[{"dropping-particle":"","family":"Whelan","given":"Maxine","non-dropping-particle":"","parse-names":false,"suffix":""},{"dropping-particle":"","family":"Bell","given":"Lauren","non-dropping-particle":"","parse-names":false,"suffix":""}],"container-title":"Diabetic Medicine","id":"ITEM-9","issue":"7","issued":{"date-parts":[["2022"]]},"page":"1-10","title":"The English national health service diabetes prevention programme (NHS DPP): A scoping review of existing evidence","type":"article-journal","volume":"39"},"uris":["http://www.mendeley.com/documents/?uuid=4e305d54-82c5-4d89-8b39-c8e481563394"]}],"mendeley":{"formattedCitation":"(Azar et al., 2019; Brown et al., 2018; Gray et al., 2016; D. Griauzde et al., 2019; Jiang et al., 2018; Ritchie et al., 2018; Valabhji et al., 2020; Venkataramani et al., 2019; Whelan &amp; Bell, 2022)","plainTextFormattedCitation":"(Azar et al., 2019; Brown et al., 2018; Gray et al., 2016; D. Griauzde et al., 2019; Jiang et al., 2018; Ritchie et al., 2018; Valabhji et al., 2020; Venkataramani et al., 2019; Whelan &amp; Bell, 2022)","previouslyFormattedCitation":"(Azar et al., 2019; Brown et al., 2018; Gray et al., 2016; D. Griauzde et al., 2019; Jiang et al., 2018; Ritchie et al., 2018; Valabhji et al., 2020; Venkataramani et al., 2019; Whelan &amp; Bell, 2022)"},"properties":{"noteIndex":0},"schema":"https://github.com/citation-style-language/schema/raw/master/csl-citation.json"}</w:instrText>
      </w:r>
      <w:r w:rsidR="00CA6338" w:rsidRPr="00103A0B">
        <w:rPr>
          <w:rFonts w:ascii="Arial" w:eastAsia="Times New Roman" w:hAnsi="Arial" w:cs="Arial"/>
          <w:sz w:val="24"/>
          <w:szCs w:val="24"/>
          <w:lang w:eastAsia="en-GB"/>
        </w:rPr>
        <w:fldChar w:fldCharType="separate"/>
      </w:r>
      <w:r w:rsidR="00CA6338" w:rsidRPr="00103A0B">
        <w:rPr>
          <w:rFonts w:ascii="Arial" w:eastAsia="Times New Roman" w:hAnsi="Arial" w:cs="Arial"/>
          <w:noProof/>
          <w:sz w:val="24"/>
          <w:szCs w:val="24"/>
          <w:lang w:eastAsia="en-GB"/>
        </w:rPr>
        <w:t>(Azar et al., 2019; Brown et al., 2018; Gray et al., 2016; D. Griauzde et al., 2019; Jiang et al., 2018; Ritchie et al., 2018; Valabhji et al., 2020; Venkataramani et al., 2019; Whelan &amp; Bell, 2022)</w:t>
      </w:r>
      <w:r w:rsidR="00CA6338" w:rsidRPr="00103A0B">
        <w:rPr>
          <w:rFonts w:ascii="Arial" w:eastAsia="Times New Roman" w:hAnsi="Arial" w:cs="Arial"/>
          <w:sz w:val="24"/>
          <w:szCs w:val="24"/>
          <w:lang w:eastAsia="en-GB"/>
        </w:rPr>
        <w:fldChar w:fldCharType="end"/>
      </w:r>
      <w:r w:rsidR="00CA6338" w:rsidRPr="00103A0B">
        <w:rPr>
          <w:rFonts w:ascii="Arial" w:eastAsia="Times New Roman" w:hAnsi="Arial" w:cs="Arial"/>
          <w:sz w:val="24"/>
          <w:szCs w:val="24"/>
          <w:lang w:eastAsia="en-GB"/>
        </w:rPr>
        <w:t>.</w:t>
      </w:r>
    </w:p>
    <w:p w14:paraId="55314FCC" w14:textId="377B1AB2" w:rsidR="009651BC" w:rsidRPr="00103A0B" w:rsidRDefault="009651BC" w:rsidP="00CD5919">
      <w:pPr>
        <w:spacing w:before="100" w:after="100" w:line="360" w:lineRule="auto"/>
        <w:jc w:val="both"/>
        <w:rPr>
          <w:rFonts w:ascii="Arial" w:hAnsi="Arial" w:cs="Arial"/>
          <w:sz w:val="24"/>
          <w:szCs w:val="24"/>
        </w:rPr>
      </w:pPr>
      <w:r w:rsidRPr="00103A0B">
        <w:rPr>
          <w:rFonts w:ascii="Arial" w:eastAsia="Times New Roman" w:hAnsi="Arial" w:cs="Arial"/>
          <w:sz w:val="24"/>
          <w:szCs w:val="24"/>
          <w:lang w:eastAsia="en-GB"/>
        </w:rPr>
        <w:t xml:space="preserve">To identify how to improve both uptake and retention, it is important to explore factors associated with higher uptake (e.g., recruitment strategies employed)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10.1186/s13012-015-0354-6","author":[{"dropping-particle":"","family":"Aziz","given":"Zahra","non-dropping-particle":"","parse-names":false,"suffix":""},{"dropping-particle":"","family":"Absetz","given":"Pilvikki","non-dropping-particle":"","parse-names":false,"suffix":""},{"dropping-particle":"","family":"Oldroyd","given":"John","non-dropping-particle":"","parse-names":false,"suffix":""},{"dropping-particle":"","family":"Pronk","given":"Nicolaas P","non-dropping-particle":"","parse-names":false,"suffix":""},{"dropping-particle":"","family":"Oldenburg","given":"Brian","non-dropping-particle":"","parse-names":false,"suffix":""}],"container-title":"Implementation Science","id":"ITEM-1","issue":"172","issued":{"date-parts":[["2015"]]},"page":"1-17","publisher":"Implementation Science","title":"A systematic review of real-world diabetes prevention programs : learnings from the last 15 years","type":"article-journal","volume":"10"},"uris":["http://www.mendeley.com/documents/?uuid=1cf51005-c143-49f1-97fc-6ad81fc1944a"]},{"id":"ITEM-2","itemData":{"author":[{"dropping-particle":"","family":"McCann","given":"Jennifer","non-dropping-particle":"","parse-names":false,"suffix":""},{"dropping-particle":"","family":"Ridgers","given":"Nicola D","non-dropping-particle":"","parse-names":false,"suffix":""},{"dropping-particle":"","family":"Carver","given":"Alison","non-dropping-particle":"","parse-names":false,"suffix":""},{"dropping-particle":"","family":"Thornton","given":"Lukar E","non-dropping-particle":"","parse-names":false,"suffix":""},{"dropping-particle":"","family":"Teychenne","given":"Megan","non-dropping-particle":"","parse-names":false,"suffix":""}],"container-title":"Health Promotion Journal of Australia","id":"ITEM-2","issued":{"date-parts":[["2013"]]},"page":"104-10","title":"Effective recruitment and retention strategies in community health programs","type":"article-journal","volume":"24"},"uris":["http://www.mendeley.com/documents/?uuid=e354c3e0-0452-4b26-8e0b-2fdc24d400dc"]}],"mendeley":{"formattedCitation":"(Aziz et al., 2015; McCann et al., 2013)","plainTextFormattedCitation":"(Aziz et al., 2015; McCann et al., 2013)","previouslyFormattedCitation":"(Aziz et al., 2015; McCann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7E0EE7" w:rsidRPr="00103A0B">
        <w:rPr>
          <w:rFonts w:ascii="Arial" w:eastAsia="Times New Roman" w:hAnsi="Arial" w:cs="Arial"/>
          <w:noProof/>
          <w:sz w:val="24"/>
          <w:szCs w:val="24"/>
          <w:lang w:eastAsia="en-GB"/>
        </w:rPr>
        <w:t>(Aziz et al., 2015; McCann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higher retention (e.g., behaviour change techniques DPPs have utilised as they are “active ingredients” of </w:t>
      </w:r>
      <w:r w:rsidR="00344367" w:rsidRPr="00103A0B">
        <w:rPr>
          <w:rFonts w:ascii="Arial" w:eastAsia="Times New Roman" w:hAnsi="Arial" w:cs="Arial"/>
          <w:sz w:val="24"/>
          <w:szCs w:val="24"/>
          <w:lang w:eastAsia="en-GB"/>
        </w:rPr>
        <w:t>interventions</w:t>
      </w:r>
      <w:r w:rsidRPr="00103A0B">
        <w:rPr>
          <w:rFonts w:ascii="Arial" w:eastAsia="Times New Roman" w:hAnsi="Arial" w:cs="Arial"/>
          <w:sz w:val="24"/>
          <w:szCs w:val="24"/>
          <w:lang w:eastAsia="en-GB"/>
        </w:rPr>
        <w:t xml:space="preserve">, and are </w:t>
      </w:r>
      <w:r w:rsidRPr="00103A0B">
        <w:rPr>
          <w:rFonts w:ascii="Arial" w:eastAsia="Times New Roman" w:hAnsi="Arial" w:cs="Arial"/>
          <w:sz w:val="24"/>
          <w:szCs w:val="24"/>
          <w:lang w:eastAsia="en-GB"/>
        </w:rPr>
        <w:lastRenderedPageBreak/>
        <w:t xml:space="preserve">increasingly used when designing programmes; see Chapter 2). A better understanding of individual needs, views and experiences of DPPs are required so that effective strategies can be developed to encourage participants to attend and remain engaged </w:t>
      </w:r>
      <w:r w:rsidRPr="00103A0B">
        <w:rPr>
          <w:rFonts w:ascii="Arial" w:eastAsia="Times New Roman" w:hAnsi="Arial" w:cs="Arial"/>
          <w:sz w:val="24"/>
          <w:szCs w:val="24"/>
          <w:lang w:eastAsia="en-GB"/>
        </w:rPr>
        <w:fldChar w:fldCharType="begin" w:fldLock="1"/>
      </w:r>
      <w:r w:rsidR="00AF410C" w:rsidRPr="00103A0B">
        <w:rPr>
          <w:rFonts w:ascii="Arial" w:eastAsia="Times New Roman" w:hAnsi="Arial" w:cs="Arial"/>
          <w:sz w:val="24"/>
          <w:szCs w:val="24"/>
          <w:lang w:eastAsia="en-GB"/>
        </w:rPr>
        <w:instrText>ADDIN CSL_CITATION {"citationItems":[{"id":"ITEM-1","itemData":{"DOI":"10.1186/s13012-015-0354-6","author":[{"dropping-particle":"","family":"Aziz","given":"Zahra","non-dropping-particle":"","parse-names":false,"suffix":""},{"dropping-particle":"","family":"Absetz","given":"Pilvikki","non-dropping-particle":"","parse-names":false,"suffix":""},{"dropping-particle":"","family":"Oldroyd","given":"John","non-dropping-particle":"","parse-names":false,"suffix":""},{"dropping-particle":"","family":"Pronk","given":"Nicolaas P","non-dropping-particle":"","parse-names":false,"suffix":""},{"dropping-particle":"","family":"Oldenburg","given":"Brian","non-dropping-particle":"","parse-names":false,"suffix":""}],"container-title":"Implementation Science","id":"ITEM-1","issue":"172","issued":{"date-parts":[["2015"]]},"page":"1-17","publisher":"Implementation Science","title":"A systematic review of real-world diabetes prevention programs : learnings from the last 15 years","type":"article-journal","volume":"10"},"uris":["http://www.mendeley.com/documents/?uuid=1cf51005-c143-49f1-97fc-6ad81fc1944a"]},{"id":"ITEM-2","itemData":{"ISSN":"14726963","PMID":"32293424","abstract":"Background: The National Health Service diabetes prevention programme in England, (NHS DPP) aims to identify people at high risk of type 2 diabetes (T2D) and offer them a face-to-face, group-based, behaviour change intervention for at least 9 months. The NHS DPP was rolled out in phases. We aimed to elicit stakeholders' perceptions and experiences of the factors influencing implementation of, and participation in, the programme during the development phase. Methods: Individual, semi-structured telephone interviews were conducted with 50 purposively sampled stakeholders: Service users (n = 20); programme commissioners (n = 7); referrers (n = 8); and intervention deliverers (n = 15). Topic guides were structured using a pragmatic, theory-informed approach. Analysis employed the framework method. Results: We identified factors that influenced participation: Risk communication at referral-stakeholders identified point of referral as a window of opportunity to offer brief advice, to provide an understanding of T2D risk and information about the programme; Perceived impact of the NHS DPP-service users highlighted the positive perceived impact on their behaviour change, the peer support provided by participating in the programme, the option to involve a relative, and the 'knock on' effect on others. Service users also voiced disappointment when blood test results still identified them at high risk after the programme; and Behavioural maintenance-participants highlighted the challenges linked to behavioural maintenance (e.g. discontinuation of active support). Factors influencing implementations were also identified: Case finding-stakeholders suggested that using community involvement to identify service users could increase reach and ensure that the workload was not solely on GP practices; Adaptability: Intervention deliverers acknowledged the need to tailor advice to service users' preferences and needs; Accountability-the need to acknowledge who was responsible for what at different stages of the NHS DPP pathway; and Fidelity-stakeholders described procedures involved in monitoring service users' satisfaction, outcome data collection and quality assurance assessments. Conclusions: The NHS DPP offers an evidence-informed behavioural intervention for T2D prevention. Better risk communication specification could ensure consistency at the referral stage and improve participation in the NHS DPP intervention. Cultural adaptations and outreach strategies could ensu…","author":[{"dropping-particle":"","family":"Rodrigues","given":"Angela M.","non-dropping-particle":"","parse-names":false,"suffix":""},{"dropping-particle":"","family":"Haste","given":"Anna","non-dropping-particle":"","parse-names":false,"suffix":""},{"dropping-particle":"","family":"Penn","given":"Linda","non-dropping-particle":"","parse-names":false,"suffix":""},{"dropping-particle":"","family":"Bell","given":"Ruth","non-dropping-particle":"","parse-names":false,"suffix":""},{"dropping-particle":"","family":"Summerbell","given":"Carolyn","non-dropping-particle":"","parse-names":false,"suffix":""},{"dropping-particle":"","family":"White","given":"Martin","non-dropping-particle":"","parse-names":false,"suffix":""},{"dropping-particle":"","family":"Adamson","given":"Ashley J.","non-dropping-particle":"","parse-names":false,"suffix":""},{"dropping-particle":"","family":"Sniehotta","given":"Falko F.","non-dropping-particle":"","parse-names":false,"suffix":""}],"container-title":"BMC Health Services Research","id":"ITEM-2","issued":{"date-parts":[["2020"]]},"page":"307","publisher":"BMC Health Services Research","title":"Stakeholders' perceptions and experiences of the National Health Service diabetes prevention programme in England: qualitative study with service users, intervention providers and deliverers, commissioners and referrers","type":"article-journal","volume":"20"},"uris":["http://www.mendeley.com/documents/?uuid=f72c730c-7abc-4ecd-b17f-09aa8f2ad088"]},{"id":"ITEM-3","itemData":{"author":[{"dropping-particle":"","family":"Laws","given":"R. A.","non-dropping-particle":"","parse-names":false,"suffix":""},{"dropping-particle":"","family":"Vita","given":"P.","non-dropping-particle":"","parse-names":false,"suffix":""},{"dropping-particle":"","family":"Venugopal","given":"K.","non-dropping-particle":"","parse-names":false,"suffix":""},{"dropping-particle":"","family":"Rissel","given":"C.","non-dropping-particle":"","parse-names":false,"suffix":""}],"container-title":"BMC Public Health","id":"ITEM-3","issued":{"date-parts":[["2012"]]},"page":"822","title":"Factors influencing participant enrolment in a diabetes prevention program in general practice: lessons from the Sydney diabetes prevention program","type":"article-journal","volume":"12"},"uris":["http://www.mendeley.com/documents/?uuid=13c7498d-639c-4e9c-aaa7-89cf6fca44f2"]},{"id":"ITEM-4","itemData":{"DOI":"https://doi.org/10.1016/j.cct.2020.105960","ISSN":"15592030","PMID":"32087338","abstract":"Diabetes prevalence has risen rapidly and has become a global health challenge. The Diabetes Prevention Program (DPP) has been shown to prevent or delay the development of diabetes among individuals with prediabetes. Yet, diabetes prevention studies within the Medicaid population are limited and results are mixed. This study aimed to evaluate the impact of different financial incentive strategies on the utilization of the DPP for Medicaid managed care adults in New York State. A four-arm randomized controlled trial was conducted among Medicaid managed care adult enrollees diagnosed with prediabetes and/or obesity. Study participants were offered a 16-week DPP with various incentive strategies based on class attendance and weight loss as follows: Attendance-Only, Weight-Loss Only, and both Attendance and Weight-Loss. A control group was offered DPP with no incentives for attendance or weight loss. We evaluated the impact of incentives on achievement of the program completion and weight-loss milestone. Participants who received incentives for the Attendance-Only class were least likely to be lost to follow-up, more likely to complete the program, and had two times higher percentage of meeting the weight-loss milestone compared to the control group. Results for the other incentive cohorts were mixed. A strong positive association was observed for participants who attended 9 or more classes and weight-loss regardless of incentive strategies. Providing monetary incentives for DPP class attendance had a positive impact on program completion and achieving the weight-loss milestone. However, the results from this study indicate that participant enrollment and retention remained challenges despite the incentives.","author":[{"dropping-particle":"","family":"Chin","given":"Jo Yu","non-dropping-particle":"","parse-names":false,"suffix":""},{"dropping-particle":"","family":"Matson","given":"Jacqueline","non-dropping-particle":"","parse-names":false,"suffix":""},{"dropping-particle":"","family":"McCauley","given":"Susan","non-dropping-particle":"","parse-names":false,"suffix":""},{"dropping-particle":"","family":"Anarella","given":"Joseph","non-dropping-particle":"","parse-names":false,"suffix":""},{"dropping-particle":"","family":"Gesten","given":"Foster","non-dropping-particle":"","parse-names":false,"suffix":""},{"dropping-particle":"","family":"Roohan","given":"Patrick","non-dropping-particle":"","parse-names":false,"suffix":""}],"container-title":"Contemporary Clinical Trials","id":"ITEM-4","issued":{"date-parts":[["2020"]]},"page":"105960","publisher":"Elsevier","title":"The impact of financial incentives on utilization and outcomes of diabetes prevention programs among Medicaid managed care adults in New York state","type":"article-journal","volume":"91"},"uris":["http://www.mendeley.com/documents/?uuid=73705fca-c50d-4e34-861c-f5f59cddb6a5"]}],"mendeley":{"formattedCitation":"(Aziz et al., 2015; Chin et al., 2020; Laws et al., 2012; Rodrigues et al., 2020)","plainTextFormattedCitation":"(Aziz et al., 2015; Chin et al., 2020; Laws et al., 2012; Rodrigues et al., 2020)","previouslyFormattedCitation":"(Aziz et al., 2015; Chin et al., 2020; Laws et al., 2012; Rodrigues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A170E0" w:rsidRPr="00103A0B">
        <w:rPr>
          <w:rFonts w:ascii="Arial" w:eastAsia="Times New Roman" w:hAnsi="Arial" w:cs="Arial"/>
          <w:noProof/>
          <w:sz w:val="24"/>
          <w:szCs w:val="24"/>
          <w:lang w:eastAsia="en-GB"/>
        </w:rPr>
        <w:t>(Aziz et al., 2015; Chin et al., 2020; Laws et al., 2012; Rodrigues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To explore factors affecting uptake and retention, it is important to determine how DPPs define these terms, which can vary </w:t>
      </w:r>
      <w:r w:rsidRPr="00103A0B">
        <w:rPr>
          <w:rFonts w:ascii="Arial" w:eastAsia="Times New Roman" w:hAnsi="Arial" w:cs="Arial"/>
          <w:sz w:val="24"/>
          <w:szCs w:val="24"/>
          <w:lang w:eastAsia="en-GB"/>
        </w:rPr>
        <w:fldChar w:fldCharType="begin" w:fldLock="1"/>
      </w:r>
      <w:r w:rsidR="00597BD1" w:rsidRPr="00103A0B">
        <w:rPr>
          <w:rFonts w:ascii="Arial" w:eastAsia="Times New Roman" w:hAnsi="Arial" w:cs="Arial"/>
          <w:sz w:val="24"/>
          <w:szCs w:val="24"/>
          <w:lang w:eastAsia="en-GB"/>
        </w:rPr>
        <w:instrText>ADDIN CSL_CITATION {"citationItems":[{"id":"ITEM-1","itemData":{"ISSN":"20524897","PMID":"33303493","abstract":"Introduction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Care","id":"ITEM-1","issued":{"date-parts":[["2020"]]},"page":"e001835","title":"'Going the distance': an independent cohort study of engagement and dropout among the first 100 000 referrals into a large-scale diabetes prevention program","type":"article-journal","volume":"8"},"uris":["http://www.mendeley.com/documents/?uuid=40d46080-9604-42ba-942c-0e13d9f1562f"]}],"mendeley":{"formattedCitation":"(Howarth et al., 2020)","plainTextFormattedCitation":"(Howarth et al., 2020)","previouslyFormattedCitation":"(Howarth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(Howarth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08778BCC" w14:textId="77777777" w:rsidR="009651BC" w:rsidRPr="00103A0B" w:rsidRDefault="009651BC" w:rsidP="00CD5919">
      <w:pPr>
        <w:jc w:val="both"/>
        <w:rPr>
          <w:lang w:eastAsia="en-GB" w:bidi="en-US"/>
        </w:rPr>
      </w:pPr>
    </w:p>
    <w:p w14:paraId="67306C4F" w14:textId="32406B91" w:rsidR="002D3F5D" w:rsidRPr="00103A0B" w:rsidRDefault="002D3F5D" w:rsidP="00CD5919">
      <w:pPr>
        <w:pStyle w:val="Heading2"/>
        <w:jc w:val="both"/>
        <w:rPr>
          <w:rFonts w:ascii="Arial" w:eastAsia="Times New Roman" w:hAnsi="Arial" w:cs="Arial"/>
          <w:sz w:val="28"/>
        </w:rPr>
      </w:pPr>
      <w:bookmarkStart w:id="56" w:name="_Toc151548295"/>
      <w:r w:rsidRPr="00103A0B">
        <w:rPr>
          <w:rFonts w:ascii="Arial" w:eastAsia="Times New Roman" w:hAnsi="Arial" w:cs="Arial"/>
          <w:sz w:val="28"/>
        </w:rPr>
        <w:t>Defining Uptake</w:t>
      </w:r>
      <w:bookmarkEnd w:id="56"/>
      <w:r w:rsidRPr="00103A0B">
        <w:rPr>
          <w:rFonts w:ascii="Arial" w:eastAsia="Times New Roman" w:hAnsi="Arial" w:cs="Arial"/>
          <w:sz w:val="28"/>
        </w:rPr>
        <w:t xml:space="preserve"> </w:t>
      </w:r>
    </w:p>
    <w:p w14:paraId="6E24E430" w14:textId="45E55FE4" w:rsidR="009651BC" w:rsidRPr="00103A0B" w:rsidRDefault="009651BC" w:rsidP="00344367">
      <w:pPr>
        <w:spacing w:after="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“Uptake” is defined in many ways and DPPs use various terms related to uptake, such as enrolment and attendance. Some DPPs define uptake as the proportion of referrals attending a short appointment (Initial Assessment) before starting the first programme session </w:t>
      </w:r>
      <w:r w:rsidRPr="00103A0B">
        <w:rPr>
          <w:rFonts w:ascii="Arial" w:eastAsia="Times New Roman" w:hAnsi="Arial" w:cs="Arial"/>
          <w:sz w:val="24"/>
          <w:szCs w:val="24"/>
          <w:lang w:eastAsia="en-GB"/>
        </w:rPr>
        <w:fldChar w:fldCharType="begin" w:fldLock="1"/>
      </w:r>
      <w:r w:rsidR="00597BD1" w:rsidRPr="00103A0B">
        <w:rPr>
          <w:rFonts w:ascii="Arial" w:eastAsia="Times New Roman" w:hAnsi="Arial" w:cs="Arial"/>
          <w:sz w:val="24"/>
          <w:szCs w:val="24"/>
          <w:lang w:eastAsia="en-GB"/>
        </w:rPr>
        <w:instrText>ADDIN CSL_CITATION {"citationItems":[{"id":"ITEM-1","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Medicine","id":"ITEM-1","issued":{"date-parts":[["2018"]]},"page":"513-518","title":"Progress of the healthier you: NHS diabetes prevention programme: referrals, uptake and participant characteristics","type":"article-journal","volume":"35"},"uris":["http://www.mendeley.com/documents/?uuid=1f5d47f1-f2c9-41a7-af24-e63deeae9374"]},{"id":"ITEM-2","itemData":{"ISSN":"20524897","PMID":"33303493","abstract":"Introduction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Care","id":"ITEM-2","issued":{"date-parts":[["2020"]]},"page":"e001835","title":"'Going the distance': an independent cohort study of engagement and dropout among the first 100 000 referrals into a large-scale diabetes prevention program","type":"article-journal","volume":"8"},"uris":["http://www.mendeley.com/documents/?uuid=40d46080-9604-42ba-942c-0e13d9f1562f"]}],"mendeley":{"formattedCitation":"(Barron et al., 2018; Howarth et al., 2020)","plainTextFormattedCitation":"(Barron et al., 2018; Howarth et al., 2020)","previouslyFormattedCitation":"(Barron et al., 2018; Howarth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(Barron et al., 2018; Howarth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others define uptake as the proportion of participants recruited to the intervention, out of the total number of eligible participants </w:t>
      </w:r>
      <w:r w:rsidRPr="00103A0B">
        <w:rPr>
          <w:rFonts w:ascii="Arial" w:eastAsia="Times New Roman" w:hAnsi="Arial" w:cs="Arial"/>
          <w:sz w:val="24"/>
          <w:szCs w:val="24"/>
          <w:lang w:eastAsia="en-GB"/>
        </w:rPr>
        <w:fldChar w:fldCharType="begin" w:fldLock="1"/>
      </w:r>
      <w:r w:rsidR="00050ED6" w:rsidRPr="00103A0B">
        <w:rPr>
          <w:rFonts w:ascii="Arial" w:eastAsia="Times New Roman" w:hAnsi="Arial" w:cs="Arial"/>
          <w:sz w:val="24"/>
          <w:szCs w:val="24"/>
          <w:lang w:eastAsia="en-GB"/>
        </w:rPr>
        <w:instrText>ADDIN CSL_CITATION {"citationItems":[{"id":"ITEM-1","itemData":{"DOI":"10.2196/11267","ISSN":"14388871","abstract":"Background: Despite evidence that Diabetes Prevention Programs (DPPs) can delay or prevent progression to type 2 diabetes mellitus (T2DM), few individuals with prediabetes enroll in offered programs. This may be in part because many individuals with prediabetes have low levels of autonomous motivation (ie, motivation that arises from internal sources) to prevent T2DM. Objective: This study aims to examine the feasibility and acceptability of a mobile health (mHealth) intervention designed to increase autonomous motivation and healthy behaviors among adults with prediabetes who previously declined participation free DPPs. In addition, the study aims to examine changes in autonomous motivation among adults offered 2 versions of the mHealth program compared with an information-only control group. Methods: In this 12-week, parallel, 3-arm, mixed-methods pilot randomized controlled trial, participants were randomized to (1) a group that received information about prediabetes and strategies to prevent T2DM (control); (2) a group that received a mHealth app that aims to increase autonomous motivation among users (app-only); or (3) a group that received the app plus a physical activity tracker and wireless-enabled digital scale for self-monitoring (app-plus). Primary outcome measures included rates of intervention uptake (number of individuals enrolled/number of individuals assessed for eligibility), retention (number of 12-week survey completers/number of participants), and adherence (number of device-usage days). The secondary outcome measure was change in autonomous motivation (measured using the Treatment Self-Regulation Questionnaire), which was examined using difference-in-difference analysis. Furthermore, we conducted postintervention qualitative interviews with participants. Results: Overall, 28% (69/244) of eligible individuals were randomized; of these, 80% (55/69) completed the 12-week survey. Retention rates were significantly higher among app-plus participants than participants in the other 2 study arms combined (P=.004, χ2). No significant differences were observed in adherence rates between app-only and app-plus participants (43 days vs 37 days; P=.34). Among all participants, mean autonomous motivation measures were relatively high at baseline (6.0 of 7.0 scale), with no statistically significant within- or between-group differences in follow-up scores. In qualitative interviews (n=15), participants identified reasons that they enjoyed using the…","author":[{"dropping-particle":"","family":"Griauzde","given":"Dina","non-dropping-particle":"","parse-names":false,"suffix":""},{"dropping-particle":"","family":"Kullgren","given":"Jeffrey T.","non-dropping-particle":"","parse-names":false,"suffix":""},{"dropping-particle":"","family":"Liestenfeltz","given":"Brad","non-dropping-particle":"","parse-names":false,"suffix":""},{"dropping-particle":"","family":"Ansari","given":"Tahoora","non-dropping-particle":"","parse-names":false,"suffix":""},{"dropping-particle":"","family":"Johnson","given":"Emily H.","non-dropping-particle":"","parse-names":false,"suffix":""},{"dropping-particle":"","family":"Fedewa","given":"Allison","non-dropping-particle":"","parse-names":false,"suffix":""},{"dropping-particle":"","family":"Saslow","given":"Laura R.","non-dropping-particle":"","parse-names":false,"suffix":""},{"dropping-particle":"","family":"Richardson","given":"Caroline","non-dropping-particle":"","parse-names":false,"suffix":""},{"dropping-particle":"","family":"Heisler","given":"Michele","non-dropping-particle":"","parse-names":false,"suffix":""}],"container-title":"Journal of Medical Internet Research","id":"ITEM-1","issue":"1","issued":{"date-parts":[["2019"]]},"page":"1-11","title":"A mobile phone-based program to promote healthy behaviors among adults with prediabetes who declined participation in free diabetes prevention programs: mixed-methods pilot randomized controlled trial","type":"article-journal","volume":"21"},"uris":["http://www.mendeley.com/documents/?uuid=da85770c-0726-4f89-a170-7ad0061e6d1c"]}],"mendeley":{"formattedCitation":"(D. Griauzde et al., 2019)","manualFormatting":"(Griauzde et al., 2019)","plainTextFormattedCitation":"(D. Griauzde et al., 2019)","previouslyFormattedCitation":"(D. Griauzde et al., 2019)"},"properties":{"noteIndex":0},"schema":"https://github.com/citation-style-language/schema/raw/master/csl-citation.json"}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62570" w:rsidRPr="00103A0B">
        <w:rPr>
          <w:rFonts w:ascii="Arial" w:eastAsia="Times New Roman" w:hAnsi="Arial" w:cs="Arial"/>
          <w:noProof/>
          <w:sz w:val="24"/>
          <w:szCs w:val="24"/>
          <w:lang w:eastAsia="en-GB"/>
        </w:rPr>
        <w:t>(Griauzde et al., 2019)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most define it as those participants who attend at least one session, usually the first session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{"citationItems":[{"id":"ITEM-1","itemData":{"DOI":"10.1016/j.amepre.2017.06.013","ISSN":"0749-3797","abstract":"Introduction: Reducing obesity and diabetes risks among women of child-bearing age is urgently needed to halt the transgenerational cycle of disease. Interventions among pregnant women have largely been ineffective and may be initiated too late to improve maternal and child health. The National Diabetes Prevention Program is a widely disseminated lifestyle intervention that may help mitigate risks before pregnancy. However, the program has targeted relatively older adults, and effectiveness among women of child-bearing age remains largely unknown.Methods: The National Diabetes Prevention Program was delivered in an urban safety net hospital. Reach and effectiveness were evaluated among 4,866 eligible women who were invited to participate in the program. The authors compared enrollment, attendance, and weight loss for women aged 18-39 years as compared to women aged ≥40 years. Data were collected between 2013 and 2016. Analyses were conducted in 2017.Results: Women of child-bearing age were nearly half as likely to enroll than older women in adjusted models (OR=0.58, 95% CI=0.49, 0.69). Subsequently, younger enrollees were less likely to attend ≥1 session(s) than older women (OR=0.77, 95% CI=0.61, 0.99). There was no significant age group difference in program completion rates or weight-loss outcomes. Both groups lost an average of 3% body weight.Conclusions: Women of child-bearing age were less likely than older women to engage in the National Diabetes Prevention Program; however, they were equally likely to benefit from weight loss when they attended. Further efforts are needed to improve engagement of women of child-bearing age.","author":[{"dropping-particle":"","family":"Ritchie","given":"Natalie D","non-dropping-particle":"","parse-names":false,"suffix":""},{"dropping-particle":"","family":"Sauder","given":"Katherine A","non-dropping-particle":"","parse-names":false,"suffix":""},{"dropping-particle":"","family":"Fabbri","given":"Stefka","non-dropping-particle":"","parse-names":false,"suffix":""}],"container-title":"American Journal of Preventive Medicine","id":"ITEM-1","issue":"5","issued":{"date-parts":[["2017","11"]]},"note":"Accession Number: 125526460. Language: English. Entry Date: 20180722. Revision Date: 20180722. Publication Type: journal article. Journal Subset: Biomedical; Health Promotion/Education; USA. Instrumentation: Maternal Confidence Questionnaire (MCQ) (Parker and Zahr). NLM UID: 8704773.","page":"714-718","publisher":"Elsevier B.V.","publisher-place":"Department of Psychiatry, University of Colorado School of Medicine, Aurora, Colorado","title":"Reach and effectiveness of the national diabetes prevention program for young women.","type":"article-journal","volume":"53"},"uris":["http://www.mendeley.com/documents/?uuid=eff8d673-f774-43d5-921c-c9d2cab22bd4"]},{"id":"ITEM-2","itemData":{"ISSN":"0920-0909","abstract":"Public reporting burden of this collection of information is estimated to average one hour per responses for the Diabetes Prevention Recognition Program Application Form and one hour per response for the submission of Evaluation Data, including the time for reviewing instructions, searching existing data sources, gathering and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Reports Clearance Officer; 1600 Clifton Road NE, MS D-74, Atlanta, Georgia 30333; ATTN: PRA (0920-0909)","author":[{"dropping-particle":"","family":"Centers for Disease Control and Prevention","given":"","non-dropping-particle":"","parse-names":false,"suffix":""}],"id":"ITEM-2","issued":{"date-parts":[["2015"]]},"title":"Centers for Disease Control and Prevention Diabetes Prevention Recognition Program Standards and Operating Procedures","type":"report"},"uris":["http://www.mendeley.com/documents/?uuid=e9d70045-aeed-4c36-a18e-2bf6f45113c0"]},{"id":"ITEM-3","itemData":{"DOI":"10.2337/dc16-2099","author":[{"dropping-particle":"","family":"Ely","given":"Elizabeth K","non-dropping-particle":"","parse-names":false,"suffix":""},{"dropping-particle":"","family":"Gruss","given":"Stephanie M","non-dropping-particle":"","parse-names":false,"suffix":""},{"dropping-particle":"","family":"Luman","given":"Elizabeth T","non-dropping-particle":"","parse-names":false,"suffix":""},{"dropping-particle":"","family":"Gregg","given":"Edward W","non-dropping-particle":"","parse-names":false,"suffix":""},{"dropping-particle":"","family":"Ali","given":"Mohammed K","non-dropping-particle":"","parse-names":false,"suffix":""},{"dropping-particle":"","family":"Nhim","given":"Kunthea","non-dropping-particle":"","parse-names":false,"suffix":""},{"dropping-particle":"","family":"Rolka","given":"Deborah B","non-dropping-particle":"","parse-names":false,"suffix":""},{"dropping-particle":"","family":"Albright","given":"Ann L","non-dropping-particle":"","parse-names":false,"suffix":""}],"container-title":"Diabetes Care","id":"ITEM-3","issued":{"date-parts":[["2017"]]},"page":"1331-1341","title":"A national effort to prevent type 2 diabetes: participant-level evaluation of CDC ’ s national diabetes prevention program","type":"article-journal","volume":"40"},"uris":["http://www.mendeley.com/documents/?uuid=03ec6206-c938-47f8-aec1-2cddac5d0dd3"]},{"id":"ITEM-4","itemData":{"DOI":"10.1007/s13187-014-0750-7","ISSN":"15430154","PMID":"25394834","abstract":"Underserved minority communities have few resources for addressing comorbidity risk reduction among long-term cancer survivors. To address this community need, we developed and piloted the Bronx Oncology Living Daily (BOLD) Healthy Living program, the first known diabetes prevention and control program to target cancer survivors and co-survivors in Bronx County, NY. The program aimed to facilitate lifestyle change and improve health-related quality of life (HRQoL) through weekly group nutrition education (60–90 min) and exercise (60 min) classes. We examined baseline characteristics of participants using simple descriptive statistics and evaluated program implementation and impact using the Reach, Efficacy, Adoption, Implementation and Maintenance (RE-AIM) framework. The curriculum, which drew from the social-ecological framework and motivational and cognitive behavioral strategies, consisted of 12 culturally and medically tailored modules with options for implementation as a 12- or 4-week program. Seven programs (four 12 weeks and three 4 weeks in length, respectively) were implemented at five community site locations. Sixty-six cancer survivors and 17 cancer co-survivors (mean age 60.5 ± 10.2 years) enrolled in one of the programs. Most participants were female (95.2 %) minority (55.4 % black, 26.5 % Hispanic/Latino) breast cancer survivors (75.7 %). Median program attendance was 62.5 % and did not significantly differ by program length; however, 67.3 % of participants achieved ≥60 % attendance among the 12-week programs, compared to 41.9 % among the 4-week programs, and this difference was statistically significant (p = 0.02). Overall, participants reported significant pre/post improvements in perceived health as good/excellent (66.0 to 75.5 %; p = 0.001) and borderline significant decreases in perceived pain as moderate/severe (45.5 to 38.2 %; p = 0.05). More than 90 % of participants reported that the program helped them to achieve their short-term goals, motivated them to engage in healthier behaviors, and felt that the nutrition and exercise classes were relevant to their needs. These results indicate that a short-term lifestyle intervention program for adult cancer survivors was acceptable in our community and motivated cancer survivors to improve their HRQoL. The curriculum can be used as a tool to facilitate development of similar programs in the future.","author":[{"dropping-particle":"","family":"Conlon","given":"Beth A.","non-dropping-particle":"","parse-names":false,"suffix":""},{"dropping-particle":"","family":"Kahan","given":"Michelle","non-dropping-particle":"","parse-names":false,"suffix":""},{"dropping-particle":"","family":"Martinez","given":"Melissa","non-dropping-particle":"","parse-names":false,"suffix":""},{"dropping-particle":"","family":"Isaac","given":"Kathleen","non-dropping-particle":"","parse-names":false,"suffix":""},{"dropping-particle":"","family":"Rossi","given":"Amerigo","non-dropping-particle":"","parse-names":false,"suffix":""},{"dropping-particle":"","family":"Skyhart","given":"Rebecca","non-dropping-particle":"","parse-names":false,"suffix":""},{"dropping-particle":"","family":"Wylie-Rosett","given":"Judith","non-dropping-particle":"","parse-names":false,"suffix":""},{"dropping-particle":"","family":"Moadel-Robblee","given":"Alyson","non-dropping-particle":"","parse-names":false,"suffix":""}],"container-title":"Journal of Cancer Education","id":"ITEM-4","issue":"3","issued":{"date-parts":[["2015"]]},"page":"535-545","title":"Development and evaluation of the curriculum for BOLD (Bronx Oncology Living Daily) healthy living: a diabetes prevention and control program for underserved cancer survivors","type":"article-journal","volume":"30"},"uris":["http://www.mendeley.com/documents/?uuid=9f5a6f8a-648c-4d7f-9255-3dd27b19a65f"]},{"id":"ITEM-5","itemData":{"author":[{"dropping-particle":"","family":"Laws","given":"R. A.","non-dropping-particle":"","parse-names":false,"suffix":""},{"dropping-particle":"","family":"Vita","given":"P.","non-dropping-particle":"","parse-names":false,"suffix":""},{"dropping-particle":"","family":"Venugopal","given":"K.","non-dropping-particle":"","parse-names":false,"suffix":""},{"dropping-particle":"","family":"Rissel","given":"C.","non-dropping-particle":"","parse-names":false,"suffix":""}],"container-title":"BMC Public Health","id":"ITEM-5","issued":{"date-parts":[["2012"]]},"page":"822","title":"Factors influencing participant enrolment in a diabetes prevention program in general practice: lessons from the Sydney diabetes prevention program","type":"article-journal","volume":"12"},"uris":["http://www.mendeley.com/documents/?uuid=13c7498d-639c-4e9c-aaa7-89cf6fca44f2"]},{"id":"ITEM-6","itemData":{"DOI":"10.2337/dc19-1489","ISSN":"19355548","PMID":"31744813","author":[{"dropping-particle":"","family":"Ritchie","given":"Natalie D.","non-dropping-particle":"","parse-names":false,"suffix":""},{"dropping-particle":"","family":"Baucom","given":"Katherine J.W.","non-dropping-particle":"","parse-names":false,"suffix":""},{"dropping-particle":"","family":"Sauder","given":"Katherine A.","non-dropping-particle":"","parse-names":false,"suffix":""}],"container-title":"Diabetes Care","id":"ITEM-6","issue":"2","issued":{"date-parts":[["2020"]]},"page":"E20-E21","title":"Benefits of participating with a partner in the national diabetes prevention program","type":"article-journal","volume":"43"},"uris":["http://www.mendeley.com/documents/?uuid=af577f7f-1d2e-45be-bece-0a6ceda36198"]},{"id":"ITEM-7","itemData":{"DOI":"10.2196/15478","ISSN":"22915222","PMID":"32554385","abstract":"BACKGROUND: The evidence-based National Diabetes Prevention Program (NDPP) is now widely disseminated, yet strategies to increase its effectiveness are needed, especially for underserved populations. The yearlong program promotes lifestyle changes for weight loss and can be offered in-person, online, via distance learning, or a combination of modalities. Less is known about which delivery features are optimal and may help address disparities in outcomes for subgroups. We previously demonstrated the efficacy of a stand-alone text messaging intervention based on the NDPP (SMS4PreDM) in a randomized controlled trial in a safety net health care system. Upon broader dissemination, we then showed that SMS4PreDM demonstrated high retention and modest weight loss at a relatively low cost, suggesting the potential to improve in-person NDPP delivery. OBJECTIVE: In this study, we aim to compare the effectiveness of in-person NDPP classes with and without supplementary SMS4PreDM on attendance and weight loss outcomes to determine whether text messaging can enhance in-person NDPP delivery for a safety net patient population. METHODS: From 2015 to 2017, patients with diabetes risks were identified primarily from provider referrals and enrolled in NDPP classes, SMS4PreDM, or both per their preference and availability. Participants naturally formed three groups: in-person NDPP with SMS4PreDM (n=236), in-person NDPP alone (n=252), and SMS4PreDM alone (n=285). This analysis compares the first two groups to evaluate whether supplemental text messaging may improve in-person NDPP outcomes. Outcomes for SMS4PreDM-only participants were previously reported. NDPP classes followed standard delivery guidelines, including weekly-to-monthly classes over a year. SMS4PreDM delivery included messages promoting lifestyle change and modest weight loss, sent 6 days per week for 12 months. Differences in characteristics between intervention groups were assessed using chi-square and t tests. Differences in NDPP attendance and weight loss outcomes were analyzed with multivariable linear and logistic regressions. RESULTS: The mean age was 50.4 years (SD 13.9). Out of a total of 488 participants, 76.2% (n=372) were female and 59.0% (n=288) were Hispanic. An additional 17.2% (n=84) were non-Hispanic white and 12.9% (n=63) were non-Hispanic black. A total of 48.4% (n=236) of participants elected to receive supplemental text message support in addition to NDPP classes. Participants who chose su…","author":[{"dropping-particle":"","family":"Ritchie","given":"Natalie D.","non-dropping-particle":"","parse-names":false,"suffix":""},{"dropping-particle":"","family":"Gutiérrez-Raghunath","given":"Silvia","non-dropping-particle":"","parse-names":false,"suffix":""},{"dropping-particle":"","family":"Durfee","given":"Michael Josh","non-dropping-particle":"","parse-names":false,"suffix":""},{"dropping-particle":"","family":"Fischer","given":"Henry","non-dropping-particle":"","parse-names":false,"suffix":""}],"container-title":"JMIR mHealth and uHealth","id":"ITEM-7","issue":"6","issued":{"date-parts":[["2020"]]},"page":"e15478","title":"Supplemental text message support with the national diabetes prevention program: pragmatic comparative effectiveness trial","type":"article-journal","volume":"8"},"uris":["http://www.mendeley.com/documents/?uuid=528fa17b-49f1-4bdd-b808-c96a111c70d6"]},{"id":"ITEM-8","itemData":{"DOI":"10.2196/15499","ISSN":"19290748","abstract":"Background: Type 2 diabetes affects 9.4% of US adults with higher rates among racial and ethnic minorities and individuals of low socioeconomic status. The National Diabetes Prevention Program (NDPP) is an evidence-based and widely disseminated behavioral intervention to reduce diabetes incidence through modest weight loss. However, retention in the yearlong NDPP is problematic and leads to suboptimal weight loss, especially among diverse, underserved populations. Strategies to improve NDPP engagement and weight loss are needed urgently. Pilot results of the pre-NDPP, a novel enhancement to enrollment in the NDPP based on the Health Belief Model, were highly successful in a nonrandomized cohort study among 1140 racially diverse, predominately low-income participants. A total of 75 presession participants had doubled attendance and weight loss as compared with earlier participants who did not receive presessions. On the basis of these promising results, we are conducting a randomized controlled trial (RCT) to determine whether pre-NDPP reliably improves NDPP outcomes, as reported on ClinicalTrials.gov. Objective: This study aims to (1) conduct an RCT comparing NDPP attendance and weight loss outcomes between participants who receive pre-NDPP versus direct enrollment into the NDPP (usual care), (2) examine potential effect mediators (perceived risk for developing diabetes and self-efficacy and readiness for weight control) and moderators (race and ethnicity; income level), and (3) evaluate implementation factors, including cost and projected return on investment. Methods: This two-arm RCT will compare outcomes among diverse, predominately low-income participants who receive pre-NDPP versus direct enrollment into the NDPP (usual care). This is a type 1 hybrid effectiveness-implementation design to determine clinical effectiveness through an RCT, while assessing factors that may impact future pre-NDPP dissemination and implementation, including cost. Our primary research question is whether pre-NDPP improves NDPP attendance and weight loss compared with standard NDPP delivery. Results: This project was funded in April 2019. Recruitment is underway as of July 2019. Initial participants began the intervention in October 2019. Data analysis and results reporting are expected to be completed in 2024. Conclusions: This RCT of pre-NDPP may lead to future dissemination of a scalable, evidence-based strategy to improve success of the NDPP, reduce disparities in NDP…","author":[{"dropping-particle":"","family":"Ritchie","given":"Natalie D.","non-dropping-particle":"","parse-names":false,"suffix":""},{"dropping-particle":"","family":"Holtrop","given":"Jodi Summers","non-dropping-particle":"","parse-names":false,"suffix":""},{"dropping-particle":"","family":"Mark Gritz","given":"R.","non-dropping-particle":"","parse-names":false,"suffix":""},{"dropping-particle":"","family":"Sauder","given":"Katherine Ann","non-dropping-particle":"","parse-names":false,"suffix":""},{"dropping-particle":"","family":"Durfee","given":"Michael Josh","non-dropping-particle":"","parse-names":false,"suffix":""},{"dropping-particle":"","family":"Miriam Dickinson","given":"L.","non-dropping-particle":"","parse-names":false,"suffix":""},{"dropping-particle":"","family":"Kaufmann","given":"Peter G.","non-dropping-particle":"","parse-names":false,"suffix":""}],"container-title":"JMIR Research Protocols","id":"ITEM-8","issue":"6","issued":{"date-parts":[["2020"]]},"title":"Enhanced enrollment in the national diabetes prevention program to increase engagement and weight loss for the underserved: protocol for a randomized controlled trial","type":"article-journal","volume":"9"},"uris":["http://www.mendeley.com/documents/?uuid=726a4e00-8a17-4d6d-8d34-e26bd95ab57a"]},{"id":"ITEM-9","itemData":{"ISBN":"1549-1277","ISSN":"15491676","PMID":"27404094","abstract":"BACKGROUND: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Medicine","id":"ITEM-9","issue":"7","issued":{"date-parts":[["2016"]]},"page":"e1002078","title":"Engagement, retention, and progression to type 2 diabetes: a retrospective analysis of the cluster-randomised \"Let's Prevent Diabetes\" trial","type":"article-journal","volume":"13"},"uris":["http://www.mendeley.com/documents/?uuid=34e3af29-349e-4120-a3cb-a3a7408ba3b4"]},{"id":"ITEM-10","itemData":{"ISSN":"20524897","PMID":"33303493","abstract":"Introduction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Care","id":"ITEM-10","issued":{"date-parts":[["2020"]]},"page":"e001835","title":"'Going the distance': an independent cohort study of engagement and dropout among the first 100 000 referrals into a large-scale diabetes prevention program","type":"article-journal","volume":"8"},"uris":["http://www.mendeley.com/documents/?uuid=40d46080-9604-42ba-942c-0e13d9f1562f"]},{"id":"ITEM-11","itemData":{"DOI":"https://doi.org/10.1016/j.pmedr.2019.100961","author":[{"dropping-particle":"","family":"Jeffers","given":"K.S.","non-dropping-particle":"","parse-names":false,"suffix":""},{"dropping-particle":"","family":"Castellon-lopez","given":"Y.","non-dropping-particle":"","parse-names":false,"suffix":""},{"dropping-particle":"","family":"Grotts","given":"J.","non-dropping-particle":"","parse-names":false,"suffix":""},{"dropping-particle":"","family":"Mangione","given":"C.M.","non-dropping-particle":"","parse-names":false,"suffix":""},{"dropping-particle":"","family":"Moin","given":"T.","non-dropping-particle":"","parse-names":false,"suffix":""},{"dropping-particle":"","family":"Tseng","given":"C.","non-dropping-particle":"","parse-names":false,"suffix":""},{"dropping-particle":"","family":"Al.","given":"Et","non-dropping-particle":"","parse-names":false,"suffix":""}],"container-title":"Preventive Medicine Reports","id":"ITEM-11","issued":{"date-parts":[["2019"]]},"page":"1-7","title":"Diabetes prevention program attendance is associated with improved patient activation: results from the prediabetes informed decisions and education (PRIDE) study","type":"article-journal","volume":"16"},"uris":["http://www.mendeley.com/documents/?uuid=11512934-8964-4615-9b04-e45863353b74"]}],"mendeley":{"formattedCitation":"(Centers for Disease Control and Prevention, 2015; Conlon et al., 2015; Ely et al., 2017; Gray et al., 2016; Howarth et al., 2020; Jeffers et al., 2019; Laws et al., 2012; Ritchie, Holtrop, et al., 2020; Ritchie et al., 2017; Ritchie, Baucom, et al., 2020; Ritchie, Gutiérrez-Raghunath, et al., 2020)","plainTextFormattedCitation":"(Centers for Disease Control and Prevention, 2015; Conlon et al., 2015; Ely et al., 2017; Gray et al., 2016; Howarth et al., 2020; Jeffers et al., 2019; Laws et al., 2012; Ritchie, Holtrop, et al., 2020; Ritchie et al., 2017; Ritchie, Baucom, et al., 2020; Ritchie, Gutiérrez-Raghunath, et al., 2020)","previouslyFormattedCitation":"(Centers for Disease Control and Prevention, 2015; Conlon et al., 2015; Ely et al., 2017; Gray et al., 2016; Howarth et al., 2020; Jeffers et al., 2019; Laws et al., 2012; Ritchie, Holtrop, et al., 2020; Ritchie et al., 2017; Ritchie, Baucom, et al., 2020; Ritchie, Gutiérrez-Raghunath, et al., 2020)"},"properties":{"noteIndex":0},"schema":"https://github.com/citation-style-language/schema/raw/master/csl-citation.json"}</w:instrText>
      </w:r>
      <w:r w:rsidRPr="00103A0B">
        <w:rPr>
          <w:rFonts w:ascii="Arial" w:hAnsi="Arial" w:cs="Arial"/>
          <w:sz w:val="24"/>
          <w:szCs w:val="24"/>
        </w:rPr>
        <w:fldChar w:fldCharType="separate"/>
      </w:r>
      <w:r w:rsidR="00391499" w:rsidRPr="00103A0B">
        <w:rPr>
          <w:rFonts w:ascii="Arial" w:hAnsi="Arial" w:cs="Arial"/>
          <w:noProof/>
          <w:sz w:val="24"/>
          <w:szCs w:val="24"/>
        </w:rPr>
        <w:t>(Centers for Disease Control and Prevention, 2015; Conlon et al., 2015; Ely et al., 2017; Gray et al., 2016; Howarth et al., 2020; Jeffers et al., 2019; Laws et al., 2012; Ritchie, Holtrop, et al., 2020; Ritchie et al., 2017; Ritchie, Baucom, et al., 2020; Ritchie, Gutiérrez-Raghunath, et al., 2020)</w:t>
      </w:r>
      <w:r w:rsidRPr="00103A0B">
        <w:rPr>
          <w:rFonts w:ascii="Arial" w:hAnsi="Arial" w:cs="Arial"/>
          <w:sz w:val="24"/>
          <w:szCs w:val="24"/>
        </w:rPr>
        <w:fldChar w:fldCharType="end"/>
      </w:r>
      <w:r w:rsidRPr="00103A0B">
        <w:rPr>
          <w:rFonts w:ascii="Arial" w:hAnsi="Arial" w:cs="Arial"/>
          <w:sz w:val="24"/>
          <w:szCs w:val="24"/>
        </w:rPr>
        <w:t>.</w:t>
      </w:r>
      <w:r w:rsidRPr="00103A0B">
        <w:rPr>
          <w:rFonts w:ascii="Arial" w:eastAsia="Times New Roman" w:hAnsi="Arial" w:cs="Arial"/>
          <w:sz w:val="24"/>
          <w:szCs w:val="24"/>
          <w:lang w:eastAsia="en-GB"/>
        </w:rPr>
        <w:t xml:space="preserve"> </w:t>
      </w:r>
      <w:bookmarkStart w:id="57" w:name="_Hlk81758135"/>
      <w:proofErr w:type="gramStart"/>
      <w:r w:rsidRPr="00103A0B">
        <w:rPr>
          <w:rFonts w:ascii="Arial" w:eastAsia="Times New Roman" w:hAnsi="Arial" w:cs="Arial"/>
          <w:sz w:val="24"/>
          <w:szCs w:val="24"/>
          <w:lang w:eastAsia="en-GB"/>
        </w:rPr>
        <w:t>For the purpose of</w:t>
      </w:r>
      <w:proofErr w:type="gramEnd"/>
      <w:r w:rsidRPr="00103A0B">
        <w:rPr>
          <w:rFonts w:ascii="Arial" w:eastAsia="Times New Roman" w:hAnsi="Arial" w:cs="Arial"/>
          <w:sz w:val="24"/>
          <w:szCs w:val="24"/>
          <w:lang w:eastAsia="en-GB"/>
        </w:rPr>
        <w:t xml:space="preserve"> this thesis, </w:t>
      </w:r>
      <w:r w:rsidR="00344367" w:rsidRPr="00103A0B">
        <w:rPr>
          <w:rFonts w:ascii="Arial" w:eastAsia="Times New Roman" w:hAnsi="Arial" w:cs="Arial"/>
          <w:sz w:val="24"/>
          <w:szCs w:val="24"/>
          <w:lang w:eastAsia="en-GB"/>
        </w:rPr>
        <w:t>uptake</w:t>
      </w:r>
      <w:r w:rsidR="009D2985" w:rsidRPr="00103A0B">
        <w:rPr>
          <w:rFonts w:ascii="Arial" w:eastAsia="Times New Roman" w:hAnsi="Arial" w:cs="Arial"/>
          <w:sz w:val="24"/>
          <w:szCs w:val="24"/>
          <w:lang w:eastAsia="en-GB"/>
        </w:rPr>
        <w:t xml:space="preserve"> (also referred to as </w:t>
      </w:r>
      <w:r w:rsidR="00344367" w:rsidRPr="00103A0B">
        <w:rPr>
          <w:rFonts w:ascii="Arial" w:eastAsia="Times New Roman" w:hAnsi="Arial" w:cs="Arial"/>
          <w:sz w:val="24"/>
          <w:szCs w:val="24"/>
          <w:lang w:eastAsia="en-GB"/>
        </w:rPr>
        <w:t>attendance</w:t>
      </w:r>
      <w:r w:rsidR="009D2985" w:rsidRPr="00103A0B">
        <w:rPr>
          <w:rFonts w:ascii="Arial" w:eastAsia="Times New Roman" w:hAnsi="Arial" w:cs="Arial"/>
          <w:sz w:val="24"/>
          <w:szCs w:val="24"/>
          <w:lang w:eastAsia="en-GB"/>
        </w:rPr>
        <w:t>)</w:t>
      </w:r>
      <w:r w:rsidR="00344367" w:rsidRPr="00103A0B">
        <w:rPr>
          <w:rFonts w:ascii="Arial" w:eastAsia="Times New Roman" w:hAnsi="Arial" w:cs="Arial"/>
          <w:sz w:val="24"/>
          <w:szCs w:val="24"/>
          <w:lang w:eastAsia="en-GB"/>
        </w:rPr>
        <w:t xml:space="preserve"> to a specific DPP will</w:t>
      </w:r>
      <w:r w:rsidRPr="00103A0B">
        <w:rPr>
          <w:rFonts w:ascii="Arial" w:eastAsia="Times New Roman" w:hAnsi="Arial" w:cs="Arial"/>
          <w:sz w:val="24"/>
          <w:szCs w:val="24"/>
          <w:lang w:eastAsia="en-GB"/>
        </w:rPr>
        <w:t xml:space="preserve"> be defined as those who attended the first session (or at least one session) following the initial assessment (Chapters 5 and 7). </w:t>
      </w:r>
      <w:bookmarkEnd w:id="57"/>
    </w:p>
    <w:p w14:paraId="6C6B5EE8" w14:textId="77777777" w:rsidR="009651BC" w:rsidRPr="00103A0B" w:rsidRDefault="009651BC" w:rsidP="00CD5919">
      <w:pPr>
        <w:jc w:val="both"/>
        <w:rPr>
          <w:lang w:eastAsia="en-GB" w:bidi="en-US"/>
        </w:rPr>
      </w:pPr>
    </w:p>
    <w:p w14:paraId="683DAE2B" w14:textId="77777777" w:rsidR="00D96293" w:rsidRPr="00103A0B" w:rsidRDefault="002D3F5D" w:rsidP="00CD5919">
      <w:pPr>
        <w:pStyle w:val="Heading2"/>
        <w:jc w:val="both"/>
        <w:rPr>
          <w:rFonts w:ascii="Arial" w:eastAsia="Times New Roman" w:hAnsi="Arial" w:cs="Arial"/>
          <w:sz w:val="28"/>
        </w:rPr>
      </w:pPr>
      <w:bookmarkStart w:id="58" w:name="_Toc151548296"/>
      <w:r w:rsidRPr="00103A0B">
        <w:rPr>
          <w:rFonts w:ascii="Arial" w:eastAsia="Times New Roman" w:hAnsi="Arial" w:cs="Arial"/>
          <w:sz w:val="28"/>
        </w:rPr>
        <w:t>Defining Retention</w:t>
      </w:r>
      <w:bookmarkEnd w:id="58"/>
    </w:p>
    <w:p w14:paraId="214F9ACA" w14:textId="4DFD23D2" w:rsidR="00D96293" w:rsidRPr="00103A0B" w:rsidRDefault="00D96293" w:rsidP="00CD5919">
      <w:pPr>
        <w:spacing w:before="100"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There are many ways of defining retention and DPPs use various terms related to retention, such as adherence, </w:t>
      </w:r>
      <w:proofErr w:type="gramStart"/>
      <w:r w:rsidRPr="00103A0B">
        <w:rPr>
          <w:rFonts w:ascii="Arial" w:eastAsia="Times New Roman" w:hAnsi="Arial" w:cs="Arial"/>
          <w:sz w:val="24"/>
          <w:szCs w:val="24"/>
          <w:lang w:eastAsia="en-GB"/>
        </w:rPr>
        <w:t>engagement</w:t>
      </w:r>
      <w:proofErr w:type="gramEnd"/>
      <w:r w:rsidRPr="00103A0B">
        <w:rPr>
          <w:rFonts w:ascii="Arial" w:eastAsia="Times New Roman" w:hAnsi="Arial" w:cs="Arial"/>
          <w:sz w:val="24"/>
          <w:szCs w:val="24"/>
          <w:lang w:eastAsia="en-GB"/>
        </w:rPr>
        <w:t xml:space="preserve"> and completion. Many DPPs provide definitions of retention in terms of the proportion of sessions attended. This can be done specifically such as attending a specific minimum number of sessions (e.g., 9/16 sessions, or 12/24 sessions) as thresholds to represent an adequate exposure to elicit lifestyle changes to reduce T2DM risk </w:t>
      </w:r>
      <w:r w:rsidRPr="00103A0B">
        <w:rPr>
          <w:rFonts w:ascii="Arial" w:eastAsia="Times New Roman" w:hAnsi="Arial" w:cs="Arial"/>
          <w:sz w:val="24"/>
          <w:szCs w:val="24"/>
          <w:lang w:eastAsia="en-GB"/>
        </w:rPr>
        <w:fldChar w:fldCharType="begin" w:fldLock="1"/>
      </w:r>
      <w:r w:rsidR="007A139F" w:rsidRPr="00103A0B">
        <w:rPr>
          <w:rFonts w:ascii="Arial" w:eastAsia="Times New Roman" w:hAnsi="Arial" w:cs="Arial"/>
          <w:sz w:val="24"/>
          <w:szCs w:val="24"/>
          <w:lang w:eastAsia="en-GB"/>
        </w:rPr>
        <w:instrText>ADDIN CSL_CITATION {"citationItems":[{"id":"ITEM-1","itemData":{"DOI":"10.2337/dc16-2099","author":[{"dropping-particle":"","family":"Ely","given":"Elizabeth K","non-dropping-particle":"","parse-names":false,"suffix":""},{"dropping-particle":"","family":"Gruss","given":"Stephanie M","non-dropping-particle":"","parse-names":false,"suffix":""},{"dropping-particle":"","family":"Luman","given":"Elizabeth T","non-dropping-particle":"","parse-names":false,"suffix":""},{"dropping-particle":"","family":"Gregg","given":"Edward W","non-dropping-particle":"","parse-names":false,"suffix":""},{"dropping-particle":"","family":"Ali","given":"Mohammed K","non-dropping-particle":"","parse-names":false,"suffix":""},{"dropping-particle":"","family":"Nhim","given":"Kunthea","non-dropping-particle":"","parse-names":false,"suffix":""},{"dropping-particle":"","family":"Rolka","given":"Deborah B","non-dropping-particle":"","parse-names":false,"suffix":""},{"dropping-particle":"","family":"Albright","given":"Ann L","non-dropping-particle":"","parse-names":false,"suffix":""}],"container-title":"Diabetes Care","id":"ITEM-1","issued":{"date-parts":[["2017"]]},"page":"1331-1341","title":"A national effort to prevent type 2 diabetes: participant-level evaluation of CDC ’ s national diabetes prevention program","type":"article-journal","volume":"40"},"uris":["http://www.mendeley.com/documents/?uuid=03ec6206-c938-47f8-aec1-2cddac5d0dd3"]},{"id":"ITEM-2","itemData":{"ISSN":"0920-0909","abstract":"Public reporting burden of this collection of information is estimated to average one hour per responses for the Diabetes Prevention Recognition Program Application Form and one hour per response for the submission of Evaluation Data, including the time for reviewing instructions, searching existing data sources, gathering and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Reports Clearance Officer; 1600 Clifton Road NE, MS D-74, Atlanta, Georgia 30333; ATTN: PRA (0920-0909)","author":[{"dropping-particle":"","family":"Centers for Disease Control and Prevention","given":"","non-dropping-particle":"","parse-names":false,"suffix":""}],"id":"ITEM-2","issued":{"date-parts":[["2018"]]},"title":"Centers for Disease Control and Prevention Diabetes Prevention Recognition Program Standards and Operating Procedures","type":"report"},"uris":["http://www.mendeley.com/documents/?uuid=0f79e03a-b86d-4f28-b994-6777db8ad413"]},{"id":"ITEM-3","itemData":{"DOI":"https://doi.org/10.5888/ pcd16.190053.","author":[{"dropping-particle":"","family":"Chakkalakal","given":"Rosette J","non-dropping-particle":"","parse-names":false,"suffix":""},{"dropping-particle":"","family":"Connor","given":"Lisa R","non-dropping-particle":"","parse-names":false,"suffix":""},{"dropping-particle":"","family":"Rolando","given":"Lori A","non-dropping-particle":"","parse-names":false,"suffix":""},{"dropping-particle":"","family":"Huang","given":"Yi","non-dropping-particle":"","parse-names":false,"suffix":""},{"dropping-particle":"","family":"Byrne","given":"Daniel W","non-dropping-particle":"","parse-names":false,"suffix":""},{"dropping-particle":"","family":"Awalt","given":"Bradley M","non-dropping-particle":"","parse-names":false,"suffix":""}],"container-title":"Preventing Chronic Disease","id":"ITEM-3","issued":{"date-parts":[["2019"]]},"page":"190053","title":"Putting the national diabetes prevention program to work: predictors of achieving weight-loss goals in an employee population","type":"article-journal","volume":"16"},"uris":["http://www.mendeley.com/documents/?uuid=9925ed77-f7e8-4d18-96c1-ec1959aa92bf"]},{"id":"ITEM-4","itemData":{"ISSN":"0920-0909","abstract":"Public reporting burden of this collection of information is estimated to average one hour per responses for the Diabetes Prevention Recognition Program Application Form and one hour per response for the submission of Evaluation Data, including the time for reviewing instructions, searching existing data sources, gathering and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Reports Clearance Officer; 1600 Clifton Road NE, MS D-74, Atlanta, Georgia 30333; ATTN: PRA (0920-0909)","author":[{"dropping-particle":"","family":"Centers for Disease Control and Prevention","given":"","non-dropping-particle":"","parse-names":false,"suffix":""}],"id":"ITEM-4","issued":{"date-parts":[["2015"]]},"title":"Centers for Disease Control and Prevention Diabetes Prevention Recognition Program Standards and Operating Procedures","type":"report"},"uris":["http://www.mendeley.com/documents/?uuid=e9d70045-aeed-4c36-a18e-2bf6f45113c0"]},{"id":"ITEM-5","itemData":{"DOI":"https://doi.org/10.1016/j.pmedr.2019.100961","author":[{"dropping-particle":"","family":"Jeffers","given":"K.S.","non-dropping-particle":"","parse-names":false,"suffix":""},{"dropping-particle":"","family":"Castellon-lopez","given":"Y.","non-dropping-particle":"","parse-names":false,"suffix":""},{"dropping-particle":"","family":"Grotts","given":"J.","non-dropping-particle":"","parse-names":false,"suffix":""},{"dropping-particle":"","family":"Mangione","given":"C.M.","non-dropping-particle":"","parse-names":false,"suffix":""},{"dropping-particle":"","family":"Moin","given":"T.","non-dropping-particle":"","parse-names":false,"suffix":""},{"dropping-particle":"","family":"Tseng","given":"C.","non-dropping-particle":"","parse-names":false,"suffix":""},{"dropping-particle":"","family":"Al.","given":"Et","non-dropping-particle":"","parse-names":false,"suffix":""}],"container-title":"Preventive Medicine Reports","id":"ITEM-5","issued":{"date-parts":[["2019"]]},"page":"1-7","title":"Diabetes prevention program attendance is associated with improved patient activation: results from the prediabetes informed decisions and education (PRIDE) study","type":"article-journal","volume":"16"},"uris":["http://www.mendeley.com/documents/?uuid=11512934-8964-4615-9b04-e45863353b74"]},{"id":"ITEM-6","itemData":{"DOI":"10.1016/j.physbeh.2017.03.040","abstract":"Purpose—The purpose of this pilot study is to test the feasibility, acceptability, and preliminary effectiveness of a Promotora-Led Diabetes Prevention Program (PL-DPP) in Hispanic women (Latinas). Methods—Twenty Latina adults with prediabetes were enrolled in this single-arm pilot trial of PL-DPP. Participants underwent a year-long lifestyle intervention consisting of 24 sessions divided into 14 weekly core sessions and 10 post-core sessions offered either biweekly or monthly. Each session was led by a promotora in Spanish. The primary outcome was weight change over the 12-month study period. Results—The study participants were socioeconomically challenged, middle-aged Latinas with limited access to health care. Eighteen participants (90%) completed at least 12 sessions, and 1 was lost to follow-up. Overall, participants reported high levels of satisfaction with PL-DPP. At 12 months, the participants achieved a mean weight loss of 10.8 pounds, which corresponded to 5.6% of initial body weight. Significant pre-post reductions in waist circumference, diastolic blood pressure, LDL cholesterol, and insulin levels were also observed. Modest reductions in A1C and fasting plasma glucose were not significant. Conclusions—The PL-DPP demonstrated feasibility, acceptability, and preliminary effectiveness in a high-risk population of Latinas. Future research examining this randomized clinical trial should explore factors impacting its effects using both qualitative and quantitative methods.intervention in a","author":[{"dropping-particle":"","family":"O'Brien","given":"M. J","non-dropping-particle":"","parse-names":false,"suffix":""},{"dropping-particle":"","family":"Perez","given":"A","non-dropping-particle":"","parse-names":false,"suffix":""},{"dropping-particle":"","family":"Alos","given":"V.A","non-dropping-particle":"","parse-names":false,"suffix":""},{"dropping-particle":"","family":"Whitaker","given":"R.C","non-dropping-particle":"","parse-names":false,"suffix":""},{"dropping-particle":"","family":"Ciolino","given":"J.D","non-dropping-particle":"","parse-names":false,"suffix":""},{"dropping-particle":"","family":"Mohr","given":"D.C","non-dropping-particle":"","parse-names":false,"suffix":""},{"dropping-particle":"","family":"Ackermann","given":"R.T","non-dropping-particle":"","parse-names":false,"suffix":""}],"container-title":"Diabetes Educator","id":"ITEM-6","issue":"4","issued":{"date-parts":[["2015"]]},"page":"485-494","title":"The feasibility, acceptability, and preliminary effectiveness of a promotora-led diabetes prevention program (PL-DPP) in Latinas: a pilot study","type":"article-journal","volume":"41"},"uris":["http://www.mendeley.com/documents/?uuid=7e904911-e71d-4302-97a5-f298940dd343"]},{"id":"ITEM-7","itemData":{"DOI":"10.4278/0890-1171-21.6.517","ISSN":"08901171","abstract":"Purpose. To determine whether preintervention stage-of-change measures are indicative of subsequent attendance at diabetes prevention intervention sessions. Design. Cross-sectional. Setting. Local community. Subjects. Seventy-five adult American Indian women participated. Measures. Attendance, stage-of-change questions for seven diabetes prevention behaviors, and mean stage-of-change score to reflect the combined stages of change for all behaviors. Analysis. Univariate analyses for stage-of-change distribution and Fisher's exact test and prevalence ratios for the association between attendance and stage of change. Results. Participants' readiness for change at baseline was distributed across all stages of change. The most common stage was preparation. There was a significant relationship between the mean stage-of-change scores and attendance. Participants with lower mean stage-of-change scores (mean ± SE, 3.03 ± 0.13) were less likely to attend all 5 sessions than those with higher mean stage-of-change scores (mean ± SE, 3.38 ± 0.10) (p = .04). Participants in the action category (preparation, action, and maintenance stages) before the intervention were 6.7 (95% confidence interval, 1.0-44.1; p &lt; .01) times more likely to be high attenders than those in the preaction category (precontemplation and contemplation stages) before the intervention. Conclusions. Findings from this study suggest that stage of change may be a good predictor of attendance at diabetes prevention intervention sessions and have implications for intervention design and assessment. The mean stage-of-change score may be a more stable estimate of stage of change. Copyright © 2007 by American Journal of Health Promotion, Inc.","author":[{"dropping-particle":"","family":"Helitzer","given":"Deborah L.","non-dropping-particle":"","parse-names":false,"suffix":""},{"dropping-particle":"","family":"Peterson","given":"Arlana Bobo","non-dropping-particle":"","parse-names":false,"suffix":""},{"dropping-particle":"","family":"Sanders","given":"Margaret","non-dropping-particle":"","parse-names":false,"suffix":""},{"dropping-particle":"","family":"Thompson","given":"Janice","non-dropping-particle":"","parse-names":false,"suffix":""}],"container-title":"American Journal of Health Promotion","id":"ITEM-7","issue":"6","issued":{"date-parts":[["2007"]]},"page":"517-520","title":"Relationship of stages of change to attendance in a diabetes prevention program","type":"article-journal","volume":"21"},"uris":["http://www.mendeley.com/documents/?uuid=95fafbc5-2a42-4c96-acbd-8918c9120aba"]},{"id":"ITEM-8","itemData":{"ISSN":"17414288","abstract":"African Americans have disproportionately high rates of stress-related conditions, including diabetes and diabetes-related morbidity. Psychological stress may negatively influence engagement in risk-reducing lifestyle changes (physical activity and healthy eating) and stress-related physiology that increase diabetes risk. This study examined the feasibility of conducting a randomized trial comparing a novel mindfulness-based stress management program combined with diabetes risk-reduction education versus a conventional diabetes risk-reduction education program among African American adults with prediabetes and self-reported life stress. Participants were recruited in collaboration with community partners and randomized to the mindfulness-based diabetes risk-reduction education program for prediabetes (MPD; n = 38) or the conventional diabetes risk-reduction education program for prediabetes (CPD; n = 30). The mindfulness components were adapted from the Mindfulness-based Stress Reduction Program. The diabetes risk-reduction components were adapted from the Power to Prevent Program and the Diabetes Prevention Program. Groups met for eight weeks for 2.5 hours, with a half-day retreat and six-monthly boosters. Mixed-methods strategies were used to assess feasibility. Psychological, behavioral, and metabolic data were collected before the intervention and at three and six months postintervention to examine within-group change and feasibility of collecting such data in future clinical efficacy research. Participants reported acceptability, credibility, and cultural relevance of the intervention components. Enrollment of eligible participants (79%), intervention session attendance (76.5%), retention (90%), and postintervention data collection attendance (83%, 82%, and 78%, respectively) demonstrated feasibility, and qualitative data provided information to further enhance feasibility in future studies. Both groups exhibited an A1C reduction. MPD participants had reductions in perceived stress, BMI, calorie, carbohydrate and fat intake, and increases in spiritual well-being. Considering the high prevalence of diabetes and diabetes-related complications in African Americans, these novel findings provide promising guidance to develop a larger trial powered to examine efficacy of a mindfulness-based stress management and diabetes risk-reduction education program for African Americans with prediabetes.","author":[{"dropping-particle":"","family":"Woods-Giscombe","given":"Cheryl L.","non-dropping-particle":"","parse-names":false,"suffix":""},{"dropping-particle":"","family":"Gaylord","given":"Susan A.","non-dropping-particle":"","parse-names":false,"suffix":""},{"dropping-particle":"","family":"Li","given":"Yin","non-dropping-particle":"","parse-names":false,"suffix":""},{"dropping-particle":"","family":"Brintz","given":"Carrie E.","non-dropping-particle":"","parse-names":false,"suffix":""},{"dropping-particle":"","family":"Bangdiwala","given":"Shrikant I.","non-dropping-particle":"","parse-names":false,"suffix":""},{"dropping-particle":"","family":"Buse","given":"John B.","non-dropping-particle":"","parse-names":false,"suffix":""},{"dropping-particle":"","family":"Mann","given":"John D.","non-dropping-particle":"","parse-names":false,"suffix":""},{"dropping-particle":"","family":"Lynch","given":"Chanee","non-dropping-particle":"","parse-names":false,"suffix":""},{"dropping-particle":"","family":"Phillips","given":"Pamela","non-dropping-particle":"","parse-names":false,"suffix":""},{"dropping-particle":"","family":"Smith","given":"Sunyata","non-dropping-particle":"","parse-names":false,"suffix":""},{"dropping-particle":"","family":"Leniek","given":"Karyn","non-dropping-particle":"","parse-names":false,"suffix":""},{"dropping-particle":"","family":"Young","given":"Laura","non-dropping-particle":"","parse-names":false,"suffix":""},{"dropping-particle":"","family":"Al-Barwani","given":"Saada","non-dropping-particle":"","parse-names":false,"suffix":""},{"dropping-particle":"","family":"Yoo","given":"Jeena","non-dropping-particle":"","parse-names":false,"suffix":""},{"dropping-particle":"","family":"Faurot","given":"Keturah","non-dropping-particle":"","parse-names":false,"suffix":""}],"container-title":"Evidence-based Complementary and Alternative Medicine","id":"ITEM-8","issued":{"date-parts":[["2019"]]},"page":"1-16","title":"A mixed-methods, randomized clinical trial to examine feasibility of a mindfulness-based stress management and diabetes risk reduction intervention for African Americans with prediabetes","type":"article-journal"},"uris":["http://www.mendeley.com/documents/?uuid=846a1f44-f1fc-4a89-b373-6cf2645f3149"]},{"id":"ITEM-9","itemData":{"DOI":"10.1111/phn.12093","author":[{"dropping-particle":"","family":"Whittemore","given":"R","non-dropping-particle":"","parse-names":false,"suffix":""},{"dropping-particle":"","family":"Rosenberg","given":"A","non-dropping-particle":"","parse-names":false,"suffix":""},{"dropping-particle":"","family":"Gilmore","given":"L","non-dropping-particle":"","parse-names":false,"suffix":""},{"dropping-particle":"","family":"Withey","given":"Mary","non-dropping-particle":"","parse-names":false,"suffix":""},{"dropping-particle":"","family":"Breault","given":"Allison","non-dropping-particle":"","parse-names":false,"suffix":""}],"container-title":"Public Health Nursing","id":"ITEM-9","issue":"4","issued":{"date-parts":[["2014"]]},"page":"317-326","title":"Implementation of a diabetes prevention program in public housing communities","type":"article-journal","volume":"31"},"uris":["http://www.mendeley.com/documents/?uuid=df520635-dde4-4267-afd4-849f5c5c578e"]}],"mendeley":{"formattedCitation":"(Centers for Disease Control and Prevention, 2015, 2018; Chakkalakal et al., 2019; Ely et al., 2017; Helitzer et al., 2007; Jeffers et al., 2019; O’Brien et al., 2015; Whittemore et al., 2014; Woods-Giscombe et al., 2019)","plainTextFormattedCitation":"(Centers for Disease Control and Prevention, 2015, 2018; Chakkalakal et al., 2019; Ely et al., 2017; Helitzer et al., 2007; Jeffers et al., 2019; O’Brien et al., 2015; Whittemore et al., 2014; Woods-Giscombe et al., 2019)","previouslyFormattedCitation":"(Centers for Disease Control and Prevention, 2015, 2018; Chakkalakal et al., 2019; Ely et al., 2017; Helitzer et al., 2007; Jeffers et al., 2019; O’Brien et al., 2015; Whittemore et al., 2014; Woods-Giscombe et al., 2019)"},"properties":{"noteIndex":0},"schema":"https://github.com/citation-style-language/schema/raw/master/csl-citation.json"}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50ED6" w:rsidRPr="00103A0B">
        <w:rPr>
          <w:rFonts w:ascii="Arial" w:eastAsia="Times New Roman" w:hAnsi="Arial" w:cs="Arial"/>
          <w:noProof/>
          <w:sz w:val="24"/>
          <w:szCs w:val="24"/>
          <w:lang w:eastAsia="en-GB"/>
        </w:rPr>
        <w:t>(Centers for Disease Control and Prevention, 2015, 2018; Chakkalakal et al., 2019; Ely et al., 2017; Helitzer et al., 2007; Jeffers et al., 2019; O’Brien et al., 2015; Whittemore et al., 2014; Woods-Giscombe et al., 2019)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or </w:t>
      </w:r>
      <w:r w:rsidR="00344367" w:rsidRPr="00103A0B">
        <w:rPr>
          <w:rFonts w:ascii="Arial" w:eastAsia="Times New Roman" w:hAnsi="Arial" w:cs="Arial"/>
          <w:sz w:val="24"/>
          <w:szCs w:val="24"/>
          <w:lang w:eastAsia="en-GB"/>
        </w:rPr>
        <w:t xml:space="preserve">more </w:t>
      </w:r>
      <w:r w:rsidRPr="00103A0B">
        <w:rPr>
          <w:rFonts w:ascii="Arial" w:eastAsia="Times New Roman" w:hAnsi="Arial" w:cs="Arial"/>
          <w:sz w:val="24"/>
          <w:szCs w:val="24"/>
          <w:lang w:eastAsia="en-GB"/>
        </w:rPr>
        <w:t xml:space="preserve">generally (i.e., authors detail what proportion of sessions attended are </w:t>
      </w:r>
      <w:r w:rsidRPr="00103A0B">
        <w:rPr>
          <w:rFonts w:ascii="Arial" w:eastAsia="Times New Roman" w:hAnsi="Arial" w:cs="Arial"/>
          <w:sz w:val="24"/>
          <w:szCs w:val="24"/>
          <w:lang w:eastAsia="en-GB"/>
        </w:rPr>
        <w:lastRenderedPageBreak/>
        <w:t xml:space="preserve">calculated without specifying these thresholds in detail) </w:t>
      </w:r>
      <w:r w:rsidRPr="00103A0B">
        <w:rPr>
          <w:rFonts w:ascii="Arial" w:eastAsia="Times New Roman" w:hAnsi="Arial" w:cs="Arial"/>
          <w:sz w:val="24"/>
          <w:szCs w:val="24"/>
          <w:lang w:eastAsia="en-GB"/>
        </w:rPr>
        <w:fldChar w:fldCharType="begin" w:fldLock="1"/>
      </w:r>
      <w:r w:rsidR="00833C44" w:rsidRPr="00103A0B">
        <w:rPr>
          <w:rFonts w:ascii="Arial" w:eastAsia="Times New Roman" w:hAnsi="Arial" w:cs="Arial"/>
          <w:sz w:val="24"/>
          <w:szCs w:val="24"/>
          <w:lang w:eastAsia="en-GB"/>
        </w:rPr>
        <w:instrText>ADDIN CSL_CITATION {"citationItems":[{"id":"ITEM-1","itemData":{"DOI":"10.1016/j.diabres.2017.05.002","ISSN":"18728227","abstract":"Aim To explore the role of socioeconomic status (SES) in participation, programme attendance, programme acceptability, adherence to lifestyle guidelines, drop-out, and effectiveness in the SLIMMER diabetes prevention intervention. Methods SLIMMER was a randomised controlled intervention, carried out in a real-world setting, targeting 40- to 70-year-old adults at increased risk of developing type 2 diabetes (n = 316). The intervention group participated in a 10-month combined dietary and physical activity programme. Measurements were carried out at baseline, 12 months, and 18 months. Effectiveness was determined for fasting insulin, HbA1c, weight, BMI, waist circumference, and waist-to-height-ratio. Differences between the low SES (no, primary, or lower secondary school) and higher SES group were tested using logistic regression and ANCOVA. Results Fifty-two percent of the SLIMMER participants had a low SES. No differences in participation were observed between the low and higher SES group. The most important reason for non-participation in the low SES group was ‘lack of interest’ (32%), whereas in the higher SES group this was ‘I already exercise enough’ (31%). Attendance, acceptability, adherence, drop-out, and effectiveness after 12 months were similar in the low and higher SES group. After 18 months, the low SES group seemed to maintain slightly better effects for fasting insulin, HbA1c, and waist circumference. Conclusions The current study showed that participation, attendance, acceptability, adherence, drop-out, and effectiveness of the SLIMMER intervention were in general not modified by socioeconomic status. The SLIMMER intervention can contribute to health promotion for individuals in both low and higher socioeconomic groups.","author":[{"dropping-particle":"","family":"Bukman","given":"Andrea J.","non-dropping-particle":"","parse-names":false,"suffix":""},{"dropping-particle":"","family":"Duijzer","given":"Geerke","non-dropping-particle":"","parse-names":false,"suffix":""},{"dropping-particle":"","family":"Haveman-Nies","given":"Annemien","non-dropping-particle":"","parse-names":false,"suffix":""},{"dropping-particle":"","family":"Jansen","given":"Sophia C.","non-dropping-particle":"","parse-names":false,"suffix":""},{"dropping-particle":"","family":"Beek","given":"Josien","non-dropping-particle":"ter","parse-names":false,"suffix":""},{"dropping-particle":"","family":"Hiddink","given":"Gerrit J.","non-dropping-particle":"","parse-names":false,"suffix":""},{"dropping-particle":"","family":"Feskens","given":"Edith J.M.","non-dropping-particle":"","parse-names":false,"suffix":""}],"container-title":"Diabetes Research and Clinical Practice","id":"ITEM-1","issued":{"date-parts":[["2017"]]},"page":"160-168","publisher":"Elsevier B.V.","title":"Is the success of the SLIMMER diabetes prevention intervention modified by socioeconomic status? a randomised controlled trial","type":"article-journal","volume":"129"},"uris":["http://www.mendeley.com/documents/?uuid=e58394d2-5f5c-4e8d-b736-0dc4a1f7bb30"]},{"id":"ITEM-2","itemData":{"DOI":"10.1007/s13142-017-0494-0","ISBN":"1314201704940","author":[{"dropping-particle":"","family":"Eaglehouse","given":"Yvonne L","non-dropping-particle":"","parse-names":false,"suffix":""},{"dropping-particle":"","family":"Venditti","given":"Elizabeth M","non-dropping-particle":"","parse-names":false,"suffix":""},{"dropping-particle":"","family":"Kramer","given":"M Kaye","non-dropping-particle":"","parse-names":false,"suffix":""},{"dropping-particle":"","family":"Arena","given":"Vincent C","non-dropping-particle":"","parse-names":false,"suffix":""},{"dropping-particle":"","family":"Vanderwood","given":"Karl K","non-dropping-particle":"","parse-names":false,"suffix":""},{"dropping-particle":"","family":"Rockette-wagner","given":"Bonny","non-dropping-particle":"","parse-names":false,"suffix":""},{"dropping-particle":"","family":"Kriska","given":"Andrea M","non-dropping-particle":"","parse-names":false,"suffix":""}],"container-title":"TBM","id":"ITEM-2","issued":{"date-parts":[["2017"]]},"page":"873-880","publisher":"Translational Behavioral Medicine","title":"Factors related to lifestyle goal achievement in a diabetes prevention program dissemination study","type":"article-journal","volume":"7"},"uris":["http://www.mendeley.com/documents/?uuid=86ef78ac-c4e3-42df-adba-38723ba385d4"]},{"id":"ITEM-3","itemData":{"ISSN":"14752727","abstract":"Objective To investigate (i) how the SLIMMER intervention was delivered and received in Dutch primary health care and (ii) how this could explain intervention effectiveness. Design A randomised controlled trial was conducted and subjects were randomly allocated to the intervention (10-month combined dietary and physical activity intervention) or the control group. A process evaluation including quantitative and qualitative methods was conducted. Data on process indicators (recruitment, reach, dose received, acceptability, implementation integrity and applicability) were collected via semi-structured interviews with health-care professionals (n 45) and intervention participant questionnaires (n 155). Setting SLIMMER was implemented in Dutch primary health care in twenty-five general practices, eleven dietitians, nine physiotherapist practices and fifteen sports clubs. Subjects Subjects at increased risk of developing type 2 diabetes were included. Results It was possible to recruit the intended high-risk population (response rate 54 %) and the SLIMMER intervention was very well received by both participants and health-care professionals (mean acceptability rating of 82 and 80, respectively). The intervention programme was to a large extent implemented as planned and was applicable in Dutch primary health care. Higher dose received and participant acceptability were related to improved health outcomes and dietary behaviour, but not to physical activity behaviour. Conclusions The present study showed that it is feasible to implement a diabetes prevention intervention in Dutch primary health care. Higher dose received and participant acceptability were associated with improved health outcomes and dietary behaviour. Using an extensive process evaluation plan to gain insight into how an intervention is delivered and received is a valuable way of identifying intervention components that contribute to implementation integrity and effective prevention of type 2 diabetes in primary health care.","author":[{"dropping-particle":"","family":"Dongen","given":"Ellen J.I.","non-dropping-particle":"Van","parse-names":false,"suffix":""},{"dropping-particle":"","family":"Duijzer","given":"Geerke","non-dropping-particle":"","parse-names":false,"suffix":""},{"dropping-particle":"","family":"Jansen","given":"Sophia C.","non-dropping-particle":"","parse-names":false,"suffix":""},{"dropping-particle":"","family":"Beek","given":"Josien","non-dropping-particle":"Ter","parse-names":false,"suffix":""},{"dropping-particle":"","family":"Huijg","given":"Johanna M.","non-dropping-particle":"","parse-names":false,"suffix":""},{"dropping-particle":"","family":"Leerlooijer","given":"Joanne N.","non-dropping-particle":"","parse-names":false,"suffix":""},{"dropping-particle":"","family":"Hiddink","given":"Gerrit J.","non-dropping-particle":"","parse-names":false,"suffix":""},{"dropping-particle":"","family":"Feskens","given":"Edith J.M.","non-dropping-particle":"","parse-names":false,"suffix":""},{"dropping-particle":"","family":"Haveman-Nies","given":"Annemien","non-dropping-particle":"","parse-names":false,"suffix":""}],"container-title":"Public Health Nutrition","id":"ITEM-3","issue":"16","issued":{"date-parts":[["2016"]]},"page":"3027-3038","title":"Process evaluation of a randomised controlled trial of a diabetes prevention intervention in Dutch primary health care: the SLIMMER study","type":"article-journal","volume":"19"},"uris":["http://www.mendeley.com/documents/?uuid=cbc5cf3c-96b3-4339-a885-dd9d9728cafa"]},{"id":"ITEM-4","itemData":{"DOI":"10.2337/dc19-1489","ISSN":"19355548","PMID":"31744813","author":[{"dropping-particle":"","family":"Ritchie","given":"Natalie D.","non-dropping-particle":"","parse-names":false,"suffix":""},{"dropping-particle":"","family":"Baucom","given":"Katherine J.W.","non-dropping-particle":"","parse-names":false,"suffix":""},{"dropping-particle":"","family":"Sauder","given":"Katherine A.","non-dropping-particle":"","parse-names":false,"suffix":""}],"container-title":"Diabetes Care","id":"ITEM-4","issue":"2","issued":{"date-parts":[["2020"]]},"page":"E20-E21","title":"Benefits of participating with a partner in the national diabetes prevention program","type":"article-journal","volume":"43"},"uris":["http://www.mendeley.com/documents/?uuid=af577f7f-1d2e-45be-bece-0a6ceda36198"]},{"id":"ITEM-5","itemData":{"DOI":"10.2196/15499","ISSN":"19290748","abstract":"Background: Type 2 diabetes affects 9.4% of US adults with higher rates among racial and ethnic minorities and individuals of low socioeconomic status. The National Diabetes Prevention Program (NDPP) is an evidence-based and widely disseminated behavioral intervention to reduce diabetes incidence through modest weight loss. However, retention in the yearlong NDPP is problematic and leads to suboptimal weight loss, especially among diverse, underserved populations. Strategies to improve NDPP engagement and weight loss are needed urgently. Pilot results of the pre-NDPP, a novel enhancement to enrollment in the NDPP based on the Health Belief Model, were highly successful in a nonrandomized cohort study among 1140 racially diverse, predominately low-income participants. A total of 75 presession participants had doubled attendance and weight loss as compared with earlier participants who did not receive presessions. On the basis of these promising results, we are conducting a randomized controlled trial (RCT) to determine whether pre-NDPP reliably improves NDPP outcomes, as reported on ClinicalTrials.gov. Objective: This study aims to (1) conduct an RCT comparing NDPP attendance and weight loss outcomes between participants who receive pre-NDPP versus direct enrollment into the NDPP (usual care), (2) examine potential effect mediators (perceived risk for developing diabetes and self-efficacy and readiness for weight control) and moderators (race and ethnicity; income level), and (3) evaluate implementation factors, including cost and projected return on investment. Methods: This two-arm RCT will compare outcomes among diverse, predominately low-income participants who receive pre-NDPP versus direct enrollment into the NDPP (usual care). This is a type 1 hybrid effectiveness-implementation design to determine clinical effectiveness through an RCT, while assessing factors that may impact future pre-NDPP dissemination and implementation, including cost. Our primary research question is whether pre-NDPP improves NDPP attendance and weight loss compared with standard NDPP delivery. Results: This project was funded in April 2019. Recruitment is underway as of July 2019. Initial participants began the intervention in October 2019. Data analysis and results reporting are expected to be completed in 2024. Conclusions: This RCT of pre-NDPP may lead to future dissemination of a scalable, evidence-based strategy to improve success of the NDPP, reduce disparities in NDP…","author":[{"dropping-particle":"","family":"Ritchie","given":"Natalie D.","non-dropping-particle":"","parse-names":false,"suffix":""},{"dropping-particle":"","family":"Holtrop","given":"Jodi Summers","non-dropping-particle":"","parse-names":false,"suffix":""},{"dropping-particle":"","family":"Mark Gritz","given":"R.","non-dropping-particle":"","parse-names":false,"suffix":""},{"dropping-particle":"","family":"Sauder","given":"Katherine Ann","non-dropping-particle":"","parse-names":false,"suffix":""},{"dropping-particle":"","family":"Durfee","given":"Michael Josh","non-dropping-particle":"","parse-names":false,"suffix":""},{"dropping-particle":"","family":"Miriam Dickinson","given":"L.","non-dropping-particle":"","parse-names":false,"suffix":""},{"dropping-particle":"","family":"Kaufmann","given":"Peter G.","non-dropping-particle":"","parse-names":false,"suffix":""}],"container-title":"JMIR Research Protocols","id":"ITEM-5","issue":"6","issued":{"date-parts":[["2020"]]},"title":"Enhanced enrollment in the national diabetes prevention program to increase engagement and weight loss for the underserved: protocol for a randomized controlled trial","type":"article-journal","volume":"9"},"uris":["http://www.mendeley.com/documents/?uuid=726a4e00-8a17-4d6d-8d34-e26bd95ab57a"]},{"id":"ITEM-6","itemData":{"DOI":"10.2196/15478","ISSN":"22915222","PMID":"32554385","abstract":"BACKGROUND: The evidence-based National Diabetes Prevention Program (NDPP) is now widely disseminated, yet strategies to increase its effectiveness are needed, especially for underserved populations. The yearlong program promotes lifestyle changes for weight loss and can be offered in-person, online, via distance learning, or a combination of modalities. Less is known about which delivery features are optimal and may help address disparities in outcomes for subgroups. We previously demonstrated the efficacy of a stand-alone text messaging intervention based on the NDPP (SMS4PreDM) in a randomized controlled trial in a safety net health care system. Upon broader dissemination, we then showed that SMS4PreDM demonstrated high retention and modest weight loss at a relatively low cost, suggesting the potential to improve in-person NDPP delivery. OBJECTIVE: In this study, we aim to compare the effectiveness of in-person NDPP classes with and without supplementary SMS4PreDM on attendance and weight loss outcomes to determine whether text messaging can enhance in-person NDPP delivery for a safety net patient population. METHODS: From 2015 to 2017, patients with diabetes risks were identified primarily from provider referrals and enrolled in NDPP classes, SMS4PreDM, or both per their preference and availability. Participants naturally formed three groups: in-person NDPP with SMS4PreDM (n=236), in-person NDPP alone (n=252), and SMS4PreDM alone (n=285). This analysis compares the first two groups to evaluate whether supplemental text messaging may improve in-person NDPP outcomes. Outcomes for SMS4PreDM-only participants were previously reported. NDPP classes followed standard delivery guidelines, including weekly-to-monthly classes over a year. SMS4PreDM delivery included messages promoting lifestyle change and modest weight loss, sent 6 days per week for 12 months. Differences in characteristics between intervention groups were assessed using chi-square and t tests. Differences in NDPP attendance and weight loss outcomes were analyzed with multivariable linear and logistic regressions. RESULTS: The mean age was 50.4 years (SD 13.9). Out of a total of 488 participants, 76.2% (n=372) were female and 59.0% (n=288) were Hispanic. An additional 17.2% (n=84) were non-Hispanic white and 12.9% (n=63) were non-Hispanic black. A total of 48.4% (n=236) of participants elected to receive supplemental text message support in addition to NDPP classes. Participants who chose su…","author":[{"dropping-particle":"","family":"Ritchie","given":"Natalie D.","non-dropping-particle":"","parse-names":false,"suffix":""},{"dropping-particle":"","family":"Gutiérrez-Raghunath","given":"Silvia","non-dropping-particle":"","parse-names":false,"suffix":""},{"dropping-particle":"","family":"Durfee","given":"Michael Josh","non-dropping-particle":"","parse-names":false,"suffix":""},{"dropping-particle":"","family":"Fischer","given":"Henry","non-dropping-particle":"","parse-names":false,"suffix":""}],"container-title":"JMIR mHealth and uHealth","id":"ITEM-6","issue":"6","issued":{"date-parts":[["2020"]]},"page":"e15478","title":"Supplemental text message support with the national diabetes prevention program: pragmatic comparative effectiveness trial","type":"article-journal","volume":"8"},"uris":["http://www.mendeley.com/documents/?uuid=528fa17b-49f1-4bdd-b808-c96a111c70d6"]},{"id":"ITEM-7","itemData":{"DOI":"10.1007/s13187-014-0750-7","ISSN":"15430154","PMID":"25394834","abstract":"Underserved minority communities have few resources for addressing comorbidity risk reduction among long-term cancer survivors. To address this community need, we developed and piloted the Bronx Oncology Living Daily (BOLD) Healthy Living program, the first known diabetes prevention and control program to target cancer survivors and co-survivors in Bronx County, NY. The program aimed to facilitate lifestyle change and improve health-related quality of life (HRQoL) through weekly group nutrition education (60–90 min) and exercise (60 min) classes. We examined baseline characteristics of participants using simple descriptive statistics and evaluated program implementation and impact using the Reach, Efficacy, Adoption, Implementation and Maintenance (RE-AIM) framework. The curriculum, which drew from the social-ecological framework and motivational and cognitive behavioral strategies, consisted of 12 culturally and medically tailored modules with options for implementation as a 12- or 4-week program. Seven programs (four 12 weeks and three 4 weeks in length, respectively) were implemented at five community site locations. Sixty-six cancer survivors and 17 cancer co-survivors (mean age 60.5 ± 10.2 years) enrolled in one of the programs. Most participants were female (95.2 %) minority (55.4 % black, 26.5 % Hispanic/Latino) breast cancer survivors (75.7 %). Median program attendance was 62.5 % and did not significantly differ by program length; however, 67.3 % of participants achieved ≥60 % attendance among the 12-week programs, compared to 41.9 % among the 4-week programs, and this difference was statistically significant (p = 0.02). Overall, participants reported significant pre/post improvements in perceived health as good/excellent (66.0 to 75.5 %; p = 0.001) and borderline significant decreases in perceived pain as moderate/severe (45.5 to 38.2 %; p = 0.05). More than 90 % of participants reported that the program helped them to achieve their short-term goals, motivated them to engage in healthier behaviors, and felt that the nutrition and exercise classes were relevant to their needs. These results indicate that a short-term lifestyle intervention program for adult cancer survivors was acceptable in our community and motivated cancer survivors to improve their HRQoL. The curriculum can be used as a tool to facilitate development of similar programs in the future.","author":[{"dropping-particle":"","family":"Conlon","given":"Beth A.","non-dropping-particle":"","parse-names":false,"suffix":""},{"dropping-particle":"","family":"Kahan","given":"Michelle","non-dropping-particle":"","parse-names":false,"suffix":""},{"dropping-particle":"","family":"Martinez","given":"Melissa","non-dropping-particle":"","parse-names":false,"suffix":""},{"dropping-particle":"","family":"Isaac","given":"Kathleen","non-dropping-particle":"","parse-names":false,"suffix":""},{"dropping-particle":"","family":"Rossi","given":"Amerigo","non-dropping-particle":"","parse-names":false,"suffix":""},{"dropping-particle":"","family":"Skyhart","given":"Rebecca","non-dropping-particle":"","parse-names":false,"suffix":""},{"dropping-particle":"","family":"Wylie-Rosett","given":"Judith","non-dropping-particle":"","parse-names":false,"suffix":""},{"dropping-particle":"","family":"Moadel-Robblee","given":"Alyson","non-dropping-particle":"","parse-names":false,"suffix":""}],"container-title":"Journal of Cancer Education","id":"ITEM-7","issue":"3","issued":{"date-parts":[["2015"]]},"page":"535-545","title":"Development and evaluation of the curriculum for BOLD (Bronx Oncology Living Daily) healthy living: a diabetes prevention and control program for underserved cancer survivors","type":"article-journal","volume":"30"},"uris":["http://www.mendeley.com/documents/?uuid=9f5a6f8a-648c-4d7f-9255-3dd27b19a65f"]}],"mendeley":{"formattedCitation":"(Bukman et al., 2017; Conlon et al., 2015; Eaglehouse et al., 2017; Ritchie, Baucom, et al., 2020; Ritchie, Gutiérrez-Raghunath, et al., 2020; Ritchie, Holtrop, et al., 2020; Van Dongen et al., 2016)","plainTextFormattedCitation":"(Bukman et al., 2017; Conlon et al., 2015; Eaglehouse et al., 2017; Ritchie, Baucom, et al., 2020; Ritchie, Gutiérrez-Raghunath, et al., 2020; Ritchie, Holtrop, et al., 2020; Van Dongen et al., 2016)","previouslyFormattedCitation":"(Bukman et al., 2017; Conlon et al., 2015; Eaglehouse et al., 2017; Ritchie, Baucom, et al., 2020; Ritchie, Gutiérrez-Raghunath, et al., 2020; Ritchie, Holtrop, et al., 2020; Van Dongen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(Bukman et al., 2017; Conlon et al., 2015; Eaglehouse et al., 2017; Ritchie, Baucom, et al., 2020; Ritchie, Gutiérrez-Raghunath, et al., 2020; Ritchie, Holtrop, et al., 2020; Van Dongen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05F1F1D5" w14:textId="4E31BC0E" w:rsidR="00D96293" w:rsidRPr="00103A0B" w:rsidRDefault="00B93938" w:rsidP="00182500">
      <w:pPr>
        <w:spacing w:after="0" w:line="360" w:lineRule="auto"/>
        <w:jc w:val="both"/>
        <w:rPr>
          <w:rFonts w:ascii="Arial" w:hAnsi="Arial" w:cs="Arial"/>
          <w:sz w:val="24"/>
          <w:szCs w:val="24"/>
          <w:lang w:eastAsia="en-GB"/>
        </w:rPr>
      </w:pPr>
      <w:r w:rsidRPr="00103A0B">
        <w:rPr>
          <w:rFonts w:ascii="Arial" w:eastAsia="Times New Roman" w:hAnsi="Arial" w:cs="Arial"/>
          <w:sz w:val="24"/>
          <w:szCs w:val="24"/>
          <w:lang w:eastAsia="en-GB"/>
        </w:rPr>
        <w:t>Retention</w:t>
      </w:r>
      <w:r w:rsidR="00182500" w:rsidRPr="00103A0B">
        <w:rPr>
          <w:rFonts w:ascii="Arial" w:eastAsia="Times New Roman" w:hAnsi="Arial" w:cs="Arial"/>
          <w:sz w:val="24"/>
          <w:szCs w:val="24"/>
          <w:lang w:eastAsia="en-GB"/>
        </w:rPr>
        <w:t xml:space="preserve"> </w:t>
      </w:r>
      <w:r w:rsidR="00D96293" w:rsidRPr="00103A0B">
        <w:rPr>
          <w:rFonts w:ascii="Arial" w:eastAsia="Times New Roman" w:hAnsi="Arial" w:cs="Arial"/>
          <w:sz w:val="24"/>
          <w:szCs w:val="24"/>
          <w:lang w:eastAsia="en-GB"/>
        </w:rPr>
        <w:t>is also defined as attending a certain number of sessions</w:t>
      </w:r>
      <w:r w:rsidR="00A170E0" w:rsidRPr="00103A0B">
        <w:rPr>
          <w:rFonts w:ascii="Arial" w:eastAsia="Times New Roman" w:hAnsi="Arial" w:cs="Arial"/>
          <w:sz w:val="24"/>
          <w:szCs w:val="24"/>
          <w:lang w:eastAsia="en-GB"/>
        </w:rPr>
        <w:t xml:space="preserve"> </w:t>
      </w:r>
      <w:r w:rsidR="00A170E0" w:rsidRPr="00103A0B">
        <w:rPr>
          <w:rFonts w:ascii="Arial" w:eastAsia="Times New Roman" w:hAnsi="Arial" w:cs="Arial"/>
          <w:sz w:val="24"/>
          <w:szCs w:val="24"/>
          <w:lang w:eastAsia="en-GB"/>
        </w:rPr>
        <w:fldChar w:fldCharType="begin" w:fldLock="1"/>
      </w:r>
      <w:r w:rsidR="007C3391" w:rsidRPr="00103A0B">
        <w:rPr>
          <w:rFonts w:ascii="Arial" w:eastAsia="Times New Roman" w:hAnsi="Arial" w:cs="Arial"/>
          <w:sz w:val="24"/>
          <w:szCs w:val="24"/>
          <w:lang w:eastAsia="en-GB"/>
        </w:rPr>
        <w:instrText>ADDIN CSL_CITATION {"citationItems":[{"id":"ITEM-1","itemData":{"DOI":"10.7812/TPP/15-241","ISSN":"15525775","abstract":"CONTEXT: HealthSpan Physicians (HSP), an integrated medical system in Northeast Ohio, partnered with the Young Men's Christian Association (YMCA) of Greater Cleveland to implement a referral system for the evidence-based Diabetes Prevention Program (DPP) throughout HSP. The YMCA of USA employs a cost-effective, customized version of the original DPP in which coaches take the place of in-house clinical staff. Efficacy of the YMCA DPP was shown earlier in the DEPLOY Study. OBJECTIVE: To improve outcomes of metrics used in the DEPLOY Study. DESIGN: Observational study focusing on engagement, persistence, recruitment, and adherence to the DPP. In August 2014, HSP mailed an invitation to 2200 patients identified as both Medicare eligible and at risk of prediabetes to attend no-obligation information sessions about the DPP. After these sessions, YMCA staff called interested participants and asked them to enroll in and to commit to the program. Motivation and reinforcement were provided to patients through YMCA-provided signs, brochures, and posters; the HSP Web site; and in-person conversations with primary care physicians. MAIN OUTCOME MEASURES: Average weight loss at the end of 16 weeks in the program and average retention through Session 9. RESULTS: Of the 2200 patients contacted, 351 (16.0%) responded by attending the information session, and 228 enrolled in the YMCA DPP (11.3%) and persisted through at least Week 9. This result is an improvement over the 1.7% of eligible enrollees who responded to the DEPLOY Study's mailing. CONCLUSIONS: A marketing approach to implementing the YMCA DPP in an integrated medical system results in excellent outcomes.","author":[{"dropping-particle":"","family":"Adams","given":"Ron","non-dropping-particle":"","parse-names":false,"suffix":""},{"dropping-particle":"","family":"Hebert","given":"Christopher J.","non-dropping-particle":"","parse-names":false,"suffix":""},{"dropping-particle":"","family":"McVey","given":"Linda","non-dropping-particle":"","parse-names":false,"suffix":""},{"dropping-particle":"","family":"Williams","given":"Roger","non-dropping-particle":"","parse-names":false,"suffix":""}],"container-title":"The Permanente journal","id":"ITEM-1","issue":"4","issued":{"date-parts":[["2016"]]},"page":"82-86","title":"Implementation of the YMCA diabetes prevention program throughout an integrated health system: a translational study","type":"article-journal","volume":"20"},"uris":["http://www.mendeley.com/documents/?uuid=ea3d1c74-5675-42a8-a47c-133822d2b7b5"]},{"id":"ITEM-2","itemData":{"DOI":"https://doi.org/10.1177/0890117119848985","author":[{"dropping-particle":"","family":"Alva","given":"M.L.","non-dropping-particle":"","parse-names":false,"suffix":""}],"container-title":"American Journal of Health Promotion","id":"ITEM-2","issue":"7","issued":{"date-parts":[["2019"]]},"page":"1067-72","title":"How much does attendance impact weight loss and health care spending in a diabetes prevention program serving older adults?","type":"article-journal","volume":"33"},"uris":["http://www.mendeley.com/documents/?uuid=ab27f0b0-3076-419f-87af-9f779434d81e"]},{"id":"ITEM-3","itemData":{"DOI":"10.1177/0890117118794087","ISBN":"0890117118794","ISSN":"08901171","PMID":"30122055","abstract":"Purpose: To test the role of financial incentives to motivate engagement in diabetes prevention programs (DPPs). Design: Minnesota, Montana, and New York randomized 3 different approaches to providing incentives: incentivizing class attendance and weight loss (all states), class attendance only (NY), and weight loss only (NY). We used New York to test how different approaches to providing incentives influence DPP completion and attendance. Setting: Health-care facilities and local young men’s Christian association. Participants: Eight hundred thirty one Medicaid enrollees in Minnesota, 204 in Montana, and 560 in New York. Intervention Measure: Impact of the financial incentives on DPP program completion rates. We measured completion of DPP classes in 2 ways: completing 9 or more or 16 or more DPP classes. Analysis: Multivariate logistic model to compare completion of DPP classes between participants randomized into receiving financial incentives and controls. Results: Receipt of incentives was associated with higher odds at attending 9 or more classes (odds ratio [OR]: 2.2; P &lt;.01) in Minnesota, Montana (OR: 2.2; P &lt;.05), and New York (OR: 1.9; P &lt;.01) as well as attending 16 or more classes in Minnesota (OR: 3.1; P &lt;.01), Montana (OR: 2.1; P &lt;.01), and New York (OR: 2.9; P &lt;.01). In New York, individuals paid to attend classes attended more classes than individuals paid based on results only. Conclusion: Among Medicaid beneficiaries, financial incentives improve DPP class attendance.","author":[{"dropping-particle":"","family":"Alva","given":"M.L.","non-dropping-particle":"","parse-names":false,"suffix":""},{"dropping-particle":"","family":"Romaire","given":"Melissa","non-dropping-particle":"","parse-names":false,"suffix":""},{"dropping-particle":"","family":"Acquah","given":"Joseph","non-dropping-particle":"","parse-names":false,"suffix":""}],"container-title":"American Journal of Health Promotion","id":"ITEM-3","issue":"4","issued":{"date-parts":[["2019"]]},"page":"601-605","title":"Impact of financial incentives on diabetes prevention class attendance and program completion: evidence from Minnesota, Montana, and New York","type":"article-journal","volume":"33"},"uris":["http://www.mendeley.com/documents/?uuid=33160f77-8a56-4e5c-b43b-1725c73f44b1"]},{"id":"ITEM-4","itemData":{"DOI":"10.1177/0145721709333269","ISSN":"01457217","abstract":"Purpose The purpose of this study was to evaluate the feasibility of translating the Diabetes Prevention Program (DPP) lifestyle intervention into practice in the general community. Methods In 2008, the Montana Diabetes Control Program, working collaboratively with 4 health care facilities, implemented an adapted group-based DPP lifestyle intervention. Adults at high risk for diabetes and cardiovascular disease were recruited and enrolled (n = 355). Eighty-three percent (n = 295) of participants completed the 16-session program. Participants set targets to reduce fat intake and increase physical activity (ĝ‰¥150 minutes per week) to achieve a weight loss goal of 7%. Results Seventy percent of participants achieved the physical activity goal of ĝ‰¥150 minutes per week. There was a significant decrease among participants' weight from baseline (mean ± SD, 99.3 ± 19.7 kg) to week 16 (92.6 ± 18.8 kg; mean difference, 6.7 ± 4.0 kg, P &lt;.001). Forty-five percent of the participants achieved the 7% weight loss goal, and 67% achieved at least 5% weight loss. Participants who were 60 years of age and older, had a diagnosis of hypertension, met their physical activity goal of ĝ‰¥150 minutes per week, and those more frequently monitoring their fat intake were more likely to meet the 7% weight loss goal compared with participants without these characteristics. Conclusion The findings suggest that it is feasible to recruit and retain high-risk participants and achieve weight loss and physical goals in a group setting that are comparable with those achieved in the DPP.","author":[{"dropping-particle":"","family":"Amundson","given":"Helen A.","non-dropping-particle":"","parse-names":false,"suffix":""},{"dropping-particle":"","family":"Butcher","given":"Marcene K.","non-dropping-particle":"","parse-names":false,"suffix":""},{"dropping-particle":"","family":"Gohdes","given":"Dorothy","non-dropping-particle":"","parse-names":false,"suffix":""},{"dropping-particle":"","family":"Hall","given":"Taryn O.","non-dropping-particle":"","parse-names":false,"suffix":""},{"dropping-particle":"","family":"Harwell","given":"Todd S.","non-dropping-particle":"","parse-names":false,"suffix":""},{"dropping-particle":"","family":"Helgerson","given":"Steven D.","non-dropping-particle":"","parse-names":false,"suffix":""},{"dropping-particle":"","family":"Vanderwood","given":"Karl K.","non-dropping-particle":"","parse-names":false,"suffix":""}],"container-title":"Diabetes Educator","id":"ITEM-4","issue":"2","issued":{"date-parts":[["2009"]]},"page":"209-223","title":"Translating the diabetes prevention program into practice in the general community: findings from the Montana cardiovascular disease and diabetes prevention program","type":"article-journal","volume":"35"},"uris":["http://www.mendeley.com/documents/?uuid=c684678d-0475-4a86-baaf-4cb4589cb48d"]},{"id":"ITEM-5","itemData":{"DOI":"10.1186/s13012-015-0354-6","author":[{"dropping-particle":"","family":"Aziz","given":"Zahra","non-dropping-particle":"","parse-names":false,"suffix":""},{"dropping-particle":"","family":"Absetz","given":"Pilvikki","non-dropping-particle":"","parse-names":false,"suffix":""},{"dropping-particle":"","family":"Oldroyd","given":"John","non-dropping-particle":"","parse-names":false,"suffix":""},{"dropping-particle":"","family":"Pronk","given":"Nicolaas P","non-dropping-particle":"","parse-names":false,"suffix":""},{"dropping-particle":"","family":"Oldenburg","given":"Brian","non-dropping-particle":"","parse-names":false,"suffix":""}],"container-title":"Implementation Science","id":"ITEM-5","issue":"172","issued":{"date-parts":[["2015"]]},"page":"1-17","publisher":"Implementation Science","title":"A systematic review of real-world diabetes prevention programs : learnings from the last 15 years","type":"article-journal","volume":"10"},"uris":["http://www.mendeley.com/documents/?uuid=1cf51005-c143-49f1-97fc-6ad81fc1944a"]},{"id":"ITEM-6","itemData":{"ISSN":"21665435","abstract":"Introduction: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Disease","id":"ITEM-6","issued":{"date-parts":[["2014"]]},"page":"140006","title":"Implementation and outcomes of the New York state YMCA diabetes prevention program: A multisite community-based translation, 2010-2012","type":"article-journal","volume":"11"},"uris":["http://www.mendeley.com/documents/?uuid=d5f59245-ab59-4ba0-bd1c-beec143eb24b"]},{"id":"ITEM-7","itemData":{"DOI":"10.1111/jgs.13428","ISSN":"15325415","abstract":"Objectives To compare participation, self-monitoring behaviors, and weight loss outcomes in older and younger participants in an adapted Diabetes Prevention Program (DPP) lifestyle intervention. Design Pre- and postevaluation of outcomes in participants enrolled in the Montana Cardiovascular Disease (CVD) and DPP lifestyle intervention from 2008 through 2012. Setting Community. Participants Adults at high risk for CVD and type 2 diabetes mellitus (N = 3,804). Measurements Number of core (16 weekly sessions) and postcore (6 monthly sessions) intervention sessions attended, weekly self-monitoring of fat intake and minutes of physical activity, weight loss outcomes and achievement of the weight loss goal, and improvements in CVD-related risk factors. Results Participants aged 65 and older were significantly more likely to attend more intervention sessions, self-monitor their fat intake, and achieve the physical activity and weight loss goals than those younger than 65. Older and younger participants experienced significant improvements in CVD-related risk factors. Conclusion Older adults at high risk of CVD and diabetes mellitus participating in an adapted DPP lifestyle intervention had higher participation and self-monitoring rates than younger participants, were more likely to achieve physical activity and weight loss goals, and achieved similar CVD risk reduction.","author":[{"dropping-particle":"","family":"Brokaw","given":"Sarah M.","non-dropping-particle":"","parse-names":false,"suffix":""},{"dropping-particle":"","family":"Carpenedo","given":"Dorota","non-dropping-particle":"","parse-names":false,"suffix":""},{"dropping-particle":"","family":"Campbell","given":"Paul","non-dropping-particle":"","parse-names":false,"suffix":""},{"dropping-particle":"","family":"Butcher","given":"Marcene K.","non-dropping-particle":"","parse-names":false,"suffix":""},{"dropping-particle":"","family":"Furshong","given":"Ginny","non-dropping-particle":"","parse-names":false,"suffix":""},{"dropping-particle":"","family":"Helgerson","given":"Steven D.","non-dropping-particle":"","parse-names":false,"suffix":""},{"dropping-particle":"","family":"Harwell","given":"Todd S.","non-dropping-particle":"","parse-names":false,"suffix":""}],"container-title":"Journal of the American Geriatrics Society","id":"ITEM-7","issue":"6","issued":{"date-parts":[["2015"]]},"page":"1067-1074","title":"Effectiveness of an adapted diabetes prevention program lifestyle intervention in older and younger adults","type":"article-journal","volume":"63"},"uris":["http://www.mendeley.com/documents/?uuid=4b8c7f9d-8f5c-4ceb-a19e-91cbaee82ccf"]},{"id":"ITEM-8","itemData":{"ISSN":"0920-0909","abstract":"Public reporting burden of this collection of information is estimated to average one hour per responses for the Diabetes Prevention Recognition Program Application Form and one hour per response for the submission of Evaluation Data, including the time for reviewing instructions, searching existing data sources, gathering and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Reports Clearance Officer; 1600 Clifton Road NE, MS D-74, Atlanta, Georgia 30333; ATTN: PRA (0920-0909)","author":[{"dropping-particle":"","family":"Centers for Disease Control and Prevention","given":"","non-dropping-particle":"","parse-names":false,"suffix":""}],"id":"ITEM-8","issued":{"date-parts":[["2015"]]},"title":"Centers for Disease Control and Prevention Diabetes Prevention Recognition Program Standards and Operating Procedures","type":"report"},"uris":["http://www.mendeley.com/documents/?uuid=e9d70045-aeed-4c36-a18e-2bf6f45113c0"]},{"id":"ITEM-9","itemData":{"DOI":"https://doi.org/10.1016/j.cct.2020.105960","ISSN":"15592030","PMID":"32087338","abstract":"Diabetes prevalence has risen rapidly and has become a global health challenge. The Diabetes Prevention Program (DPP) has been shown to prevent or delay the development of diabetes among individuals with prediabetes. Yet, diabetes prevention studies within the Medicaid population are limited and results are mixed. This study aimed to evaluate the impact of different financial incentive strategies on the utilization of the DPP for Medicaid managed care adults in New York State. A four-arm randomized controlled trial was conducted among Medicaid managed care adult enrollees diagnosed with prediabetes and/or obesity. Study participants were offered a 16-week DPP with various incentive strategies based on class attendance and weight loss as follows: Attendance-Only, Weight-Loss Only, and both Attendance and Weight-Loss. A control group was offered DPP with no incentives for attendance or weight loss. We evaluated the impact of incentives on achievement of the program completion and weight-loss milestone. Participants who received incentives for the Attendance-Only class were least likely to be lost to follow-up, more likely to complete the program, and had two times higher percentage of meeting the weight-loss milestone compared to the control group. Results for the other incentive cohorts were mixed. A strong positive association was observed for participants who attended 9 or more classes and weight-loss regardless of incentive strategies. Providing monetary incentives for DPP class attendance had a positive impact on program completion and achieving the weight-loss milestone. However, the results from this study indicate that participant enrollment and retention remained challenges despite the incentives.","author":[{"dropping-particle":"","family":"Chin","given":"Jo Yu","non-dropping-particle":"","parse-names":false,"suffix":""},{"dropping-particle":"","family":"Matson","given":"Jacqueline","non-dropping-particle":"","parse-names":false,"suffix":""},{"dropping-particle":"","family":"McCauley","given":"Susan","non-dropping-particle":"","parse-names":false,"suffix":""},{"dropping-particle":"","family":"Anarella","given":"Joseph","non-dropping-particle":"","parse-names":false,"suffix":""},{"dropping-particle":"","family":"Gesten","given":"Foster","non-dropping-particle":"","parse-names":false,"suffix":""},{"dropping-particle":"","family":"Roohan","given":"Patrick","non-dropping-particle":"","parse-names":false,"suffix":""}],"container-title":"Contemporary Clinical Trials","id":"ITEM-9","issued":{"date-parts":[["2020"]]},"page":"105960","publisher":"Elsevier","title":"The impact of financial incentives on utilization and outcomes of diabetes prevention programs among Medicaid managed care adults in New York state","type":"article-journal","volume":"91"},"uris":["http://www.mendeley.com/documents/?uuid=73705fca-c50d-4e34-861c-f5f59cddb6a5"]},{"id":"ITEM-10","itemData":{"DOI":"10.2337/ds18-0013","ISSN":"19447353","abstract":"Women with a history of gestational diabetes mellitus (GDM) are at higher risk for type 2 diabetes. This project piloted the National Diabetes Prevention Program lifestyle change program in cohorts of women with a history of GDM. The article describes recruitment efforts, challenges, and study participation and provides recommendations for future program implementation.","author":[{"dropping-particle":"","family":"Gómez","given":"Maria L.","non-dropping-particle":"","parse-names":false,"suffix":""},{"dropping-particle":"","family":"Hieronymus","given":"Laura B.","non-dropping-particle":"","parse-names":false,"suffix":""},{"dropping-particle":"","family":"Ashford","given":"Kristin B.","non-dropping-particle":"","parse-names":false,"suffix":""},{"dropping-particle":"","family":"Barnett","given":"Janine M.","non-dropping-particle":"","parse-names":false,"suffix":""},{"dropping-particle":"","family":"Renn","given":"Theresa A.","non-dropping-particle":"","parse-names":false,"suffix":""}],"container-title":"Diabetes Spectrum","id":"ITEM-10","issue":"4","issued":{"date-parts":[["2018"]]},"page":"324-329","title":"Linking postpartum and parenting women with a national diabetes prevention program: recruitment efforts, challenges, and recommendations","type":"article-journal","volume":"31"},"uris":["http://www.mendeley.com/documents/?uuid=1b22543d-09e9-41aa-bb84-4474c675fd49"]},{"id":"ITEM-11","itemData":{"DOI":"10.1007/s10900-013-9711-z","author":[{"dropping-particle":"","family":"Islam","given":"N.S","non-dropping-particle":"","parse-names":false,"suffix":""},{"dropping-particle":"","family":"Zanowiak","given":"J.M","non-dropping-particle":"","parse-names":false,"suffix":""},{"dropping-particle":"","family":"Wyatt","given":"Laura C","non-dropping-particle":"","parse-names":false,"suffix":""},{"dropping-particle":"","family":"Chun","given":"Kay","non-dropping-particle":"","parse-names":false,"suffix":""},{"dropping-particle":"","family":"Lee","given":"Linda","non-dropping-particle":"","parse-names":false,"suffix":""},{"dropping-particle":"","family":"Trinh-shevrin","given":"C","non-dropping-particle":"","parse-names":false,"suffix":""},{"dropping-particle":"","family":"C","given":"Kwon Simona","non-dropping-particle":"","parse-names":false,"suffix":""}],"container-title":"Journal of Community Health","id":"ITEM-11","issued":{"date-parts":[["2013"]]},"page":"1030-1041","title":"A randomized-controlled, pilot intervention on diabetes prevention and healthy lifestyles in the New York city Korean community","type":"article-journal","volume":"38"},"uris":["http://www.mendeley.com/documents/?uuid=0e6d65ed-44e2-4938-8439-d854f8025e14"]},{"id":"ITEM-12","itemData":{"DOI":"10.1186/1471-2458-7-249","ISBN":"1471-2458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Health","id":"ITEM-12","issue":"249","issued":{"date-parts":[["2007"]]},"title":"Prevention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-13","itemData":{"DOI":"10.2337/dc19-1489","ISSN":"19355548","PMID":"31744813","author":[{"dropping-particle":"","family":"Ritchie","given":"Natalie D.","non-dropping-particle":"","parse-names":false,"suffix":""},{"dropping-particle":"","family":"Baucom","given":"Katherine J.W.","non-dropping-particle":"","parse-names":false,"suffix":""},{"dropping-particle":"","family":"Sauder","given":"Katherine A.","non-dropping-particle":"","parse-names":false,"suffix":""}],"container-title":"Diabetes Care","id":"ITEM-13","issue":"2","issued":{"date-parts":[["2020"]]},"page":"E20-E21","title":"Benefits of participating with a partner in the national diabetes prevention program","type":"article-journal","volume":"43"},"uris":["http://www.mendeley.com/documents/?uuid=af577f7f-1d2e-45be-bece-0a6ceda36198"]},{"id":"ITEM-14","itemData":{"DOI":"10.1016/j.amepre.2017.06.013","ISSN":"0749-3797","abstract":"Introduction: Reducing obesity and diabetes risks among women of child-bearing age is urgently needed to halt the transgenerational cycle of disease. Interventions among pregnant women have largely been ineffective and may be initiated too late to improve maternal and child health. The National Diabetes Prevention Program is a widely disseminated lifestyle intervention that may help mitigate risks before pregnancy. However, the program has targeted relatively older adults, and effectiveness among women of child-bearing age remains largely unknown.Methods: The National Diabetes Prevention Program was delivered in an urban safety net hospital. Reach and effectiveness were evaluated among 4,866 eligible women who were invited to participate in the program. The authors compared enrollment, attendance, and weight loss for women aged 18-39 years as compared to women aged ≥40 years. Data were collected between 2013 and 2016. Analyses were conducted in 2017.Results: Women of child-bearing age were nearly half as likely to enroll than older women in adjusted models (OR=0.58, 95% CI=0.49, 0.69). Subsequently, younger enrollees were less likely to attend ≥1 session(s) than older women (OR=0.77, 95% CI=0.61, 0.99). There was no significant age group difference in program completion rates or weight-loss outcomes. Both groups lost an average of 3% body weight.Conclusions: Women of child-bearing age were less likely than older women to engage in the National Diabetes Prevention Program; however, they were equally likely to benefit from weight loss when they attended. Further efforts are needed to improve engagement of women of child-bearing age.","author":[{"dropping-particle":"","family":"Ritchie","given":"Natalie D","non-dropping-particle":"","parse-names":false,"suffix":""},{"dropping-particle":"","family":"Sauder","given":"Katherine A","non-dropping-particle":"","parse-names":false,"suffix":""},{"dropping-particle":"","family":"Fabbri","given":"Stefka","non-dropping-particle":"","parse-names":false,"suffix":""}],"container-title":"American Journal of Preventive Medicine","id":"ITEM-14","issue":"5","issued":{"date-parts":[["2017","11"]]},"note":"Accession Number: 125526460. Language: English. Entry Date: 20180722. Revision Date: 20180722. Publication Type: journal article. Journal Subset: Biomedical; Health Promotion/Education; USA. Instrumentation: Maternal Confidence Questionnaire (MCQ) (Parker and Zahr). NLM UID: 8704773.","page":"714-718","publisher":"Elsevier B.V.","publisher-place":"Department of Psychiatry, University of Colorado School of Medicine, Aurora, Colorado","title":"Reach and effectiveness of the national diabetes prevention program for young women.","type":"article-journal","volume":"53"},"uris":["http://www.mendeley.com/documents/?uuid=eff8d673-f774-43d5-921c-c9d2cab22bd4"]}],"mendeley":{"formattedCitation":"(Adams et al., 2016; Alva, 2019a; Alva et al., 2019; Amundson et al., 2009; Aziz et al., 2015; Bozack et al., 2014; Brokaw et al., 2015; Centers for Disease Control and Prevention, 2015; Chin et al., 2020; Gómez et al., 2018; Islam et al., 2013; Laatikainen et al., 2007; Ritchie et al., 2017; Ritchie, Baucom, et al., 2020)","plainTextFormattedCitation":"(Adams et al., 2016; Alva, 2019a; Alva et al., 2019; Amundson et al., 2009; Aziz et al., 2015; Bozack et al., 2014; Brokaw et al., 2015; Centers for Disease Control and Prevention, 2015; Chin et al., 2020; Gómez et al., 2018; Islam et al., 2013; Laatikainen et al., 2007; Ritchie et al., 2017; Ritchie, Baucom, et al., 2020)","previouslyFormattedCitation":"(Adams et al., 2016; Alva, 2019a; Alva et al., 2019; Amundson et al., 2009; Aziz et al., 2015; Bozack et al., 2014; Brokaw et al., 2015; Centers for Disease Control and Prevention, 2015; Chin et al., 2020; Gómez et al., 2018; Islam et al., 2013; Laatikainen et al., 2007; Ritchie et al., 2017; Ritchie, Baucom, et al., 2020)"},"properties":{"noteIndex":0},"schema":"https://github.com/citation-style-language/schema/raw/master/csl-citation.json"}</w:instrText>
      </w:r>
      <w:r w:rsidR="00A170E0" w:rsidRPr="00103A0B">
        <w:rPr>
          <w:rFonts w:ascii="Arial" w:eastAsia="Times New Roman" w:hAnsi="Arial" w:cs="Arial"/>
          <w:sz w:val="24"/>
          <w:szCs w:val="24"/>
          <w:lang w:eastAsia="en-GB"/>
        </w:rPr>
        <w:fldChar w:fldCharType="separate"/>
      </w:r>
      <w:r w:rsidR="004E0154" w:rsidRPr="00103A0B">
        <w:rPr>
          <w:rFonts w:ascii="Arial" w:eastAsia="Times New Roman" w:hAnsi="Arial" w:cs="Arial"/>
          <w:noProof/>
          <w:sz w:val="24"/>
          <w:szCs w:val="24"/>
          <w:lang w:eastAsia="en-GB"/>
        </w:rPr>
        <w:t>(Adams et al., 2016; Alva, 2019a; Alva et al., 2019; Amundson et al., 2009; Aziz et al., 2015; Bozack et al., 2014; Brokaw et al., 2015; Centers for Disease Control and Prevention, 2015; Chin et al., 2020; Gómez et al., 2018; Islam et al., 2013; Laatikainen et al., 2007; Ritchie et al., 2017; Ritchie, Baucom, et al., 2020)</w:t>
      </w:r>
      <w:r w:rsidR="00A170E0" w:rsidRPr="00103A0B">
        <w:rPr>
          <w:rFonts w:ascii="Arial" w:eastAsia="Times New Roman" w:hAnsi="Arial" w:cs="Arial"/>
          <w:sz w:val="24"/>
          <w:szCs w:val="24"/>
          <w:lang w:eastAsia="en-GB"/>
        </w:rPr>
        <w:fldChar w:fldCharType="end"/>
      </w:r>
      <w:r w:rsidR="00D96293" w:rsidRPr="00103A0B">
        <w:rPr>
          <w:rFonts w:ascii="Arial" w:eastAsia="Times New Roman" w:hAnsi="Arial" w:cs="Arial"/>
          <w:sz w:val="24"/>
          <w:szCs w:val="24"/>
          <w:lang w:eastAsia="en-GB"/>
        </w:rPr>
        <w:t xml:space="preserve"> </w:t>
      </w:r>
      <w:r w:rsidR="00D96293" w:rsidRPr="00103A0B">
        <w:rPr>
          <w:rFonts w:ascii="Arial" w:hAnsi="Arial" w:cs="Arial"/>
          <w:sz w:val="24"/>
          <w:szCs w:val="24"/>
        </w:rPr>
        <w:t xml:space="preserve">or completing a certain proportion of sessions such as 60% or </w:t>
      </w:r>
      <w:r w:rsidR="00D96293" w:rsidRPr="00103A0B">
        <w:rPr>
          <w:rFonts w:ascii="Arial" w:eastAsia="Times New Roman" w:hAnsi="Arial" w:cs="Arial"/>
          <w:sz w:val="24"/>
          <w:szCs w:val="24"/>
          <w:lang w:eastAsia="en-GB"/>
        </w:rPr>
        <w:t xml:space="preserve">75% </w:t>
      </w:r>
      <w:r w:rsidR="00D96293" w:rsidRPr="00103A0B">
        <w:rPr>
          <w:rFonts w:ascii="Arial" w:eastAsia="Times New Roman" w:hAnsi="Arial" w:cs="Arial"/>
          <w:sz w:val="24"/>
          <w:szCs w:val="24"/>
          <w:lang w:eastAsia="en-GB"/>
        </w:rPr>
        <w:fldChar w:fldCharType="begin" w:fldLock="1"/>
      </w:r>
      <w:r w:rsidR="00597BD1" w:rsidRPr="00103A0B">
        <w:rPr>
          <w:rFonts w:ascii="Arial" w:eastAsia="Times New Roman" w:hAnsi="Arial" w:cs="Arial"/>
          <w:sz w:val="24"/>
          <w:szCs w:val="24"/>
          <w:lang w:eastAsia="en-GB"/>
        </w:rPr>
        <w:instrText>ADDIN CSL_CITATION {"citationItems":[{"id":"ITEM-1","itemData":{"author":[{"dropping-particle":"","family":"NHS England","given":"","non-dropping-particle":"","parse-names":false,"suffix":""}],"id":"ITEM-1","issued":{"date-parts":[["2016"]]},"number-of-pages":"1-51","title":"NHS england impact analysis of implementing NHS diabetes prevention programme, 2016 to 2021","type":"report"},"uris":["http://www.mendeley.com/documents/?uuid=d3e6fa3e-5322-4de6-951f-0dc992882406"]},{"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programme","type":"article-journal","volume":"43"},"uris":["http://www.mendeley.com/documents/?uuid=32a7a44a-df0b-4cde-9269-536e48e08190"]},{"id":"ITEM-3","itemData":{"DOI":"10.1007/s11136-011-9919-2","ISSN":"09629343","abstract":"Objective To evaluate whether an interdisciplinary intervention program on lifestyle results in better quality of life (QoL) and lower frequencies of depression and binge eating disorder (BED) in individuals at risk for type 2 diabetes mellitus. Methods A total of 177 individuals (32.2% men, age 55.4 ± 12.5 years) at risk for diabetes were allocated to a 9-month traditional (TI) or intensive interdisciplinary intervention (II) on dietary habits and physical activity including psychoeducative groups. They were submitted to questionnaires and clinical and laboratory examinations. Predictors of non-adherence were analyzed by logistic regression. Results Only individuals submitted to II had blood pressure and plasma glucose levels reduced. Frequencies of depression reduced in both interventions but of BED only in II (28.0-4.0%, P&lt;0.001). Increments in the scores of SF-36 domains (physical functioning: 11.1 ± 14.0 vs. 5.3 ± 13.0, role-emotional: 20.4 ± 40.2 vs. 6.2 ± 43.8, P = 0.05) were greater in the II than in TI, respectively. Changes in SF-36 correlated with decreases in anthropometry, blood pressure and glucose levels, depression and BED scores. Male gender was independently associated with non-adherence to the II. Conclusions In addition to metabolic benefits, an interdisciplinary approach may induce desirable extrametabolic effects, favoring the control of psychiatric disorders and improving the QoL of individuals at risk for diabetes. © Springer Science+Business Media B.V. 2011.","author":[{"dropping-particle":"","family":"Cezaretto","given":"Adriana","non-dropping-particle":"","parse-names":false,"suffix":""},{"dropping-particle":"","family":"Siqueira-Catania","given":"Antonela","non-dropping-particle":"","parse-names":false,"suffix":""},{"dropping-particle":"","family":"Barros","given":"Camila Risso","non-dropping-particle":"De","parse-names":false,"suffix":""},{"dropping-particle":"","family":"Salvador","given":"Emanuel Péricles","non-dropping-particle":"","parse-names":false,"suffix":""},{"dropping-particle":"","family":"Ferreira","given":"Sandra Roberta G.","non-dropping-particle":"","parse-names":false,"suffix":""}],"container-title":"Quality of Life Research","id":"ITEM-3","issue":"1","issued":{"date-parts":[["2012"]]},"page":"105-113","title":"Benefits on quality of life concomitant to metabolic improvement in intervention program for prevention of diabetes mellitus","type":"article-journal","volume":"21"},"uris":["http://www.mendeley.com/documents/?uuid=0dedac99-39eb-4241-b611-e5199557363e"]},{"id":"ITEM-4","itemData":{"DOI":"10.1016/j.diabres.2010.11.032","ISBN":"1872-8227 (Electronic) 0168-8227 (Linking)","ISSN":"01688227","PMID":"21168232","abstract":"Aims: To assess the feasibility and acceptability of a community-based, culturally-specific, Diabetes Prevention Program (DPP)-adapted, group lifestyle intervention in Arab-Americans. Methods: Overweight (BMI≥27kg/m2) Arab-Americans aged ≥30 years and without a history of diabetes were recruited to participate in a 24-week group lifestyle intervention. The DPP core-curriculum was culturally rewritten, translated into Arabic, and delivered in weekly sessions over a 12-week period. Follow-up was performed at week-24. The primary goals were to achieve ≥7% weight loss and ≥150min/week of physical activity. An intent-to-treat analysis was performed. Results: Of the 71 participants (mean age ± SD 47 ± 10 years, 38% males), 44% achieved ≥7% weight loss, 59% achieved ≥5% reduction in weight, and 78% reached the physical activity goal of ≥150-min/week. The mean ± SD weight loss was 5.2 ± 4.4. kg at week-24 (p&lt; 0.0001), Marked reduction in body measurements, daily energy and fat intake were noted. Retention was high with 86% completing the intervention. Conclusions: This trial demonstrates that a culturally-specific, DPP-adapted, group lifestyle intervention implemented in a community setting is feasible and effective in Arab-Americans. © 2010 Elsevier Ireland Ltd.","author":[{"dropping-particle":"","family":"Jaber","given":"Linda A.","non-dropping-particle":"","parse-names":false,"suffix":""},{"dropping-particle":"","family":"Pinelli","given":"Nicole R.","non-dropping-particle":"","parse-names":false,"suffix":""},{"dropping-particle":"","family":"Brown","given":"Morton B.","non-dropping-particle":"","parse-names":false,"suffix":""},{"dropping-particle":"","family":"Funnell","given":"Martha M.","non-dropping-particle":"","parse-names":false,"suffix":""},{"dropping-particle":"","family":"Anderson","given":"Robert","non-dropping-particle":"","parse-names":false,"suffix":""},{"dropping-particle":"","family":"Hammad","given":"Adnan","non-dropping-particle":"","parse-names":false,"suffix":""},{"dropping-particle":"","family":"Herman","given":"William H.","non-dropping-particle":"","parse-names":false,"suffix":""}],"container-title":"Diabetes Research and Clinical Practice","id":"ITEM-4","issue":"3","issued":{"date-parts":[["2011"]]},"page":"307-315","publisher":"Elsevier Ireland Ltd","title":"Feasibility of group lifestyle intervention for diabetes prevention in Arab Americans","type":"article-journal","volume":"91"},"uris":["http://www.mendeley.com/documents/?uuid=62e3b667-95a8-4bce-ad21-a20ab284f471"]},{"id":"ITEM-5","itemData":{"ISSN":"0168-8227","abstract":"Aims To explore the acceptability of a telephone- or a group-delivered diabetes prevention program for women with previous gestational diabetes and to compare the characteristics associated with program engagement. Methods Postpartum women participated in a lifestyle modification program delivered by telephone (n=33) or group format (n=284). Semi-structured interviews on barriers and enablers to program engagement (defined as completing≥80% sessions) were conducted before (Group) and after (Group and Telephone) interventions. The Health Action Process Approach theory was used as the framework for inquiry. Psychological measures were compared between engagement subgroups before and after group-delivered intervention. Results In the telephone-delivered program 82% participants met the engagement criteria compared with 38% for the group-delivered program. Engaged participants (Group) had significantly higher risk perception, outcome expectancy, and activity self-efficacy at baseline (P&lt;0.05). There was a greater decrease in body weight (−1.45±3.9 vs −0.26±3.5, P=0.024) and waist circumference (−3.56±5.1 vs −1.24±5.3, P=0.002) for engaged vs non-engaged participants following group program completion. Conclusions Telephone delivery was associated with greater engagement in postpartum women. Engagement was associated with greater reduction in weight and waist circumference. Further studies are required to confirm the effectiveness of telephone-delivered program for diabetes prevention in postpartum women.","author":[{"dropping-particle":"","family":"Lim","given":"Siew","non-dropping-particle":"","parse-names":false,"suffix":""},{"dropping-particle":"","family":"Dunbar","given":"James A","non-dropping-particle":"","parse-names":false,"suffix":""},{"dropping-particle":"","family":"Versace","given":"Vincent L","non-dropping-particle":"","parse-names":false,"suffix":""},{"dropping-particle":"","family":"Janus","given":"Edward","non-dropping-particle":"","parse-names":false,"suffix":""},{"dropping-particle":"","family":"Wildey","given":"Carol","non-dropping-particle":"","parse-names":false,"suffix":""},{"dropping-particle":"","family":"Skinner","given":"Timothy","non-dropping-particle":"","parse-names":false,"suffix":""},{"dropping-particle":"","family":"O'Reilly","given":"Sharleen","non-dropping-particle":"","parse-names":false,"suffix":""}],"container-title":"Diabetes Research and Clinical Practice","id":"ITEM-5","issued":{"date-parts":[["2017"]]},"page":"254-262","title":"Comparing a telephone- and a group-delivered diabetes prevention program: characteristics of engaged and non-engaged postpartum mothers with a history of gestational diabetes","type":"article-journal","volume":"126"},"uris":["http://www.mendeley.com/documents/?uuid=1e1989aa-8480-458e-9774-bce442753e6b"]},{"id":"ITEM-6","itemData":{"ISSN":"20524897","PMID":"33303493","abstract":"Introduction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Care","id":"ITEM-6","issued":{"date-parts":[["2020"]]},"page":"e001835","title":"'Going the distance': an independent cohort study of engagement and dropout among the first 100 000 referrals into a large-scale diabetes prevention program","type":"article-journal","volume":"8"},"uris":["http://www.mendeley.com/documents/?uuid=40d46080-9604-42ba-942c-0e13d9f1562f"]}],"mendeley":{"formattedCitation":"(Cezaretto et al., 2012; Howarth et al., 2020; Jaber et al., 2011; Lim et al., 2017; NHS England, 2016b; Valabhji et al., 2020)","plainTextFormattedCitation":"(Cezaretto et al., 2012; Howarth et al., 2020; Jaber et al., 2011; Lim et al., 2017; NHS England, 2016b; Valabhji et al., 2020)","previouslyFormattedCitation":"(Cezaretto et al., 2012; Howarth et al., 2020; Jaber et al., 2011; Lim et al., 2017; NHS England, 2016b; Valabhji et al., 2020)"},"properties":{"noteIndex":0},"schema":"https://github.com/citation-style-language/schema/raw/master/csl-citation.json"}</w:instrText>
      </w:r>
      <w:r w:rsidR="00D96293" w:rsidRPr="00103A0B">
        <w:rPr>
          <w:rFonts w:ascii="Arial" w:eastAsia="Times New Roman" w:hAnsi="Arial" w:cs="Arial"/>
          <w:sz w:val="24"/>
          <w:szCs w:val="24"/>
          <w:lang w:eastAsia="en-GB"/>
        </w:rPr>
        <w:fldChar w:fldCharType="separate"/>
      </w:r>
      <w:r w:rsidR="00445FC8" w:rsidRPr="00103A0B">
        <w:rPr>
          <w:rFonts w:ascii="Arial" w:eastAsia="Times New Roman" w:hAnsi="Arial" w:cs="Arial"/>
          <w:noProof/>
          <w:sz w:val="24"/>
          <w:szCs w:val="24"/>
          <w:lang w:eastAsia="en-GB"/>
        </w:rPr>
        <w:t>(Cezaretto et al., 2012; Howarth et al., 2020; Jaber et al., 2011; Lim et al., 2017; NHS England, 2016b; Valabhji et al., 2020)</w:t>
      </w:r>
      <w:r w:rsidR="00D96293" w:rsidRPr="00103A0B">
        <w:rPr>
          <w:rFonts w:ascii="Arial" w:eastAsia="Times New Roman" w:hAnsi="Arial" w:cs="Arial"/>
          <w:sz w:val="24"/>
          <w:szCs w:val="24"/>
          <w:lang w:eastAsia="en-GB"/>
        </w:rPr>
        <w:fldChar w:fldCharType="end"/>
      </w:r>
      <w:r w:rsidR="00D96293" w:rsidRPr="00103A0B">
        <w:rPr>
          <w:rFonts w:ascii="Arial" w:eastAsia="Times New Roman" w:hAnsi="Arial" w:cs="Arial"/>
          <w:sz w:val="24"/>
          <w:szCs w:val="24"/>
          <w:lang w:eastAsia="en-GB"/>
        </w:rPr>
        <w:t xml:space="preserve">. Retention is also defined as the proportion of participants that did not drop-out from the DPP, out of the number of participants present at the start </w:t>
      </w:r>
      <w:r w:rsidR="00D96293" w:rsidRPr="00103A0B">
        <w:rPr>
          <w:rFonts w:ascii="Arial" w:eastAsia="Times New Roman" w:hAnsi="Arial" w:cs="Arial"/>
          <w:sz w:val="24"/>
          <w:szCs w:val="24"/>
          <w:lang w:eastAsia="en-GB"/>
        </w:rPr>
        <w:fldChar w:fldCharType="begin" w:fldLock="1"/>
      </w:r>
      <w:r w:rsidR="00591FE2" w:rsidRPr="00103A0B">
        <w:rPr>
          <w:rFonts w:ascii="Arial" w:eastAsia="Times New Roman" w:hAnsi="Arial" w:cs="Arial"/>
          <w:sz w:val="24"/>
          <w:szCs w:val="24"/>
          <w:lang w:eastAsia="en-GB"/>
        </w:rPr>
        <w:instrText>ADDIN CSL_CITATION {"citationItems":[{"id":"ITEM-1","itemData":{"ISSN":"18728227","PMID":"32590009","abstract":"Background: Many countries worldwide have developed diabetes prevention programmes (DPPs) that involve lifestyle modification. Research has shown that uptake and retention of DPPs are important and by exploring recruitment strategies and behaviour change techniques (BCTs) used, factors that are most effective in promoting uptake and retention can be identified. Objectives: This review aims to identify recruitment strategies of group-based DPPs that are associated with high uptake and common BCTs associated with high retention. Methods: Papers were identified with a systematic literature search. Programmes that were predominantly group-based and involved lifestyle modification and in which uptake and/or retention could be determined, were included. Intervention details were extracted, recruitment strategies and BCTs identified, and response, uptake and retention rates were calculated. Results: A range of recruitment strategies were used making it difficult to discern associations with uptake rates. For BCTs, all programmes used a credible source, 81% used instruction on how to perform a behaviour and 71% used goal setting (behaviour). BCTs more commonly found in high retention programmes included problem-solving, demonstrating the behaviour, using behavioural practice and reducing negative emotions. Conclusions: Recommendations include that DPPs incorporate BCTs like problem-solving and demonstrating the behaviour to maximise retention.","author":[{"dropping-particle":"","family":"Begum","given":"S.","non-dropping-particle":"","parse-names":false,"suffix":""},{"dropping-particle":"","family":"Povey","given":"Rachel","non-dropping-particle":"","parse-names":false,"suffix":""},{"dropping-particle":"","family":"Ellis","given":"Naomi","non-dropping-particle":"","parse-names":false,"suffix":""},{"dropping-particle":"","family":"Gidlow","given":"Christopher","non-dropping-particle":"","parse-names":false,"suffix":""}],"container-title":"Diabetes Research and Clinical Practice","id":"ITEM-1","issued":{"date-parts":[["2020"]]},"page":"108273","publisher":"Elsevier B.V.","title":"A systematic review of recruitment strategies and behaviour change techniques in group-based diabetes prevention programmes focusing on uptake and retention","type":"article-journal","volume":"166"},"uris":["http://www.mendeley.com/documents/?uuid=03ce2dc0-3f18-4f55-8c0f-2007752fc2e2"]},{"id":"ITEM-2","itemData":{"ISSN":"17414288","abstract":"African Americans have disproportionately high rates of stress-related conditions, including diabetes and diabetes-related morbidity. Psychological stress may negatively influence engagement in risk-reducing lifestyle changes (physical activity and healthy eating) and stress-related physiology that increase diabetes risk. This study examined the feasibility of conducting a randomized trial comparing a novel mindfulness-based stress management program combined with diabetes risk-reduction education versus a conventional diabetes risk-reduction education program among African American adults with prediabetes and self-reported life stress. Participants were recruited in collaboration with community partners and randomized to the mindfulness-based diabetes risk-reduction education program for prediabetes (MPD; n = 38) or the conventional diabetes risk-reduction education program for prediabetes (CPD; n = 30). The mindfulness components were adapted from the Mindfulness-based Stress Reduction Program. The diabetes risk-reduction components were adapted from the Power to Prevent Program and the Diabetes Prevention Program. Groups met for eight weeks for 2.5 hours, with a half-day retreat and six-monthly boosters. Mixed-methods strategies were used to assess feasibility. Psychological, behavioral, and metabolic data were collected before the intervention and at three and six months postintervention to examine within-group change and feasibility of collecting such data in future clinical efficacy research. Participants reported acceptability, credibility, and cultural relevance of the intervention components. Enrollment of eligible participants (79%), intervention session attendance (76.5%), retention (90%), and postintervention data collection attendance (83%, 82%, and 78%, respectively) demonstrated feasibility, and qualitative data provided information to further enhance feasibility in future studies. Both groups exhibited an A1C reduction. MPD participants had reductions in perceived stress, BMI, calorie, carbohydrate and fat intake, and increases in spiritual well-being. Considering the high prevalence of diabetes and diabetes-related complications in African Americans, these novel findings provide promising guidance to develop a larger trial powered to examine efficacy of a mindfulness-based stress management and diabetes risk-reduction education program for African Americans with prediabetes.","author":[{"dropping-particle":"","family":"Woods-Giscombe","given":"Cheryl L.","non-dropping-particle":"","parse-names":false,"suffix":""},{"dropping-particle":"","family":"Gaylord","given":"Susan A.","non-dropping-particle":"","parse-names":false,"suffix":""},{"dropping-particle":"","family":"Li","given":"Yin","non-dropping-particle":"","parse-names":false,"suffix":""},{"dropping-particle":"","family":"Brintz","given":"Carrie E.","non-dropping-particle":"","parse-names":false,"suffix":""},{"dropping-particle":"","family":"Bangdiwala","given":"Shrikant I.","non-dropping-particle":"","parse-names":false,"suffix":""},{"dropping-particle":"","family":"Buse","given":"John B.","non-dropping-particle":"","parse-names":false,"suffix":""},{"dropping-particle":"","family":"Mann","given":"John D.","non-dropping-particle":"","parse-names":false,"suffix":""},{"dropping-particle":"","family":"Lynch","given":"Chanee","non-dropping-particle":"","parse-names":false,"suffix":""},{"dropping-particle":"","family":"Phillips","given":"Pamela","non-dropping-particle":"","parse-names":false,"suffix":""},{"dropping-particle":"","family":"Smith","given":"Sunyata","non-dropping-particle":"","parse-names":false,"suffix":""},{"dropping-particle":"","family":"Leniek","given":"Karyn","non-dropping-particle":"","parse-names":false,"suffix":""},{"dropping-particle":"","family":"Young","given":"Laura","non-dropping-particle":"","parse-names":false,"suffix":""},{"dropping-particle":"","family":"Al-Barwani","given":"Saada","non-dropping-particle":"","parse-names":false,"suffix":""},{"dropping-particle":"","family":"Yoo","given":"Jeena","non-dropping-particle":"","parse-names":false,"suffix":""},{"dropping-particle":"","family":"Faurot","given":"Keturah","non-dropping-particle":"","parse-names":false,"suffix":""}],"container-title":"Evidence-based Complementary and Alternative Medicine","id":"ITEM-2","issued":{"date-parts":[["2019"]]},"page":"1-16","title":"A mixed-methods, randomized clinical trial to examine feasibility of a mindfulness-based stress management and diabetes risk reduction intervention for African Americans with prediabetes","type":"article-journal"},"uris":["http://www.mendeley.com/documents/?uuid=846a1f44-f1fc-4a89-b373-6cf2645f3149"]},{"id":"ITEM-3","itemData":{"DOI":"10.2337/dc19-2366","ISSN":"0149-5992","abstract":"OBJECTIVE: To assess retention in the National Diabetes Prevention Program (DPP) lifestyle change program, which seeks to prevent type 2 diabetes in adults at high risk. RESEARCH DESIGN AND METHODS: We analyzed retention among 41,203 individuals who enrolled in Centers for Disease Control and Prevention (CDC)-recognized in-person lifestyle change programs at organizations that submitted data to CDC's Diabetes Prevention Recognition Program during January 2012-February 2017. RESULTS: Weekly attrition rates were typically &lt;1-2% but were between 3.5% and 5% at week 2 and at weeks 17 and 18, where session frequency typically transitions from weekly to monthly. The percent of participants retained through 18 weeks varied by age (45.9% for 18-29 year olds, 53.4% for 30-44 year olds, 60.2% for 45-54 year olds, 66.7% for 55-64 year olds, and 67.6% for ≥65 year olds), race/ethnicity (70.5% for non-Hispanic whites, 60.5% for non-Hispanic blacks, 52.6% for Hispanics, and 50.6% for other), mean weekly percentage of body weight lost (41.0% for ≤0% lost, 66.2% for &gt;0 to &lt;0.25% lost, 72.9% for 0.25 to &lt;0.5% lost, and 73.9% for ≥0.5% lost), and mean weekly physical activity minutes (12.8% for 0 min, 56.1% for &gt;0 to &lt;60 min, 74.8% for 60 to &lt;150 min, and 82.8% for ≥150 min) but not by sex (63.0% for men and 63.1% for women). CONCLUSIONS: Our results demonstrate the need to identify strategies to improve retention, especially among individuals who are younger or are members of racial/ethnic minority populations and among those who report less physical activity or less early weight loss. Strategies that address retention after the first session and during the transition from weekly to monthly sessions offer the greatest opportunity for impact.","author":[{"dropping-particle":"","family":"Cannon","given":"Michael J.","non-dropping-particle":"","parse-names":false,"suffix":""},{"dropping-particle":"","family":"Masalovich","given":"Svetlana","non-dropping-particle":"","parse-names":false,"suffix":""},{"dropping-particle":"","family":"Ng","given":"Boon Peng","non-dropping-particle":"","parse-names":false,"suffix":""},{"dropping-particle":"","family":"Soler","given":"Robin E.","non-dropping-particle":"","parse-names":false,"suffix":""},{"dropping-particle":"","family":"Jabrah","given":"Rajai","non-dropping-particle":"","parse-names":false,"suffix":""},{"dropping-particle":"","family":"Ely","given":"Elizabeth K.","non-dropping-particle":"","parse-names":false,"suffix":""},{"dropping-particle":"","family":"Smith","given":"Bryce D.","non-dropping-particle":"","parse-names":false,"suffix":""}],"container-title":"Diabetes Care","id":"ITEM-3","issue":"9","issued":{"date-parts":[["2020"]]},"page":"2042-2049","title":"Retention among participants in the national diabetes prevention program lifestyle change program, 2012–2017","type":"article-journal","volume":"43"},"uris":["http://www.mendeley.com/documents/?uuid=eed9f8c6-e26e-4c4e-b26e-930df126d002"]}],"mendeley":{"formattedCitation":"(S. Begum et al., 2020; Cannon et al., 2020; Woods-Giscombe et al., 2019)","manualFormatting":"(Begum et al., 2020; Cannon et al., 2020; Woods-Giscombe et al., 2019)","plainTextFormattedCitation":"(S. Begum et al., 2020; Cannon et al., 2020; Woods-Giscombe et al., 2019)","previouslyFormattedCitation":"(Begum et al., 2020; Cannon et al., 2020; Woods-Giscombe et al., 2019)"},"properties":{"noteIndex":0},"schema":"https://github.com/citation-style-language/schema/raw/master/csl-citation.json"}</w:instrText>
      </w:r>
      <w:r w:rsidR="00D96293" w:rsidRPr="00103A0B">
        <w:rPr>
          <w:rFonts w:ascii="Arial" w:eastAsia="Times New Roman" w:hAnsi="Arial" w:cs="Arial"/>
          <w:sz w:val="24"/>
          <w:szCs w:val="24"/>
          <w:lang w:eastAsia="en-GB"/>
        </w:rPr>
        <w:fldChar w:fldCharType="separate"/>
      </w:r>
      <w:r w:rsidR="00445FC8" w:rsidRPr="00103A0B">
        <w:rPr>
          <w:rFonts w:ascii="Arial" w:eastAsia="Times New Roman" w:hAnsi="Arial" w:cs="Arial"/>
          <w:noProof/>
          <w:sz w:val="24"/>
          <w:szCs w:val="24"/>
          <w:lang w:eastAsia="en-GB"/>
        </w:rPr>
        <w:t>(Begum et al., 2020; Cannon et al., 2020; Woods-Giscombe et al., 2019)</w:t>
      </w:r>
      <w:r w:rsidR="00D96293" w:rsidRPr="00103A0B">
        <w:rPr>
          <w:rFonts w:ascii="Arial" w:eastAsia="Times New Roman" w:hAnsi="Arial" w:cs="Arial"/>
          <w:sz w:val="24"/>
          <w:szCs w:val="24"/>
          <w:lang w:eastAsia="en-GB"/>
        </w:rPr>
        <w:fldChar w:fldCharType="end"/>
      </w:r>
      <w:r w:rsidR="00D96293" w:rsidRPr="00103A0B">
        <w:rPr>
          <w:rFonts w:ascii="Arial" w:hAnsi="Arial" w:cs="Arial"/>
          <w:sz w:val="24"/>
          <w:szCs w:val="24"/>
        </w:rPr>
        <w:t>.</w:t>
      </w:r>
      <w:r w:rsidR="00D96293" w:rsidRPr="00103A0B">
        <w:rPr>
          <w:rFonts w:ascii="Arial" w:eastAsia="Times New Roman" w:hAnsi="Arial" w:cs="Arial"/>
          <w:sz w:val="24"/>
          <w:szCs w:val="24"/>
          <w:lang w:eastAsia="en-GB"/>
        </w:rPr>
        <w:t xml:space="preserve"> </w:t>
      </w:r>
      <w:bookmarkStart w:id="59" w:name="_Hlk81758220"/>
      <w:r w:rsidR="00182500" w:rsidRPr="00103A0B">
        <w:rPr>
          <w:rFonts w:ascii="Arial" w:eastAsia="Times New Roman" w:hAnsi="Arial" w:cs="Arial"/>
          <w:sz w:val="24"/>
          <w:szCs w:val="24"/>
          <w:lang w:eastAsia="en-GB"/>
        </w:rPr>
        <w:t xml:space="preserve">For the purpose of this thesis, completion (i.e., good retention) of </w:t>
      </w:r>
      <w:r w:rsidR="00173858" w:rsidRPr="00103A0B">
        <w:rPr>
          <w:rFonts w:ascii="Arial" w:eastAsia="Times New Roman" w:hAnsi="Arial" w:cs="Arial"/>
          <w:sz w:val="24"/>
          <w:szCs w:val="24"/>
          <w:lang w:eastAsia="en-GB"/>
        </w:rPr>
        <w:t xml:space="preserve">a specific DPP will be defined as those who attended a threshold of at least 75% of sessions (14/18) (Chapters 6 and 7), in line with the criterion definition used by NHS England for payment by completion </w:t>
      </w:r>
      <w:r w:rsidR="00173858" w:rsidRPr="00103A0B">
        <w:rPr>
          <w:rFonts w:ascii="Arial" w:eastAsia="Times New Roman" w:hAnsi="Arial" w:cs="Arial"/>
          <w:sz w:val="24"/>
          <w:szCs w:val="24"/>
          <w:lang w:eastAsia="en-GB"/>
        </w:rPr>
        <w:fldChar w:fldCharType="begin" w:fldLock="1"/>
      </w:r>
      <w:r w:rsidR="00062570" w:rsidRPr="00103A0B">
        <w:rPr>
          <w:rFonts w:ascii="Arial" w:eastAsia="Times New Roman" w:hAnsi="Arial" w:cs="Arial"/>
          <w:sz w:val="24"/>
          <w:szCs w:val="24"/>
          <w:lang w:eastAsia="en-GB"/>
        </w:rPr>
        <w:instrText>ADDIN CSL_CITATION {"citationItems":[{"id":"ITEM-1","itemData":{"author":[{"dropping-particle":"","family":"NHS England","given":"","non-dropping-particle":"","parse-names":false,"suffix":""}],"id":"ITEM-1","issued":{"date-parts":[["2016"]]},"number-of-pages":"1-51","title":"NHS england impact analysis of implementing NHS diabetes prevention programme, 2016 to 2021","type":"report"},"uris":["http://www.mendeley.com/documents/?uuid=d3e6fa3e-5322-4de6-951f-0dc992882406"]}],"mendeley":{"formattedCitation":"(NHS England, 2016b)","plainTextFormattedCitation":"(NHS England, 2016b)","previouslyFormattedCitation":"(NHS England, 2016b)"},"properties":{"noteIndex":0},"schema":"https://github.com/citation-style-language/schema/raw/master/csl-citation.json"}</w:instrText>
      </w:r>
      <w:r w:rsidR="00173858" w:rsidRPr="00103A0B">
        <w:rPr>
          <w:rFonts w:ascii="Arial" w:eastAsia="Times New Roman" w:hAnsi="Arial" w:cs="Arial"/>
          <w:sz w:val="24"/>
          <w:szCs w:val="24"/>
          <w:lang w:eastAsia="en-GB"/>
        </w:rPr>
        <w:fldChar w:fldCharType="separate"/>
      </w:r>
      <w:r w:rsidR="00643C08" w:rsidRPr="00103A0B">
        <w:rPr>
          <w:rFonts w:ascii="Arial" w:eastAsia="Times New Roman" w:hAnsi="Arial" w:cs="Arial"/>
          <w:noProof/>
          <w:sz w:val="24"/>
          <w:szCs w:val="24"/>
          <w:lang w:eastAsia="en-GB"/>
        </w:rPr>
        <w:t>(NHS England, 2016b)</w:t>
      </w:r>
      <w:r w:rsidR="00173858" w:rsidRPr="00103A0B">
        <w:rPr>
          <w:rFonts w:ascii="Arial" w:eastAsia="Times New Roman" w:hAnsi="Arial" w:cs="Arial"/>
          <w:sz w:val="24"/>
          <w:szCs w:val="24"/>
          <w:lang w:eastAsia="en-GB"/>
        </w:rPr>
        <w:fldChar w:fldCharType="end"/>
      </w:r>
      <w:r w:rsidR="00173858" w:rsidRPr="00103A0B">
        <w:rPr>
          <w:rFonts w:ascii="Arial" w:eastAsia="Times New Roman" w:hAnsi="Arial" w:cs="Arial"/>
          <w:sz w:val="24"/>
          <w:szCs w:val="24"/>
          <w:lang w:eastAsia="en-GB"/>
        </w:rPr>
        <w:t>.</w:t>
      </w:r>
      <w:bookmarkEnd w:id="59"/>
    </w:p>
    <w:p w14:paraId="2C204566" w14:textId="77777777" w:rsidR="00182500" w:rsidRPr="00103A0B" w:rsidRDefault="00182500" w:rsidP="00423291">
      <w:pPr>
        <w:spacing w:before="240" w:line="360" w:lineRule="auto"/>
        <w:jc w:val="both"/>
        <w:rPr>
          <w:rFonts w:ascii="Arial" w:hAnsi="Arial" w:cs="Arial"/>
          <w:sz w:val="24"/>
          <w:szCs w:val="24"/>
          <w:lang w:eastAsia="en-GB"/>
        </w:rPr>
      </w:pPr>
    </w:p>
    <w:p w14:paraId="3EB50FA0" w14:textId="71E6384B" w:rsidR="002D3F5D" w:rsidRPr="00103A0B" w:rsidRDefault="002D3F5D" w:rsidP="00CD5919">
      <w:pPr>
        <w:pStyle w:val="Heading2"/>
        <w:jc w:val="both"/>
        <w:rPr>
          <w:rFonts w:ascii="Arial" w:hAnsi="Arial" w:cs="Arial"/>
          <w:sz w:val="28"/>
        </w:rPr>
      </w:pPr>
      <w:bookmarkStart w:id="60" w:name="_Toc151548297"/>
      <w:bookmarkStart w:id="61" w:name="_Hlk121316701"/>
      <w:r w:rsidRPr="00103A0B">
        <w:rPr>
          <w:rFonts w:ascii="Arial" w:hAnsi="Arial" w:cs="Arial"/>
          <w:sz w:val="28"/>
        </w:rPr>
        <w:t xml:space="preserve">Modifiable </w:t>
      </w:r>
      <w:r w:rsidR="004D10A4" w:rsidRPr="00103A0B">
        <w:rPr>
          <w:rFonts w:ascii="Arial" w:hAnsi="Arial" w:cs="Arial"/>
          <w:sz w:val="28"/>
        </w:rPr>
        <w:t>F</w:t>
      </w:r>
      <w:r w:rsidRPr="00103A0B">
        <w:rPr>
          <w:rFonts w:ascii="Arial" w:hAnsi="Arial" w:cs="Arial"/>
          <w:sz w:val="28"/>
        </w:rPr>
        <w:t xml:space="preserve">actors </w:t>
      </w:r>
      <w:r w:rsidR="00803D36" w:rsidRPr="00103A0B">
        <w:rPr>
          <w:rFonts w:ascii="Arial" w:hAnsi="Arial" w:cs="Arial"/>
          <w:sz w:val="28"/>
        </w:rPr>
        <w:t>A</w:t>
      </w:r>
      <w:r w:rsidRPr="00103A0B">
        <w:rPr>
          <w:rFonts w:ascii="Arial" w:hAnsi="Arial" w:cs="Arial"/>
          <w:sz w:val="28"/>
        </w:rPr>
        <w:t xml:space="preserve">ffecting </w:t>
      </w:r>
      <w:r w:rsidR="004D10A4" w:rsidRPr="00103A0B">
        <w:rPr>
          <w:rFonts w:ascii="Arial" w:hAnsi="Arial" w:cs="Arial"/>
          <w:sz w:val="28"/>
        </w:rPr>
        <w:t>U</w:t>
      </w:r>
      <w:r w:rsidRPr="00103A0B">
        <w:rPr>
          <w:rFonts w:ascii="Arial" w:hAnsi="Arial" w:cs="Arial"/>
          <w:sz w:val="28"/>
        </w:rPr>
        <w:t xml:space="preserve">ptake and </w:t>
      </w:r>
      <w:r w:rsidR="004D10A4" w:rsidRPr="00103A0B">
        <w:rPr>
          <w:rFonts w:ascii="Arial" w:hAnsi="Arial" w:cs="Arial"/>
          <w:sz w:val="28"/>
        </w:rPr>
        <w:t>R</w:t>
      </w:r>
      <w:r w:rsidRPr="00103A0B">
        <w:rPr>
          <w:rFonts w:ascii="Arial" w:hAnsi="Arial" w:cs="Arial"/>
          <w:sz w:val="28"/>
        </w:rPr>
        <w:t>etention</w:t>
      </w:r>
      <w:bookmarkEnd w:id="60"/>
      <w:r w:rsidRPr="00103A0B">
        <w:rPr>
          <w:rFonts w:ascii="Arial" w:hAnsi="Arial" w:cs="Arial"/>
          <w:sz w:val="28"/>
        </w:rPr>
        <w:t xml:space="preserve"> </w:t>
      </w:r>
    </w:p>
    <w:bookmarkEnd w:id="61"/>
    <w:p w14:paraId="67E0A1B0" w14:textId="0CAE323B" w:rsidR="004D10A4" w:rsidRPr="00103A0B" w:rsidRDefault="004D10A4" w:rsidP="00CD5919">
      <w:pPr>
        <w:spacing w:before="100" w:after="100" w:line="360" w:lineRule="auto"/>
        <w:jc w:val="both"/>
        <w:rPr>
          <w:rFonts w:ascii="Arial" w:hAnsi="Arial" w:cs="Arial"/>
          <w:strike/>
          <w:sz w:val="24"/>
          <w:szCs w:val="24"/>
        </w:rPr>
      </w:pPr>
      <w:r w:rsidRPr="00103A0B">
        <w:rPr>
          <w:rFonts w:ascii="Arial" w:eastAsia="Times New Roman" w:hAnsi="Arial" w:cs="Arial"/>
          <w:sz w:val="24"/>
          <w:szCs w:val="24"/>
          <w:lang w:eastAsia="en-GB"/>
        </w:rPr>
        <w:t xml:space="preserve">Modifiable factors are important to explore as they can be changed or improved as opposed to non-modifiable factors </w:t>
      </w:r>
      <w:r w:rsidRPr="00103A0B">
        <w:rPr>
          <w:rFonts w:ascii="Arial" w:eastAsia="Times New Roman" w:hAnsi="Arial" w:cs="Arial"/>
          <w:sz w:val="24"/>
          <w:szCs w:val="24"/>
          <w:lang w:eastAsia="en-GB"/>
        </w:rPr>
        <w:fldChar w:fldCharType="begin" w:fldLock="1"/>
      </w:r>
      <w:r w:rsidR="00833C44" w:rsidRPr="00103A0B">
        <w:rPr>
          <w:rFonts w:ascii="Arial" w:eastAsia="Times New Roman" w:hAnsi="Arial" w:cs="Arial"/>
          <w:sz w:val="24"/>
          <w:szCs w:val="24"/>
          <w:lang w:eastAsia="en-GB"/>
        </w:rPr>
        <w:instrText>ADDIN CSL_CITATION {"citationItems":[{"id":"ITEM-1","itemData":{"DOI":"10.1016/j.dsx.2020.06.069","ISSN":"18780334","PMID":"32688241","abstract":"Background: Prediabetes is a risk state for the future development of type 2 diabetes. Previously, it was evident that the risk factors for diabetes differ by gender. However, conclusive evidence regarding the gender difference in modifiable risk factors associated with the presence of pre-diabetes is still lacking. Aims: To systematically identify and summarize the available literature on whether the modifiable risk factors associated with prediabetes displays similar relationship in both the genders. Methods: A systematic search was performed on electronic databases i.e. PubMed, EBSCOhost, and Scopus using “sex”, “gender”, “modifiable risk factors” and “prediabetes” as keywords. Reference list from identified studies was used to augment the search strategy. Methodological quality and results from individual studies were summarized in tables. Results: Gender differences in the risk factor association were observed among reviewed studies. Overall, reported association between risk factors and prediabetes apparently stronger among men. In particular, abdominal obesity, dyslipidemia, smoking and alcohol drinking habits were risk factors that showed prominent association among men. Hypertension and poor diet quality may appear to be stronger among women. General obesity showed stringent hold, while physical activity not significantly associated with the risk of prediabetes in both the genders. Conclusions: Evidence suggests the existence of gender differences in risk factors associated with prediabetes, demands future researchers to analyze data separately based on gender. The consideration and the implementation of gender differences in health policies and in diabetes prevention programs may improve the quality of care and reduce number of diabetes prevalence among prediabetic subjects.","author":[{"dropping-particle":"","family":"Siddiqui","given":"Sania","non-dropping-particle":"","parse-names":false,"suffix":""},{"dropping-particle":"","family":"Zainal","given":"Hadzliana","non-dropping-particle":"","parse-names":false,"suffix":""},{"dropping-particle":"","family":"Harun","given":"Sabariah Noor","non-dropping-particle":"","parse-names":false,"suffix":""},{"dropping-particle":"","family":"Sheikh Ghadzi","given":"Siti Maisharah","non-dropping-particle":"","parse-names":false,"suffix":""},{"dropping-particle":"","family":"Ghafoor","given":"Saadia","non-dropping-particle":"","parse-names":false,"suffix":""}],"container-title":"Diabetes and Metabolic Syndrome: Clinical Research and Reviews","id":"ITEM-1","issue":"5","issued":{"date-parts":[["2020"]]},"page":"1243-1252","publisher":"Elsevier Ltd","title":"Gender differences in the modifiable risk factors associated with the presence of prediabetes: a systematic review","type":"article-journal","volume":"14"},"uris":["http://www.mendeley.com/documents/?uuid=ef5560c8-04b0-4090-949e-86562bcdbf9c"]},{"id":"ITEM-2","itemData":{"URL":"https://www.heart.org/en/health-topics/diabetes/understand-your-risk-for-diabetes/prediabetes-modifiable-risk-factors","accessed":{"date-parts":[["2020","11","1"]]},"author":[{"dropping-particle":"","family":"American Heart Association","given":"","non-dropping-particle":"","parse-names":false,"suffix":""}],"id":"ITEM-2","issued":{"date-parts":[["2015"]]},"title":"Prediabetes modifiable risk factors","type":"webpage"},"uris":["http://www.mendeley.com/documents/?uuid=0ca16c4c-7999-4044-a1e1-71e97cc7ca8b"]}],"mendeley":{"formattedCitation":"(American Heart Association, 2015; Siddiqui et al., 2020)","plainTextFormattedCitation":"(American Heart Association, 2015; Siddiqui et al., 2020)","previouslyFormattedCitation":"(American Heart Association, 2015; Siddiqui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(American Heart Association, 2015; Siddiqui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I</w:t>
      </w:r>
      <w:r w:rsidRPr="00103A0B">
        <w:rPr>
          <w:rFonts w:ascii="Arial" w:hAnsi="Arial" w:cs="Arial"/>
          <w:color w:val="000000" w:themeColor="text1"/>
          <w:sz w:val="24"/>
          <w:szCs w:val="24"/>
        </w:rPr>
        <w:t xml:space="preserve">t is recommended that to develop and improve DPPs, studies should </w:t>
      </w:r>
      <w:r w:rsidRPr="00103A0B">
        <w:rPr>
          <w:rFonts w:ascii="Arial" w:eastAsia="Times New Roman" w:hAnsi="Arial" w:cs="Arial"/>
          <w:sz w:val="24"/>
          <w:szCs w:val="24"/>
          <w:lang w:eastAsia="en-GB"/>
        </w:rPr>
        <w:t xml:space="preserve">explore factors that affect participants’ decisions when making the choice to start and complete DPPs </w:t>
      </w:r>
      <w:r w:rsidRPr="00103A0B">
        <w:rPr>
          <w:rFonts w:ascii="Arial" w:eastAsia="Times New Roman" w:hAnsi="Arial" w:cs="Arial"/>
          <w:sz w:val="24"/>
          <w:szCs w:val="24"/>
          <w:lang w:eastAsia="en-GB"/>
        </w:rPr>
        <w:fldChar w:fldCharType="begin" w:fldLock="1"/>
      </w:r>
      <w:r w:rsidR="00717295" w:rsidRPr="00103A0B">
        <w:rPr>
          <w:rFonts w:ascii="Arial" w:eastAsia="Times New Roman" w:hAnsi="Arial" w:cs="Arial"/>
          <w:sz w:val="24"/>
          <w:szCs w:val="24"/>
          <w:lang w:eastAsia="en-GB"/>
        </w:rPr>
        <w:instrText>ADDIN CSL_CITATION {"citationItems":[{"id":"ITEM-1","itemData":{"DOI":"10.1186/s13012-015-0354-6","author":[{"dropping-particle":"","family":"Aziz","given":"Zahra","non-dropping-particle":"","parse-names":false,"suffix":""},{"dropping-particle":"","family":"Absetz","given":"Pilvikki","non-dropping-particle":"","parse-names":false,"suffix":""},{"dropping-particle":"","family":"Oldroyd","given":"John","non-dropping-particle":"","parse-names":false,"suffix":""},{"dropping-particle":"","family":"Pronk","given":"Nicolaas P","non-dropping-particle":"","parse-names":false,"suffix":""},{"dropping-particle":"","family":"Oldenburg","given":"Brian","non-dropping-particle":"","parse-names":false,"suffix":""}],"container-title":"Implementation Science","id":"ITEM-1","issue":"172","issued":{"date-parts":[["2015"]]},"page":"1-17","publisher":"Implementation Science","title":"A systematic review of real-world diabetes prevention programs : learnings from the last 15 years","type":"article-journal","volume":"10"},"uris":["http://www.mendeley.com/documents/?uuid=1cf51005-c143-49f1-97fc-6ad81fc1944a"]},{"id":"ITEM-2","itemData":{"DOI":"10.1111/bjhp.1","author":[{"dropping-particle":"","family":"Borek","given":"Aleksandra J","non-dropping-particle":"","parse-names":false,"suffix":""},{"dropping-particle":"","family":"Abraham","given":"Charles","non-dropping-particle":"","parse-names":false,"suffix":""},{"dropping-particle":"","family":"Greaves","given":"Colin J","non-dropping-particle":"","parse-names":false,"suffix":""},{"dropping-particle":"","family":"Tarrant","given":"Mark","non-dropping-particle":"","parse-names":false,"suffix":""},{"dropping-particle":"","family":"Garner","given":"Nikki","non-dropping-particle":"","parse-names":false,"suffix":""},{"dropping-particle":"","family":"Pascale","given":"Melanie","non-dropping-particle":"","parse-names":false,"suffix":""}],"container-title":"British Journal of Health Psychology","id":"ITEM-2","issued":{"date-parts":[["2019"]]},"page":"787-805","title":"‘ We ’re all in the same boat ’: a qualitative study on how groups work in a diabetes prevention and management programme","type":"article-journal","volume":"24"},"uris":["http://www.mendeley.com/documents/?uuid=894ef5cc-3b9e-4f33-ba76-2387fb2a3e8e"]},{"id":"ITEM-3","itemData":{"ISBN":"1549-1277","ISSN":"15491676","PMID":"27404094","abstract":"BACKGROUND: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Medicine","id":"ITEM-3","issue":"7","issued":{"date-parts":[["2016"]]},"page":"e1002078","title":"Engagement, retention, and progression to type 2 diabetes: a retrospective analysis of the cluster-randomised \"Let's Prevent Diabetes\" trial","type":"article-journal","volume":"13"},"uris":["http://www.mendeley.com/documents/?uuid=34e3af29-349e-4120-a3cb-a3a7408ba3b4"]},{"id":"ITEM-4","itemData":{"DOI":"10.1111/dme.14855","ISSN":"14645491","PMID":"35441747","abstract":"Aims: The English National Health Service Diabetes Prevention Programme (NHS DPP) is commissioned by NHS England and has been rolled out across England to adults identified as being at high risk of type 2 diabetes. The present scoping review aimed to identify the extent and nature of evidence to date on the NHS DPP and describe what the evidence has reported. Methods: A scoping review involving searches of various sources (including MEDLINE, CINAHL, MediArXiv, Google Scholar and GreyLit) was conducted on 31 August 2021 and repeated on 09 February 2022. Only articles reporting on the NHS DPP made available since 2015 were eligible for inclusion. Results: 65 articles were included. Of these, 37 were journal publications. Most articles were made available in 2018 and 2020 (total n = 25). The majority of articles reported on uptake and retention (n = 27) whilst others reported on implementation considerations (n = 24), programme outcomes (n = 21), stakeholder experience (n = 8) and screening and referral processes (n = 3). Various research methods were reported and included qualitative (n = 9) and document analysis (n = 8). Articles revealed preliminary evidence on service user characteristics, rates of referral, uptake and retention as well as how far the NHS DPP is being delivered in line with its evidence base and service specification. Conclusions: The evidence is accumulating on NHS DPP uptake and retention most, with emerging evidence on programme outcomes (such as weight loss and HbA1c). More evidence is warranted on stakeholder experience to decipher how to overcome low initial and long-term engagement reported by the current evidence base.","author":[{"dropping-particle":"","family":"Whelan","given":"Maxine","non-dropping-particle":"","parse-names":false,"suffix":""},{"dropping-particle":"","family":"Bell","given":"Lauren","non-dropping-particle":"","parse-names":false,"suffix":""}],"container-title":"Diabetic Medicine","id":"ITEM-4","issue":"7","issued":{"date-parts":[["2022"]]},"page":"1-10","title":"The English national health service diabetes prevention programme (NHS DPP): A scoping review of existing evidence","type":"article-journal","volume":"39"},"uris":["http://www.mendeley.com/documents/?uuid=4e305d54-82c5-4d89-8b39-c8e481563394"]}],"mendeley":{"formattedCitation":"(Aziz et al., 2015; Borek et al., 2019; Gray et al., 2016; Whelan &amp; Bell, 2022)","plainTextFormattedCitation":"(Aziz et al., 2015; Borek et al., 2019; Gray et al., 2016; Whelan &amp; Bell, 2022)","previouslyFormattedCitation":"(Aziz et al., 2015; Borek et al., 2019; Gray et al., 2016; Whelan &amp; Bell, 2022)"},"properties":{"noteIndex":0},"schema":"https://github.com/citation-style-language/schema/raw/master/csl-citation.json"}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717295" w:rsidRPr="00103A0B">
        <w:rPr>
          <w:rFonts w:ascii="Arial" w:eastAsia="Times New Roman" w:hAnsi="Arial" w:cs="Arial"/>
          <w:noProof/>
          <w:sz w:val="24"/>
          <w:szCs w:val="24"/>
          <w:lang w:eastAsia="en-GB"/>
        </w:rPr>
        <w:t>(Aziz et al., 2015; Borek et al., 2019; Gray et al., 2016; Whelan &amp; Bell, 2022)</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particularly those from ethnically diverse backgrounds living in socioeconomically deprived areas as many DPPs have found they are less likely to start and complete</w:t>
      </w:r>
      <w:r w:rsidR="00833C44" w:rsidRPr="00103A0B">
        <w:rPr>
          <w:rFonts w:ascii="Arial" w:eastAsia="Times New Roman" w:hAnsi="Arial" w:cs="Arial"/>
          <w:sz w:val="24"/>
          <w:szCs w:val="24"/>
          <w:lang w:eastAsia="en-GB"/>
        </w:rPr>
        <w:t xml:space="preserve"> </w:t>
      </w:r>
      <w:r w:rsidR="00833C44" w:rsidRPr="00103A0B">
        <w:rPr>
          <w:rFonts w:ascii="Arial" w:eastAsia="Times New Roman" w:hAnsi="Arial" w:cs="Arial"/>
          <w:sz w:val="24"/>
          <w:szCs w:val="24"/>
          <w:lang w:eastAsia="en-GB"/>
        </w:rPr>
        <w:fldChar w:fldCharType="begin" w:fldLock="1"/>
      </w:r>
      <w:r w:rsidR="005C6715" w:rsidRPr="00103A0B">
        <w:rPr>
          <w:rFonts w:ascii="Arial" w:eastAsia="Times New Roman" w:hAnsi="Arial" w:cs="Arial"/>
          <w:sz w:val="24"/>
          <w:szCs w:val="24"/>
          <w:lang w:eastAsia="en-GB"/>
        </w:rPr>
        <w:instrText>ADDIN CSL_CITATION {"citationItems":[{"id":"ITEM-1","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Open","id":"ITEM-1","issued":{"date-parts":[["2019"]]},"page":"e028491","title":"Users ’ experiences of a pragmatic diabetes prevention intervention implemented in primary care: qualitative study","type":"article-journal","volume":"9"},"uris":["http://www.mendeley.com/documents/?uuid=883930c4-afe2-4928-a344-24e5a77c114f"]},{"id":"ITEM-2","itemData":{"ISSN":"21665435","abstract":"Introduction: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Disease","id":"ITEM-2","issued":{"date-parts":[["2014"]]},"page":"140006","title":"Implementation and outcomes of the New York state YMCA diabetes prevention program: A multisite community-based translation, 2010-2012","type":"article-journal","volume":"11"},"uris":["http://www.mendeley.com/documents/?uuid=d5f59245-ab59-4ba0-bd1c-beec143eb24b"]},{"id":"ITEM-3","itemData":{"DOI":"https://doi.org/10.1016/j.cct.2020.105960","ISSN":"15592030","PMID":"32087338","abstract":"Diabetes prevalence has risen rapidly and has become a global health challenge. The Diabetes Prevention Program (DPP) has been shown to prevent or delay the development of diabetes among individuals with prediabetes. Yet, diabetes prevention studies within the Medicaid population are limited and results are mixed. This study aimed to evaluate the impact of different financial incentive strategies on the utilization of the DPP for Medicaid managed care adults in New York State. A four-arm randomized controlled trial was conducted among Medicaid managed care adult enrollees diagnosed with prediabetes and/or obesity. Study participants were offered a 16-week DPP with various incentive strategies based on class attendance and weight loss as follows: Attendance-Only, Weight-Loss Only, and both Attendance and Weight-Loss. A control group was offered DPP with no incentives for attendance or weight loss. We evaluated the impact of incentives on achievement of the program completion and weight-loss milestone. Participants who received incentives for the Attendance-Only class were least likely to be lost to follow-up, more likely to complete the program, and had two times higher percentage of meeting the weight-loss milestone compared to the control group. Results for the other incentive cohorts were mixed. A strong positive association was observed for participants who attended 9 or more classes and weight-loss regardless of incentive strategies. Providing monetary incentives for DPP class attendance had a positive impact on program completion and achieving the weight-loss milestone. However, the results from this study indicate that participant enrollment and retention remained challenges despite the incentives.","author":[{"dropping-particle":"","family":"Chin","given":"Jo Yu","non-dropping-particle":"","parse-names":false,"suffix":""},{"dropping-particle":"","family":"Matson","given":"Jacqueline","non-dropping-particle":"","parse-names":false,"suffix":""},{"dropping-particle":"","family":"McCauley","given":"Susan","non-dropping-particle":"","parse-names":false,"suffix":""},{"dropping-particle":"","family":"Anarella","given":"Joseph","non-dropping-particle":"","parse-names":false,"suffix":""},{"dropping-particle":"","family":"Gesten","given":"Foster","non-dropping-particle":"","parse-names":false,"suffix":""},{"dropping-particle":"","family":"Roohan","given":"Patrick","non-dropping-particle":"","parse-names":false,"suffix":""}],"container-title":"Contemporary Clinical Trials","id":"ITEM-3","issued":{"date-parts":[["2020"]]},"page":"105960","publisher":"Elsevier","title":"The impact of financial incentives on utilization and outcomes of diabetes prevention programs among Medicaid managed care adults in New York state","type":"article-journal","volume":"91"},"uris":["http://www.mendeley.com/documents/?uuid=73705fca-c50d-4e34-861c-f5f59cddb6a5"]},{"id":"ITEM-4","itemData":{"ISBN":"1549-1277","ISSN":"15491676","PMID":"27404094","abstract":"BACKGROUND: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Medicine","id":"ITEM-4","issue":"7","issued":{"date-parts":[["2016"]]},"page":"e1002078","title":"Engagement, retention, and progression to type 2 diabetes: a retrospective analysis of the cluster-randomised \"Let's Prevent Diabetes\" trial","type":"article-journal","volume":"13"},"uris":["http://www.mendeley.com/documents/?uuid=34e3af29-349e-4120-a3cb-a3a7408ba3b4"]},{"id":"ITEM-5","itemData":{"DOI":"https://doi.org/10.1016/j.pmedr.2019.100961","author":[{"dropping-particle":"","family":"Jeffers","given":"K.S.","non-dropping-particle":"","parse-names":false,"suffix":""},{"dropping-particle":"","family":"Castellon-lopez","given":"Y.","non-dropping-particle":"","parse-names":false,"suffix":""},{"dropping-particle":"","family":"Grotts","given":"J.","non-dropping-particle":"","parse-names":false,"suffix":""},{"dropping-particle":"","family":"Mangione","given":"C.M.","non-dropping-particle":"","parse-names":false,"suffix":""},{"dropping-particle":"","family":"Moin","given":"T.","non-dropping-particle":"","parse-names":false,"suffix":""},{"dropping-particle":"","family":"Tseng","given":"C.","non-dropping-particle":"","parse-names":false,"suffix":""},{"dropping-particle":"","family":"Al.","given":"Et","non-dropping-particle":"","parse-names":false,"suffix":""}],"container-title":"Preventive Medicine Reports","id":"ITEM-5","issued":{"date-parts":[["2019"]]},"page":"1-7","title":"Diabetes prevention program attendance is associated with improved patient activation: results from the prediabetes informed decisions and education (PRIDE) study","type":"article-journal","volume":"16"},"uris":["http://www.mendeley.com/documents/?uuid=11512934-8964-4615-9b04-e45863353b74"]},{"id":"ITEM-6","itemData":{"DOI":"10.2337/dc12-1250","ISBN":"0149-5992\\r1935-5548","ISSN":"01495992","PMID":"23275375","abstract":"OBJECTIVE: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Care","id":"ITEM-6","issue":"7","issued":{"date-parts":[["2013"]]},"page":"2027-2034","title":"Translating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project","type":"article-journal","volume":"36"},"uris":["http://www.mendeley.com/documents/?uuid=6fb8d6ab-39ae-48b6-b78a-5dcf85b9cf0a"]},{"id":"ITEM-7","itemData":{"DOI":"10.1186/1471-2458-7-249","ISBN":"1471-2458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Health","id":"ITEM-7","issue":"249","issued":{"date-parts":[["2007"]]},"title":"Prevention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project","type":"article-journal","volume":"7"},"uris":["http://www.mendeley.com/documents/?uuid=ef090087-0d56-42cf-8079-ddbfceb8d350"]},{"id":"ITEM-8","itemData":{"ISSN":"0168-8227","abstract":"Aims To explore the acceptability of a telephone- or a group-delivered diabetes prevention program for women with previous gestational diabetes and to compare the characteristics associated with program engagement. Methods Postpartum women participated in a lifestyle modification program delivered by telephone (n=33) or group format (n=284). Semi-structured interviews on barriers and enablers to program engagement (defined as completing≥80% sessions) were conducted before (Group) and after (Group and Telephone) interventions. The Health Action Process Approach theory was used as the framework for inquiry. Psychological measures were compared between engagement subgroups before and after group-delivered intervention. Results In the telephone-delivered program 82% participants met the engagement criteria compared with 38% for the group-delivered program. Engaged participants (Group) had significantly higher risk perception, outcome expectancy, and activity self-efficacy at baseline (P&lt;0.05). There was a greater decrease in body weight (−1.45±3.9 vs −0.26±3.5, P=0.024) and waist circumference (−3.56±5.1 vs −1.24±5.3, P=0.002) for engaged vs non-engaged participants following group program completion. Conclusions Telephone delivery was associated with greater engagement in postpartum women. Engagement was associated with greater reduction in weight and waist circumference. Further studies are required to confirm the effectiveness of telephone-delivered program for diabetes prevention in postpartum women.","author":[{"dropping-particle":"","family":"Lim","given":"Siew","non-dropping-particle":"","parse-names":false,"suffix":""},{"dropping-particle":"","family":"Dunbar","given":"James A","non-dropping-particle":"","parse-names":false,"suffix":""},{"dropping-particle":"","family":"Versace","given":"Vincent L","non-dropping-particle":"","parse-names":false,"suffix":""},{"dropping-particle":"","family":"Janus","given":"Edward","non-dropping-particle":"","parse-names":false,"suffix":""},{"dropping-particle":"","family":"Wildey","given":"Carol","non-dropping-particle":"","parse-names":false,"suffix":""},{"dropping-particle":"","family":"Skinner","given":"Timothy","non-dropping-particle":"","parse-names":false,"suffix":""},{"dropping-particle":"","family":"O'Reilly","given":"Sharleen","non-dropping-particle":"","parse-names":false,"suffix":""}],"container-title":"Diabetes Research and Clinical Practice","id":"ITEM-8","issued":{"date-parts":[["2017"]]},"page":"254-262","title":"Comparing a telephone- and a group-delivered diabetes prevention program: characteristics of engaged and non-engaged postpartum mothers with a history of gestational diabetes","type":"article-journal","volume":"126"},"uris":["http://www.mendeley.com/documents/?uuid=1e1989aa-8480-458e-9774-bce442753e6b"]},{"id":"ITEM-9","itemData":{"DOI":"10.1016/j.amepre.2017.06.013","ISSN":"0749-3797","abstract":"Introduction: Reducing obesity and diabetes risks among women of child-bearing age is urgently needed to halt the transgenerational cycle of disease. Interventions among pregnant women have largely been ineffective and may be initiated too late to improve maternal and child health. The National Diabetes Prevention Program is a widely disseminated lifestyle intervention that may help mitigate risks before pregnancy. However, the program has targeted relatively older adults, and effectiveness among women of child-bearing age remains largely unknown.Methods: The National Diabetes Prevention Program was delivered in an urban safety net hospital. Reach and effectiveness were evaluated among 4,866 eligible women who were invited to participate in the program. The authors compared enrollment, attendance, and weight loss for women aged 18-39 years as compared to women aged ≥40 years. Data were collected between 2013 and 2016. Analyses were conducted in 2017.Results: Women of child-bearing age were nearly half as likely to enroll than older women in adjusted models (OR=0.58, 95% CI=0.49, 0.69). Subsequently, younger enrollees were less likely to attend ≥1 session(s) than older women (OR=0.77, 95% CI=0.61, 0.99). There was no significant age group difference in program completion rates or weight-loss outcomes. Both groups lost an average of 3% body weight.Conclusions: Women of child-bearing age were less likely than older women to engage in the National Diabetes Prevention Program; however, they were equally likely to benefit from weight loss when they attended. Further efforts are needed to improve engagement of women of child-bearing age.","author":[{"dropping-particle":"","family":"Ritchie","given":"Natalie D","non-dropping-particle":"","parse-names":false,"suffix":""},{"dropping-particle":"","family":"Sauder","given":"Katherine A","non-dropping-particle":"","parse-names":false,"suffix":""},{"dropping-particle":"","family":"Fabbri","given":"Stefka","non-dropping-particle":"","parse-names":false,"suffix":""}],"container-title":"American Journal of Preventive Medicine","id":"ITEM-9","issue":"5","issued":{"date-parts":[["2017","11"]]},"note":"Accession Number: 125526460. Language: English. Entry Date: 20180722. Revision Date: 20180722. Publication Type: journal article. Journal Subset: Biomedical; Health Promotion/Education; USA. Instrumentation: Maternal Confidence Questionnaire (MCQ) (Parker and Zahr). NLM UID: 8704773.","page":"714-718","publisher":"Elsevier B.V.","publisher-place":"Department of Psychiatry, University of Colorado School of Medicine, Aurora, Colorado","title":"Reach and effectiveness of the national diabetes prevention program for young women.","type":"article-journal","volume":"53"},"uris":["http://www.mendeley.com/documents/?uuid=eff8d673-f774-43d5-921c-c9d2cab22bd4"]},{"id":"ITEM-10","itemData":{"DOI":"10.1177/0890117117698623","ISSN":"08901171","abstract":"&lt;bold&gt;Purpose: &lt;/bold&gt;To study the effect of the National Diabetes Prevention Program (NDPP) on weight loss in Latinos.&lt;bold&gt;Design: &lt;/bold&gt;No-control, cohort study comparing Latino and non-Hispanic white (NHW) participants.&lt;bold&gt;Setting: &lt;/bold&gt;A health-care system.&lt;bold&gt;Participants: &lt;/bold&gt;Five hundred sixty-seven Latino and 175 NHW patients who enrolled in the NDPP. A total of 45.2% of Latinos selected the Spanish-language NDPP.&lt;bold&gt;Intervention: &lt;/bold&gt;The NDPP is a nationwide translation of a clinical trial and seeks to prevent diabetes through weight loss in a yearlong group program.&lt;bold&gt;Measures: &lt;/bold&gt;Independent variables included ethnicity, class language, and number of sessions attended. Main outcomes were initial attendance, number of sessions attended, and weight loss.&lt;bold&gt;Analysis: &lt;/bold&gt;Multivariate logistic regression and analysis of covariance were used to determine differences in NDPP outcomes by ethnicity, language, and number of sessions attended.&lt;bold&gt;Results: &lt;/bold&gt;Mean attendance was 8.60 of 22 sessions. Each session was associated with 0.30% (±0.02; P &lt; .001) body weight loss. Latinos were half as likely to attend as NHWs, odds ratio 0.52 ( P &lt; .001). Latino attendees came to 2.67 ± 0.63 ( P &lt; .001) fewer sessions than NHWs. There were no weight loss differences by ethnicity after controlling for attendance. Outcomes did not differ among Latinos in the English- and Spanish-language NDPP.&lt;bold&gt;Conclusion: &lt;/bold&gt;Latinos appeared to benefit less from the NDPP compared to NHWs, likely due to lower attendance rates. Further efforts are needed to support their participation. ABSTRACT FROM AUTHOR","author":[{"dropping-particle":"","family":"Ritchie","given":"Natalie D","non-dropping-particle":"","parse-names":false,"suffix":""},{"dropping-particle":"","family":"Christoe-Frazier","given":"Liesel","non-dropping-particle":"","parse-names":false,"suffix":""},{"dropping-particle":"","family":"McFann","given":"Kim K","non-dropping-particle":"","parse-names":false,"suffix":""},{"dropping-particle":"","family":"Havranek","given":"Edward P","non-dropping-particle":"","parse-names":false,"suffix":""},{"dropping-particle":"","family":"Pereira","given":"Rocio I","non-dropping-particle":"","parse-names":false,"suffix":""}],"container-title":"American Journal of Health Promotion","id":"ITEM-10","issue":"3","issued":{"date-parts":[["2018","3"]]},"note":"Accession Number: 127969961; Author: Ritchie, Natalie D.: 1,2 email: natalie.ritchie@dhha.org. Author: Christoe-Frazier, Liesel: 3 Author: McFann, Kim K.: 4 Author: Havranek, Edward P.: 5,6 Author: Pereira, Rocio I.: 5,7 ; Author Affiliation: 1 Ambulatory Care Services, Denver Health and Hospital Authority, Denver, CO, USA: 2 Department of Psychiatry, University of Colorado School of Medicine, Aurora, CO, USA: 3 Department of Counseling Psychology, University of Northern Colorado, Greeley, CO, USA: 4 Colorado School of Public Health, University of Colorado, Aurora, CO, USA: 5 Department of Medicine, Denver Health and Hospital Authority, Denver, CO, USA: 6 Department of Medicine, University of Colorado School of Medicine, Aurora, CO, USA: 7 Department of Endocrinology, University of Colorado School of Medicine, Aurora, CO, USA; No. of Pages: 4; Language: English; Publication Type: journal article; Update Code: 20180214","page":"812-815","title":"Effect of the national diabetes prevention program on weight loss for english- and spanish-speaking Latinos.","type":"article-journal","volume":"32"},"uris":["http://www.mendeley.com/documents/?uuid=7a97fc1b-c0ce-4a0c-b957-ea4f7f197adf"]},{"id":"ITEM-11","itemData":{"DOI":"10.3390/ijerph110202003","ISSN":"16617827","PMID":"24534767","abstract":"Objective: The purpose of this study was to identify patient preferences for different components of a local diabetes prevention program that would improve reach. A secondary purpose was to determine if patient characteristics were related to program preferences. Methods: Participants were identified through electronic medical records from two family medicine clinics in Virginia. Participants completed a mailed survey addressing demographics, economic status, risk factors for diabetes, and preferences regarding diabetes prevention interventions-delivery mode, program length, and duration. Results: Twenty-nine percent of eligible participants responded (n = 142); 83% of participants were at risk for diabetes and 82% had a household income &lt;$20,000. When presented with the choice between a class-based vs. a technology-based program, 83% preferred a technology-based program. Whites were less likely to choose the technology-based program, with no significant differences based on age, education, income, or gender. Conclusions: Contrary to beliefs that lower income individuals may not use technology-based interventions, lower socioeconomic patients indicated a preference for a technology- and telephone-supported diabetes prevention program over in-person class approaches. Findings provide formative data to support the design of a patient-centered, technology-enhanced diabetes prevention program in a real-world setting, thereby increasing potential participation and reach. © 2014 by the authors; licensee MDPI, Basel, Switzerland.","author":[{"dropping-particle":"","family":"Seidel","given":"Richard W.","non-dropping-particle":"","parse-names":false,"suffix":""},{"dropping-particle":"","family":"Pardo","given":"Kimberlee A.","non-dropping-particle":"","parse-names":false,"suffix":""},{"dropping-particle":"","family":"Estabrooks","given":"Paul A.","non-dropping-particle":"","parse-names":false,"suffix":""},{"dropping-particle":"","family":"You","given":"Wen","non-dropping-particle":"","parse-names":false,"suffix":""},{"dropping-particle":"","family":"Wall","given":"Sarah S.","non-dropping-particle":"","parse-names":false,"suffix":""},{"dropping-particle":"","family":"Davy","given":"Brenda M.","non-dropping-particle":"","parse-names":false,"suffix":""},{"dropping-particle":"","family":"Almeida","given":"Fabio A.","non-dropping-particle":"","parse-names":false,"suffix":""}],"container-title":"International Journal of Environmental Research and Public Health","id":"ITEM-11","issue":"2","issued":{"date-parts":[["2014"]]},"page":"2003-2013","title":"Beginning a patient-centered approach in the design of a diabetes prevention program","type":"article-journal","volume":"11"},"uris":["http://www.mendeley.com/documents/?uuid=14e39498-c275-42fb-8dd8-c305de75be05"]},{"id":"ITEM-12","itemData":{"DOI":"10.1186/s12966-019-0877-3","ISSN":"14795868","PMID":"31771589","abstract":"Objective: This two-site randomised trial compared the effectiveness of a voluntary sector-led, community-based diabetes prevention programme to a waiting-list control group at 6 months, and included an observational follow-up of the intervention arm to 12 months. Methods: Adults aged 18-75 years at increased risk of developing type 2 diabetes due to elevated blood glucose and being overweight were recruited from primary care practices at two UK sites, with data collected in participants' homes or community venues. Participants were randomised using an online central allocation service. The intervention, comprising the prototype \"Living Well, Taking Control\" (LWTC) programme, involved four weekly two-hour group sessions held in local community venues to promote changes in diet and physical activity, plus planned follow-up contacts at two, three, six, nine and 12 months alongside 5 hours of additional activities/classes. Waiting list controls received usual care for 6 months before accessing the programme. The primary outcome was weight loss at 6 months. Secondary outcomes included glycated haemoglobin (HbA1c), blood pressure, physical activity, diet, health status and well-being. Only researchers conducting analyses were blinded. Results: The target sample of 314 participants (157 each arm) was largely representative of local populations, including 44% men, 26% from ethnic minorities and 33% living in deprived areas. Primary outcome data were available for 285 (91%) participants (141 intervention, 144 control). Between baseline and 6 months, intervention participants on average lost more weight than controls (- 1.7 kg, 95% CI - 2.59 to - 0.85). Higher attendance was associated with greater weight loss (- 3.0 kg, 95% CI - 4.5 to - 1.5). The prototype LWTC programme more than doubled the proportion of participants losing &gt; 5% of their body weight (21% intervention vs. 8% control, OR 2.83, 95% CI 1.36 to 5.90) and improved self-reported dietary behaviour and health status. There were no impacts on HbA1c, blood pressure, physical activity and well-being at 6 months and, amongst intervention participants, few further changes from six to 12-months (e.g. average weight re-gain 0.36 kg, 95% CI - 0.20 to 0.91). There were no serious adverse events but four exercise-related injuries were reported in the intervention arm. Conclusions: This voluntary sector-led diabetes prevention programme reached a broad spectrum of the population and had modest effects on weight…","author":[{"dropping-particle":"","family":"Smith","given":"Jane R.","non-dropping-particle":"","parse-names":false,"suffix":""},{"dropping-particle":"","family":"Greaves","given":"Colin J.","non-dropping-particle":"","parse-names":false,"suffix":""},{"dropping-particle":"","family":"Thompson","given":"Janice L.","non-dropping-particle":"","parse-names":false,"suffix":""},{"dropping-particle":"","family":"Taylor","given":"Rod S.","non-dropping-particle":"","parse-names":false,"suffix":""},{"dropping-particle":"","family":"Jones","given":"Matthew","non-dropping-particle":"","parse-names":false,"suffix":""},{"dropping-particle":"","family":"Armstrong","given":"Rosy","non-dropping-particle":"","parse-names":false,"suffix":""},{"dropping-particle":"","family":"Moorlock","given":"Sarah","non-dropping-particle":"","parse-names":false,"suffix":""},{"dropping-particle":"","family":"Griffin","given":"Ann","non-dropping-particle":"","parse-names":false,"suffix":""},{"dropping-particle":"","family":"Solomon-Moore","given":"Emma","non-dropping-particle":"","parse-names":false,"suffix":""},{"dropping-particle":"","family":"Biddle","given":"Michele S.Y.","non-dropping-particle":"","parse-names":false,"suffix":""},{"dropping-particle":"","family":"Price","given":"Lisa","non-dropping-particle":"","parse-names":false,"suffix":""},{"dropping-particle":"","family":"Abraham","given":"Charles","non-dropping-particle":"","parse-names":false,"suffix":""}],"container-title":"International Journal of Behavioral Nutrition and Physical Activity","id":"ITEM-12","issued":{"date-parts":[["2019"]]},"page":"112","publisher":"International Journal of Behavioral Nutrition and Physical Activity","title":"The community-based prevention of diabetes (ComPoD) study: a randomised, waiting list controlled trial of a voluntary sector-led diabetes prevention programme","type":"article-journal","volume":"16"},"uris":["http://www.mendeley.com/documents/?uuid=ebd60753-e18e-4575-803f-dcdc56ae1d44"]},{"id":"ITEM-13","itemData":{"DOI":"10.1093/milmed/usz069","ISSN":"1930613X","PMID":"31132088","abstract":"Introduction: Effective, standardized, and easily accessible weight management programs are urgentlyneeded for military beneficiaries. Videoconference interventions have the potential for widespread scaling, and can provide both real time interaction and flexibility in delivery times regardless of location, but there is little information ontheir effectiveness and acceptability. Materials and Methods: This study as part of a larger weight loss trial describesthe videoconference adaption of Group Lifestyle Balance (GLB) program, a community group-based DiabetesPrevention Program intervention, and provides a comparison of weight loss and meeting attendance between in-personand videoconference delivery modes over 12 weeks in adult family members of military service members. Forty-threeparticipants were enrolled from two military installations and received either the videoconference-adapted or an inperson GLB program in a non-randomized trial design. Differences in program attendance and percent weight lost at12 weeks were compared by independent samples t-tests and nonparametric methods. Group differences in the percentage of weight lost over the 12-week period were analyzed using a linear mixed model. Results: All GLB interventioncomponents were successfully delivered by videoconference with minor adaptations for the different delivery mechanism. Participant retention was 70% and 96% in the in-person and videoconference groups, respectively (p = 0.04).Completing participants in both groups lost a significant percent body weight over the 12 week intervention (p &lt;0.001) and there was no difference in percent body weight after 12 weeks of intervention (6.2 ± 3.2% and 5.3 ± 3.4%for in-person and videoconference at 12 weeks, respectively; p = 0.60). Conclusion: This study describes the first videoconference adaption of the GLB program for use in military families. Attrition was lower in the videoconferencegroup, and there were a similar levels of weight loss in both groups regardless of delivery modality. Videoconferenceweight loss interventions are effective and feasible for scaling to support healthy weight management in military aswell as civilian populations.","author":[{"dropping-particle":"","family":"Taetzsch","given":"Amy","non-dropping-particle":"","parse-names":false,"suffix":""},{"dropping-particle":"","family":"Gilhooly","given":"Cheryl H.","non-dropping-particle":"","parse-names":false,"suffix":""},{"dropping-particle":"","family":"Bukhari","given":"Asma","non-dropping-particle":"","parse-names":false,"suffix":""},{"dropping-particle":"","family":"Das","given":"Sai Krupa","non-dropping-particle":"","parse-names":false,"suffix":""},{"dropping-particle":"","family":"Martin","given":"Edward","non-dropping-particle":"","parse-names":false,"suffix":""},{"dropping-particle":"","family":"Hatch","given":"Adrienne M.","non-dropping-particle":"","parse-names":false,"suffix":""},{"dropping-particle":"","family":"Silver","given":"Rachel E.","non-dropping-particle":"","parse-names":false,"suffix":""},{"dropping-particle":"","family":"Montain","given":"Scott J.","non-dropping-particle":"","parse-names":false,"suffix":""},{"dropping-particle":"","family":"Roberts","given":"Susan B.","non-dropping-particle":"","parse-names":false,"suffix":""}],"container-title":"Military Medicine","id":"ITEM-13","issue":"11-12","issued":{"date-parts":[["2019"]]},"page":"647-652","title":"Development of a videoconference-adapted version of the community diabetes prevention program, and comparison of weight loss with in-person program delivery","type":"article-journal","volume":"184"},"uris":["http://www.mendeley.com/documents/?uuid=aa45013d-5e74-4272-a15f-ec99110e710d"]},{"id":"ITEM-14","itemData":{"DOI":"10.2217/dmt.12.46","ISSN":"1758-1907","abstract":"Aims: This study aims to identify factors associated with participation in and adherence to a low-intensity diabetes prevention program. Methods: A total of 644 subjects who were at an intermediate-to-high risk for developing diabetes were enrolled in this study, aiming to acheive weight reduction, diet changes and regular physical activity. Results: Attendance at the baseline medical examination (n = 198) was associated with higher diabetes risk, being more anxious, lower fat intake and being unsatisfied more often with bodyweight compared with nonattendance. Workshops were attended by 142 individuals who were older and had lower levels of low-density lipoprotein cholesterol than nonattendees. Participants at the final medical examinations (n = 80) had a higher level of education, better self-rated fitness, fewer signs of depression and lower diastolic blood pressure than nonparticipants. Conclusion: Self-perceived diabetes risk can thus motivate people to participate in a diabetes prevention program. Adherence could be improved by adapting interventions to the education, possible depressive symptoms, fitness and health of participants. © 2012 Future Medicine Ltd.","author":[{"dropping-particle":"","family":"Teuschl","given":"Yvonne","non-dropping-particle":"","parse-names":false,"suffix":""},{"dropping-particle":"","family":"Matz","given":"Karl","non-dropping-particle":"","parse-names":false,"suffix":""},{"dropping-particle":"","family":"Dachenhausen","given":"Alexandra","non-dropping-particle":"","parse-names":false,"suffix":""},{"dropping-particle":"","family":"Tuomilehto","given":"Jaakko","non-dropping-particle":"","parse-names":false,"suffix":""},{"dropping-particle":"","family":"Brainin","given":"Michael","non-dropping-particle":"","parse-names":false,"suffix":""}],"container-title":"Diabetes Management","id":"ITEM-14","issue":"5","issued":{"date-parts":[["2012"]]},"page":"385-393","title":"Factors associated with participation in a diabetes prevention program in Austria: a prospective cohort study","type":"article-journal","volume":"2"},"uris":["http://www.mendeley.com/documents/?uuid=886bb5fb-3c3f-44f7-b53d-01c00c5a8a35"]},{"id":"ITEM-15","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Care","id":"ITEM-15","issued":{"date-parts":[["2020"]]},"page":"152-160","title":"Early outcomes from the English National Health Service diabetes prevention programme","type":"article-journal","volume":"43"},"uris":["http://www.mendeley.com/documents/?uuid=32a7a44a-df0b-4cde-9269-536e48e08190"]},{"id":"ITEM-16","itemData":{"DOI":"10.1016/j.diabres.2015.11.010","ISSN":"18728227","PMID":"26724186","abstract":"Aims/hypothesis: The Sydney Diabetes Prevention Program (SDPP) was a community-based type 2 diabetes prevention translational research study with screening and recruitment in the primary health care setting. We aimed to investigate the program's effectiveness in reducing risk factors for diabetes as well as the program's reach, adoption and implementation. Methods: 1238 participants aged 50-65 years at high-risk of developing type 2 diabetes were recruited by primary care physicians in the greater Sydney region. The intervention, delivered by trained allied health professionals, included an initial consultation, three group sessions/individual sessions, three follow-up phone calls, and a final review at 12 months. Biomarkers and behavioural goals were compared between baseline and 12 months. Results: At baseline, the mean age of those who entered the program was 58.8 ± 4.4 years, 63% female, and the mean body mass index was 31.6 ± 5.2 kg/m2. There was a significant weight reduction of 2 ± 4.3 kg (p &lt; 0.02) in the 850 participants who completed the 12-month follow-up accompanied by improvements in diet (total fat, saturated fat, and fibre intake) and physical activity. There were also significant reductions in waist circumference 2.6 ± 4.7 cm (p &lt; 0.001) and total cholesterol -0.2 ± 0.8 mmol/L (p &lt; 0.001) but not blood glucose. The diabetes risk reduction was estimated to be 30%, consistent with similar trials. Conclusions/interpretation: This study demonstrates that a community-based lifestyle modification program is effective in reducing important risk factors for diabetes in individuals at high-risk of developing type 2 diabetes.","author":[{"dropping-particle":"","family":"Vita","given":"Philip","non-dropping-particle":"","parse-names":false,"suffix":""},{"dropping-particle":"","family":"Cardona-Morrell","given":"Magnolia","non-dropping-particle":"","parse-names":false,"suffix":""},{"dropping-particle":"","family":"Bauman","given":"Adrian","non-dropping-particle":"","parse-names":false,"suffix":""},{"dropping-particle":"","family":"Singh","given":"Maria Fiatarone","non-dropping-particle":"","parse-names":false,"suffix":""},{"dropping-particle":"","family":"Moore","given":"Michael","non-dropping-particle":"","parse-names":false,"suffix":""},{"dropping-particle":"","family":"Pennock","given":"Rene","non-dropping-particle":"","parse-names":false,"suffix":""},{"dropping-particle":"","family":"Snow","given":"Jill","non-dropping-particle":"","parse-names":false,"suffix":""},{"dropping-particle":"","family":"Williams","given":"Mandy","non-dropping-particle":"","parse-names":false,"suffix":""},{"dropping-particle":"","family":"Jackson","given":"Lilian","non-dropping-particle":"","parse-names":false,"suffix":""},{"dropping-particle":"","family":"Milat","given":"Andrew","non-dropping-particle":"","parse-names":false,"suffix":""},{"dropping-particle":"","family":"Colagiuri","given":"Stephen","non-dropping-particle":"","parse-names":false,"suffix":""}],"container-title":"Diabetes Research and Clinical Practice","id":"ITEM-16","issued":{"date-parts":[["2016"]]},"page":"13-19","publisher":"Elsevier Ireland Ltd","title":"Type 2 diabetes prevention in the community: 12-month outcomes from the Sydney diabetes prevention program","type":"article-journal","volume":"112"},"uris":["http://www.mendeley.com/documents/?uuid=2a083f9e-7958-4f53-b930-1e6a977893c9"]},{"id":"ITEM-17","itemData":{"DOI":"10.1111/phn.12093","author":[{"dropping-particle":"","family":"Whittemore","given":"R","non-dropping-particle":"","parse-names":false,"suffix":""},{"dropping-particle":"","family":"Rosenberg","given":"A","non-dropping-particle":"","parse-names":false,"suffix":""},{"dropping-particle":"","family":"Gilmore","given":"L","non-dropping-particle":"","parse-names":false,"suffix":""},{"dropping-particle":"","family":"Withey","given":"Mary","non-dropping-particle":"","parse-names":false,"suffix":""},{"dropping-particle":"","family":"Breault","given":"Allison","non-dropping-particle":"","parse-names":false,"suffix":""}],"container-title":"Public Health Nursing","id":"ITEM-17","issue":"4","issued":{"date-parts":[["2014"]]},"page":"317-326","title":"Implementation of a diabetes prevention program in public housing communities","type":"article-journal","volume":"31"},"uris":["http://www.mendeley.com/documents/?uuid=df520635-dde4-4267-afd4-849f5c5c578e"]},{"id":"ITEM-18","itemData":{"ISSN":"08901171","abstract":"&lt;bold&gt;Purpose: &lt;/bold&gt;Our objective is to evaluate the \"reach\" component of the Reach Effectiveness Adoption Implementation Maintenance (RE-AIM) framework by comparing prediabetics who were and were not interested in enrolling in a free work site diabetes prevention program (DPP) during the first year of the program. Reach is defined as the proportion of eligible participants who enroll in a health program.&lt;bold&gt;Design: &lt;/bold&gt;A cross-sectional study design was used.&lt;bold&gt;Setting: &lt;/bold&gt;The setting was a large health system in the Midwest.&lt;bold&gt;Participants: &lt;/bold&gt;Prediabetic health plan enrollees and spouses (N = 2158).&lt;bold&gt;Measures: &lt;/bold&gt;An online health survey, annual voluntary biometric screenings delivered by a trained health-care professional using standardized protocols via point-of-care testing, and records from the DPP office were the sources of data for this study.&lt;bold&gt;Analysis: &lt;/bold&gt;Health behaviors and biometric screening results were simultaneously compared using multivariable logistic regression.&lt;bold&gt;Results: &lt;/bold&gt;The study population was 63% female, 79% white, and 16% black, and the mean age was 50.2 years (SD = 10.2). The reach of this program was 10%. Prediabetics were more likely to express interest in the DPP, if they were female (adjusted odds ratio [AOR]: 2.4; 95% confidence interval [95% CI]: 1.55-3.72; P &lt; .001), black (AOR = 2.23; 95% CI: 1.43-3.47; P &lt; .001), older in age (AOR: 1.08; 95% CI: 0.99-1.17; P = .05), or had a high-risk waist circumference (AOR = 1.44; 95% CI: 0.98-2.13; P = .07), lower self-efficacy to make healthy changes (AOR = 0.48; 95% CI: 0.26-0.91; P = .03), and 5 or more doctor visits in the last year (AOR = 2.13; 95% CI: 0.99-4.57; P = .05), after controlling for other covariates.&lt;bold&gt;Conclusion: &lt;/bold&gt;Current recruitment and implementation strategies are reaching only a small group of individuals who are not representative of the larger prediabetic population. These findings inform future engagement strategies, and we recommend that public health practitioners evaluate reach to ensure that health promotion programs are of high value. ABSTRACT FROM AUTHOR","author":[{"dropping-particle":"","family":"Zigmont","given":"Victoria A","non-dropping-particle":"","parse-names":false,"suffix":""},{"dropping-particle":"","family":"Shoben","given":"Abigail B","non-dropping-particle":"","parse-names":false,"suffix":""},{"dropping-particle":"","family":"Kaye","given":"Gail L","non-dropping-particle":"","parse-names":false,"suffix":""},{"dropping-particle":"","family":"Snow","given":"Richard J","non-dropping-particle":"","parse-names":false,"suffix":""},{"dropping-particle":"","family":"Clinton","given":"Steven K","non-dropping-particle":"","parse-names":false,"suffix":""},{"dropping-particle":"","family":"Harris","given":"Randall E","non-dropping-particle":"","parse-names":false,"suffix":""},{"dropping-particle":"","family":"Olivo-Marston","given":"Susan E","non-dropping-particle":"","parse-names":false,"suffix":""}],"container-title":"American Journal of Health Promotion","id":"ITEM-18","issue":"6","issued":{"date-parts":[["2018"]]},"note":"Accession Number: 130506972; Author: Zigmont, Victoria A.: 1 email: vzigmont42@gmail.com. Author: Shoben, Abigail B.: 2 Author: Kaye, Gail L.: 3 Author: Snow, Richard J.: 4 Author: Clinton, Steven K.: 5 Author: Harris, Randall E.: 6 Author: Olivo-Marston, Susan E.: 6 ; Author Affiliation: 1 Department of Public Health, Southern Connecticut State University, New Haven, CT, USA: 2 Division of Biostatistics, College of Public Health, The Ohio State University, Columbus, OH, USA: 3 Division of Health Promotion, College of Public Health, The Ohio State University, Columbus, OH, USA: 4 Touro College of Osteopathic Medicine, Touro University, Vallejo, CA, USA: 5 Department of Internal Medicine, The Ohio State University College of Medicine, Columbus, OH, USA: 6 Division of Epidemiology, College of Public Health, The Ohio State University, Columbus, OH, USA; No. of Pages: 8; Language: English; Publication Type: journal article; Update Code: 20180706","page":"1417-1424","title":"An evaluation of reach for a work site implementation of the national diabetes prevention program focusing on diet and exercise.","type":"article-journal","volume":"32"},"uris":["http://www.mendeley.com/documents/?uuid=eadca763-b969-4148-b924-ba4cd499e859"]}],"mendeley":{"formattedCitation":"(Aujla et al., 2019; Bozack et al., 2014; Chin et al., 2020; Gray et al., 2016; Jeffers et al., 2019; Jiang et al., 2013; Laatikainen et al., 2007; Lim et al., 2017; Ritchie et al., 2017, 2018; R. W. Seidel et al., 2014; J. R. Smith et al., 2019; Taetzsch et al., 2019; Teuschl et al., 2012; Valabhji et al., 2020; Vita et al., 2016; Whittemore et al., 2014; Zigmont et al., 2018)","manualFormatting":"(Aujla et al., 2019; Bozack et al., 2014; Chin et al., 2020; Gray et al., 2016; Jeffers et al., 2019; Jiang et al., 2013; Laatikainen et al., 2007; Lim et al., 2017; Ritchie et al., 2017, 2018; Seidel et al., 2014; Smith et al., 2019; Taetzsch et al., 2019; Teuschl et al., 2012; Valabhji et al., 2020; Vita et al., 2016; Whittemore et al., 2014; Zigmont et al., 2018)","plainTextFormattedCitation":"(Aujla et al., 2019; Bozack et al., 2014; Chin et al., 2020; Gray et al., 2016; Jeffers et al., 2019; Jiang et al., 2013; Laatikainen et al., 2007; Lim et al., 2017; Ritchie et al., 2017, 2018; R. W. Seidel et al., 2014; J. R. Smith et al., 2019; Taetzsch et al., 2019; Teuschl et al., 2012; Valabhji et al., 2020; Vita et al., 2016; Whittemore et al., 2014; Zigmont et al., 2018)","previouslyFormattedCitation":"(Aujla et al., 2019; Bozack et al., 2014; Chin et al., 2020; Gray et al., 2016; Jeffers et al., 2019; Jiang et al., 2013; Laatikainen et al., 2007; Lim et al., 2017; Ritchie et al., 2017, 2018; R. W. Seidel et al., 2014; J. R. Smith et al., 2019; Taetzsch et al., 2019; Teuschl et al., 2012; Valabhji et al., 2020; Vita et al., 2016; Whittemore et al., 2014; Zigmont et al., 2018)"},"properties":{"noteIndex":0},"schema":"https://github.com/citation-style-language/schema/raw/master/csl-citation.json"}</w:instrText>
      </w:r>
      <w:r w:rsidR="00833C44" w:rsidRPr="00103A0B">
        <w:rPr>
          <w:rFonts w:ascii="Arial" w:eastAsia="Times New Roman" w:hAnsi="Arial" w:cs="Arial"/>
          <w:sz w:val="24"/>
          <w:szCs w:val="24"/>
          <w:lang w:eastAsia="en-GB"/>
        </w:rPr>
        <w:fldChar w:fldCharType="separate"/>
      </w:r>
      <w:r w:rsidR="002830A0" w:rsidRPr="00103A0B">
        <w:rPr>
          <w:rFonts w:ascii="Arial" w:eastAsia="Times New Roman" w:hAnsi="Arial" w:cs="Arial"/>
          <w:noProof/>
          <w:sz w:val="24"/>
          <w:szCs w:val="24"/>
          <w:lang w:eastAsia="en-GB"/>
        </w:rPr>
        <w:t>(Aujla et al., 2019; Bozack et al., 2014; Chin et al., 2020; Gray et al., 2016; Jeffers et al., 2019; Jiang et al., 2013; Laatikainen et al., 2007; Lim et al., 2017; Ritchie et al., 2017, 2018; Seidel et al., 2014;</w:t>
      </w:r>
      <w:r w:rsidR="00B93938" w:rsidRPr="00103A0B">
        <w:rPr>
          <w:rFonts w:ascii="Arial" w:eastAsia="Times New Roman" w:hAnsi="Arial" w:cs="Arial"/>
          <w:noProof/>
          <w:sz w:val="24"/>
          <w:szCs w:val="24"/>
          <w:lang w:eastAsia="en-GB"/>
        </w:rPr>
        <w:t xml:space="preserve"> </w:t>
      </w:r>
      <w:r w:rsidR="002830A0" w:rsidRPr="00103A0B">
        <w:rPr>
          <w:rFonts w:ascii="Arial" w:eastAsia="Times New Roman" w:hAnsi="Arial" w:cs="Arial"/>
          <w:noProof/>
          <w:sz w:val="24"/>
          <w:szCs w:val="24"/>
          <w:lang w:eastAsia="en-GB"/>
        </w:rPr>
        <w:t>Smith et al., 2019; Taetzsch et al., 2019; Teuschl et al., 2012; Valabhji et al., 2020; Vita et al., 2016; Whittemore et al., 2014; Zigmont et al., 2018)</w:t>
      </w:r>
      <w:r w:rsidR="00833C44"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r w:rsidR="00B93938" w:rsidRPr="00103A0B">
        <w:rPr>
          <w:rFonts w:ascii="Arial" w:eastAsia="Times New Roman" w:hAnsi="Arial" w:cs="Arial"/>
          <w:sz w:val="24"/>
          <w:szCs w:val="24"/>
          <w:lang w:eastAsia="en-GB"/>
        </w:rPr>
        <w:t xml:space="preserve"> </w:t>
      </w:r>
      <w:r w:rsidRPr="00103A0B">
        <w:rPr>
          <w:rFonts w:ascii="Arial" w:hAnsi="Arial" w:cs="Arial"/>
          <w:sz w:val="24"/>
          <w:szCs w:val="24"/>
        </w:rPr>
        <w:t>Diabetes Prevention Programmes have stated the need to explore why participants do not start or complete programmes, and to investigate facilitators and barriers</w:t>
      </w:r>
      <w:r w:rsidR="00050ED6" w:rsidRPr="00103A0B">
        <w:rPr>
          <w:rFonts w:ascii="Arial" w:hAnsi="Arial" w:cs="Arial"/>
          <w:sz w:val="24"/>
          <w:szCs w:val="24"/>
        </w:rPr>
        <w:t xml:space="preserve">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{"citationItems":[{"id":"ITEM-1","itemData":{"DOI":"10.5888/pcd14.160486","ISSN":"15451151","PMID":"28358669","abstract":"METHODS: Among Montefiore Health System (MHS) patients referred to YMCA's DPP (n = 1,249) from July 10, 2010, through November 11, 2015, we identified demographic factors (eg, age, preferred language) and primary care practice-level factors (eg, time between referral and start of session, session season) associated with placement into a session and subsequent drop-out. We also evaluated factors associated with weight loss. RESULTS: Patients were predominantly female (71%) and aged 45 years or older (71%). Patients preferring sessions in Spanish were less often placed in sessions. Patients aged 18 to 44 years were less often placed (P = .01) and enrolled (P = .001) than patients aged 60 years or older. Sessions conducted in the summer and spring had higher enrollment than fall and winter months. Patients who started the YMCA's DPP within 2 months of their referral date were more often enrolled (54.4%) than patients who waited 4 or more months (21.6%) to start their sessions. Patients aged 45 to 59 years lost marginally less weight than those aged 60 years or older (-3.1% vs -3.8%; P = .07). CONCLUSION: Although this evaluation gives some insight into the barriers to placement and enrollment in YMCA's DPP, challenges remain. Efforts are under way to increase referral of patients to community-based DPPs. INTRODUCTION: The reach of the New York State YMCA's Diabetes Prevention Program (DPP) to at-risk populations may be increased through integration with primary care settings. Although considerable effort has been made in the referral and retention of patients, little is known about the factors associated with the placement of potential participants into YMCA's DPP.","author":[{"dropping-particle":"","family":"Chambers","given":"Earle C.","non-dropping-particle":"","parse-names":false,"suffix":""},{"dropping-particle":"","family":"Rehm","given":"Colin D.","non-dropping-particle":"","parse-names":false,"suffix":""},{"dropping-particle":"","family":"Correra","given":"Jordan","non-dropping-particle":"","parse-names":false,"suffix":""},{"dropping-particle":"","family":"Garcia","given":"Lydia Elena","non-dropping-particle":"","parse-names":false,"suffix":""},{"dropping-particle":"","family":"Marquez","given":"Melinda E.","non-dropping-particle":"","parse-names":false,"suffix":""},{"dropping-particle":"","family":"Wylie-Rosett","given":"Judith","non-dropping-particle":"","parse-names":false,"suffix":""},{"dropping-particle":"","family":"Parsons","given":"Amanda","non-dropping-particle":"","parse-names":false,"suffix":""}],"container-title":"Preventing chronic disease","id":"ITEM-1","issued":{"date-parts":[["2017"]]},"page":"160486","title":"Factors in placement and enrollment of primary care patients in YMCA's diabetes prevention program, Bronx, New York, 2010-2015","type":"article-journal","volume":"14"},"uris":["http://www.mendeley.com/documents/?uuid=0d9fc92b-598e-49f9-96f9-4c3ac5ce7eac"]},{"id":"ITEM-2","itemData":{"DOI":"10.2337/dc16-2099","author":[{"dropping-particle":"","family":"Ely","given":"Elizabeth K","non-dropping-particle":"","parse-names":false,"suffix":""},{"dropping-particle":"","family":"Gruss","given":"Stephanie M","non-dropping-particle":"","parse-names":false,"suffix":""},{"dropping-particle":"","family":"Luman","given":"Elizabeth T","non-dropping-particle":"","parse-names":false,"suffix":""},{"dropping-particle":"","family":"Gregg","given":"Edward W","non-dropping-particle":"","parse-names":false,"suffix":""},{"dropping-particle":"","family":"Ali","given":"Mohammed K","non-dropping-particle":"","parse-names":false,"suffix":""},{"dropping-particle":"","family":"Nhim","given":"Kunthea","non-dropping-particle":"","parse-names":false,"suffix":""},{"dropping-particle":"","family":"Rolka","given":"Deborah B","non-dropping-particle":"","parse-names":false,"suffix":""},{"dropping-particle":"","family":"Albright","given":"Ann L","non-dropping-particle":"","parse-names":false,"suffix":""}],"container-title":"Diabetes Care","id":"ITEM-2","issued":{"date-parts":[["2017"]]},"page":"1331-1341","title":"A national effort to prevent type 2 diabetes: participant-level evaluation of CDC ’ s national diabetes prevention program","type":"article-journal","volume":"40"},"uris":["http://www.mendeley.com/documents/?uuid=03ec6206-c938-47f8-aec1-2cddac5d0dd3"]},{"id":"ITEM-3","itemData":{"DOI":"10.1038/jid.2014.371","ISBN":"6176321972","ISSN":"15378276","PMID":"1000000221","author":[{"dropping-particle":"","family":"Pinelli","given":"Nicole R.","non-dropping-particle":"","parse-names":false,"suffix":""},{"dropping-particle":"","family":"Herman","given":"William H.","non-dropping-particle":"","parse-names":false,"suffix":""},{"dropping-particle":"","family":"Brown","given":"Morton B.","non-dropping-particle":"","parse-names":false,"suffix":""},{"dropping-particle":"","family":"Jaber","given":"Linda A.","non-dropping-particle":"","parse-names":false,"suffix":""}],"container-title":"Diabetes Research &amp; Clinical Practice","id":"ITEM-3","issue":"2","issued":{"date-parts":[["2010"]]},"page":"e27–e29","title":"Perceived risk and the willingness to enroll in a diabetes prevention lifestyle intervention in Arab Americans","type":"article-journal","volume":"90"},"uris":["http://www.mendeley.com/documents/?uuid=a0e44fe4-551c-4174-ab63-e3e805f27be8"]},{"id":"ITEM-4","itemData":{"DOI":"https://doi.org/10.1177/0890117119848985","author":[{"dropping-particle":"","family":"Alva","given":"M.L.","non-dropping-particle":"","parse-names":false,"suffix":""}],"container-title":"American Journal of Health Promotion","id":"ITEM-4","issue":"7","issued":{"date-parts":[["2019"]]},"page":"1067-72","title":"How much does attendance impact weight loss and health care spending in a diabetes prevention program serving older adults?","type":"article-journal","volume":"33"},"uris":["http://www.mendeley.com/documents/?uuid=ab27f0b0-3076-419f-87af-9f779434d81e"]}],"mendeley":{"formattedCitation":"(Alva, 2019a; Chambers et al., 2017; Ely et al., 2017; Pinelli et al., 2010)","manualFormatting":"(Alva, 2019; Chambers et al., 2017; Ely et al., 2017; Pinelli, Herman, Brown, &amp; Jaber, 2010)","plainTextFormattedCitation":"(Alva, 2019a; Chambers et al., 2017; Ely et al., 2017; Pinelli et al., 2010)","previouslyFormattedCitation":"(Alva, 2019a; Chambers et al., 2017; Ely et al., 2017; Pinelli et al.,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 xml:space="preserve">(Alva, 2019; Chambers et al., 2017; Ely et al., 2017; Pinelli, Herman, Brown, </w:t>
      </w:r>
      <w:r w:rsidRPr="00103A0B">
        <w:rPr>
          <w:rFonts w:ascii="Arial" w:hAnsi="Arial" w:cs="Arial"/>
          <w:noProof/>
          <w:sz w:val="24"/>
          <w:szCs w:val="24"/>
        </w:rPr>
        <w:lastRenderedPageBreak/>
        <w:t>&amp; Jaber, 2010)</w:t>
      </w:r>
      <w:r w:rsidRPr="00103A0B">
        <w:rPr>
          <w:rFonts w:ascii="Arial" w:hAnsi="Arial" w:cs="Arial"/>
          <w:sz w:val="24"/>
          <w:szCs w:val="24"/>
        </w:rPr>
        <w:fldChar w:fldCharType="end"/>
      </w:r>
      <w:r w:rsidRPr="00103A0B">
        <w:rPr>
          <w:rFonts w:ascii="Arial" w:hAnsi="Arial" w:cs="Arial"/>
          <w:sz w:val="24"/>
          <w:szCs w:val="24"/>
        </w:rPr>
        <w:t>. This can be done by interviewing participants who attend/do not attend and complete/do not complete DPPs as well as examining the extent to which modifiable factors predict attendance and completion (e.g., illness perceptions, self-</w:t>
      </w:r>
      <w:proofErr w:type="gramStart"/>
      <w:r w:rsidRPr="00103A0B">
        <w:rPr>
          <w:rFonts w:ascii="Arial" w:hAnsi="Arial" w:cs="Arial"/>
          <w:sz w:val="24"/>
          <w:szCs w:val="24"/>
        </w:rPr>
        <w:t>efficacy</w:t>
      </w:r>
      <w:proofErr w:type="gramEnd"/>
      <w:r w:rsidRPr="00103A0B">
        <w:rPr>
          <w:rFonts w:ascii="Arial" w:hAnsi="Arial" w:cs="Arial"/>
          <w:sz w:val="24"/>
          <w:szCs w:val="24"/>
        </w:rPr>
        <w:t xml:space="preserve"> and mental wellbeing).  </w:t>
      </w:r>
      <w:r w:rsidRPr="00103A0B">
        <w:rPr>
          <w:rFonts w:ascii="Arial" w:hAnsi="Arial" w:cs="Arial"/>
          <w:strike/>
          <w:sz w:val="24"/>
          <w:szCs w:val="24"/>
        </w:rPr>
        <w:t xml:space="preserve">  </w:t>
      </w:r>
    </w:p>
    <w:p w14:paraId="3CF93F80" w14:textId="29637733" w:rsidR="00C42E5F" w:rsidRPr="00103A0B" w:rsidRDefault="00C42E5F" w:rsidP="00CD5919">
      <w:pPr>
        <w:spacing w:before="100" w:after="100" w:line="360" w:lineRule="auto"/>
        <w:jc w:val="both"/>
        <w:rPr>
          <w:rFonts w:ascii="Arial" w:hAnsi="Arial" w:cs="Arial"/>
          <w:strike/>
          <w:sz w:val="24"/>
          <w:szCs w:val="24"/>
        </w:rPr>
      </w:pPr>
    </w:p>
    <w:p w14:paraId="6AB7960C" w14:textId="38CFC115" w:rsidR="00C42E5F" w:rsidRPr="00103A0B" w:rsidRDefault="00C42E5F" w:rsidP="00CD5919">
      <w:pPr>
        <w:jc w:val="both"/>
        <w:rPr>
          <w:rFonts w:ascii="Arial" w:hAnsi="Arial" w:cs="Arial"/>
          <w:i/>
          <w:iCs/>
          <w:sz w:val="24"/>
          <w:szCs w:val="24"/>
        </w:rPr>
      </w:pPr>
      <w:r w:rsidRPr="00103A0B">
        <w:rPr>
          <w:rFonts w:ascii="Arial" w:hAnsi="Arial" w:cs="Arial"/>
          <w:i/>
          <w:iCs/>
          <w:sz w:val="24"/>
          <w:szCs w:val="24"/>
        </w:rPr>
        <w:t xml:space="preserve">1.6.1 </w:t>
      </w:r>
      <w:r w:rsidR="002D3F5D" w:rsidRPr="00103A0B">
        <w:rPr>
          <w:rFonts w:ascii="Arial" w:hAnsi="Arial" w:cs="Arial"/>
          <w:i/>
          <w:iCs/>
          <w:sz w:val="24"/>
          <w:szCs w:val="24"/>
        </w:rPr>
        <w:t xml:space="preserve">Reported </w:t>
      </w:r>
      <w:r w:rsidR="004D10A4" w:rsidRPr="00103A0B">
        <w:rPr>
          <w:rFonts w:ascii="Arial" w:hAnsi="Arial" w:cs="Arial"/>
          <w:i/>
          <w:iCs/>
          <w:sz w:val="24"/>
          <w:szCs w:val="24"/>
        </w:rPr>
        <w:t>P</w:t>
      </w:r>
      <w:r w:rsidR="002D3F5D" w:rsidRPr="00103A0B">
        <w:rPr>
          <w:rFonts w:ascii="Arial" w:hAnsi="Arial" w:cs="Arial"/>
          <w:i/>
          <w:iCs/>
          <w:sz w:val="24"/>
          <w:szCs w:val="24"/>
        </w:rPr>
        <w:t xml:space="preserve">articipant </w:t>
      </w:r>
      <w:r w:rsidR="004D10A4" w:rsidRPr="00103A0B">
        <w:rPr>
          <w:rFonts w:ascii="Arial" w:hAnsi="Arial" w:cs="Arial"/>
          <w:i/>
          <w:iCs/>
          <w:sz w:val="24"/>
          <w:szCs w:val="24"/>
        </w:rPr>
        <w:t>F</w:t>
      </w:r>
      <w:r w:rsidR="002D3F5D" w:rsidRPr="00103A0B">
        <w:rPr>
          <w:rFonts w:ascii="Arial" w:hAnsi="Arial" w:cs="Arial"/>
          <w:i/>
          <w:iCs/>
          <w:sz w:val="24"/>
          <w:szCs w:val="24"/>
        </w:rPr>
        <w:t xml:space="preserve">acilitators and </w:t>
      </w:r>
      <w:r w:rsidR="004D10A4" w:rsidRPr="00103A0B">
        <w:rPr>
          <w:rFonts w:ascii="Arial" w:hAnsi="Arial" w:cs="Arial"/>
          <w:i/>
          <w:iCs/>
          <w:sz w:val="24"/>
          <w:szCs w:val="24"/>
        </w:rPr>
        <w:t>B</w:t>
      </w:r>
      <w:r w:rsidR="002D3F5D" w:rsidRPr="00103A0B">
        <w:rPr>
          <w:rFonts w:ascii="Arial" w:hAnsi="Arial" w:cs="Arial"/>
          <w:i/>
          <w:iCs/>
          <w:sz w:val="24"/>
          <w:szCs w:val="24"/>
        </w:rPr>
        <w:t xml:space="preserve">arriers </w:t>
      </w:r>
    </w:p>
    <w:p w14:paraId="1BDE31FB" w14:textId="1FAF4112" w:rsidR="004D10A4" w:rsidRPr="00103A0B" w:rsidRDefault="004D10A4" w:rsidP="00CD5919">
      <w:pPr>
        <w:spacing w:line="360" w:lineRule="auto"/>
        <w:jc w:val="both"/>
        <w:rPr>
          <w:rFonts w:ascii="Arial" w:hAnsi="Arial" w:cs="Arial"/>
          <w:b/>
          <w:bCs/>
          <w:strike/>
          <w:sz w:val="24"/>
          <w:szCs w:val="24"/>
        </w:rPr>
      </w:pPr>
      <w:r w:rsidRPr="00103A0B">
        <w:rPr>
          <w:rFonts w:ascii="Arial" w:hAnsi="Arial" w:cs="Arial"/>
          <w:sz w:val="24"/>
          <w:szCs w:val="24"/>
        </w:rPr>
        <w:t>Q</w:t>
      </w:r>
      <w:r w:rsidRPr="00103A0B">
        <w:rPr>
          <w:rFonts w:ascii="Arial" w:hAnsi="Arial" w:cs="Arial"/>
          <w:color w:val="000000" w:themeColor="text1"/>
          <w:sz w:val="24"/>
          <w:szCs w:val="24"/>
        </w:rPr>
        <w:t xml:space="preserve">ualitative literature exploring service users’ experiences of DPPs, suggest </w:t>
      </w:r>
      <w:proofErr w:type="gramStart"/>
      <w:r w:rsidRPr="00103A0B">
        <w:rPr>
          <w:rFonts w:ascii="Arial" w:hAnsi="Arial" w:cs="Arial"/>
          <w:color w:val="000000" w:themeColor="text1"/>
          <w:sz w:val="24"/>
          <w:szCs w:val="24"/>
        </w:rPr>
        <w:t>a number of</w:t>
      </w:r>
      <w:proofErr w:type="gramEnd"/>
      <w:r w:rsidRPr="00103A0B">
        <w:rPr>
          <w:rFonts w:ascii="Arial" w:hAnsi="Arial" w:cs="Arial"/>
          <w:color w:val="000000" w:themeColor="text1"/>
          <w:sz w:val="24"/>
          <w:szCs w:val="24"/>
        </w:rPr>
        <w:t xml:space="preserve"> factors that could influence uptake.</w:t>
      </w:r>
      <w:r w:rsidR="00B93938" w:rsidRPr="00103A0B">
        <w:rPr>
          <w:rFonts w:ascii="Arial" w:hAnsi="Arial" w:cs="Arial"/>
          <w:color w:val="000000" w:themeColor="text1"/>
          <w:sz w:val="24"/>
          <w:szCs w:val="24"/>
        </w:rPr>
        <w:t xml:space="preserve"> </w:t>
      </w:r>
      <w:r w:rsidRPr="00103A0B">
        <w:rPr>
          <w:rFonts w:ascii="Arial" w:hAnsi="Arial" w:cs="Arial"/>
          <w:color w:val="000000" w:themeColor="text1"/>
          <w:sz w:val="24"/>
          <w:szCs w:val="24"/>
        </w:rPr>
        <w:t>These include positive factors such as</w:t>
      </w:r>
      <w:r w:rsidRPr="00103A0B">
        <w:rPr>
          <w:rFonts w:ascii="Arial" w:hAnsi="Arial" w:cs="Arial"/>
          <w:sz w:val="24"/>
          <w:szCs w:val="24"/>
        </w:rPr>
        <w:t xml:space="preserve">: wanting to improve health </w:t>
      </w:r>
      <w:r w:rsidRPr="00103A0B">
        <w:rPr>
          <w:rFonts w:ascii="Arial" w:hAnsi="Arial" w:cs="Arial"/>
          <w:sz w:val="24"/>
          <w:szCs w:val="24"/>
        </w:rPr>
        <w:fldChar w:fldCharType="begin" w:fldLock="1"/>
      </w:r>
      <w:r w:rsidR="008E0722" w:rsidRPr="00103A0B">
        <w:rPr>
          <w:rFonts w:ascii="Arial" w:hAnsi="Arial" w:cs="Arial"/>
          <w:sz w:val="24"/>
          <w:szCs w:val="24"/>
        </w:rPr>
        <w:instrText>ADDIN CSL_CITATION {"citationItems":[{"id":"ITEM-1","itemData":{"DOI":"10.1111/bjhp.1","author":[{"dropping-particle":"","family":"Borek","given":"Aleksandra J","non-dropping-particle":"","parse-names":false,"suffix":""},{"dropping-particle":"","family":"Abraham","given":"Charles","non-dropping-particle":"","parse-names":false,"suffix":""},{"dropping-particle":"","family":"Greaves","given":"Colin J","non-dropping-particle":"","parse-names":false,"suffix":""},{"dropping-particle":"","family":"Tarrant","given":"Mark","non-dropping-particle":"","parse-names":false,"suffix":""},{"dropping-particle":"","family":"Garner","given":"Nikki","non-dropping-particle":"","parse-names":false,"suffix":""},{"dropping-particle":"","family":"Pascale","given":"Melanie","non-dropping-particle":"","parse-names":false,"suffix":""}],"container-title":"British Journal of Health Psychology","id":"ITEM-1","issued":{"date-parts":[["2019"]]},"page":"787-805","title":"‘ We ’re all in the same boat ’: a qualitative study on how groups work in a diabetes prevention and management programme","type":"article-journal","volume":"24"},"uris":["http://www.mendeley.com/documents/?uuid=894ef5cc-3b9e-4f33-ba76-2387fb2a3e8e"]},{"id":"ITEM-2","itemData":{"ISSN":"15546063","PMID":"32597384","abstract":"Purpose: The purpose of this study was to understand barriers and facilitators to engagement in a diabetes prevention program for young women at an urban safety-net health care system. Methods: Individual semistructured interviews (N = 29) explored motivations, challenges, and successes regarding participation and suggestions for improvement among women aged 18 to 39 years who enrolled in the National Diabetes Prevention Program in the past 2 years. Participants were classified as nonattendees (n = 10), early-withdrawers (n = 9), or completers (n = 10). Interview transcriptions were analyzed using a grounded hermeneutic editing approach. Results: Qualitative analysis revealed 4 main themes (enrollment, attendance, experience, and suggestions) with multiple subthemes. Most women were motivated to enroll for health and family concerns. Early-withdrawers and nonattendees reported confusion about the program’s aim and relevancy, logistical barriers, and lack of connection with fellow participants/coaches. Highly engaged women noted persistent motivation, perceived weight loss, and supportive program relationships. Conclusions: Multiple barriers/facilitators for young women appear addressable in future adaptations. Additional research is needed to confirm these findings in other settings and explore implementation and effectiveness of adaptations, with a goal of reducing risks prior to conception.","author":[{"dropping-particle":"","family":"Harrison","given":"Caroline R.","non-dropping-particle":"","parse-names":false,"suffix":""},{"dropping-particle":"","family":"Phimphasone-Brady","given":"Phoutdavone","non-dropping-particle":"","parse-names":false,"suffix":""},{"dropping-particle":"","family":"DiOrio","given":"Becky","non-dropping-particle":"","parse-names":false,"suffix":""},{"dropping-particle":"","family":"Raghuanath","given":"Silvia G.","non-dropping-particle":"","parse-names":false,"suffix":""},{"dropping-particle":"","family":"Bright","given":"Riley","non-dropping-particle":"","parse-names":false,"suffix":""},{"dropping-particle":"","family":"Ritchie","given":"Natalie D.","non-dropping-particle":"","parse-names":false,"suffix":""},{"dropping-particle":"","family":"Sauder","given":"Katherine A.","non-dropping-particle":"","parse-names":false,"suffix":""}],"container-title":"Diabetes Educator","id":"ITEM-2","issue":"3","issued":{"date-parts":[["2020"]]},"page":"279-288","title":"Barriers and facilitators of national diabetes prevention program engagement among women of childbearing age: a qualitative study","type":"article-journal","volume":"46"},"uris":["http://www.mendeley.com/documents/?uuid=54a091d7-3327-4458-81b6-aa65eaaa11a8"]}],"mendeley":{"formattedCitation":"(Borek et al., 2019; Harrison et al., 2020)","plainTextFormattedCitation":"(Borek et al., 2019; Harrison et al., 2020)","previouslyFormattedCitation":"(Borek et al., 2019; Harrison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(Borek et al., 2019; Harrison et al., 2020)</w:t>
      </w:r>
      <w:r w:rsidRPr="00103A0B">
        <w:rPr>
          <w:rFonts w:ascii="Arial" w:hAnsi="Arial" w:cs="Arial"/>
          <w:sz w:val="24"/>
          <w:szCs w:val="24"/>
        </w:rPr>
        <w:fldChar w:fldCharType="end"/>
      </w:r>
      <w:r w:rsidRPr="00103A0B">
        <w:rPr>
          <w:rFonts w:ascii="Arial" w:hAnsi="Arial" w:cs="Arial"/>
          <w:sz w:val="24"/>
          <w:szCs w:val="24"/>
        </w:rPr>
        <w:t xml:space="preserve"> or being motivated by anticipated programme benefits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{"citationItems":[{"id":"ITEM-1","itemData":{"ISSN":"14726963","PMID":"32293424","abstract":"Background: The National Health Service diabetes prevention programme in England, (NHS DPP) aims to identify people at high risk of type 2 diabetes (T2D) and offer them a face-to-face, group-based, behaviour change intervention for at least 9 months. The NHS DPP was rolled out in phases. We aimed to elicit stakeholders' perceptions and experiences of the factors influencing implementation of, and participation in, the programme during the development phase. Methods: Individual, semi-structured telephone interviews were conducted with 50 purposively sampled stakeholders: Service users (n = 20); programme commissioners (n = 7); referrers (n = 8); and intervention deliverers (n = 15). Topic guides were structured using a pragmatic, theory-informed approach. Analysis employed the framework method. Results: We identified factors that influenced participation: Risk communication at referral-stakeholders identified point of referral as a window of opportunity to offer brief advice, to provide an understanding of T2D risk and information about the programme; Perceived impact of the NHS DPP-service users highlighted the positive perceived impact on their behaviour change, the peer support provided by participating in the programme, the option to involve a relative, and the 'knock on' effect on others. Service users also voiced disappointment when blood test results still identified them at high risk after the programme; and Behavioural maintenance-participants highlighted the challenges linked to behavioural maintenance (e.g. discontinuation of active support). Factors influencing implementations were also identified: Case finding-stakeholders suggested that using community involvement to identify service users could increase reach and ensure that the workload was not solely on GP practices; Adaptability: Intervention deliverers acknowledged the need to tailor advice to service users' preferences and needs; Accountability-the need to acknowledge who was responsible for what at different stages of the NHS DPP pathway; and Fidelity-stakeholders described procedures involved in monitoring service users' satisfaction, outcome data collection and quality assurance assessments. Conclusions: The NHS DPP offers an evidence-informed behavioural intervention for T2D prevention. Better risk communication specification could ensure consistency at the referral stage and improve participation in the NHS DPP intervention. Cultural adaptations and outreach strategies could ensu…","author":[{"dropping-particle":"","family":"Rodrigues","given":"Angela M.","non-dropping-particle":"","parse-names":false,"suffix":""},{"dropping-particle":"","family":"Haste","given":"Anna","non-dropping-particle":"","parse-names":false,"suffix":""},{"dropping-particle":"","family":"Penn","given":"Linda","non-dropping-particle":"","parse-names":false,"suffix":""},{"dropping-particle":"","family":"Bell","given":"Ruth","non-dropping-particle":"","parse-names":false,"suffix":""},{"dropping-particle":"","family":"Summerbell","given":"Carolyn","non-dropping-particle":"","parse-names":false,"suffix":""},{"dropping-particle":"","family":"White","given":"Martin","non-dropping-particle":"","parse-names":false,"suffix":""},{"dropping-particle":"","family":"Adamson","given":"Ashley J.","non-dropping-particle":"","parse-names":false,"suffix":""},{"dropping-particle":"","family":"Sniehotta","given":"Falko F.","non-dropping-particle":"","parse-names":false,"suffix":""}],"container-title":"BMC Health Services Research","id":"ITEM-1","issued":{"date-parts":[["2020"]]},"page":"307","publisher":"BMC Health Services Research","title":"Stakeholders' perceptions and experiences of the National Health Service diabetes prevention programme in England: qualitative study with service users, intervention providers and deliverers, commissioners and referrers","type":"article-journal","volume":"20"},"uris":["http://www.mendeley.com/documents/?uuid=f72c730c-7abc-4ecd-b17f-09aa8f2ad088"]}],"mendeley":{"formattedCitation":"(Rodrigues et al., 2020)","plainTextFormattedCitation":"(Rodrigues et al., 2020)","previouslyFormattedCitation":"(Rodrigues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(Rodrigues et al., 2020)</w:t>
      </w:r>
      <w:r w:rsidRPr="00103A0B">
        <w:rPr>
          <w:rFonts w:ascii="Arial" w:hAnsi="Arial" w:cs="Arial"/>
          <w:sz w:val="24"/>
          <w:szCs w:val="24"/>
        </w:rPr>
        <w:fldChar w:fldCharType="end"/>
      </w:r>
      <w:r w:rsidRPr="00103A0B">
        <w:rPr>
          <w:rFonts w:ascii="Arial" w:hAnsi="Arial" w:cs="Arial"/>
          <w:sz w:val="24"/>
          <w:szCs w:val="24"/>
        </w:rPr>
        <w:t xml:space="preserve">. Barriers include </w:t>
      </w:r>
      <w:r w:rsidRPr="00103A0B">
        <w:rPr>
          <w:rFonts w:ascii="Arial" w:eastAsia="Times New Roman" w:hAnsi="Arial" w:cs="Arial"/>
          <w:sz w:val="24"/>
          <w:szCs w:val="24"/>
          <w:lang w:eastAsia="en-GB"/>
        </w:rPr>
        <w:t xml:space="preserve">having conflicting work-related commitments </w:t>
      </w:r>
      <w:r w:rsidRPr="00103A0B">
        <w:rPr>
          <w:rFonts w:ascii="Arial" w:eastAsia="Times New Roman" w:hAnsi="Arial" w:cs="Arial"/>
          <w:sz w:val="24"/>
          <w:szCs w:val="24"/>
          <w:lang w:eastAsia="en-GB"/>
        </w:rPr>
        <w:fldChar w:fldCharType="begin" w:fldLock="1"/>
      </w:r>
      <w:r w:rsidR="00BA4374" w:rsidRPr="00103A0B">
        <w:rPr>
          <w:rFonts w:ascii="Arial" w:eastAsia="Times New Roman" w:hAnsi="Arial" w:cs="Arial"/>
          <w:sz w:val="24"/>
          <w:szCs w:val="24"/>
          <w:lang w:eastAsia="en-GB"/>
        </w:rPr>
        <w:instrText>ADDIN CSL_CITATION {"citationItems":[{"id":"ITEM-1","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Open","id":"ITEM-1","issued":{"date-parts":[["2019"]]},"page":"e028491","title":"Users ’ experiences of a pragmatic diabetes prevention intervention implemented in primary care: qualitative study","type":"article-journal","volume":"9"},"uris":["http://www.mendeley.com/documents/?uuid=883930c4-afe2-4928-a344-24e5a77c114f"]},{"id":"ITEM-2","itemData":{"DOI":"10.1093/pubmed/fdv110","ISSN":"17413850","PMID":"26311822","abstract":"Background We report development of a group-based lifestyle intervention, Let's Prevent, using the UK Medical Research Council (MRC) framework, and delivered by structured education to prevent type 2 diabetes mellitus (T2DM) in people with impaired glucose regulation (IGR) in a UK multi-ethnic population. Methods Diabetes Education and Self-Management for Ongoing and Newly Diagnosed (DESMOND) is the first national T2DM programme that meets National Institute for Health and Care Excellence criteria and formed the basis for Let's Prevent. An iterative cycle of initial development, piloting, collecting and collating qualitative and quantitative data, and reflection and modification, was used to inform and refine lifestyle intervention until it was fit for evaluation in a definitive randomized controlled trial (RCT). The programme encouraged IGR self-management using simple, non-technical language and visual aids. Results Qualitative and quantitative data suggested that intervention resulted in beneficial short-term behaviour change such as healthier eating patterns, improved health beliefs and greater participant motivation and empowerment. We also demonstrated that recruitment strategy and data collection methods were feasible for RCT implementation. Conclusions Let's Prevent was developed following successful application of MRC framework criteria and the subsequent RCT will determine whether it is feasible, reliable and transferable from research into a real-world NHS primary healthcare setting. Trial Registration ISRCTN80605705.","author":[{"dropping-particle":"","family":"Troughton","given":"Jacqui","non-dropping-particle":"","parse-names":false,"suffix":""},{"dropping-particle":"","family":"Chatterjee","given":"Sudesna","non-dropping-particle":"","parse-names":false,"suffix":""},{"dropping-particle":"","family":"Hill","given":"Siân E.","non-dropping-particle":"","parse-names":false,"suffix":""},{"dropping-particle":"","family":"Daly","given":"Heather","non-dropping-particle":"","parse-names":false,"suffix":""},{"dropping-particle":"","family":"Martin Stacey","given":"Lorraine","non-dropping-particle":"","parse-names":false,"suffix":""},{"dropping-particle":"","family":"Stone","given":"Margaret A.","non-dropping-particle":"","parse-names":false,"suffix":""},{"dropping-particle":"","family":"Patel","given":"Naina","non-dropping-particle":"","parse-names":false,"suffix":""},{"dropping-particle":"","family":"Khunti","given":"Kamlesh","non-dropping-particle":"","parse-names":false,"suffix":""},{"dropping-particle":"","family":"Yates","given":"Thomas","non-dropping-particle":"","parse-names":false,"suffix":""},{"dropping-particle":"","family":"Gray","given":"Laura J.","non-dropping-particle":"","parse-names":false,"suffix":""},{"dropping-particle":"","family":"Davies","given":"Melanie J.","non-dropping-particle":"","parse-names":false,"suffix":""}],"container-title":"Journal of Public Health","id":"ITEM-2","issue":"3","issued":{"date-parts":[["2015"]]},"page":"493-501","title":"Development of a lifestyle intervention using the MRC framework for diabetes prevention in people with impaired glucose regulation","type":"article-journal","volume":"38"},"uris":["http://www.mendeley.com/documents/?uuid=e7f6d712-b9e9-4c8b-8f15-7c6fe6d8cd3f"]},{"id":"ITEM-3","itemData":{"ISSN":"17414288","abstract":"African Americans have disproportionately high rates of stress-related conditions, including diabetes and diabetes-related morbidity. Psychological stress may negatively influence engagement in risk-reducing lifestyle changes (physical activity and healthy eating) and stress-related physiology that increase diabetes risk. This study examined the feasibility of conducting a randomized trial comparing a novel mindfulness-based stress management program combined with diabetes risk-reduction education versus a conventional diabetes risk-reduction education program among African American adults with prediabetes and self-reported life stress. Participants were recruited in collaboration with community partners and randomized to the mindfulness-based diabetes risk-reduction education program for prediabetes (MPD; n = 38) or the conventional diabetes risk-reduction education program for prediabetes (CPD; n = 30). The mindfulness components were adapted from the Mindfulness-based Stress Reduction Program. The diabetes risk-reduction components were adapted from the Power to Prevent Program and the Diabetes Prevention Program. Groups met for eight weeks for 2.5 hours, with a half-day retreat and six-monthly boosters. Mixed-methods strategies were used to assess feasibility. Psychological, behavioral, and metabolic data were collected before the intervention and at three and six months postintervention to examine within-group change and feasibility of collecting such data in future clinical efficacy research. Participants reported acceptability, credibility, and cultural relevance of the intervention components. Enrollment of eligible participants (79%), intervention session attendance (76.5%), retention (90%), and postintervention data collection attendance (83%, 82%, and 78%, respectively) demonstrated feasibility, and qualitative data provided information to further enhance feasibility in future studies. Both groups exhibited an A1C reduction. MPD participants had reductions in perceived stress, BMI, calorie, carbohydrate and fat intake, and increases in spiritual well-being. Considering the high prevalence of diabetes and diabetes-related complications in African Americans, these novel findings provide promising guidance to develop a larger trial powered to examine efficacy of a mindfulness-based stress management and diabetes risk-reduction education program for African Americans with prediabetes.","author":[{"dropping-particle":"","family":"Woods-Giscombe","given":"Cheryl L.","non-dropping-particle":"","parse-names":false,"suffix":""},{"dropping-particle":"","family":"Gaylord","given":"Susan A.","non-dropping-particle":"","parse-names":false,"suffix":""},{"dropping-particle":"","family":"Li","given":"Yin","non-dropping-particle":"","parse-names":false,"suffix":""},{"dropping-particle":"","family":"Brintz","given":"Carrie E.","non-dropping-particle":"","parse-names":false,"suffix":""},{"dropping-particle":"","family":"Bangdiwala","given":"Shrikant I.","non-dropping-particle":"","parse-names":false,"suffix":""},{"dropping-particle":"","family":"Buse","given":"John B.","non-dropping-particle":"","parse-names":false,"suffix":""},{"dropping-particle":"","family":"Mann","given":"John D.","non-dropping-particle":"","parse-names":false,"suffix":""},{"dropping-particle":"","family":"Lynch","given":"Chanee","non-dropping-particle":"","parse-names":false,"suffix":""},{"dropping-particle":"","family":"Phillips","given":"Pamela","non-dropping-particle":"","parse-names":false,"suffix":""},{"dropping-particle":"","family":"Smith","given":"Sunyata","non-dropping-particle":"","parse-names":false,"suffix":""},{"dropping-particle":"","family":"Leniek","given":"Karyn","non-dropping-particle":"","parse-names":false,"suffix":""},{"dropping-particle":"","family":"Young","given":"Laura","non-dropping-particle":"","parse-names":false,"suffix":""},{"dropping-particle":"","family":"Al-Barwani","given":"Saada","non-dropping-particle":"","parse-names":false,"suffix":""},{"dropping-particle":"","family":"Yoo","given":"Jeena","non-dropping-particle":"","parse-names":false,"suffix":""},{"dropping-particle":"","family":"Faurot","given":"Keturah","non-dropping-particle":"","parse-names":false,"suffix":""}],"container-title":"Evidence-based Complementary and Alternative Medicine","id":"ITEM-3","issued":{"date-parts":[["2019"]]},"page":"1-16","title":"A mixed-methods, randomized clinical trial to examine feasibility of a mindfulness-based stress management and diabetes risk reduction intervention for African Americans with prediabetes","type":"article-journal"},"uris":["http://www.mendeley.com/documents/?uuid=846a1f44-f1fc-4a89-b373-6cf2645f3149"]},{"id":"ITEM-4","itemData":{"DOI":"10.2337/ds18-0013","ISSN":"19447353","abstract":"Women with a history of gestational diabetes mellitus (GDM) are at higher risk for type 2 diabetes. This project piloted the National Diabetes Prevention Program lifestyle change program in cohorts of women with a history of GDM. The article describes recruitment efforts, challenges, and study participation and provides recommendations for future program implementation.","author":[{"dropping-particle":"","family":"Gómez","given":"Maria L.","non-dropping-particle":"","parse-names":false,"suffix":""},{"dropping-particle":"","family":"Hieronymus","given":"Laura B.","non-dropping-particle":"","parse-names":false,"suffix":""},{"dropping-particle":"","family":"Ashford","given":"Kristin B.","non-dropping-particle":"","parse-names":false,"suffix":""},{"dropping-particle":"","family":"Barnett","given":"Janine M.","non-dropping-particle":"","parse-names":false,"suffix":""},{"dropping-particle":"","family":"Renn","given":"Theresa A.","non-dropping-particle":"","parse-names":false,"suffix":""}],"container-title":"Diabetes Spectrum","id":"ITEM-4","issue":"4","issued":{"date-parts":[["2018"]]},"page":"324-329","title":"Linking postpartum and parenting women with a national diabetes prevention program: recruitment efforts, challenges, and recommendations","type":"article-journal","volume":"31"},"uris":["http://www.mendeley.com/documents/?uuid=1b22543d-09e9-41aa-bb84-4474c675fd49"]},{"id":"ITEM-5","itemData":{"DOI":"10.1177/0145721718811564","ISSN":"15546063","PMID":"30413136","abstract":"Purpose: The purpose of this study was to assess factors that influence demand for the Diabetes Prevention Program (DPP) from the perspectives of potential program participants and providers. Methods: A qualitative study guided by a conceptual framework was conducted with potential DPP participants and potential DPP providers. Five focus groups with potential participants (n = 37) and key informant interviews with potential providers (n = 14) were conducted in community settings across North Carolina. Results: Although providers considered prediabetes to be an important health problem, potential DPP participants expressed less urgency related to a diagnosis of prediabetes. Potential participants felt that they were more likely to adopt diabetes prevention programs if affordable and convenient. For potential program providers, funding, collaboration, and staff support were key considerations for DPP adoption. Providers were supportive of DPP features; however, there was concern from both stakeholders on retention in a 16-week program. Both groups cited transportation, cost, and health insurance reimbursement as existing barriers to the uptake of these programs. Conclusion: This qualitative study highlights important considerations for scaling up diabetes prevention programs in community settings, including what constraints agencies face in adopting programs, the perceived demand and programmatic needs for these services by customers, and the need for improving patient education on prediabetes. This implementation science study allows us to increase the potential to scale up and sustain diabetes prevention programs that fit available resources and customer needs.","author":[{"dropping-particle":"","family":"Thomas","given":"Tainayah","non-dropping-particle":"","parse-names":false,"suffix":""},{"dropping-particle":"","family":"Samuel-Hodge","given":"Carmen D.","non-dropping-particle":"","parse-names":false,"suffix":""},{"dropping-particle":"","family":"Porterfield","given":"Deborah S.","non-dropping-particle":"","parse-names":false,"suffix":""},{"dropping-particle":"","family":"Alva","given":"Maria L.","non-dropping-particle":"","parse-names":false,"suffix":""},{"dropping-particle":"","family":"Leeman","given":"Jennifer","non-dropping-particle":"","parse-names":false,"suffix":""}],"container-title":"Diabetes Educator","id":"ITEM-5","issue":"1","issued":{"date-parts":[["2019"]]},"page":"116-124","title":"Scaling up diabetes prevention programs in North Carolina: perceptions of demand from potential program recipients and providers","type":"article-journal","volume":"45"},"uris":["http://www.mendeley.com/documents/?uuid=4cc98cc5-6a35-4806-93eb-90adc17a6f4b"]},{"id":"ITEM-6","itemData":{"ISSN":"15546063","PMID":"32597384","abstract":"Purpose: The purpose of this study was to understand barriers and facilitators to engagement in a diabetes prevention program for young women at an urban safety-net health care system. Methods: Individual semistructured interviews (N = 29) explored motivations, challenges, and successes regarding participation and suggestions for improvement among women aged 18 to 39 years who enrolled in the National Diabetes Prevention Program in the past 2 years. Participants were classified as nonattendees (n = 10), early-withdrawers (n = 9), or completers (n = 10). Interview transcriptions were analyzed using a grounded hermeneutic editing approach. Results: Qualitative analysis revealed 4 main themes (enrollment, attendance, experience, and suggestions) with multiple subthemes. Most women were motivated to enroll for health and family concerns. Early-withdrawers and nonattendees reported confusion about the program’s aim and relevancy, logistical barriers, and lack of connection with fellow participants/coaches. Highly engaged women noted persistent motivation, perceived weight loss, and supportive program relationships. Conclusions: Multiple barriers/facilitators for young women appear addressable in future adaptations. Additional research is needed to confirm these findings in other settings and explore implementation and effectiveness of adaptations, with a goal of reducing risks prior to conception.","author":[{"dropping-particle":"","family":"Harrison","given":"Caroline R.","non-dropping-particle":"","parse-names":false,"suffix":""},{"dropping-particle":"","family":"Phimphasone-Brady","given":"Phoutdavone","non-dropping-particle":"","parse-names":false,"suffix":""},{"dropping-particle":"","family":"DiOrio","given":"Becky","non-dropping-particle":"","parse-names":false,"suffix":""},{"dropping-particle":"","family":"Raghuanath","given":"Silvia G.","non-dropping-particle":"","parse-names":false,"suffix":""},{"dropping-particle":"","family":"Bright","given":"Riley","non-dropping-particle":"","parse-names":false,"suffix":""},{"dropping-particle":"","family":"Ritchie","given":"Natalie D.","non-dropping-particle":"","parse-names":false,"suffix":""},{"dropping-particle":"","family":"Sauder","given":"Katherine A.","non-dropping-particle":"","parse-names":false,"suffix":""}],"container-title":"Diabetes Educator","id":"ITEM-6","issue":"3","issued":{"date-parts":[["2020"]]},"page":"279-288","title":"Barriers and facilitators of national diabetes prevention program engagement among women of childbearing age: a qualitative study","type":"article-journal","volume":"46"},"uris":["http://www.mendeley.com/documents/?uuid=54a091d7-3327-4458-81b6-aa65eaaa11a8"]}],"mendeley":{"formattedCitation":"(Aujla et al., 2019; Gómez et al., 2018; Harrison et al., 2020; T. Thomas et al., 2019; Troughton et al., 2015; Woods-Giscombe et al., 2019)","manualFormatting":"(Aujla et al., 2019; Gómez et al., 2018; Harrison et al., 2020; Thomas et al., 2019; Troughton et al., 2015; Woods-Giscombe et al., 2019)","plainTextFormattedCitation":"(Aujla et al., 2019; Gómez et al., 2018; Harrison et al., 2020; T. Thomas et al., 2019; Troughton et al., 2015; Woods-Giscombe et al., 2019)","previouslyFormattedCitation":"(Aujla et al., 2019; Gómez et al., 2018; Harrison et al., 2020; T. Thomas et al., 2019; Troughton et al., 2015; Woods-Giscombe et al., 2019)"},"properties":{"noteIndex":0},"schema":"https://github.com/citation-style-language/schema/raw/master/csl-citation.json"}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445FC8" w:rsidRPr="00103A0B">
        <w:rPr>
          <w:rFonts w:ascii="Arial" w:eastAsia="Times New Roman" w:hAnsi="Arial" w:cs="Arial"/>
          <w:noProof/>
          <w:sz w:val="24"/>
          <w:szCs w:val="24"/>
          <w:lang w:eastAsia="en-GB"/>
        </w:rPr>
        <w:t>(Aujla et al., 2019; Gómez et al., 2018; Harrison et al., 2020; Thomas et al., 2019; Troughton et al., 2015; Woods-Giscombe et al., 2019)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r w:rsidRPr="00103A0B">
        <w:rPr>
          <w:rFonts w:ascii="Arial" w:hAnsi="Arial" w:cs="Arial"/>
          <w:sz w:val="24"/>
          <w:szCs w:val="24"/>
        </w:rPr>
        <w:t xml:space="preserve">lack of time </w:t>
      </w:r>
      <w:r w:rsidRPr="00103A0B">
        <w:rPr>
          <w:rFonts w:ascii="Arial" w:hAnsi="Arial" w:cs="Arial"/>
          <w:sz w:val="24"/>
          <w:szCs w:val="24"/>
        </w:rPr>
        <w:fldChar w:fldCharType="begin" w:fldLock="1"/>
      </w:r>
      <w:r w:rsidR="008E0722" w:rsidRPr="00103A0B">
        <w:rPr>
          <w:rFonts w:ascii="Arial" w:hAnsi="Arial" w:cs="Arial"/>
          <w:sz w:val="24"/>
          <w:szCs w:val="24"/>
        </w:rPr>
        <w:instrText>ADDIN CSL_CITATION {"citationItems":[{"id":"ITEM-1","itemData":{"ISSN":"14752727","abstract":"Objective To investigate (i) how the SLIMMER intervention was delivered and received in Dutch primary health care and (ii) how this could explain intervention effectiveness. Design A randomised controlled trial was conducted and subjects were randomly allocated to the intervention (10-month combined dietary and physical activity intervention) or the control group. A process evaluation including quantitative and qualitative methods was conducted. Data on process indicators (recruitment, reach, dose received, acceptability, implementation integrity and applicability) were collected via semi-structured interviews with health-care professionals (n 45) and intervention participant questionnaires (n 155). Setting SLIMMER was implemented in Dutch primary health care in twenty-five general practices, eleven dietitians, nine physiotherapist practices and fifteen sports clubs. Subjects Subjects at increased risk of developing type 2 diabetes were included. Results It was possible to recruit the intended high-risk population (response rate 54 %) and the SLIMMER intervention was very well received by both participants and health-care professionals (mean acceptability rating of 82 and 80, respectively). The intervention programme was to a large extent implemented as planned and was applicable in Dutch primary health care. Higher dose received and participant acceptability were related to improved health outcomes and dietary behaviour, but not to physical activity behaviour. Conclusions The present study showed that it is feasible to implement a diabetes prevention intervention in Dutch primary health care. Higher dose received and participant acceptability were associated with improved health outcomes and dietary behaviour. Using an extensive process evaluation plan to gain insight into how an intervention is delivered and received is a valuable way of identifying intervention components that contribute to implementation integrity and effective prevention of type 2 diabetes in primary health care.","author":[{"dropping-particle":"","family":"Dongen","given":"Ellen J.I.","non-dropping-particle":"Van","parse-names":false,"suffix":""},{"dropping-particle":"","family":"Duijzer","given":"Geerke","non-dropping-particle":"","parse-names":false,"suffix":""},{"dropping-particle":"","family":"Jansen","given":"Sophia C.","non-dropping-particle":"","parse-names":false,"suffix":""},{"dropping-particle":"","family":"Beek","given":"Josien","non-dropping-particle":"Ter","parse-names":false,"suffix":""},{"dropping-particle":"","family":"Huijg","given":"Johanna M.","non-dropping-particle":"","parse-names":false,"suffix":""},{"dropping-particle":"","family":"Leerlooijer","given":"Joanne N.","non-dropping-particle":"","parse-names":false,"suffix":""},{"dropping-particle":"","family":"Hiddink","given":"Gerrit J.","non-dropping-particle":"","parse-names":false,"suffix":""},{"dropping-particle":"","family":"Feskens","given":"Edith J.M.","non-dropping-particle":"","parse-names":false,"suffix":""},{"dropping-particle":"","family":"Haveman-Nies","given":"Annemien","non-dropping-particle":"","parse-names":false,"suffix":""}],"container-title":"Public Health Nutrition","id":"ITEM-1","issue":"16","issued":{"date-parts":[["2016"]]},"page":"3027-3038","title":"Process evaluation of a randomised controlled trial of a diabetes prevention intervention in Dutch primary health care: the SLIMMER study","type":"article-journal","volume":"19"},"uris":["http://www.mendeley.com/documents/?uuid=cbc5cf3c-96b3-4339-a885-dd9d9728cafa"]},{"id":"ITEM-2","itemData":{"DOI":"10.2337/ds18-0013","ISSN":"19447353","abstract":"Women with a history of gestational diabetes mellitus (GDM) are at higher risk for type 2 diabetes. This project piloted the National Diabetes Prevention Program lifestyle change program in cohorts of women with a history of GDM. The article describes recruitment efforts, challenges, and study participation and provides recommendations for future program implementation.","author":[{"dropping-particle":"","family":"Gómez","given":"Maria L.","non-dropping-particle":"","parse-names":false,"suffix":""},{"dropping-particle":"","family":"Hieronymus","given":"Laura B.","non-dropping-particle":"","parse-names":false,"suffix":""},{"dropping-particle":"","family":"Ashford","given":"Kristin B.","non-dropping-particle":"","parse-names":false,"suffix":""},{"dropping-particle":"","family":"Barnett","given":"Janine M.","non-dropping-particle":"","parse-names":false,"suffix":""},{"dropping-particle":"","family":"Renn","given":"Theresa A.","non-dropping-particle":"","parse-names":false,"suffix":""}],"container-title":"Diabetes Spectrum","id":"ITEM-2","issue":"4","issued":{"date-parts":[["2018"]]},"page":"324-329","title":"Linking postpartum and parenting women with a national diabetes prevention program: recruitment efforts, challenges, and recommendations","type":"article-journal","volume":"31"},"uris":["http://www.mendeley.com/documents/?uuid=1b22543d-09e9-41aa-bb84-4474c675fd49"]}],"mendeley":{"formattedCitation":"(Gómez et al., 2018; Van Dongen et al., 2016)","plainTextFormattedCitation":"(Gómez et al., 2018; Van Dongen et al., 2016)","previouslyFormattedCitation":"(Gómez et al., 2018; Van Dongen et al.,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(Gómez et al., 2018; Van Dongen et al., 2016)</w:t>
      </w:r>
      <w:r w:rsidRPr="00103A0B">
        <w:rPr>
          <w:rFonts w:ascii="Arial" w:hAnsi="Arial" w:cs="Arial"/>
          <w:sz w:val="24"/>
          <w:szCs w:val="24"/>
        </w:rPr>
        <w:fldChar w:fldCharType="end"/>
      </w:r>
      <w:r w:rsidRPr="00103A0B">
        <w:rPr>
          <w:rFonts w:ascii="Arial" w:hAnsi="Arial" w:cs="Arial"/>
          <w:sz w:val="24"/>
          <w:szCs w:val="24"/>
        </w:rPr>
        <w:t xml:space="preserve"> or family responsibilities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Open","id":"ITEM-1","issued":{"date-parts":[["2019"]]},"page":"e028491","title":"Users ’ experiences of a pragmatic diabetes prevention intervention implemented in primary care: qualitative study","type":"article-journal","volume":"9"},"uris":["http://www.mendeley.com/documents/?uuid=883930c4-afe2-4928-a344-24e5a77c114f"]},{"id":"ITEM-2","itemData":{"ISSN":"17414288","abstract":"African Americans have disproportionately high rates of stress-related conditions, including diabetes and diabetes-related morbidity. Psychological stress may negatively influence engagement in risk-reducing lifestyle changes (physical activity and healthy eating) and stress-related physiology that increase diabetes risk. This study examined the feasibility of conducting a randomized trial comparing a novel mindfulness-based stress management program combined with diabetes risk-reduction education versus a conventional diabetes risk-reduction education program among African American adults with prediabetes and self-reported life stress. Participants were recruited in collaboration with community partners and randomized to the mindfulness-based diabetes risk-reduction education program for prediabetes (MPD; n = 38) or the conventional diabetes risk-reduction education program for prediabetes (CPD; n = 30). The mindfulness components were adapted from the Mindfulness-based Stress Reduction Program. The diabetes risk-reduction components were adapted from the Power to Prevent Program and the Diabetes Prevention Program. Groups met for eight weeks for 2.5 hours, with a half-day retreat and six-monthly boosters. Mixed-methods strategies were used to assess feasibility. Psychological, behavioral, and metabolic data were collected before the intervention and at three and six months postintervention to examine within-group change and feasibility of collecting such data in future clinical efficacy research. Participants reported acceptability, credibility, and cultural relevance of the intervention components. Enrollment of eligible participants (79%), intervention session attendance (76.5%), retention (90%), and postintervention data collection attendance (83%, 82%, and 78%, respectively) demonstrated feasibility, and qualitative data provided information to further enhance feasibility in future studies. Both groups exhibited an A1C reduction. MPD participants had reductions in perceived stress, BMI, calorie, carbohydrate and fat intake, and increases in spiritual well-being. Considering the high prevalence of diabetes and diabetes-related complications in African Americans, these novel findings provide promising guidance to develop a larger trial powered to examine efficacy of a mindfulness-based stress management and diabetes risk-reduction education program for African Americans with prediabetes.","author":[{"dropping-particle":"","family":"Woods-Giscombe","given":"Cheryl L.","non-dropping-particle":"","parse-names":false,"suffix":""},{"dropping-particle":"","family":"Gaylord","given":"Susan A.","non-dropping-particle":"","parse-names":false,"suffix":""},{"dropping-particle":"","family":"Li","given":"Yin","non-dropping-particle":"","parse-names":false,"suffix":""},{"dropping-particle":"","family":"Brintz","given":"Carrie E.","non-dropping-particle":"","parse-names":false,"suffix":""},{"dropping-particle":"","family":"Bangdiwala","given":"Shrikant I.","non-dropping-particle":"","parse-names":false,"suffix":""},{"dropping-particle":"","family":"Buse","given":"John B.","non-dropping-particle":"","parse-names":false,"suffix":""},{"dropping-particle":"","family":"Mann","given":"John D.","non-dropping-particle":"","parse-names":false,"suffix":""},{"dropping-particle":"","family":"Lynch","given":"Chanee","non-dropping-particle":"","parse-names":false,"suffix":""},{"dropping-particle":"","family":"Phillips","given":"Pamela","non-dropping-particle":"","parse-names":false,"suffix":""},{"dropping-particle":"","family":"Smith","given":"Sunyata","non-dropping-particle":"","parse-names":false,"suffix":""},{"dropping-particle":"","family":"Leniek","given":"Karyn","non-dropping-particle":"","parse-names":false,"suffix":""},{"dropping-particle":"","family":"Young","given":"Laura","non-dropping-particle":"","parse-names":false,"suffix":""},{"dropping-particle":"","family":"Al-Barwani","given":"Saada","non-dropping-particle":"","parse-names":false,"suffix":""},{"dropping-particle":"","family":"Yoo","given":"Jeena","non-dropping-particle":"","parse-names":false,"suffix":""},{"dropping-particle":"","family":"Faurot","given":"Keturah","non-dropping-particle":"","parse-names":false,"suffix":""}],"container-title":"Evidence-based Complementary and Alternative Medicine","id":"ITEM-2","issued":{"date-parts":[["2019"]]},"page":"1-16","title":"A mixed-methods, randomized clinical trial to examine feasibility of a mindfulness-based stress management and diabetes risk reduction intervention for African Americans with prediabetes","type":"article-journal"},"uris":["http://www.mendeley.com/documents/?uuid=846a1f44-f1fc-4a89-b373-6cf2645f3149"]},{"id":"ITEM-3","itemData":{"DOI":"10.2337/ds18-0013","ISSN":"19447353","abstract":"Women with a history of gestational diabetes mellitus (GDM) are at higher risk for type 2 diabetes. This project piloted the National Diabetes Prevention Program lifestyle change program in cohorts of women with a history of GDM. The article describes recruitment efforts, challenges, and study participation and provides recommendations for future program implementation.","author":[{"dropping-particle":"","family":"Gómez","given":"Maria L.","non-dropping-particle":"","parse-names":false,"suffix":""},{"dropping-particle":"","family":"Hieronymus","given":"Laura B.","non-dropping-particle":"","parse-names":false,"suffix":""},{"dropping-particle":"","family":"Ashford","given":"Kristin B.","non-dropping-particle":"","parse-names":false,"suffix":""},{"dropping-particle":"","family":"Barnett","given":"Janine M.","non-dropping-particle":"","parse-names":false,"suffix":""},{"dropping-particle":"","family":"Renn","given":"Theresa A.","non-dropping-particle":"","parse-names":false,"suffix":""}],"container-title":"Diabetes Spectrum","id":"ITEM-3","issue":"4","issued":{"date-parts":[["2018"]]},"page":"324-329","title":"Linking postpartum and parenting women with a national diabetes prevention program: recruitment efforts, challenges, and recommendations","type":"article-journal","volume":"31"},"uris":["http://www.mendeley.com/documents/?uuid=1b22543d-09e9-41aa-bb84-4474c675fd49"]},{"id":"ITEM-4","itemData":{"DOI":"10.1177/0145721718811564","ISSN":"15546063","PMID":"30413136","abstract":"Purpose: The purpose of this study was to assess factors that influence demand for the Diabetes Prevention Program (DPP) from the perspectives of potential program participants and providers. Methods: A qualitative study guided by a conceptual framework was conducted with potential DPP participants and potential DPP providers. Five focus groups with potential participants (n = 37) and key informant interviews with potential providers (n = 14) were conducted in community settings across North Carolina. Results: Although providers considered prediabetes to be an important health problem, potential DPP participants expressed less urgency related to a diagnosis of prediabetes. Potential participants felt that they were more likely to adopt diabetes prevention programs if affordable and convenient. For potential program providers, funding, collaboration, and staff support were key considerations for DPP adoption. Providers were supportive of DPP features; however, there was concern from both stakeholders on retention in a 16-week program. Both groups cited transportation, cost, and health insurance reimbursement as existing barriers to the uptake of these programs. Conclusion: This qualitative study highlights important considerations for scaling up diabetes prevention programs in community settings, including what constraints agencies face in adopting programs, the perceived demand and programmatic needs for these services by customers, and the need for improving patient education on prediabetes. This implementation science study allows us to increase the potential to scale up and sustain diabetes prevention programs that fit available resources and customer needs.","author":[{"dropping-particle":"","family":"Thomas","given":"Tainayah","non-dropping-particle":"","parse-names":false,"suffix":""},{"dropping-particle":"","family":"Samuel-Hodge","given":"Carmen D.","non-dropping-particle":"","parse-names":false,"suffix":""},{"dropping-particle":"","family":"Porterfield","given":"Deborah S.","non-dropping-particle":"","parse-names":false,"suffix":""},{"dropping-particle":"","family":"Alva","given":"Maria L.","non-dropping-particle":"","parse-names":false,"suffix":""},{"dropping-particle":"","family":"Leeman","given":"Jennifer","non-dropping-particle":"","parse-names":false,"suffix":""}],"container-title":"Diabetes Educator","id":"ITEM-4","issue":"1","issued":{"date-parts":[["2019"]]},"page":"116-124","title":"Scaling up diabetes prevention programs in North Carolina: perceptions of demand from potential program recipients and providers","type":"article-journal","volume":"45"},"uris":["http://www.mendeley.com/documents/?uuid=4cc98cc5-6a35-4806-93eb-90adc17a6f4b"]}],"mendeley":{"formattedCitation":"(Aujla et al., 2019; Gómez et al., 2018; T. Thomas et al., 2019; Woods-Giscombe et al., 2019)","manualFormatting":"(Aujla et al., 2019; Gómez et al., 2018; Thomas et al., 2019; Woods-Giscombe et al., 2019)","plainTextFormattedCitation":"(Aujla et al., 2019; Gómez et al., 2018; T. Thomas et al., 2019; Woods-Giscombe et al., 2019)","previouslyFormattedCitation":"(Aujla et al., 2019; Gómez et al., 2018; T. Thomas et al., 2019; Woods-Giscombe et al., 2019)"},"properties":{"noteIndex":0},"schema":"https://github.com/citation-style-language/schema/raw/master/csl-citation.json"}</w:instrText>
      </w:r>
      <w:r w:rsidRPr="00103A0B">
        <w:rPr>
          <w:rFonts w:ascii="Arial" w:hAnsi="Arial" w:cs="Arial"/>
          <w:sz w:val="24"/>
          <w:szCs w:val="24"/>
        </w:rPr>
        <w:fldChar w:fldCharType="separate"/>
      </w:r>
      <w:r w:rsidR="00445FC8" w:rsidRPr="00103A0B">
        <w:rPr>
          <w:rFonts w:ascii="Arial" w:hAnsi="Arial" w:cs="Arial"/>
          <w:noProof/>
          <w:sz w:val="24"/>
          <w:szCs w:val="24"/>
        </w:rPr>
        <w:t>(Aujla et al., 2019; Gómez et al., 2018; Thomas et al., 2019; Woods-Giscombe et al., 2019)</w:t>
      </w:r>
      <w:r w:rsidRPr="00103A0B">
        <w:rPr>
          <w:rFonts w:ascii="Arial" w:hAnsi="Arial" w:cs="Arial"/>
          <w:sz w:val="24"/>
          <w:szCs w:val="24"/>
        </w:rPr>
        <w:fldChar w:fldCharType="end"/>
      </w:r>
      <w:r w:rsidRPr="00103A0B">
        <w:rPr>
          <w:rFonts w:ascii="Arial" w:hAnsi="Arial" w:cs="Arial"/>
          <w:sz w:val="24"/>
          <w:szCs w:val="24"/>
        </w:rPr>
        <w:t>.</w:t>
      </w:r>
      <w:r w:rsidRPr="00103A0B">
        <w:rPr>
          <w:rFonts w:ascii="Arial" w:hAnsi="Arial" w:cs="Arial"/>
          <w:b/>
          <w:bCs/>
          <w:sz w:val="24"/>
          <w:szCs w:val="24"/>
        </w:rPr>
        <w:t xml:space="preserve"> </w:t>
      </w:r>
    </w:p>
    <w:p w14:paraId="36303723" w14:textId="22DA5FEA" w:rsidR="004D10A4" w:rsidRPr="00103A0B" w:rsidRDefault="00182500" w:rsidP="00182500">
      <w:pPr>
        <w:spacing w:after="0" w:line="360" w:lineRule="auto"/>
        <w:jc w:val="both"/>
        <w:rPr>
          <w:rFonts w:ascii="Arial" w:hAnsi="Arial" w:cs="Arial"/>
          <w:sz w:val="24"/>
          <w:szCs w:val="24"/>
          <w:lang w:eastAsia="en-GB"/>
        </w:rPr>
      </w:pPr>
      <w:r w:rsidRPr="00103A0B">
        <w:rPr>
          <w:rFonts w:ascii="Arial" w:hAnsi="Arial" w:cs="Arial"/>
          <w:sz w:val="24"/>
          <w:szCs w:val="24"/>
        </w:rPr>
        <w:t>Q</w:t>
      </w:r>
      <w:r w:rsidRPr="00103A0B">
        <w:rPr>
          <w:rFonts w:ascii="Arial" w:hAnsi="Arial" w:cs="Arial"/>
          <w:color w:val="000000" w:themeColor="text1"/>
          <w:sz w:val="24"/>
          <w:szCs w:val="24"/>
        </w:rPr>
        <w:t xml:space="preserve">ualitative literature </w:t>
      </w:r>
      <w:r w:rsidR="00F6449A" w:rsidRPr="00103A0B">
        <w:rPr>
          <w:rFonts w:ascii="Arial" w:hAnsi="Arial" w:cs="Arial"/>
          <w:color w:val="000000" w:themeColor="text1"/>
          <w:sz w:val="24"/>
          <w:szCs w:val="24"/>
        </w:rPr>
        <w:t>also</w:t>
      </w:r>
      <w:r w:rsidR="00B93938" w:rsidRPr="00103A0B">
        <w:rPr>
          <w:rFonts w:ascii="Arial" w:hAnsi="Arial" w:cs="Arial"/>
          <w:color w:val="000000" w:themeColor="text1"/>
          <w:sz w:val="24"/>
          <w:szCs w:val="24"/>
        </w:rPr>
        <w:t xml:space="preserve"> suggests</w:t>
      </w:r>
      <w:r w:rsidRPr="00103A0B">
        <w:rPr>
          <w:rFonts w:ascii="Arial" w:hAnsi="Arial" w:cs="Arial"/>
          <w:color w:val="000000" w:themeColor="text1"/>
          <w:sz w:val="24"/>
          <w:szCs w:val="24"/>
        </w:rPr>
        <w:t xml:space="preserve"> </w:t>
      </w:r>
      <w:r w:rsidR="00B93938" w:rsidRPr="00103A0B">
        <w:rPr>
          <w:rFonts w:ascii="Arial" w:hAnsi="Arial" w:cs="Arial"/>
          <w:color w:val="000000" w:themeColor="text1"/>
          <w:sz w:val="24"/>
          <w:szCs w:val="24"/>
        </w:rPr>
        <w:t>several</w:t>
      </w:r>
      <w:r w:rsidRPr="00103A0B">
        <w:rPr>
          <w:rFonts w:ascii="Arial" w:hAnsi="Arial" w:cs="Arial"/>
          <w:color w:val="000000" w:themeColor="text1"/>
          <w:sz w:val="24"/>
          <w:szCs w:val="24"/>
        </w:rPr>
        <w:t xml:space="preserve"> factors that could influence completion. </w:t>
      </w:r>
      <w:r w:rsidR="004D10A4" w:rsidRPr="00103A0B">
        <w:rPr>
          <w:rFonts w:ascii="Arial" w:hAnsi="Arial" w:cs="Arial"/>
          <w:color w:val="000000" w:themeColor="text1"/>
          <w:sz w:val="24"/>
          <w:szCs w:val="24"/>
        </w:rPr>
        <w:t>These include positive factors such as</w:t>
      </w:r>
      <w:r w:rsidR="004D10A4" w:rsidRPr="00103A0B">
        <w:rPr>
          <w:rFonts w:ascii="Arial" w:hAnsi="Arial" w:cs="Arial"/>
          <w:sz w:val="24"/>
          <w:szCs w:val="24"/>
        </w:rPr>
        <w:t xml:space="preserve">: </w:t>
      </w:r>
      <w:r w:rsidR="004D10A4" w:rsidRPr="00103A0B">
        <w:rPr>
          <w:rFonts w:ascii="Arial" w:hAnsi="Arial" w:cs="Arial"/>
          <w:color w:val="000000" w:themeColor="text1"/>
          <w:sz w:val="24"/>
          <w:szCs w:val="24"/>
        </w:rPr>
        <w:t xml:space="preserve">positive social support received from programme groups, family or friends </w:t>
      </w:r>
      <w:r w:rsidR="004D10A4" w:rsidRPr="00103A0B">
        <w:rPr>
          <w:rFonts w:ascii="Arial" w:hAnsi="Arial" w:cs="Arial"/>
          <w:sz w:val="24"/>
          <w:szCs w:val="24"/>
        </w:rPr>
        <w:fldChar w:fldCharType="begin" w:fldLock="1"/>
      </w:r>
      <w:r w:rsidR="007C66BC" w:rsidRPr="00103A0B">
        <w:rPr>
          <w:rFonts w:ascii="Arial" w:hAnsi="Arial" w:cs="Arial"/>
          <w:sz w:val="24"/>
          <w:szCs w:val="24"/>
        </w:rPr>
        <w:instrText>ADDIN CSL_CITATION {"citationItems":[{"id":"ITEM-1","itemData":{"DOI":"10.3148/cjdpr-2019-033","author":[{"dropping-particle":"","family":"Azzi","given":"Jayson L","non-dropping-particle":"","parse-names":false,"suffix":""},{"dropping-particle":"","family":"Azzi","given":"Sarita","non-dropping-particle":"","parse-names":false,"suffix":""},{"dropping-particle":"","family":"Lavigne-robichaud","given":"Mathilde","non-dropping-particle":"","parse-names":false,"suffix":""},{"dropping-particle":"","family":"Vermeer","given":"Adrienne","non-dropping-particle":"","parse-names":false,"suffix":""},{"dropping-particle":"","family":"Barresi","given":"Teresa","non-dropping-particle":"","parse-names":false,"suffix":""},{"dropping-particle":"","family":"Blaine","given":"Sean","non-dropping-particle":"","parse-names":false,"suffix":""},{"dropping-particle":"","family":"Giroux","given":"Isabelle","non-dropping-particle":"","parse-names":false,"suffix":""}],"container-title":"Canadian Journal of Dietetic Practice and Research","id":"ITEM-1","issued":{"date-parts":[["2020"]]},"page":"80-85","title":"Participant evaluation of a prediabetes intervention program designed for rural adults","type":"article-journal","volume":"81"},"uris":["http://www.mendeley.com/documents/?uuid=4973afd9-e822-45c3-a2e9-0bb81fee07cf"]},{"id":"ITEM-2","itemData":{"ISSN":"21665435","abstract":"Introduction: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Disease","id":"ITEM-2","issued":{"date-parts":[["2014"]]},"page":"140006","title":"Implementation and outcomes of the New York state YMCA diabetes prevention program: A multisite community-based translation, 2010-2012","type":"article-journal","volume":"11"},"uris":["http://www.mendeley.com/documents/?uuid=d5f59245-ab59-4ba0-bd1c-beec143eb24b"]},{"id":"ITEM-3","itemData":{"DOI":"10.1186/s12875-017-0671-8","ISSN":"1471-2296","abstract":"Background: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Practice","id":"ITEM-3","issue":"1","issued":{"date-parts":[["2017"]]},"note":"Accession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study.","type":"article-journal","volume":"18"},"uris":["http://www.mendeley.com/documents/?uuid=0c5adc52-ca11-4f07-80d4-bf37e6cec46f"]},{"id":"ITEM-4","itemData":{"DOI":"10.1111/nbu.12292","ISSN":"14673010","abstract":"The Medical Research Council recommends strong theoretical underpinning in the design and evaluation of lifestyle intervention programmes (LIPs). This qualitative study aimed to use Basic Needs Theory (BNT) as a framework to explore participants’ perspectives on a workplace dietitian-led LIP. Specifically, experiences with LIP engagement and initiation and maintenance of behaviour change were evaluated. Fifteen semi-structured face-to-face interviews were conducted with participants who had previously completed a workplace cardiovascular disease and type 2 diabetes prevention programme, which involved advice and motivational support with making dietary and lifestyle changes. Interviews were audio recorded and transcribed verbatim. To evaluate the narrative, interpretative phenomenological analyses were used with BNT as the theoretical framework. A total of 12 themes were identified in relation to the three concepts of BNT – autonomy, competence and relatedness – and organised into three domains: intervention engagement, behaviour change initiation and behaviour change maintenance. Line manager and colleague support to attend was reported to have a strong influence on intervention engagement, and the importance of dietitian and peer guidance in initiating behaviour changes was highlighted. Differences between participants who maintained behavioural changes compared to those who relapsed included autonomously seeking support (relatedness) through family, friends, healthcare professionals and commercial slimming organisations. BNT provided an insightful theoretical framework to evaluate factors that underpinned the effectiveness of a dietitian-led cardiovascular and type 2 diabetes prevention LIP. Attendance and retention in workplace LIPs can depend on participants’ managerial and colleague support, so recruitment processes should consider targeting managers in marketing and promotional activities. Workplace LIPs may increase the likelihood of behaviour change maintenance by including methods that foster longer term participant relatedness and emotional support.","author":[{"dropping-particle":"","family":"Battista","given":"E. M.","non-dropping-particle":"Di","parse-names":false,"suffix":""},{"dropping-particle":"","family":"Bracken","given":"R. M.","non-dropping-particle":"","parse-names":false,"suffix":""},{"dropping-particle":"","family":"Stephens","given":"J. W.","non-dropping-particle":"","parse-names":false,"suffix":""},{"dropping-particle":"","family":"Rice","given":"S.","non-dropping-particle":"","parse-names":false,"suffix":""},{"dropping-particle":"","family":"Thomas","given":"M.","non-dropping-particle":"","parse-names":false,"suffix":""},{"dropping-particle":"","family":"Williams","given":"S. P.","non-dropping-particle":"","parse-names":false,"suffix":""},{"dropping-particle":"","family":"Mellalieu","given":"S. D.","non-dropping-particle":"","parse-names":false,"suffix":""},{"dropping-particle":"","family":"Morgan","given":"Kerry","non-dropping-particle":"","parse-names":false,"suffix":""},{"dropping-particle":"","family":"Cottrell","given":"Chris","non-dropping-particle":"","parse-names":false,"suffix":""},{"dropping-particle":"","family":"Davies","given":"Vanessa","non-dropping-particle":"","parse-names":false,"suffix":""},{"dropping-particle":"","family":"Newbury-Davies","given":"Liz","non-dropping-particle":"","parse-names":false,"suffix":""},{"dropping-particle":"","family":"Street","given":"Lesley","non-dropping-particle":"","parse-names":false,"suffix":""},{"dropping-particle":"","family":"Judd","given":"Fiona","non-dropping-particle":"","parse-names":false,"suffix":""},{"dropping-particle":"","family":"Evans","given":"Cindy","non-dropping-particle":"","parse-names":false,"suffix":""},{"dropping-particle":"","family":"James","given":"Jo","non-dropping-particle":"","parse-names":false,"suffix":""},{"dropping-particle":"","family":"Jones","given":"Claire","non-dropping-particle":"","parse-names":false,"suffix":""},{"dropping-particle":"","family":"Williams","given":"Carolyn","non-dropping-particle":"","parse-names":false,"suffix":""},{"dropping-particle":"","family":"Smith","given":"Susan","non-dropping-particle":"","parse-names":false,"suffix":""},{"dropping-particle":"","family":"Thornton","given":"James","non-dropping-particle":"","parse-names":false,"suffix":""},{"dropping-particle":"","family":"Williams","given":"Sally","non-dropping-particle":"","parse-names":false,"suffix":""},{"dropping-particle":"","family":"Williams","given":"Rhys","non-dropping-particle":"","parse-names":false,"suffix":""},{"dropping-particle":"","family":"Williams","given":"Meurig","non-dropping-particle":"","parse-names":false,"suffix":""}],"container-title":"Nutrition Bulletin","id":"ITEM-4","issue":"4","issued":{"date-parts":[["2017"]]},"page":"309-320","title":"Workplace delivery of a dietitian-led cardiovascular disease and type 2 diabetes prevention programme: a qualitative study of participants’ experiences in the context of Basic Needs Theory","type":"article-journal","volume":"42"},"uris":["http://www.mendeley.com/documents/?uuid=d0b0a52d-cbfd-447a-9e11-f792c9bde8ce"]},{"id":"ITEM-5","itemData":{"ISSN":"14726963","PMID":"33246460","abstract":"Background: The NHS Diabetes Prevention Programme (NHS-DPP) is a nine-month, group-based behavioural intervention for adults in England at risk of developing Type 2 diabetes. Four independent providers were commissioned to deliver versions of the NHS-DPP, in line with NHS England specifications. This observational study maps NHS-DPP delivery in routine practice against the NHS specification, and compares service delivery with observed patient experiences. Methods: Researchers observed service delivery across eight complete NHS-DPP courses (118 sessions, median 14 sessions per course), consenting 455 participants (36 staff, 398 patients, 21 accompanying persons). Key features of NHS-DPP delivery were described using the Template for Intervention Description and Replication (TIDieR) framework. Researchers wrote detailed field notes during each session, including observations of patient experience. Field notes were content analysed; instances of positive and negative experiences were labelled and grouped into categories. Researchers used a novel method of comparing observed patient experiences to variations in programme delivery. Results: Delivery broadly followed NHS England’s specification and the plans set out by providers. Deviations included the scheduling and larger group sizes in some sessions. There was variation in the type and format of activities delivered by providers. Positive patient experiences included engagement, satisfaction with the programme, good within-group relationships and reported behavioural changes. Negative experiences included poor scheduling, large groups, and dissatisfaction with the venue. Where more interactive and visual activities were delivered in smaller groups of 10–15 people with good rapport, there were generally more instances of positive patient experiences, and where there were structural issues such as problems with the scheduling of sessions, poor venues and inadequate resources, there tended to be more negative patient experiences. Conclusions: Addressing issues that we have identified as being linked to negative experiences with the NHS-DPP could increase uptake, reduce patient drop-out and increase the overall effectiveness of the programme. In particular, modifying structural aspects of the NHS-DPP (e.g. reliable session scheduling, reducing group sizes, enough session resources) and increasing interaction appear particularly promising for improving these outcomes.","author":[{"dropping-particle":"","family":"Hawkes","given":"R.E.","non-dropping-particle":"","parse-names":false,"suffix":""},{"dropping-particle":"","family":"Cameron","given":"Elaine","non-dropping-particle":"","parse-names":false,"suffix":""},{"dropping-particle":"","family":"Cotterill","given":"Sarah","non-dropping-particle":"","parse-names":false,"suffix":""},{"dropping-particle":"","family":"Bower","given":"Peter","non-dropping-particle":"","parse-names":false,"suffix":""},{"dropping-particle":"","family":"French","given":"David P.","non-dropping-particle":"","parse-names":false,"suffix":""}],"container-title":"BMC Health Services Research","id":"ITEM-5","issued":{"date-parts":[["2020"]]},"page":"1098","publisher":"BMC Health Services Research","title":"The NHS diabetes prevention programme: an observational study of service delivery and patient experience","type":"article-journal","volume":"20"},"uris":["http://www.mendeley.com/documents/?uuid=144b4659-423e-454d-8d8d-99a99782d903"]},{"id":"ITEM-6","itemData":{"ISSN":"2044-6055","abstract":"Objectives: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Open","id":"ITEM-6","issued":{"date-parts":[["2018"]]},"note":"Accession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implementation.","type":"article-journal","volume":"8"},"uris":["http://www.mendeley.com/documents/?uuid=0a421108-0e51-4039-8549-33e6c08f2b12"]},{"id":"ITEM-7","itemData":{"ISSN":"14726963","PMID":"32293424","abstract":"Background: The National Health Service diabetes prevention programme in England, (NHS DPP) aims to identify people at high risk of type 2 diabetes (T2D) and offer them a face-to-face, group-based, behaviour change intervention for at least 9 months. The NHS DPP was rolled out in phases. We aimed to elicit stakeholders' perceptions and experiences of the factors influencing implementation of, and participation in, the programme during the development phase. Methods: Individual, semi-structured telephone interviews were conducted with 50 purposively sampled stakeholders: Service users (n = 20); programme commissioners (n = 7); referrers (n = 8); and intervention deliverers (n = 15). Topic guides were structured using a pragmatic, theory-informed approach. Analysis employed the framework method. Results: We identified factors that influenced participation: Risk communication at referral-stakeholders identified point of referral as a window of opportunity to offer brief advice, to provide an understanding of T2D risk and information about the programme; Perceived impact of the NHS DPP-service users highlighted the positive perceived impact on their behaviour change, the peer support provided by participating in the programme, the option to involve a relative, and the 'knock on' effect on others. Service users also voiced disappointment when blood test results still identified them at high risk after the programme; and Behavioural maintenance-participants highlighted the challenges linked to behavioural maintenance (e.g. discontinuation of active support). Factors influencing implementations were also identified: Case finding-stakeholders suggested that using community involvement to identify service users could increase reach and ensure that the workload was not solely on GP practices; Adaptability: Intervention deliverers acknowledged the need to tailor advice to service users' preferences and needs; Accountability-the need to acknowledge who was responsible for what at different stages of the NHS DPP pathway; and Fidelity-stakeholders described procedures involved in monitoring service users' satisfaction, outcome data collection and quality assurance assessments. Conclusions: The NHS DPP offers an evidence-informed behavioural intervention for T2D prevention. Better risk communication specification could ensure consistency at the referral stage and improve participation in the NHS DPP intervention. Cultural adaptations and outreach strategies could ensu…","author":[{"dropping-particle":"","family":"Rodrigues","given":"Angela M.","non-dropping-particle":"","parse-names":false,"suffix":""},{"dropping-particle":"","family":"Haste","given":"Anna","non-dropping-particle":"","parse-names":false,"suffix":""},{"dropping-particle":"","family":"Penn","given":"Linda","non-dropping-particle":"","parse-names":false,"suffix":""},{"dropping-particle":"","family":"Bell","given":"Ruth","non-dropping-particle":"","parse-names":false,"suffix":""},{"dropping-particle":"","family":"Summerbell","given":"Carolyn","non-dropping-particle":"","parse-names":false,"suffix":""},{"dropping-particle":"","family":"White","given":"Martin","non-dropping-particle":"","parse-names":false,"suffix":""},{"dropping-particle":"","family":"Adamson","given":"Ashley J.","non-dropping-particle":"","parse-names":false,"suffix":""},{"dropping-particle":"","family":"Sniehotta","given":"Falko F.","non-dropping-particle":"","parse-names":false,"suffix":""}],"container-title":"BMC Health Services Research","id":"ITEM-7","issued":{"date-parts":[["2020"]]},"page":"307","publisher":"BMC Health Services Research","title":"Stakeholders' perceptions and experiences of the National Health Service diabetes prevention programme in England: qualitative study with service users, intervention providers and deliverers, commissioners and referrers","type":"article-journal","volume":"20"},"uris":["http://www.mendeley.com/documents/?uuid=f72c730c-7abc-4ecd-b17f-09aa8f2ad088"]}],"mendeley":{"formattedCitation":"(Azzi et al., 2020; Bozack et al., 2014; Coppell et al., 2017; Di Battista et al., 2017; R.E. Hawkes et al., 2020; Penn et al., 2018; Rodrigues et al., 2020)","manualFormatting":"(Azzi et al., 2020; Bozack et al., 2014; Coppell et al., 2017; Di Battista et al., 2017; Hawkes et al., 2020; Penn et al., 2018; Rodrigues et al., 2020)","plainTextFormattedCitation":"(Azzi et al., 2020; Bozack et al., 2014; Coppell et al., 2017; Di Battista et al., 2017; R.E. Hawkes et al., 2020; Penn et al., 2018; Rodrigues et al., 2020)","previouslyFormattedCitation":"(Azzi et al., 2020; Bozack et al., 2014; Coppell et al., 2017; Di Battista et al., 2017; R.E. Hawkes et al., 2020; Penn et al., 2018; Rodrigues et al., 2020)"},"properties":{"noteIndex":0},"schema":"https://github.com/citation-style-language/schema/raw/master/csl-citation.json"}</w:instrText>
      </w:r>
      <w:r w:rsidR="004D10A4" w:rsidRPr="00103A0B">
        <w:rPr>
          <w:rFonts w:ascii="Arial" w:hAnsi="Arial" w:cs="Arial"/>
          <w:sz w:val="24"/>
          <w:szCs w:val="24"/>
        </w:rPr>
        <w:fldChar w:fldCharType="separate"/>
      </w:r>
      <w:r w:rsidR="00391499" w:rsidRPr="00103A0B">
        <w:rPr>
          <w:rFonts w:ascii="Arial" w:hAnsi="Arial" w:cs="Arial"/>
          <w:noProof/>
          <w:sz w:val="24"/>
          <w:szCs w:val="24"/>
        </w:rPr>
        <w:t>(Azzi et al., 2020; Bozack et al., 2014; Coppell et al., 2017; Di Battista et al., 2017; Hawkes et al., 2020; Penn et al., 2018; Rodrigues et al., 2020)</w:t>
      </w:r>
      <w:r w:rsidR="004D10A4" w:rsidRPr="00103A0B">
        <w:rPr>
          <w:rFonts w:ascii="Arial" w:hAnsi="Arial" w:cs="Arial"/>
          <w:sz w:val="24"/>
          <w:szCs w:val="24"/>
        </w:rPr>
        <w:fldChar w:fldCharType="end"/>
      </w:r>
      <w:r w:rsidR="004D10A4" w:rsidRPr="00103A0B">
        <w:rPr>
          <w:rFonts w:ascii="Arial" w:hAnsi="Arial" w:cs="Arial"/>
          <w:sz w:val="24"/>
          <w:szCs w:val="24"/>
        </w:rPr>
        <w:t xml:space="preserve">, coaches who were described as informative, increasing motivation, forming good relationships </w:t>
      </w:r>
      <w:r w:rsidR="004D10A4"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Open","id":"ITEM-1","issued":{"date-parts":[["2019"]]},"page":"e028491","title":"Users ’ experiences of a pragmatic diabetes prevention intervention implemented in primary care: qualitative study","type":"article-journal","volume":"9"},"uris":["http://www.mendeley.com/documents/?uuid=883930c4-afe2-4928-a344-24e5a77c114f"]},{"id":"ITEM-2","itemData":{"ISSN":"21665435","abstract":"Introduction: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Disease","id":"ITEM-2","issued":{"date-parts":[["2014"]]},"page":"140006","title":"Implementation and outcomes of the New York state YMCA diabetes prevention program: A multisite community-based translation, 2010-2012","type":"article-journal","volume":"11"},"uris":["http://www.mendeley.com/documents/?uuid=d5f59245-ab59-4ba0-bd1c-beec143eb24b"]},{"id":"ITEM-3","itemData":{"DOI":"10.1186/s12875-017-0671-8","ISSN":"1471-2296","abstract":"Background: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Practice","id":"ITEM-3","issue":"1","issued":{"date-parts":[["2017"]]},"note":"Accession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study.","type":"article-journal","volume":"18"},"uris":["http://www.mendeley.com/documents/?uuid=0c5adc52-ca11-4f07-80d4-bf37e6cec46f"]}],"mendeley":{"formattedCitation":"(Aujla et al., 2019; Bozack et al., 2014; Coppell et al., 2017)","plainTextFormattedCitation":"(Aujla et al., 2019; Bozack et al., 2014; Coppell et al., 2017)","previouslyFormattedCitation":"(Aujla et al., 2019; Bozack et al., 2014; Coppell et al., 2017)"},"properties":{"noteIndex":0},"schema":"https://github.com/citation-style-language/schema/raw/master/csl-citation.json"}</w:instrText>
      </w:r>
      <w:r w:rsidR="004D10A4" w:rsidRPr="00103A0B">
        <w:rPr>
          <w:rFonts w:ascii="Arial" w:hAnsi="Arial" w:cs="Arial"/>
          <w:sz w:val="24"/>
          <w:szCs w:val="24"/>
        </w:rPr>
        <w:fldChar w:fldCharType="separate"/>
      </w:r>
      <w:r w:rsidR="004D10A4" w:rsidRPr="00103A0B">
        <w:rPr>
          <w:rFonts w:ascii="Arial" w:hAnsi="Arial" w:cs="Arial"/>
          <w:noProof/>
          <w:sz w:val="24"/>
          <w:szCs w:val="24"/>
        </w:rPr>
        <w:t>(Aujla et al., 2019; Bozack et al., 2014; Coppell et al., 2017)</w:t>
      </w:r>
      <w:r w:rsidR="004D10A4" w:rsidRPr="00103A0B">
        <w:rPr>
          <w:rFonts w:ascii="Arial" w:hAnsi="Arial" w:cs="Arial"/>
          <w:sz w:val="24"/>
          <w:szCs w:val="24"/>
        </w:rPr>
        <w:fldChar w:fldCharType="end"/>
      </w:r>
      <w:r w:rsidR="004D10A4" w:rsidRPr="00103A0B">
        <w:rPr>
          <w:rFonts w:ascii="Arial" w:hAnsi="Arial" w:cs="Arial"/>
          <w:sz w:val="24"/>
          <w:szCs w:val="24"/>
        </w:rPr>
        <w:t>, and having a convenient session location</w:t>
      </w:r>
      <w:r w:rsidR="00050ED6" w:rsidRPr="00103A0B">
        <w:rPr>
          <w:rFonts w:ascii="Arial" w:hAnsi="Arial" w:cs="Arial"/>
          <w:sz w:val="24"/>
          <w:szCs w:val="24"/>
        </w:rPr>
        <w:t xml:space="preserve"> </w:t>
      </w:r>
      <w:r w:rsidR="004D10A4"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{"citationItems":[{"id":"ITEM-1","itemData":{"DOI":"10.1111/nbu.12292","ISSN":"14673010","abstract":"The Medical Research Council recommends strong theoretical underpinning in the design and evaluation of lifestyle intervention programmes (LIPs). This qualitative study aimed to use Basic Needs Theory (BNT) as a framework to explore participants’ perspectives on a workplace dietitian-led LIP. Specifically, experiences with LIP engagement and initiation and maintenance of behaviour change were evaluated. Fifteen semi-structured face-to-face interviews were conducted with participants who had previously completed a workplace cardiovascular disease and type 2 diabetes prevention programme, which involved advice and motivational support with making dietary and lifestyle changes. Interviews were audio recorded and transcribed verbatim. To evaluate the narrative, interpretative phenomenological analyses were used with BNT as the theoretical framework. A total of 12 themes were identified in relation to the three concepts of BNT – autonomy, competence and relatedness – and organised into three domains: intervention engagement, behaviour change initiation and behaviour change maintenance. Line manager and colleague support to attend was reported to have a strong influence on intervention engagement, and the importance of dietitian and peer guidance in initiating behaviour changes was highlighted. Differences between participants who maintained behavioural changes compared to those who relapsed included autonomously seeking support (relatedness) through family, friends, healthcare professionals and commercial slimming organisations. BNT provided an insightful theoretical framework to evaluate factors that underpinned the effectiveness of a dietitian-led cardiovascular and type 2 diabetes prevention LIP. Attendance and retention in workplace LIPs can depend on participants’ managerial and colleague support, so recruitment processes should consider targeting managers in marketing and promotional activities. Workplace LIPs may increase the likelihood of behaviour change maintenance by including methods that foster longer term participant relatedness and emotional support.","author":[{"dropping-particle":"","family":"Battista","given":"E. M.","non-dropping-particle":"Di","parse-names":false,"suffix":""},{"dropping-particle":"","family":"Bracken","given":"R. M.","non-dropping-particle":"","parse-names":false,"suffix":""},{"dropping-particle":"","family":"Stephens","given":"J. W.","non-dropping-particle":"","parse-names":false,"suffix":""},{"dropping-particle":"","family":"Rice","given":"S.","non-dropping-particle":"","parse-names":false,"suffix":""},{"dropping-particle":"","family":"Thomas","given":"M.","non-dropping-particle":"","parse-names":false,"suffix":""},{"dropping-particle":"","family":"Williams","given":"S. P.","non-dropping-particle":"","parse-names":false,"suffix":""},{"dropping-particle":"","family":"Mellalieu","given":"S. D.","non-dropping-particle":"","parse-names":false,"suffix":""},{"dropping-particle":"","family":"Morgan","given":"Kerry","non-dropping-particle":"","parse-names":false,"suffix":""},{"dropping-particle":"","family":"Cottrell","given":"Chris","non-dropping-particle":"","parse-names":false,"suffix":""},{"dropping-particle":"","family":"Davies","given":"Vanessa","non-dropping-particle":"","parse-names":false,"suffix":""},{"dropping-particle":"","family":"Newbury-Davies","given":"Liz","non-dropping-particle":"","parse-names":false,"suffix":""},{"dropping-particle":"","family":"Street","given":"Lesley","non-dropping-particle":"","parse-names":false,"suffix":""},{"dropping-particle":"","family":"Judd","given":"Fiona","non-dropping-particle":"","parse-names":false,"suffix":""},{"dropping-particle":"","family":"Evans","given":"Cindy","non-dropping-particle":"","parse-names":false,"suffix":""},{"dropping-particle":"","family":"James","given":"Jo","non-dropping-particle":"","parse-names":false,"suffix":""},{"dropping-particle":"","family":"Jones","given":"Claire","non-dropping-particle":"","parse-names":false,"suffix":""},{"dropping-particle":"","family":"Williams","given":"Carolyn","non-dropping-particle":"","parse-names":false,"suffix":""},{"dropping-particle":"","family":"Smith","given":"Susan","non-dropping-particle":"","parse-names":false,"suffix":""},{"dropping-particle":"","family":"Thornton","given":"James","non-dropping-particle":"","parse-names":false,"suffix":""},{"dropping-particle":"","family":"Williams","given":"Sally","non-dropping-particle":"","parse-names":false,"suffix":""},{"dropping-particle":"","family":"Williams","given":"Rhys","non-dropping-particle":"","parse-names":false,"suffix":""},{"dropping-particle":"","family":"Williams","given":"Meurig","non-dropping-particle":"","parse-names":false,"suffix":""}],"container-title":"Nutrition Bulletin","id":"ITEM-1","issue":"4","issued":{"date-parts":[["2017"]]},"page":"309-320","title":"Workplace delivery of a dietitian-led cardiovascular disease and type 2 diabetes prevention programme: a qualitative study of participants’ experiences in the context of Basic Needs Theory","type":"article-journal","volume":"42"},"uris":["http://www.mendeley.com/documents/?uuid=d0b0a52d-cbfd-447a-9e11-f792c9bde8ce"]},{"id":"ITEM-2","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Open","id":"ITEM-2","issued":{"date-parts":[["2019"]]},"page":"e028491","title":"Users ’ experiences of a pragmatic diabetes prevention intervention implemented in primary care: qualitative study","type":"article-journal","volume":"9"},"uris":["http://www.mendeley.com/documents/?uuid=883930c4-afe2-4928-a344-24e5a77c114f"]}],"mendeley":{"formattedCitation":"(Aujla et al., 2019; Di Battista et al., 2017)","plainTextFormattedCitation":"(Aujla et al., 2019; Di Battista et al., 2017)","previouslyFormattedCitation":"(Aujla et al., 2019; Di Battista et al., 2017)"},"properties":{"noteIndex":0},"schema":"https://github.com/citation-style-language/schema/raw/master/csl-citation.json"}</w:instrText>
      </w:r>
      <w:r w:rsidR="004D10A4" w:rsidRPr="00103A0B">
        <w:rPr>
          <w:rFonts w:ascii="Arial" w:hAnsi="Arial" w:cs="Arial"/>
          <w:sz w:val="24"/>
          <w:szCs w:val="24"/>
        </w:rPr>
        <w:fldChar w:fldCharType="separate"/>
      </w:r>
      <w:r w:rsidR="004D10A4" w:rsidRPr="00103A0B">
        <w:rPr>
          <w:rFonts w:ascii="Arial" w:hAnsi="Arial" w:cs="Arial"/>
          <w:noProof/>
          <w:sz w:val="24"/>
          <w:szCs w:val="24"/>
        </w:rPr>
        <w:t>(Aujla et al., 2019; Di Battista et al., 2017)</w:t>
      </w:r>
      <w:r w:rsidR="004D10A4" w:rsidRPr="00103A0B">
        <w:rPr>
          <w:rFonts w:ascii="Arial" w:hAnsi="Arial" w:cs="Arial"/>
          <w:sz w:val="24"/>
          <w:szCs w:val="24"/>
        </w:rPr>
        <w:fldChar w:fldCharType="end"/>
      </w:r>
      <w:r w:rsidR="004D10A4" w:rsidRPr="00103A0B">
        <w:rPr>
          <w:rFonts w:ascii="Arial" w:eastAsia="Times New Roman" w:hAnsi="Arial" w:cs="Arial"/>
          <w:sz w:val="24"/>
          <w:szCs w:val="24"/>
          <w:lang w:eastAsia="en-GB"/>
        </w:rPr>
        <w:t>.</w:t>
      </w:r>
      <w:r w:rsidR="00B93938" w:rsidRPr="00103A0B">
        <w:rPr>
          <w:rFonts w:ascii="Arial" w:eastAsia="Times New Roman" w:hAnsi="Arial" w:cs="Arial"/>
          <w:sz w:val="24"/>
          <w:szCs w:val="24"/>
          <w:lang w:eastAsia="en-GB"/>
        </w:rPr>
        <w:t xml:space="preserve"> </w:t>
      </w:r>
      <w:r w:rsidR="004D10A4" w:rsidRPr="00103A0B">
        <w:rPr>
          <w:rFonts w:ascii="Arial" w:eastAsia="Times New Roman" w:hAnsi="Arial" w:cs="Arial"/>
          <w:sz w:val="24"/>
          <w:szCs w:val="24"/>
          <w:lang w:eastAsia="en-GB"/>
        </w:rPr>
        <w:t xml:space="preserve">Negative factors influencing completion are: having </w:t>
      </w:r>
      <w:r w:rsidR="004D10A4" w:rsidRPr="00103A0B">
        <w:rPr>
          <w:rFonts w:ascii="Arial" w:hAnsi="Arial" w:cs="Arial"/>
          <w:sz w:val="24"/>
          <w:szCs w:val="24"/>
        </w:rPr>
        <w:t xml:space="preserve">work commitments </w:t>
      </w:r>
      <w:r w:rsidR="004D10A4"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{"citationItems":[{"id":"ITEM-1","itemData":{"ISSN":"17414288","abstract":"African Americans have disproportionately high rates of stress-related conditions, including diabetes and diabetes-related morbidity. Psychological stress may negatively influence engagement in risk-reducing lifestyle changes (physical activity and healthy eating) and stress-related physiology that increase diabetes risk. This study examined the feasibility of conducting a randomized trial comparing a novel mindfulness-based stress management program combined with diabetes risk-reduction education versus a conventional diabetes risk-reduction education program among African American adults with prediabetes and self-reported life stress. Participants were recruited in collaboration with community partners and randomized to the mindfulness-based diabetes risk-reduction education program for prediabetes (MPD; n = 38) or the conventional diabetes risk-reduction education program for prediabetes (CPD; n = 30). The mindfulness components were adapted from the Mindfulness-based Stress Reduction Program. The diabetes risk-reduction components were adapted from the Power to Prevent Program and the Diabetes Prevention Program. Groups met for eight weeks for 2.5 hours, with a half-day retreat and six-monthly boosters. Mixed-methods strategies were used to assess feasibility. Psychological, behavioral, and metabolic data were collected before the intervention and at three and six months postintervention to examine within-group change and feasibility of collecting such data in future clinical efficacy research. Participants reported acceptability, credibility, and cultural relevance of the intervention components. Enrollment of eligible participants (79%), intervention session attendance (76.5%), retention (90%), and postintervention data collection attendance (83%, 82%, and 78%, respectively) demonstrated feasibility, and qualitative data provided information to further enhance feasibility in future studies. Both groups exhibited an A1C reduction. MPD participants had reductions in perceived stress, BMI, calorie, carbohydrate and fat intake, and increases in spiritual well-being. Considering the high prevalence of diabetes and diabetes-related complications in African Americans, these novel findings provide promising guidance to develop a larger trial powered to examine efficacy of a mindfulness-based stress management and diabetes risk-reduction education program for African Americans with prediabetes.","author":[{"dropping-particle":"","family":"Woods-Giscombe","given":"Cheryl L.","non-dropping-particle":"","parse-names":false,"suffix":""},{"dropping-particle":"","family":"Gaylord","given":"Susan A.","non-dropping-particle":"","parse-names":false,"suffix":""},{"dropping-particle":"","family":"Li","given":"Yin","non-dropping-particle":"","parse-names":false,"suffix":""},{"dropping-particle":"","family":"Brintz","given":"Carrie E.","non-dropping-particle":"","parse-names":false,"suffix":""},{"dropping-particle":"","family":"Bangdiwala","given":"Shrikant I.","non-dropping-particle":"","parse-names":false,"suffix":""},{"dropping-particle":"","family":"Buse","given":"John B.","non-dropping-particle":"","parse-names":false,"suffix":""},{"dropping-particle":"","family":"Mann","given":"John D.","non-dropping-particle":"","parse-names":false,"suffix":""},{"dropping-particle":"","family":"Lynch","given":"Chanee","non-dropping-particle":"","parse-names":false,"suffix":""},{"dropping-particle":"","family":"Phillips","given":"Pamela","non-dropping-particle":"","parse-names":false,"suffix":""},{"dropping-particle":"","family":"Smith","given":"Sunyata","non-dropping-particle":"","parse-names":false,"suffix":""},{"dropping-particle":"","family":"Leniek","given":"Karyn","non-dropping-particle":"","parse-names":false,"suffix":""},{"dropping-particle":"","family":"Young","given":"Laura","non-dropping-particle":"","parse-names":false,"suffix":""},{"dropping-particle":"","family":"Al-Barwani","given":"Saada","non-dropping-particle":"","parse-names":false,"suffix":""},{"dropping-particle":"","family":"Yoo","given":"Jeena","non-dropping-particle":"","parse-names":false,"suffix":""},{"dropping-particle":"","family":"Faurot","given":"Keturah","non-dropping-particle":"","parse-names":false,"suffix":""}],"container-title":"Evidence-based Complementary and Alternative Medicine","id":"ITEM-1","issued":{"date-parts":[["2019"]]},"page":"1-16","title":"A mixed-methods, randomized clinical trial to examine feasibility of a mindfulness-based stress management and diabetes risk reduction intervention for African Americans with prediabetes","type":"article-journal"},"uris":["http://www.mendeley.com/documents/?uuid=846a1f44-f1fc-4a89-b373-6cf2645f3149"]},{"id":"ITEM-2","itemData":{"ISSN":"15579891","abstract":"The National Diabetes Prevention Program (NDPP) has been effectively translated to various community and clinical settings; however, regardless of setting, enrollment among men and lower-income populations is low. This study presents participant perspectives on Power Up for Health, a novel NDPP pilot adaption for men residing in low-income communities in New York City. We conducted nine interviews and one focus group with seven participants after the program ended. Interview and focus group participants had positive perceptions of the program and described the all-male aspect of the program and its reliance on male coaches as major strengths. Men felt the all-male adaptation allowed for more open, in-depth conversations on eating habits, weight loss, body image, and masculinity. Participants also reported increased knowledge and changes to their dietary and physical activity habits. Recommendations for improving the program included making the sessions more interactive by, for example, adding exercise or healthy cooking demonstrations. Overall, findings from the pilot suggest this NDPP adaptation was acceptable to men and facilitated behavior change and unique discussions that would likely not have occurred in a mixed-gender NDPP implementation.","author":[{"dropping-particle":"","family":"Realmuto","given":"Lindsey","non-dropping-particle":"","parse-names":false,"suffix":""},{"dropping-particle":"","family":"Kamler","given":"Alexandra","non-dropping-particle":"","parse-names":false,"suffix":""},{"dropping-particle":"","family":"Weiss","given":"Linda","non-dropping-particle":"","parse-names":false,"suffix":""},{"dropping-particle":"","family":"Gary-Webb","given":"Tiffany L.","non-dropping-particle":"","parse-names":false,"suffix":""},{"dropping-particle":"","family":"Hodge","given":"Michael E.","non-dropping-particle":"","parse-names":false,"suffix":""},{"dropping-particle":"","family":"Pagán","given":"José A.","non-dropping-particle":"","parse-names":false,"suffix":""},{"dropping-particle":"","family":"Walker","given":"Elizabeth A.","non-dropping-particle":"","parse-names":false,"suffix":""}],"container-title":"American Journal of Men's Health","id":"ITEM-2","issue":"4","issued":{"date-parts":[["2018"]]},"page":"981-988","title":"Power up for health—participants’ perspectives on an adaptation of the national diabetes prevention program to engage men","type":"article-journal","volume":"12"},"uris":["http://www.mendeley.com/documents/?uuid=985144c7-f611-4358-afca-1893d0710190"]}],"mendeley":{"formattedCitation":"(Realmuto et al., 2018; Woods-Giscombe et al., 2019)","plainTextFormattedCitation":"(Realmuto et al., 2018; Woods-Giscombe et al., 2019)","previouslyFormattedCitation":"(Realmuto et al., 2018; Woods-Giscombe et al., 2019)"},"properties":{"noteIndex":0},"schema":"https://github.com/citation-style-language/schema/raw/master/csl-citation.json"}</w:instrText>
      </w:r>
      <w:r w:rsidR="004D10A4" w:rsidRPr="00103A0B">
        <w:rPr>
          <w:rFonts w:ascii="Arial" w:hAnsi="Arial" w:cs="Arial"/>
          <w:sz w:val="24"/>
          <w:szCs w:val="24"/>
        </w:rPr>
        <w:fldChar w:fldCharType="separate"/>
      </w:r>
      <w:r w:rsidR="004D10A4" w:rsidRPr="00103A0B">
        <w:rPr>
          <w:rFonts w:ascii="Arial" w:hAnsi="Arial" w:cs="Arial"/>
          <w:noProof/>
          <w:sz w:val="24"/>
          <w:szCs w:val="24"/>
        </w:rPr>
        <w:t>(Realmuto et al., 2018; Woods-Giscombe et al., 2019)</w:t>
      </w:r>
      <w:r w:rsidR="004D10A4" w:rsidRPr="00103A0B">
        <w:rPr>
          <w:rFonts w:ascii="Arial" w:hAnsi="Arial" w:cs="Arial"/>
          <w:sz w:val="24"/>
          <w:szCs w:val="24"/>
        </w:rPr>
        <w:fldChar w:fldCharType="end"/>
      </w:r>
      <w:r w:rsidR="004D10A4" w:rsidRPr="00103A0B">
        <w:rPr>
          <w:rFonts w:ascii="Arial" w:hAnsi="Arial" w:cs="Arial"/>
          <w:sz w:val="24"/>
          <w:szCs w:val="24"/>
        </w:rPr>
        <w:t>, having family responsibilities (e.g.</w:t>
      </w:r>
      <w:r w:rsidR="00B93938" w:rsidRPr="00103A0B">
        <w:rPr>
          <w:rFonts w:ascii="Arial" w:hAnsi="Arial" w:cs="Arial"/>
          <w:sz w:val="24"/>
          <w:szCs w:val="24"/>
        </w:rPr>
        <w:t>,</w:t>
      </w:r>
      <w:r w:rsidR="004D10A4" w:rsidRPr="00103A0B">
        <w:rPr>
          <w:rFonts w:ascii="Arial" w:hAnsi="Arial" w:cs="Arial"/>
          <w:sz w:val="24"/>
          <w:szCs w:val="24"/>
        </w:rPr>
        <w:t xml:space="preserve"> childcare, caring for elderly) </w:t>
      </w:r>
      <w:r w:rsidR="004D10A4" w:rsidRPr="00103A0B">
        <w:rPr>
          <w:rFonts w:ascii="Arial" w:hAnsi="Arial" w:cs="Arial"/>
          <w:sz w:val="24"/>
          <w:szCs w:val="24"/>
        </w:rPr>
        <w:fldChar w:fldCharType="begin" w:fldLock="1"/>
      </w:r>
      <w:r w:rsidR="00810F86" w:rsidRPr="00103A0B">
        <w:rPr>
          <w:rFonts w:ascii="Arial" w:hAnsi="Arial" w:cs="Arial"/>
          <w:sz w:val="24"/>
          <w:szCs w:val="24"/>
        </w:rPr>
        <w:instrText>ADDIN CSL_CITATION {"citationItems":[{"id":"ITEM-1","itemData":{"ISBN":"00900036","ISSN":"00900036","PMID":"52016494","abstract":"Objectives.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Health","id":"ITEM-1","issued":{"date-parts":[["2010"]]},"page":"232-39","title":"Results of a pilot diabetes prevention intervention in East Harlem, New York city: project HEED","type":"article-journal","volume":"100"},"uris":["http://www.mendeley.com/documents/?uuid=6ca00620-5eb7-44be-86f5-e0fe0414de89"]},{"id":"ITEM-2","itemData":{"ISSN":"15579891","abstract":"The National Diabetes Prevention Program (NDPP) has been effectively translated to various community and clinical settings; however, regardless of setting, enrollment among men and lower-income populations is low. This study presents participant perspectives on Power Up for Health, a novel NDPP pilot adaption for men residing in low-income communities in New York City. We conducted nine interviews and one focus group with seven participants after the program ended. Interview and focus group participants had positive perceptions of the program and described the all-male aspect of the program and its reliance on male coaches as major strengths. Men felt the all-male adaptation allowed for more open, in-depth conversations on eating habits, weight loss, body image, and masculinity. Participants also reported increased knowledge and changes to their dietary and physical activity habits. Recommendations for improving the program included making the sessions more interactive by, for example, adding exercise or healthy cooking demonstrations. Overall, findings from the pilot suggest this NDPP adaptation was acceptable to men and facilitated behavior change and unique discussions that would likely not have occurred in a mixed-gender NDPP implementation.","author":[{"dropping-particle":"","family":"Realmuto","given":"Lindsey","non-dropping-particle":"","parse-names":false,"suffix":""},{"dropping-particle":"","family":"Kamler","given":"Alexandra","non-dropping-particle":"","parse-names":false,"suffix":""},{"dropping-particle":"","family":"Weiss","given":"Linda","non-dropping-particle":"","parse-names":false,"suffix":""},{"dropping-particle":"","family":"Gary-Webb","given":"Tiffany L.","non-dropping-particle":"","parse-names":false,"suffix":""},{"dropping-particle":"","family":"Hodge","given":"Michael E.","non-dropping-particle":"","parse-names":false,"suffix":""},{"dropping-particle":"","family":"Pagán","given":"José A.","non-dropping-particle":"","parse-names":false,"suffix":""},{"dropping-particle":"","family":"Walker","given":"Elizabeth A.","non-dropping-particle":"","parse-names":false,"suffix":""}],"container-title":"American Journal of Men's Health","id":"ITEM-2","issue":"4","issued":{"date-parts":[["2018"]]},"page":"981-988","title":"Power up for health—participants’ perspectives on an adaptation of the national diabetes prevention program to engage men","type":"article-journal","volume":"12"},"uris":["http://www.mendeley.com/documents/?uuid=985144c7-f611-4358-afca-1893d0710190"]},{"id":"ITEM-3","itemData":{"ISSN":"18367399","PMID":"31581978","abstract":"Lifestyle changes are central to preventing type 2 diabetes. Embarking upon and sustaining change is challenging, and translation of prevention approaches into a wider range of real-world settings is needed. In this study, a locally adapted community-led diabetes prevention program with local young Aboriginal facilitators was created and trialled through the Derby Aboriginal Health Service (DAHS). The 8-week program highlighted causes and consequences of diabetes, incorporated physical activity and healthy eating topics with a focus on practical activities, and included stress management to support healthy lifestyles. Ten Aboriginal women and men aged 18-38 years participated in the pilot program. The program was found to be acceptable and appropriate, and other community members and organisations expressed interest in future participation. Participants reported that they gained important new knowledge and made changes in behaviours including shopping choices, portioning and soft drink consumption. Limitations included participant recruitment and attendance difficulties, which were attributed to program timing and competing demands. While this program was designed to be sustainable, and there were indications of feasibility, resource constraints impeded its integration into routine primary health care. Prevention of diabetes is a high priority for DAHS, and this program, with appropriate resources, provides a basis for ongoing practical prevention strategies.","author":[{"dropping-particle":"","family":"Seear","given":"Kimberley H.","non-dropping-particle":"","parse-names":false,"suffix":""},{"dropping-particle":"","family":"Atkinson","given":"David N.","non-dropping-particle":"","parse-names":false,"suffix":""},{"dropping-particle":"","family":"Lelievre","given":"Matthew P.","non-dropping-particle":"","parse-names":false,"suffix":""},{"dropping-particle":"","family":"Henderson-Yates","given":"Lynette M.","non-dropping-particle":"","parse-names":false,"suffix":""},{"dropping-particle":"V.","family":"Marley","given":"Julia","non-dropping-particle":"","parse-names":false,"suffix":""}],"container-title":"Australian Journal of Primary Health","id":"ITEM-3","issue":"5","issued":{"date-parts":[["2019"]]},"page":"495-500","title":"Piloting a culturally appropriate, localised diabetes prevention program for young Aboriginal people in a remote town","type":"article-journal","volume":"25"},"uris":["http://www.mendeley.com/documents/?uuid=f1fa1efe-b1c1-4b73-beb5-a4873b26c154"]},{"id":"ITEM-4","itemData":{"ISSN":"15546063","PMID":"32597384","abstract":"Purpose: The purpose of this study was to understand barriers and facilitators to engagement in a diabetes prevention program for young women at an urban safety-net health care system. Methods: Individual semistructured interviews (N = 29) explored motivations, challenges, and successes regarding participation and suggestions for improvement among women aged 18 to 39 years who enrolled in the National Diabetes Prevention Program in the past 2 years. Participants were classified as nonattendees (n = 10), early-withdrawers (n = 9), or completers (n = 10). Interview transcriptions were analyzed using a grounded hermeneutic editing approach. Results: Qualitative analysis revealed 4 main themes (enrollment, attendance, experience, and suggestions) with multiple subthemes. Most women were motivated to enroll for health and family concerns. Early-withdrawers and nonattendees reported confusion about the program’s aim and relevancy, logistical barriers, and lack of connection with fellow participants/coaches. Highly engaged women noted persistent motivation, perceived weight loss, and supportive program relationships. Conclusions: Multiple barriers/facilitators for young women appear addressable in future adaptations. Additional research is needed to confirm these findings in other settings and explore implementation and effectiveness of adaptations, with a goal of reducing risks prior to conception.","author":[{"dropping-particle":"","family":"Harrison","given":"Caroline R.","non-dropping-particle":"","parse-names":false,"suffix":""},{"dropping-particle":"","family":"Phimphasone-Brady","given":"Phoutdavone","non-dropping-particle":"","parse-names":false,"suffix":""},{"dropping-particle":"","family":"DiOrio","given":"Becky","non-dropping-particle":"","parse-names":false,"suffix":""},{"dropping-particle":"","family":"Raghuanath","given":"Silvia G.","non-dropping-particle":"","parse-names":false,"suffix":""},{"dropping-particle":"","family":"Bright","given":"Riley","non-dropping-particle":"","parse-names":false,"suffix":""},{"dropping-particle":"","family":"Ritchie","given":"Natalie D.","non-dropping-particle":"","parse-names":false,"suffix":""},{"dropping-particle":"","family":"Sauder","given":"Katherine A.","non-dropping-particle":"","parse-names":false,"suffix":""}],"container-title":"Diabetes Educator","id":"ITEM-4","issue":"3","issued":{"date-parts":[["2020"]]},"page":"279-288","title":"Barriers and facilitators of national diabetes prevention program engagement among women of childbearing age: a qualitative study","type":"article-journal","volume":"46"},"uris":["http://www.mendeley.com/documents/?uuid=54a091d7-3327-4458-81b6-aa65eaaa11a8"]}],"mendeley":{"formattedCitation":"(Harrison et al., 2020; Parikh et al., 2010; Realmuto et al., 2018; Seear et al., 2019)","plainTextFormattedCitation":"(Harrison et al., 2020; Parikh et al., 2010; Realmuto et al., 2018; Seear et al., 2019)","previouslyFormattedCitation":"(Harrison et al., 2020; Parikh et al., 2010; Realmuto et al., 2018; Seear et al., 2019)"},"properties":{"noteIndex":0},"schema":"https://github.com/citation-style-language/schema/raw/master/csl-citation.json"}</w:instrText>
      </w:r>
      <w:r w:rsidR="004D10A4" w:rsidRPr="00103A0B">
        <w:rPr>
          <w:rFonts w:ascii="Arial" w:hAnsi="Arial" w:cs="Arial"/>
          <w:sz w:val="24"/>
          <w:szCs w:val="24"/>
        </w:rPr>
        <w:fldChar w:fldCharType="separate"/>
      </w:r>
      <w:r w:rsidR="004D10A4" w:rsidRPr="00103A0B">
        <w:rPr>
          <w:rFonts w:ascii="Arial" w:hAnsi="Arial" w:cs="Arial"/>
          <w:noProof/>
          <w:sz w:val="24"/>
          <w:szCs w:val="24"/>
        </w:rPr>
        <w:t>(Harrison et al., 2020; Parikh et al., 2010; Realmuto et al., 2018; Seear et al., 2019)</w:t>
      </w:r>
      <w:r w:rsidR="004D10A4" w:rsidRPr="00103A0B">
        <w:rPr>
          <w:rFonts w:ascii="Arial" w:hAnsi="Arial" w:cs="Arial"/>
          <w:sz w:val="24"/>
          <w:szCs w:val="24"/>
        </w:rPr>
        <w:fldChar w:fldCharType="end"/>
      </w:r>
      <w:r w:rsidR="004D10A4" w:rsidRPr="00103A0B">
        <w:rPr>
          <w:rFonts w:ascii="Arial" w:eastAsia="Times New Roman" w:hAnsi="Arial" w:cs="Arial"/>
          <w:sz w:val="24"/>
          <w:szCs w:val="24"/>
          <w:lang w:eastAsia="en-GB"/>
        </w:rPr>
        <w:t xml:space="preserve"> or session</w:t>
      </w:r>
      <w:r w:rsidR="004D10A4" w:rsidRPr="00103A0B">
        <w:rPr>
          <w:rFonts w:ascii="Arial" w:hAnsi="Arial" w:cs="Arial"/>
          <w:sz w:val="24"/>
          <w:szCs w:val="24"/>
        </w:rPr>
        <w:t xml:space="preserve"> times being inconvenient or issues with the venue </w:t>
      </w:r>
      <w:r w:rsidR="004D10A4" w:rsidRPr="00103A0B">
        <w:rPr>
          <w:rFonts w:ascii="Arial" w:hAnsi="Arial" w:cs="Arial"/>
          <w:sz w:val="24"/>
          <w:szCs w:val="24"/>
        </w:rPr>
        <w:fldChar w:fldCharType="begin" w:fldLock="1"/>
      </w:r>
      <w:r w:rsidR="007C66BC" w:rsidRPr="00103A0B">
        <w:rPr>
          <w:rFonts w:ascii="Arial" w:hAnsi="Arial" w:cs="Arial"/>
          <w:sz w:val="24"/>
          <w:szCs w:val="24"/>
        </w:rPr>
        <w:instrText>ADDIN CSL_CITATION {"citationItems":[{"id":"ITEM-1","itemData":{"ISSN":"18367399","PMID":"31581978","abstract":"Lifestyle changes are central to preventing type 2 diabetes. Embarking upon and sustaining change is challenging, and translation of prevention approaches into a wider range of real-world settings is needed. In this study, a locally adapted community-led diabetes prevention program with local young Aboriginal facilitators was created and trialled through the Derby Aboriginal Health Service (DAHS). The 8-week program highlighted causes and consequences of diabetes, incorporated physical activity and healthy eating topics with a focus on practical activities, and included stress management to support healthy lifestyles. Ten Aboriginal women and men aged 18-38 years participated in the pilot program. The program was found to be acceptable and appropriate, and other community members and organisations expressed interest in future participation. Participants reported that they gained important new knowledge and made changes in behaviours including shopping choices, portioning and soft drink consumption. Limitations included participant recruitment and attendance difficulties, which were attributed to program timing and competing demands. While this program was designed to be sustainable, and there were indications of feasibility, resource constraints impeded its integration into routine primary health care. Prevention of diabetes is a high priority for DAHS, and this program, with appropriate resources, provides a basis for ongoing practical prevention strategies.","author":[{"dropping-particle":"","family":"Seear","given":"Kimberley H.","non-dropping-particle":"","parse-names":false,"suffix":""},{"dropping-particle":"","family":"Atkinson","given":"David N.","non-dropping-particle":"","parse-names":false,"suffix":""},{"dropping-particle":"","family":"Lelievre","given":"Matthew P.","non-dropping-particle":"","parse-names":false,"suffix":""},{"dropping-particle":"","family":"Henderson-Yates","given":"Lynette M.","non-dropping-particle":"","parse-names":false,"suffix":""},{"dropping-particle":"V.","family":"Marley","given":"Julia","non-dropping-particle":"","parse-names":false,"suffix":""}],"container-title":"Australian Journal of Primary Health","id":"ITEM-1","issue":"5","issued":{"date-parts":[["2019"]]},"page":"495-500","title":"Piloting a culturally appropriate, localised diabetes prevention program for young Aboriginal people in a remote town","type":"article-journal","volume":"25"},"uris":["http://www.mendeley.com/documents/?uuid=f1fa1efe-b1c1-4b73-beb5-a4873b26c154"]},{"id":"ITEM-2","itemData":{"ISSN":"15579891","abstract":"The National Diabetes Prevention Program (NDPP) has been effectively translated to various community and clinical settings; however, regardless of setting, enrollment among men and lower-income populations is low. This study presents participant perspectives on Power Up for Health, a novel NDPP pilot adaption for men residing in low-income communities in New York City. We conducted nine interviews and one focus group with seven participants after the program ended. Interview and focus group participants had positive perceptions of the program and described the all-male aspect of the program and its reliance on male coaches as major strengths. Men felt the all-male adaptation allowed for more open, in-depth conversations on eating habits, weight loss, body image, and masculinity. Participants also reported increased knowledge and changes to their dietary and physical activity habits. Recommendations for improving the program included making the sessions more interactive by, for example, adding exercise or healthy cooking demonstrations. Overall, findings from the pilot suggest this NDPP adaptation was acceptable to men and facilitated behavior change and unique discussions that would likely not have occurred in a mixed-gender NDPP implementation.","author":[{"dropping-particle":"","family":"Realmuto","given":"Lindsey","non-dropping-particle":"","parse-names":false,"suffix":""},{"dropping-particle":"","family":"Kamler","given":"Alexandra","non-dropping-particle":"","parse-names":false,"suffix":""},{"dropping-particle":"","family":"Weiss","given":"Linda","non-dropping-particle":"","parse-names":false,"suffix":""},{"dropping-particle":"","family":"Gary-Webb","given":"Tiffany L.","non-dropping-particle":"","parse-names":false,"suffix":""},{"dropping-particle":"","family":"Hodge","given":"Michael E.","non-dropping-particle":"","parse-names":false,"suffix":""},{"dropping-particle":"","family":"Pagán","given":"José A.","non-dropping-particle":"","parse-names":false,"suffix":""},{"dropping-particle":"","family":"Walker","given":"Elizabeth A.","non-dropping-particle":"","parse-names":false,"suffix":""}],"container-title":"American Journal of Men's Health","id":"ITEM-2","issue":"4","issued":{"date-parts":[["2018"]]},"page":"981-988","title":"Power up for health—participants’ perspectives on an adaptation of the national diabetes prevention program to engage men","type":"article-journal","volume":"12"},"uris":["http://www.mendeley.com/documents/?uuid=985144c7-f611-4358-afca-1893d0710190"]},{"id":"ITEM-3","itemData":{"ISSN":"14726963","PMID":"33246460","abstract":"Background: The NHS Diabetes Prevention Programme (NHS-DPP) is a nine-month, group-based behavioural intervention for adults in England at risk of developing Type 2 diabetes. Four independent providers were commissioned to deliver versions of the NHS-DPP, in line with NHS England specifications. This observational study maps NHS-DPP delivery in routine practice against the NHS specification, and compares service delivery with observed patient experiences. Methods: Researchers observed service delivery across eight complete NHS-DPP courses (118 sessions, median 14 sessions per course), consenting 455 participants (36 staff, 398 patients, 21 accompanying persons). Key features of NHS-DPP delivery were described using the Template for Intervention Description and Replication (TIDieR) framework. Researchers wrote detailed field notes during each session, including observations of patient experience. Field notes were content analysed; instances of positive and negative experiences were labelled and grouped into categories. Researchers used a novel method of comparing observed patient experiences to variations in programme delivery. Results: Delivery broadly followed NHS England’s specification and the plans set out by providers. Deviations included the scheduling and larger group sizes in some sessions. There was variation in the type and format of activities delivered by providers. Positive patient experiences included engagement, satisfaction with the programme, good within-group relationships and reported behavioural changes. Negative experiences included poor scheduling, large groups, and dissatisfaction with the venue. Where more interactive and visual activities were delivered in smaller groups of 10–15 people with good rapport, there were generally more instances of positive patient experiences, and where there were structural issues such as problems with the scheduling of sessions, poor venues and inadequate resources, there tended to be more negative patient experiences. Conclusions: Addressing issues that we have identified as being linked to negative experiences with the NHS-DPP could increase uptake, reduce patient drop-out and increase the overall effectiveness of the programme. In particular, modifying structural aspects of the NHS-DPP (e.g. reliable session scheduling, reducing group sizes, enough session resources) and increasing interaction appear particularly promising for improving these outcomes.","author":[{"dropping-particle":"","family":"Hawkes","given":"R.E.","non-dropping-particle":"","parse-names":false,"suffix":""},{"dropping-particle":"","family":"Cameron","given":"Elaine","non-dropping-particle":"","parse-names":false,"suffix":""},{"dropping-particle":"","family":"Cotterill","given":"Sarah","non-dropping-particle":"","parse-names":false,"suffix":""},{"dropping-particle":"","family":"Bower","given":"Peter","non-dropping-particle":"","parse-names":false,"suffix":""},{"dropping-particle":"","family":"French","given":"David P.","non-dropping-particle":"","parse-names":false,"suffix":""}],"container-title":"BMC Health Services Research","id":"ITEM-3","issued":{"date-parts":[["2020"]]},"page":"1098","publisher":"BMC Health Services Research","title":"The NHS diabetes prevention programme: an observational study of service delivery and patient experience","type":"article-journal","volume":"20"},"uris":["http://www.mendeley.com/documents/?uuid=144b4659-423e-454d-8d8d-99a99782d903"]}],"mendeley":{"formattedCitation":"(R.E. Hawkes et al., 2020; Realmuto et al., 2018; Seear et al., 2019)","manualFormatting":"(Hawkes et al., 2020; Realmuto et al., 2018; Seear et al., 2019)","plainTextFormattedCitation":"(R.E. Hawkes et al., 2020; Realmuto et al., 2018; Seear et al., 2019)","previouslyFormattedCitation":"(R.E. Hawkes et al., 2020; Realmuto et al., 2018; Seear et al., 2019)"},"properties":{"noteIndex":0},"schema":"https://github.com/citation-style-language/schema/raw/master/csl-citation.json"}</w:instrText>
      </w:r>
      <w:r w:rsidR="004D10A4" w:rsidRPr="00103A0B">
        <w:rPr>
          <w:rFonts w:ascii="Arial" w:hAnsi="Arial" w:cs="Arial"/>
          <w:sz w:val="24"/>
          <w:szCs w:val="24"/>
        </w:rPr>
        <w:fldChar w:fldCharType="separate"/>
      </w:r>
      <w:r w:rsidR="00391499" w:rsidRPr="00103A0B">
        <w:rPr>
          <w:rFonts w:ascii="Arial" w:hAnsi="Arial" w:cs="Arial"/>
          <w:noProof/>
          <w:sz w:val="24"/>
          <w:szCs w:val="24"/>
        </w:rPr>
        <w:t>(Hawkes et al., 2020; Realmuto et al., 2018; Seear et al., 2019)</w:t>
      </w:r>
      <w:r w:rsidR="004D10A4" w:rsidRPr="00103A0B">
        <w:rPr>
          <w:rFonts w:ascii="Arial" w:hAnsi="Arial" w:cs="Arial"/>
          <w:sz w:val="24"/>
          <w:szCs w:val="24"/>
        </w:rPr>
        <w:fldChar w:fldCharType="end"/>
      </w:r>
      <w:r w:rsidR="004D10A4" w:rsidRPr="00103A0B">
        <w:rPr>
          <w:rFonts w:ascii="Arial" w:hAnsi="Arial" w:cs="Arial"/>
          <w:sz w:val="24"/>
          <w:szCs w:val="24"/>
        </w:rPr>
        <w:t xml:space="preserve">. </w:t>
      </w:r>
      <w:r w:rsidR="004D10A4" w:rsidRPr="00103A0B">
        <w:rPr>
          <w:rFonts w:ascii="Arial" w:hAnsi="Arial" w:cs="Arial"/>
          <w:color w:val="000000" w:themeColor="text1"/>
          <w:sz w:val="24"/>
          <w:szCs w:val="24"/>
        </w:rPr>
        <w:t xml:space="preserve">However, </w:t>
      </w:r>
      <w:r w:rsidR="00F6449A" w:rsidRPr="00103A0B">
        <w:rPr>
          <w:rFonts w:ascii="Arial" w:hAnsi="Arial" w:cs="Arial"/>
          <w:color w:val="000000" w:themeColor="text1"/>
          <w:sz w:val="24"/>
          <w:szCs w:val="24"/>
        </w:rPr>
        <w:t xml:space="preserve">none of </w:t>
      </w:r>
      <w:r w:rsidR="004D10A4" w:rsidRPr="00103A0B">
        <w:rPr>
          <w:rFonts w:ascii="Arial" w:hAnsi="Arial" w:cs="Arial"/>
          <w:color w:val="000000" w:themeColor="text1"/>
          <w:sz w:val="24"/>
          <w:szCs w:val="24"/>
        </w:rPr>
        <w:t>these studies interview</w:t>
      </w:r>
      <w:r w:rsidR="00F6449A" w:rsidRPr="00103A0B">
        <w:rPr>
          <w:rFonts w:ascii="Arial" w:hAnsi="Arial" w:cs="Arial"/>
          <w:color w:val="000000" w:themeColor="text1"/>
          <w:sz w:val="24"/>
          <w:szCs w:val="24"/>
        </w:rPr>
        <w:t>ed</w:t>
      </w:r>
      <w:r w:rsidR="004D10A4" w:rsidRPr="00103A0B">
        <w:rPr>
          <w:rFonts w:ascii="Arial" w:hAnsi="Arial" w:cs="Arial"/>
          <w:color w:val="000000" w:themeColor="text1"/>
          <w:sz w:val="24"/>
          <w:szCs w:val="24"/>
        </w:rPr>
        <w:t xml:space="preserve"> non-attenders or non-completers, </w:t>
      </w:r>
      <w:r w:rsidR="00F6449A" w:rsidRPr="00103A0B">
        <w:rPr>
          <w:rFonts w:ascii="Arial" w:hAnsi="Arial" w:cs="Arial"/>
          <w:color w:val="000000" w:themeColor="text1"/>
          <w:sz w:val="24"/>
          <w:szCs w:val="24"/>
        </w:rPr>
        <w:t>nor did they</w:t>
      </w:r>
      <w:r w:rsidR="004D10A4" w:rsidRPr="00103A0B">
        <w:rPr>
          <w:rFonts w:ascii="Arial" w:hAnsi="Arial" w:cs="Arial"/>
          <w:color w:val="000000" w:themeColor="text1"/>
          <w:sz w:val="24"/>
          <w:szCs w:val="24"/>
        </w:rPr>
        <w:t xml:space="preserve"> explore perceptions from people with ethnically diverse backgrounds and/or from socioeconomically deprived areas, which the research presented in this thesis will aim to do (see Chapters 5 and 6). </w:t>
      </w:r>
    </w:p>
    <w:p w14:paraId="7A1FD180" w14:textId="7DC223A3" w:rsidR="002D3F5D" w:rsidRPr="00103A0B" w:rsidRDefault="002D3F5D" w:rsidP="00182500">
      <w:pPr>
        <w:spacing w:line="360" w:lineRule="auto"/>
        <w:jc w:val="both"/>
        <w:rPr>
          <w:rFonts w:ascii="Arial" w:hAnsi="Arial" w:cs="Arial"/>
          <w:color w:val="000000" w:themeColor="text1"/>
          <w:sz w:val="24"/>
          <w:szCs w:val="24"/>
        </w:rPr>
      </w:pPr>
    </w:p>
    <w:p w14:paraId="31B50C1E" w14:textId="7960416C" w:rsidR="002D3F5D" w:rsidRPr="00103A0B" w:rsidRDefault="00C42E5F" w:rsidP="00CD5919">
      <w:pPr>
        <w:jc w:val="both"/>
        <w:rPr>
          <w:rFonts w:ascii="Arial" w:hAnsi="Arial" w:cs="Arial"/>
          <w:i/>
          <w:iCs/>
          <w:sz w:val="24"/>
          <w:szCs w:val="24"/>
        </w:rPr>
      </w:pPr>
      <w:r w:rsidRPr="00103A0B">
        <w:rPr>
          <w:rFonts w:ascii="Arial" w:hAnsi="Arial" w:cs="Arial"/>
          <w:i/>
          <w:iCs/>
          <w:sz w:val="24"/>
          <w:szCs w:val="24"/>
        </w:rPr>
        <w:lastRenderedPageBreak/>
        <w:t xml:space="preserve">1.6.2. </w:t>
      </w:r>
      <w:r w:rsidR="002D3F5D" w:rsidRPr="00103A0B">
        <w:rPr>
          <w:rFonts w:ascii="Arial" w:hAnsi="Arial" w:cs="Arial"/>
          <w:i/>
          <w:iCs/>
          <w:sz w:val="24"/>
          <w:szCs w:val="24"/>
        </w:rPr>
        <w:t xml:space="preserve">Psychological </w:t>
      </w:r>
      <w:r w:rsidR="004D10A4" w:rsidRPr="00103A0B">
        <w:rPr>
          <w:rFonts w:ascii="Arial" w:hAnsi="Arial" w:cs="Arial"/>
          <w:i/>
          <w:iCs/>
          <w:sz w:val="24"/>
          <w:szCs w:val="24"/>
        </w:rPr>
        <w:t>F</w:t>
      </w:r>
      <w:r w:rsidR="002D3F5D" w:rsidRPr="00103A0B">
        <w:rPr>
          <w:rFonts w:ascii="Arial" w:hAnsi="Arial" w:cs="Arial"/>
          <w:i/>
          <w:iCs/>
          <w:sz w:val="24"/>
          <w:szCs w:val="24"/>
        </w:rPr>
        <w:t xml:space="preserve">actors </w:t>
      </w:r>
    </w:p>
    <w:p w14:paraId="086DFA5B" w14:textId="50D82CF2" w:rsidR="004D10A4" w:rsidRPr="00103A0B" w:rsidRDefault="004D10A4" w:rsidP="00CD5919">
      <w:pPr>
        <w:spacing w:before="100" w:after="100" w:line="360" w:lineRule="auto"/>
        <w:jc w:val="both"/>
        <w:rPr>
          <w:rFonts w:ascii="Arial" w:hAnsi="Arial" w:cs="Arial"/>
          <w:color w:val="000000" w:themeColor="text1"/>
          <w:sz w:val="24"/>
          <w:szCs w:val="24"/>
        </w:rPr>
      </w:pPr>
      <w:r w:rsidRPr="00103A0B">
        <w:rPr>
          <w:rFonts w:ascii="Arial" w:eastAsia="Times New Roman" w:hAnsi="Arial" w:cs="Arial"/>
          <w:sz w:val="24"/>
          <w:szCs w:val="24"/>
          <w:lang w:eastAsia="en-GB"/>
        </w:rPr>
        <w:t xml:space="preserve">Psychological factors i.e., the way people think about their condition and their ability to change, could play a role in uptake and/or retention of a diabetes prevention programme. Illness perceptions (IPs), self-efficacy (SE) and mental wellbeing are important factors for DPPs to consider as they have been identified as influencing uptake and/or retention for other health prevention programmes such as cardiac rehabilitation </w:t>
      </w:r>
      <w:r w:rsidRPr="00103A0B">
        <w:rPr>
          <w:rFonts w:ascii="Arial" w:eastAsia="Times New Roman" w:hAnsi="Arial" w:cs="Arial"/>
          <w:sz w:val="24"/>
          <w:szCs w:val="24"/>
          <w:lang w:eastAsia="en-GB"/>
        </w:rPr>
        <w:fldChar w:fldCharType="begin" w:fldLock="1"/>
      </w:r>
      <w:r w:rsidR="00591FE2" w:rsidRPr="00103A0B">
        <w:rPr>
          <w:rFonts w:ascii="Arial" w:eastAsia="Times New Roman" w:hAnsi="Arial" w:cs="Arial"/>
          <w:sz w:val="24"/>
          <w:szCs w:val="24"/>
          <w:lang w:eastAsia="en-GB"/>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questionnaire","type":"article-journal","volume":"60"},"uris":["http://www.mendeley.com/documents/?uuid=d92e0634-c26f-4845-bdfd-de9e844e3f3b"]},{"id":"ITEM-2","itemData":{"ISSN":"14799731","PMID":"24659210","abstract":"Pulmonary rehabilitation (PR) is an effective treatment for people with chronic obstructive pulmonary disease (COPD). However, uptake and adherence to rehabilitation is poor and non-adherence is associated with poorer clinical outcomes. This study investigated the factors that might predict an individual completing his/her PR programme. Demographic, physiological and psychological data were collected from routine assessment information. Non-completers (N = 213) who dropped out after initial assessment were compared with completers (N = 438) who attended all 6 weeks of PR programme. Regression analysis indicated that smoking status was the strongest predictor for completing PR programme, that is, ex-smokers were 2.6 times (95% confidence interval (CI) = 1.7-3.9) and those who had never smoked were 2.5 times (95% confidence interval (CI) = 1.1-5.7) more likely to complete in comparison with those who were current smokers. Scoring better on psychological well-being measures (odds ratio = 1.6; 95% CI = 1.2-1.9) was also a strong predictor. The findings suggest the areas that could be addressed to enhance adherence to rehabilitation, for example, targeted interventions for clients who continue to smoke and for those who require support for psychological distress. © The Author(s) 2014.","author":[{"dropping-particle":"","family":"Cassidy","given":"Susan","non-dropping-particle":"","parse-names":false,"suffix":""},{"dropping-particle":"","family":"Turnbull","given":"Sue","non-dropping-particle":"","parse-names":false,"suffix":""},{"dropping-particle":"","family":"Gardani","given":"Maria","non-dropping-particle":"","parse-names":false,"suffix":""},{"dropping-particle":"","family":"Kirkwood","given":"Kim","non-dropping-particle":"","parse-names":false,"suffix":""}],"container-title":"Chronic Respiratory Disease","id":"ITEM-2","issue":"2","issued":{"date-parts":[["2014"]]},"page":"95-102","title":"Attendance at pulmonary rehabilitation classes: an exploration of demographic, physiological and psychological factors that predict completion of treatment","type":"article-journal","volume":"11"},"uris":["http://www.mendeley.com/documents/?uuid=c69fbeec-8523-4d93-b894-8a20fbc78dfd"]},{"id":"ITEM-3","itemData":{"DOI":"10.1136/hrt.82.2.234","ISSN":"13556037","PMID":"10409543","abstract":"Objective - Many patients fail to attend cardiac rehabilitation. Attempts to identify sociodemographic or clinical predictors of non- attendance have not been very successful; therefore, this study aimed to determine whether the illness beliefs held during hospitalisation by patients who had suffered acute myocardial infarction or who had undergone coronary artery bypass graft surgery could predict cardiac rehabilitation attendance. Subjects and methods - 152 patients were prospectively studied of whom 41% had attended cardiac rehabilitation at six months. Results - In addition to being older, less aware of their cholesterol values, and less likely to be employed, non-attenders were less likely to believe their condition was controllable and that their lifestyle may have contributed to their illness. Conclusion - It should now be determined whether interventions aimed at optimising certain perceptions could promote cardiac rehabilitation uptake among those patients who could benefit the most.","author":[{"dropping-particle":"","family":"Cooper","given":"A.","non-dropping-particle":"","parse-names":false,"suffix":""},{"dropping-particle":"","family":"Lloyd","given":"G.","non-dropping-particle":"","parse-names":false,"suffix":""},{"dropping-particle":"","family":"Weinman","given":"J.","non-dropping-particle":"","parse-names":false,"suffix":""},{"dropping-particle":"","family":"Jackson","given":"G.","non-dropping-particle":"","parse-names":false,"suffix":""}],"container-title":"Heart","id":"ITEM-3","issue":"2","issued":{"date-parts":[["1999"]]},"page":"234-236","title":"Why patients do not attend cardiac rehabilitation: role of intentions and illness beliefs","type":"article-journal","volume":"82"},"uris":["http://www.mendeley.com/documents/?uuid=34c09c5a-879d-422b-93bf-3ab284d34bb2"]},{"id":"ITEM-4","itemData":{"ISSN":"00223999","abstract":"Objective: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Research","id":"ITEM-4","issued":{"date-parts":[["2006"]]},"page":"757-767","title":"Illness perceptions predict attendance at cardiac rehabilitation following acute myocardial infarction: a systematic review with meta-analysis","type":"article-journal","volume":"61"},"uris":["http://www.mendeley.com/documents/?uuid=046866de-6856-4a38-87d2-91dee1be78bc"]},{"id":"ITEM-5","itemData":{"DOI":"10.1136/bmj.312.7040.1191","ISSN":"09598146","PMID":"8634561","abstract":"Objective - To examine whether patients' initial perceptions of their myocardial infarction predict subsequent attendance at a cardiac rehabilitation course, return to work, disability, and sexual dysfunction. Design - Patients' perceptions of their illness were measured at admission with their first myocardial infarction and at follow up three and six months later. Setting - Two large teaching hospitals in Auckland, New Zealand. Subjects - 143 consecutive patients aged under 65 with their first myocardial infarction. Main outcome measures - Attendance at rehabilitation course; time before returning to work; measures of disability with sickness impact profile questionnaire for sleep and rest, social interaction, recreational activity, and home management; and sexual dysfunction. Results - Attendance at the rehabilitation course was significantly related to a stronger belief during admission that the illness could be cured or controlled (t = 2.08, P = 0.04). Return to work within six weeks was significantly predicted by the perception that the illness would last a short time (t = -2.52, P = 0.01) and have less grave consequences for the patient (t = -2.87, P = 0.005). Patients' belief that their heart disease would have serious consequences was significantly related to later disability in work around the house, recreational activities, and social interaction. A strong illness identity was significantly related to greater sexual dysfunction at both three and six months. Conclusions - Patients' initial perceptions of illness are important determinants of different aspects of recovery after myocardial infarction. Specific illness perceptions need to be identified at an early stage as a basis for optimising outcomes from rehabilitation programmes.","author":[{"dropping-particle":"","family":"Petrie","given":"Keith J.","non-dropping-particle":"","parse-names":false,"suffix":""},{"dropping-particle":"","family":"Weinman","given":"John","non-dropping-particle":"","parse-names":false,"suffix":""},{"dropping-particle":"","family":"Sharpe","given":"Norman","non-dropping-particle":"","parse-names":false,"suffix":""},{"dropping-particle":"","family":"Buckley","given":"Judith","non-dropping-particle":"","parse-names":false,"suffix":""}],"container-title":"British Medical Journal","id":"ITEM-5","issued":{"date-parts":[["1996"]]},"page":"1191-1194","title":"Role of patients' view of their illness in predicting return to work and functioning after myocardial infarction: longitudinal study","type":"article-journal","volume":"312"},"uris":["http://www.mendeley.com/documents/?uuid=5a054578-2b1d-4019-a4c6-90d9fe0d8d78"]},{"id":"ITEM-6","itemData":{"ISSN":"1359107X","PMID":"12804334","abstract":"Objective.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Psychology","id":"ITEM-6","issue":"2","issued":{"date-parts":[["2003"]]},"page":"209-221","title":"Illness perceptions, mood and coping in predicting attendance at cardiac rehabilitation","type":"article-journal","volume":"8"},"uris":["http://www.mendeley.com/documents/?uuid=2b23aeed-ebf4-4ab9-8528-f2beb3776198"]},{"id":"ITEM-7","itemData":{"ISBN":"0269215506","ISSN":"02692155","PMID":"17329279","abstract":"Objective: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Rehabilitation","id":"ITEM-7","issued":{"date-parts":[["2007"]]},"page":"222-229","title":"Predictors of drop-out from an outpatient cardiac rehabilitation programme","type":"article-journal","volume":"21"},"uris":["http://www.mendeley.com/documents/?uuid=1c9fcf5a-0df3-4220-a7bb-617e9a88b582"]}],"mendeley":{"formattedCitation":"(Broadbent et al., 2006; Cassidy et al., 2014; Cooper et al., 1999; French et al., 2006; Petrie et al., 1996; Whitmarsh et al., 2003; Yohannes et al., 2007)","manualFormatting":"(Broadbent et al., 2006; Cassidy et al., 2014; Cooper et al., 1999; French et al., 2006; Petrie et al., 1996; Whitmarsh et al., 2003; Yohannes et al., 2007)","plainTextFormattedCitation":"(Broadbent et al., 2006; Cassidy et al., 2014; Cooper et al., 1999; French et al., 2006; Petrie et al., 1996; Whitmarsh et al., 2003; Yohannes et al., 2007)","previouslyFormattedCitation":"(Broadbent et al., 2006; Cassidy et al., 2014; A. Cooper et al., 1999; French et al., 2006; Petrie et al., 1996; Whitmarsh et al., 2003; Yohannes et al., 2007)"},"properties":{"noteIndex":0},"schema":"https://github.com/citation-style-language/schema/raw/master/csl-citation.json"}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50ED6" w:rsidRPr="00103A0B">
        <w:rPr>
          <w:rFonts w:ascii="Arial" w:eastAsia="Times New Roman" w:hAnsi="Arial" w:cs="Arial"/>
          <w:noProof/>
          <w:sz w:val="24"/>
          <w:szCs w:val="24"/>
          <w:lang w:eastAsia="en-GB"/>
        </w:rPr>
        <w:t>(Broadbent et al., 2006; Cassidy et al., 2014; Cooper et al., 1999; French et al., 2006; Petrie et al., 1996; Whitmarsh et al., 2003; Yohannes et al., 2007)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breast screening </w:t>
      </w:r>
      <w:r w:rsidRPr="00103A0B">
        <w:rPr>
          <w:rFonts w:ascii="Arial" w:eastAsia="Times New Roman" w:hAnsi="Arial" w:cs="Arial"/>
          <w:sz w:val="24"/>
          <w:szCs w:val="24"/>
          <w:lang w:eastAsia="en-GB"/>
        </w:rPr>
        <w:fldChar w:fldCharType="begin" w:fldLock="1"/>
      </w:r>
      <w:r w:rsidR="00BA4374" w:rsidRPr="00103A0B">
        <w:rPr>
          <w:rFonts w:ascii="Arial" w:eastAsia="Times New Roman" w:hAnsi="Arial" w:cs="Arial"/>
          <w:sz w:val="24"/>
          <w:szCs w:val="24"/>
          <w:lang w:eastAsia="en-GB"/>
        </w:rPr>
        <w:instrText>ADDIN CSL_CITATION {"citationItems":[{"id":"ITEM-1","itemData":{"author":[{"dropping-particle":"","family":"Marmarà","given":"Danika","non-dropping-particle":"","parse-names":false,"suffix":""},{"dropping-particle":"","family":"Marmarà","given":"Vincent","non-dropping-particle":"","parse-names":false,"suffix":""},{"dropping-particle":"","family":"Hubbard","given":"Gill","non-dropping-particle":"","parse-names":false,"suffix":""}],"container-title":"BMC Public Health","id":"ITEM-1","issued":{"date-parts":[["2017"]]},"page":"416","publisher":"BMC Public Health","title":"Health beliefs, illness perceptions and determinants of breast screening uptake in Malta: a cross-sectional survey","type":"article-journal","volume":"17"},"uris":["http://www.mendeley.com/documents/?uuid=d11d1bdb-4b14-49bf-a95f-ebea8490047f"]},{"id":"ITEM-2","itemData":{"DOI":"10.1186/s12889-019-6507-9","ISSN":"14712458","PMID":"30760275","abstract":"Background: A range of barriers influence women's uptake to a first breast screening invitation. Few studies however, have examined factors associated with second screening uptake. This study follows Maltese women to explore predictors and behaviours to re-attendance, and to determine if uptake of first invitation to the Maltese Breast Screening Programme (MBSP) is a significant predictor of second screening uptake. Methods: A prospective study was conducted to determine factors associated with re-attendance for 100 women invited to the second MBSP round. Records of women's second attendance to the MBSP were extracted in January 2016 from the MBSP database. Data were analyzed using chi-square tests, Independent Samples t-test, Mann Whitney test, Shapiro Wilk test and logistic regression. Results: There were no significant associations for sociodemographic or health status variables with second screening uptake (p &gt; 0.05), except breast condition (Fisher's exact test, p = 0.046). Non-attendees at second screening were most unsure of screening frequency recommendations (χ2 = 9.580, p = 0.048). Attendees were more likely to perceive their susceptibility to breast cancer (p = 0.041), believed breast cancer to be life changing (p = 0.011) and considered cues to action to aid attendance (p = 0.028). Non-attendees were in stronger agreement on mammography pain (p = 0.008) and were less likely to consider cues to action (15.4% non-attendees vs 1.4% attendees) (p = 0.017 respectively). 'Perceived barriers', 'breast cancer identity', 'causes' and 'consequences' were found to be significant predictors of second screening uptake, with 'perceived barriers' being the strongest. The inclusion of illness perception items improved the regression model's accuracy in predicting non-attendance to the second screening round (84.6% vs 30.8%). First screening uptake was found to be a significant predictor of subsequent uptake (OR = 0.102; 95% CI = 0.037, 0.283; p = 0.000). Conclusions: Interventions to increase uptake should target first invitees since attending for the first time is a strong predictor of uptake to the second cycle. Further research is required given the small sample. Particular attention should be paid to women who did not respond to their first invite or are unsure or reluctant participants initially.","author":[{"dropping-particle":"","family":"Marmarà","given":"Danika","non-dropping-particle":"","parse-names":false,"suffix":""},{"dropping-particle":"","family":"Marmarà","given":"Vincent","non-dropping-particle":"","parse-names":false,"suffix":""},{"dropping-particle":"","family":"Hubbard","given":"Gill","non-dropping-particle":"","parse-names":false,"suffix":""}],"container-title":"BMC Public Health","id":"ITEM-2","issued":{"date-parts":[["2019"]]},"page":"189","publisher":"BMC Public Health","title":"Predicting reattendance to the second round of the Maltese national breast screening programme: an analytical descriptive study","type":"article-journal","volume":"19"},"uris":["http://www.mendeley.com/documents/?uuid=b50d1be3-9bf9-4b6d-8362-20e24198fd0b"]}],"mendeley":{"formattedCitation":"(Marmarà et al., 2017, 2019)","plainTextFormattedCitation":"(Marmarà et al., 2017, 2019)","previouslyFormattedCitation":"(Marmarà et al., 2017, 2019)"},"properties":{"noteIndex":0},"schema":"https://github.com/citation-style-language/schema/raw/master/csl-citation.json"}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(Marmarà et al., 2017, 2019)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weight reduction programmes </w:t>
      </w:r>
      <w:r w:rsidRPr="00103A0B">
        <w:rPr>
          <w:rFonts w:ascii="Arial" w:eastAsia="Times New Roman" w:hAnsi="Arial" w:cs="Arial"/>
          <w:sz w:val="24"/>
          <w:szCs w:val="24"/>
          <w:lang w:eastAsia="en-GB"/>
        </w:rPr>
        <w:fldChar w:fldCharType="begin" w:fldLock="1"/>
      </w:r>
      <w:r w:rsidR="00445FC8" w:rsidRPr="00103A0B">
        <w:rPr>
          <w:rFonts w:ascii="Arial" w:eastAsia="Times New Roman" w:hAnsi="Arial" w:cs="Arial"/>
          <w:sz w:val="24"/>
          <w:szCs w:val="24"/>
          <w:lang w:eastAsia="en-GB"/>
        </w:rPr>
        <w:instrText>ADDIN CSL_CITATION {"citationItems":[{"id":"ITEM-1","itemData":{"author":[{"dropping-particle":"","family":"Bernier","given":"Michel","non-dropping-particle":"","parse-names":false,"suffix":""},{"dropping-particle":"","family":"Avard","given":"Jacqueline","non-dropping-particle":"","parse-names":false,"suffix":""}],"container-title":"Cognitive Therapy and Research","id":"ITEM-1","issue":"3","issued":{"date-parts":[["1986"]]},"page":"319-338","title":"Self-efficacy, outcome, and attrition in weight-reduction program","type":"article-journal","volume":"10"},"uris":["http://www.mendeley.com/documents/?uuid=bdc6575d-b477-48c3-90a4-7863e2488b55"]}],"mendeley":{"formattedCitation":"(Bernier &amp; Avard, 1986)","plainTextFormattedCitation":"(Bernier &amp; Avard, 1986)","previouslyFormattedCitation":"(Bernier &amp; Avard, 1986)"},"properties":{"noteIndex":0},"schema":"https://github.com/citation-style-language/schema/raw/master/csl-citation.json"}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(Bernier &amp; Avard, 1986)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r w:rsidRPr="00103A0B">
        <w:rPr>
          <w:rFonts w:ascii="Arial" w:hAnsi="Arial" w:cs="Arial"/>
          <w:color w:val="000000" w:themeColor="text1"/>
          <w:sz w:val="24"/>
          <w:szCs w:val="24"/>
        </w:rPr>
        <w:t xml:space="preserve"> </w:t>
      </w:r>
    </w:p>
    <w:p w14:paraId="7E2A332C" w14:textId="2DD23A4C" w:rsidR="004D10A4" w:rsidRPr="00103A0B" w:rsidRDefault="004D10A4" w:rsidP="00CD5919">
      <w:pPr>
        <w:spacing w:before="100" w:after="100" w:line="360" w:lineRule="auto"/>
        <w:jc w:val="both"/>
        <w:rPr>
          <w:rFonts w:ascii="Arial" w:hAnsi="Arial" w:cs="Arial"/>
          <w:sz w:val="24"/>
          <w:szCs w:val="24"/>
        </w:rPr>
      </w:pPr>
      <w:r w:rsidRPr="00103A0B">
        <w:rPr>
          <w:rFonts w:ascii="Arial" w:hAnsi="Arial" w:cs="Arial"/>
          <w:color w:val="000000" w:themeColor="text1"/>
          <w:sz w:val="24"/>
          <w:szCs w:val="24"/>
        </w:rPr>
        <w:t>Illness perceptions</w:t>
      </w:r>
      <w:r w:rsidRPr="00103A0B">
        <w:rPr>
          <w:rFonts w:ascii="Arial" w:hAnsi="Arial" w:cs="Arial"/>
          <w:sz w:val="24"/>
          <w:szCs w:val="24"/>
        </w:rPr>
        <w:t xml:space="preserve"> (IPs) have been derived from the Common-Sense Model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Leventhal","given":"Howard","non-dropping-particle":"","parse-names":false,"suffix":""},{"dropping-particle":"","family":"Diefenbach","given":"Michael","non-dropping-particle":"","parse-names":false,"suffix":""},{"dropping-particle":"","family":"Leventhal","given":"Elaine","non-dropping-particle":"","parse-names":false,"suffix":""}],"container-title":"Cognitive Therapy and Research","id":"ITEM-1","issued":{"date-parts":[["1992"]]},"page":"143-163","title":"Illness cognition: using common sense to understand treatment adherence and affect cognition interactions","type":"article-journal","volume":"16"},"uris":["http://www.mendeley.com/documents/?uuid=79d18470-f082-4de3-90dd-2f733bfb03d2"]},{"id":"ITEM-2","itemData":{"author":[{"dropping-particle":"","family":"Leventhal","given":"Howard","non-dropping-particle":"","parse-names":false,"suffix":""},{"dropping-particle":"","family":"Meyer","given":"D.","non-dropping-particle":"","parse-names":false,"suffix":""},{"dropping-particle":"","family":"Nerenz","given":"D.","non-dropping-particle":"","parse-names":false,"suffix":""}],"container-title":"Contributions to medical psychology","editor":[{"dropping-particle":"","family":"Rachman","given":"S","non-dropping-particle":"","parse-names":false,"suffix":""}],"id":"ITEM-2","issued":{"date-parts":[["1980"]]},"page":"7-30","publisher":"Pergamon Press","publisher-place":"New York","title":"The common sense representation of illness danger","type":"chapter"},"uris":["http://www.mendeley.com/documents/?uuid=8d542582-e3f1-4d90-810a-88e1832aca9d"]},{"id":"ITEM-3","itemData":{"DOI":"10.1016/S0065-2601(08)60091-X","ISSN":"00652601","abstract":"The data reviewed clearly show a predominantly positive relationship between fear level and acceptance of the communicator's recommendations. Thus, the greater the fear stimulated by a treatment the more favorable the attitude toward the recommended practice. Moreover, the same generally positive relationship holds when correlations are computed withiikxperimental conditions. The effects reported are stronger for measures of attitude than for measures of behavior. Under these conditions, one might be tempted to be democratic and to choose between the two hypotheses by counting the number of studies on each side and declaring the one with the highest frequency the winner. Such a vote would imply that the studies involved a random sample of subjects, communication issues, threat levels, and settings, i.e., a random sample of experiments. Since it is indeed unlikely that we have such a sample, this vote could well be misleading. © 1970, Academic Press Inc.","author":[{"dropping-particle":"","family":"Leventhal","given":"Howard","non-dropping-particle":"","parse-names":false,"suffix":""}],"container-title":"Advances in Experimental Social Psychology","id":"ITEM-3","issue":"C","issued":{"date-parts":[["1970"]]},"page":"119-186","title":"Findings and theory in the study of fear communications","type":"article-journal","volume":"5"},"uris":["http://www.mendeley.com/documents/?uuid=1e7b8176-0984-408e-8679-1ce1880c30ee"]}],"mendeley":{"formattedCitation":"(Leventhal, 1970; Leventhal et al., 1980, 1992)","plainTextFormattedCitation":"(Leventhal, 1970; Leventhal et al., 1980, 1992)","previouslyFormattedCitation":"(Leventhal, 1970; Leventhal et al., 1980, 1992)"},"properties":{"noteIndex":0},"schema":"https://github.com/citation-style-language/schema/raw/master/csl-citation.json"}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(Leventhal, 1970; Leventhal et al., 1980, 1992)</w:t>
      </w:r>
      <w:r w:rsidRPr="00103A0B">
        <w:rPr>
          <w:rFonts w:ascii="Arial" w:hAnsi="Arial" w:cs="Arial"/>
          <w:sz w:val="24"/>
          <w:szCs w:val="24"/>
        </w:rPr>
        <w:fldChar w:fldCharType="end"/>
      </w:r>
      <w:r w:rsidRPr="00103A0B">
        <w:rPr>
          <w:rFonts w:ascii="Arial" w:hAnsi="Arial" w:cs="Arial"/>
          <w:sz w:val="24"/>
          <w:szCs w:val="24"/>
        </w:rPr>
        <w:t xml:space="preserve"> and are beliefs or organised cognitive and emotional representations held by individuals regarding their illness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id":"ITEM-2","itemData":{"author":[{"dropping-particle":"","family":"Leventhal","given":"Howard","non-dropping-particle":"","parse-names":false,"suffix":""},{"dropping-particle":"","family":"Diefenbach","given":"Michael","non-dropping-particle":"","parse-names":false,"suffix":""},{"dropping-particle":"","family":"Leventhal","given":"Elaine","non-dropping-particle":"","parse-names":false,"suffix":""}],"container-title":"Cognitive Therapy and Research","id":"ITEM-2","issued":{"date-parts":[["1992"]]},"page":"143-163","title":"Illness cognition: using common sense to understand treatment adherence and affect cognition interactions","type":"article-journal","volume":"16"},"uris":["http://www.mendeley.com/documents/?uuid=79d18470-f082-4de3-90dd-2f733bfb03d2"]}],"mendeley":{"formattedCitation":"(Leventhal et al., 1992; Petrie et al., 2007)","plainTextFormattedCitation":"(Leventhal et al., 1992; Petrie et al., 2007)","previouslyFormattedCitation":"(Leventhal et al., 1992; Petrie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(Leventhal et al., 1992; Petrie et al., 2007)</w:t>
      </w:r>
      <w:r w:rsidRPr="00103A0B">
        <w:rPr>
          <w:rFonts w:ascii="Arial" w:hAnsi="Arial" w:cs="Arial"/>
          <w:sz w:val="24"/>
          <w:szCs w:val="24"/>
        </w:rPr>
        <w:fldChar w:fldCharType="end"/>
      </w:r>
      <w:r w:rsidRPr="00103A0B">
        <w:rPr>
          <w:rFonts w:ascii="Arial" w:hAnsi="Arial" w:cs="Arial"/>
          <w:sz w:val="24"/>
          <w:szCs w:val="24"/>
        </w:rPr>
        <w:t xml:space="preserve">. These IPs consist of five main, broad components which include beliefs related to: illness identity (perceptions held on the label and symptoms of an illness), causes (perceptions held on the cause of an illness), timeline (perceptions held on the duration of an illness), consequences (perceptions held on the expected effects of an illness), and control/cure (perceptions held on the controllability/ curability of an illness)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{"citationItems":[{"id":"ITEM-1","itemData":{"ISSN":"08870446","abstract":"The Illness Perception Questionnaire (IPQ) is a new method for assessing cognitive representations of illness. The IPQ is a theoretically derived measure comprising five scales that provides information about the five components that have been found to underlie the cognitive representation of illness. The five scales assess identity - the symptoms the patient associates with the illness, cause - personal ideas about aetiology, time-line - the perceived duration of the illness, consequences - expected effects and outcome and cure control - how one controls or recovers from the illness. The IPQ has a specific number of core items but allows the user to add items for particular patient groups or health threats. Data is presented supporting the reliability and validity of the IPQ scales in different chronic illness populations.","author":[{"dropping-particle":"","family":"Weinman","given":"John.","non-dropping-particle":"","parse-names":false,"suffix":""},{"dropping-particle":"","family":"Petrie","given":"Keith J.","non-dropping-particle":"","parse-names":false,"suffix":""},{"dropping-particle":"","family":"Moss-Morris","given":"Rona","non-dropping-particle":"","parse-names":false,"suffix":""},{"dropping-particle":"","family":"Horne","given":"Rob","non-dropping-particle":"","parse-names":false,"suffix":""}],"container-title":"Psychology and Health","id":"ITEM-1","issue":"3","issued":{"date-parts":[["1996"]]},"page":"431-445","title":"The illness perception questionnaire: a new method for assessing the cognitive representation of illness","type":"article-journal","volume":"11"},"uris":["http://www.mendeley.com/documents/?uuid=042696dd-59b4-42f9-be46-893b4e2489bb"]},{"id":"ITEM-2","itemData":{"DOI":"10.1080/08870440290001494","author":[{"dropping-particle":"","family":"Moss-Morris","given":"Rona","non-dropping-particle":"","parse-names":false,"suffix":""},{"dropping-particle":"","family":"Weinman","given":"John","non-dropping-particle":"","parse-names":false,"suffix":""},{"dropping-particle":"","family":"Petrie","given":"Keith J","non-dropping-particle":"","parse-names":false,"suffix":""}],"container-title":"Psychology and Health","id":"ITEM-2","issue":"1","issued":{"date-parts":[["2002"]]},"page":"1-16","title":"The revised illness perception questionnaire (IPQ-R)","type":"article-journal","volume":"17"},"uris":["http://www.mendeley.com/documents/?uuid=b5d8b027-40e2-45e8-9ba9-493249fab3ac"]},{"id":"ITEM-3","itemData":{"ISSN":"00223999","abstract":"Objective: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Research","id":"ITEM-3","issue":"6","issued":{"date-parts":[["2006"]]},"page":"631-637","title":"The brief illness perception questionnaire","type":"article-journal","volume":"60"},"uris":["http://www.mendeley.com/documents/?uuid=d92e0634-c26f-4845-bdfd-de9e844e3f3b"]},{"id":"ITEM-4","itemData":{"DOI":"10.7861/clinmedicine.6-6-536","ISSN":"14702118","PMID":"17228551","abstract":"Once diagnosed with an illness, patients develop organised patterns of beliefs about their condition Patients' models of their illness are generally composed of five main components: identity, causal beliefs, timeline beliefs, beliefs about control or cure, consequences Patients do not usually spontaneously disclose their illness beliefs in the consultation; these can be assessed rapidly and reliably by the Illness Perception Questionnaire Negative illness perceptions are associated with poorer recovery and increased healthcare use independent of objective measures of illness severity Interventions to change illness perceptions can reduce disability and improve functioning.","author":[{"dropping-particle":"","family":"Petrie","given":"Keith J.","non-dropping-particle":"","parse-names":false,"suffix":""},{"dropping-particle":"","family":"Weinman","given":"John","non-dropping-particle":"","parse-names":false,"suffix":""}],"container-title":"Clinical Medicine","id":"ITEM-4","issue":"6","issued":{"date-parts":[["2006"]]},"page":"536-539","title":"Why illness perceptions matter","type":"article-journal","volume":"6"},"uris":["http://www.mendeley.com/documents/?uuid=63a443f7-283a-48c4-91b4-14e768032717"]}],"mendeley":{"formattedCitation":"(Broadbent et al., 2006; Moss-Morris et al., 2002; Petrie &amp; Weinman, 2006; Weinman et al., 1996)","plainTextFormattedCitation":"(Broadbent et al., 2006; Moss-Morris et al., 2002; Petrie &amp; Weinman, 2006; Weinman et al., 1996)","previouslyFormattedCitation":"(Broadbent et al., 2006; Moss-Morris et al., 2002; Petrie &amp; Weinman, 2006; Weinman et al., 1996)"},"properties":{"noteIndex":0},"schema":"https://github.com/citation-style-language/schema/raw/master/csl-citation.json"}</w:instrText>
      </w:r>
      <w:r w:rsidRPr="00103A0B">
        <w:rPr>
          <w:rFonts w:ascii="Arial" w:hAnsi="Arial" w:cs="Arial"/>
          <w:sz w:val="24"/>
          <w:szCs w:val="24"/>
        </w:rPr>
        <w:fldChar w:fldCharType="separate"/>
      </w:r>
      <w:r w:rsidR="007E0EE7" w:rsidRPr="00103A0B">
        <w:rPr>
          <w:rFonts w:ascii="Arial" w:hAnsi="Arial" w:cs="Arial"/>
          <w:noProof/>
          <w:sz w:val="24"/>
          <w:szCs w:val="24"/>
        </w:rPr>
        <w:t>(Broadbent et al., 2006; Moss-Morris et al., 2002; Petrie &amp; Weinman, 2006; Weinman et al., 1996)</w:t>
      </w:r>
      <w:r w:rsidRPr="00103A0B">
        <w:rPr>
          <w:rFonts w:ascii="Arial" w:hAnsi="Arial" w:cs="Arial"/>
          <w:sz w:val="24"/>
          <w:szCs w:val="24"/>
        </w:rPr>
        <w:fldChar w:fldCharType="end"/>
      </w:r>
      <w:r w:rsidRPr="00103A0B">
        <w:rPr>
          <w:rFonts w:ascii="Arial" w:hAnsi="Arial" w:cs="Arial"/>
          <w:sz w:val="24"/>
          <w:szCs w:val="24"/>
        </w:rPr>
        <w:t>. Later on, subtypes were created from original components or additional components were added as part of IPs including illness:</w:t>
      </w:r>
      <w:r w:rsidR="007A139F" w:rsidRPr="00103A0B">
        <w:rPr>
          <w:rFonts w:ascii="Arial" w:hAnsi="Arial" w:cs="Arial"/>
          <w:sz w:val="24"/>
          <w:szCs w:val="24"/>
        </w:rPr>
        <w:t xml:space="preserve"> </w:t>
      </w:r>
      <w:r w:rsidRPr="00103A0B">
        <w:rPr>
          <w:rFonts w:ascii="Arial" w:hAnsi="Arial" w:cs="Arial"/>
          <w:sz w:val="24"/>
          <w:szCs w:val="24"/>
        </w:rPr>
        <w:t xml:space="preserve">coherence (perceptions held on the understanding of an illness), control/cure was split into personal control and treatment control (perceptions held on the extent to which treatment can help to control an illness), and another additional component was emotional response (perceptions held on the emotional effects of an illness including illness concern)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DOI":"10.1080/08870440290001494","author":[{"dropping-particle":"","family":"Moss-Morris","given":"Rona","non-dropping-particle":"","parse-names":false,"suffix":""},{"dropping-particle":"","family":"Weinman","given":"John","non-dropping-particle":"","parse-names":false,"suffix":""},{"dropping-particle":"","family":"Petrie","given":"Keith J","non-dropping-particle":"","parse-names":false,"suffix":""}],"container-title":"Psychology and Health","id":"ITEM-1","issue":"1","issued":{"date-parts":[["2002"]]},"page":"1-16","title":"The revised illness perception questionnaire (IPQ-R)","type":"article-journal","volume":"17"},"uris":["http://www.mendeley.com/documents/?uuid=b5d8b027-40e2-45e8-9ba9-493249fab3ac"]},{"id":"ITEM-2","itemData":{"ISSN":"00223999","abstract":"Objective: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Research","id":"ITEM-2","issue":"6","issued":{"date-parts":[["2006"]]},"page":"631-637","title":"The brief illness perception questionnaire","type":"article-journal","volume":"60"},"uris":["http://www.mendeley.com/documents/?uuid=d92e0634-c26f-4845-bdfd-de9e844e3f3b"]}],"mendeley":{"formattedCitation":"(Broadbent et al., 2006; Moss-Morris et al., 2002)","plainTextFormattedCitation":"(Broadbent et al., 2006; Moss-Morris et al., 2002)","previouslyFormattedCitation":"(Broadbent et al., 2006; Moss-Morris et al., 2002)"},"properties":{"noteIndex":0},"schema":"https://github.com/citation-style-language/schema/raw/master/csl-citation.json"}</w:instrText>
      </w:r>
      <w:r w:rsidRPr="00103A0B">
        <w:rPr>
          <w:rFonts w:ascii="Arial" w:hAnsi="Arial" w:cs="Arial"/>
          <w:sz w:val="24"/>
          <w:szCs w:val="24"/>
        </w:rPr>
        <w:fldChar w:fldCharType="separate"/>
      </w:r>
      <w:r w:rsidR="007E0EE7" w:rsidRPr="00103A0B">
        <w:rPr>
          <w:rFonts w:ascii="Arial" w:hAnsi="Arial" w:cs="Arial"/>
          <w:noProof/>
          <w:sz w:val="24"/>
          <w:szCs w:val="24"/>
        </w:rPr>
        <w:t>(Broadbent et al., 2006; Moss-Morris et al., 2002)</w:t>
      </w:r>
      <w:r w:rsidRPr="00103A0B">
        <w:rPr>
          <w:rFonts w:ascii="Arial" w:hAnsi="Arial" w:cs="Arial"/>
          <w:sz w:val="24"/>
          <w:szCs w:val="24"/>
        </w:rPr>
        <w:fldChar w:fldCharType="end"/>
      </w:r>
      <w:r w:rsidRPr="00103A0B">
        <w:rPr>
          <w:rFonts w:ascii="Arial" w:hAnsi="Arial" w:cs="Arial"/>
          <w:sz w:val="24"/>
          <w:szCs w:val="24"/>
        </w:rPr>
        <w:t xml:space="preserve">. It is well established that IPs are important determinants of behaviour and various outcomes in individuals with different health conditions such as T2DM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conditions","type":"article-journal","volume":"20"},"uris":["http://www.mendeley.com/documents/?uuid=6ab2e4be-fe8b-472d-9f8b-4708fd8304e7"]}],"mendeley":{"formattedCitation":"(Petrie et al., 2007)","plainTextFormattedCitation":"(Petrie et al., 2007)","previouslyFormattedCitation":"(Petrie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et al., 2007)</w:t>
      </w:r>
      <w:r w:rsidRPr="00103A0B">
        <w:rPr>
          <w:rFonts w:ascii="Arial" w:hAnsi="Arial" w:cs="Arial"/>
          <w:sz w:val="24"/>
          <w:szCs w:val="24"/>
        </w:rPr>
        <w:fldChar w:fldCharType="end"/>
      </w:r>
      <w:r w:rsidRPr="00103A0B">
        <w:rPr>
          <w:rFonts w:ascii="Arial" w:hAnsi="Arial" w:cs="Arial"/>
          <w:sz w:val="24"/>
          <w:szCs w:val="24"/>
        </w:rPr>
        <w:t xml:space="preserve">. </w:t>
      </w:r>
    </w:p>
    <w:p w14:paraId="6DDCC3FB" w14:textId="7FF33E52" w:rsidR="00423291" w:rsidRPr="00103A0B" w:rsidRDefault="004D10A4" w:rsidP="00CD5919">
      <w:pPr>
        <w:spacing w:before="100" w:after="100" w:line="360" w:lineRule="auto"/>
        <w:jc w:val="both"/>
        <w:rPr>
          <w:rFonts w:ascii="Arial" w:hAnsi="Arial" w:cs="Arial"/>
          <w:sz w:val="24"/>
          <w:szCs w:val="24"/>
        </w:rPr>
      </w:pPr>
      <w:r w:rsidRPr="00103A0B">
        <w:rPr>
          <w:rFonts w:ascii="Arial" w:hAnsi="Arial" w:cs="Arial"/>
          <w:sz w:val="24"/>
          <w:szCs w:val="24"/>
        </w:rPr>
        <w:t xml:space="preserve">Research exploring predictors of uptake in other health preventative and lifestyle behaviour change programmes have shown that some illness perceptions significantly predict higher uptake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uthor":[{"dropping-particle":"","family":"Marmarà","given":"Danika","non-dropping-particle":"","parse-names":false,"suffix":""},{"dropping-particle":"","family":"Marmarà","given":"Vincent","non-dropping-particle":"","parse-names":false,"suffix":""},{"dropping-particle":"","family":"Hubbard","given":"Gill","non-dropping-particle":"","parse-names":false,"suffix":""}],"container-title":"BMC Public Health","id":"ITEM-1","issued":{"date-parts":[["2017"]]},"page":"416","publisher":"BMC Public Health","title":"Health beliefs, illness perceptions and determinants of breast screening uptake in Malta: a cross-sectional survey","type":"article-journal","volume":"17"},"uris":["http://www.mendeley.com/documents/?uuid=d11d1bdb-4b14-49bf-a95f-ebea8490047f"]},{"id":"ITEM-2","itemData":{"DOI":"10.1186/s12889-019-6507-9","ISSN":"14712458","PMID":"30760275","abstract":"Background: A range of barriers influence women's uptake to a first breast screening invitation. Few studies however, have examined factors associated with second screening uptake. This study follows Maltese women to explore predictors and behaviours to re-attendance, and to determine if uptake of first invitation to the Maltese Breast Screening Programme (MBSP) is a significant predictor of second screening uptake. Methods: A prospective study was conducted to determine factors associated with re-attendance for 100 women invited to the second MBSP round. Records of women's second attendance to the MBSP were extracted in January 2016 from the MBSP database. Data were analyzed using chi-square tests, Independent Samples t-test, Mann Whitney test, Shapiro Wilk test and logistic regression. Results: There were no significant associations for sociodemographic or health status variables with second screening uptake (p &gt; 0.05), except breast condition (Fisher's exact test, p = 0.046). Non-attendees at second screening were most unsure of screening frequency recommendations (χ2 = 9.580, p = 0.048). Attendees were more likely to perceive their susceptibility to breast cancer (p = 0.041), believed breast cancer to be life changing (p = 0.011) and considered cues to action to aid attendance (p = 0.028). Non-attendees were in stronger agreement on mammography pain (p = 0.008) and were less likely to consider cues to action (15.4% non-attendees vs 1.4% attendees) (p = 0.017 respectively). 'Perceived barriers', 'breast cancer identity', 'causes' and 'consequences' were found to be significant predictors of second screening uptake, with 'perceived barriers' being the strongest. The inclusion of illness perception items improved the regression model's accuracy in predicting non-attendance to the second screening round (84.6% vs 30.8%). First screening uptake was found to be a significant predictor of subsequent uptake (OR = 0.102; 95% CI = 0.037, 0.283; p = 0.000). Conclusions: Interventions to increase uptake should target first invitees since attending for the first time is a strong predictor of uptake to the second cycle. Further research is required given the small sample. Particular attention should be paid to women who did not respond to their first invite or are unsure or reluctant participants initially.","author":[{"dropping-particle":"","family":"Marmarà","given":"Danika","non-dropping-particle":"","parse-names":false,"suffix":""},{"dropping-particle":"","family":"Marmarà","given":"Vincent","non-dropping-particle":"","parse-names":false,"suffix":""},{"dropping-particle":"","family":"Hubbard","given":"Gill","non-dropping-particle":"","parse-names":false,"suffix":""}],"container-title":"BMC Public Health","id":"ITEM-2","issued":{"date-parts":[["2019"]]},"page":"189","publisher":"BMC Public Health","title":"Predicting reattendance to the second round of the Maltese national breast screening programme: an analytical descriptive study","type":"article-journal","volume":"19"},"uris":["http://www.mendeley.com/documents/?uuid=b50d1be3-9bf9-4b6d-8362-20e24198fd0b"]},{"id":"ITEM-3","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Disorders","id":"ITEM-3","issued":{"date-parts":[["2012"]]},"page":"120","title":"A systematic review of patient reported factors associated with uptake and completion of cardiovascular lifestyle behaviour change","type":"article-journal","volume":"12"},"uris":["http://www.mendeley.com/documents/?uuid=8909c03f-c8a9-4dd2-84c1-a3cf90717072"]}],"mendeley":{"formattedCitation":"(Marmarà et al., 2017, 2019; Murray et al., 2012)","plainTextFormattedCitation":"(Marmarà et al., 2017, 2019; Murray et al., 2012)","previouslyFormattedCitation":"(Marmarà et al., 2017, 2019; Murray et al., 2012)"},"properties":{"noteIndex":0},"schema":"https://github.com/citation-style-language/schema/raw/master/csl-citation.json"}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(Marmarà et al., 2017, 2019; Murray et al., 2012)</w:t>
      </w:r>
      <w:r w:rsidRPr="00103A0B">
        <w:rPr>
          <w:rFonts w:ascii="Arial" w:hAnsi="Arial" w:cs="Arial"/>
          <w:sz w:val="24"/>
          <w:szCs w:val="24"/>
        </w:rPr>
        <w:fldChar w:fldCharType="end"/>
      </w:r>
      <w:r w:rsidRPr="00103A0B">
        <w:rPr>
          <w:rFonts w:ascii="Arial" w:hAnsi="Arial" w:cs="Arial"/>
          <w:sz w:val="24"/>
          <w:szCs w:val="24"/>
        </w:rPr>
        <w:t xml:space="preserve">. Studies have shown that attenders (i.e., those who started a programme) had higher illness identity or controllability scores than non-attenders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questionnaire","type":"article-journal","volume":"60"},"uris":["http://www.mendeley.com/documents/?uuid=d92e0634-c26f-4845-bdfd-de9e844e3f3b"]},{"id":"ITEM-2","itemData":{"DOI":"10.1136/bmj.312.7040.1191","ISSN":"09598146","PMID":"8634561","abstract":"Objective - To examine whether patients' initial perceptions of their myocardial infarction predict subsequent attendance at a cardiac rehabilitation course, return to work, disability, and sexual dysfunction. Design - Patients' perceptions of their illness were measured at admission with their first myocardial infarction and at follow up three and six months later. Setting - Two large teaching hospitals in Auckland, New Zealand. Subjects - 143 consecutive patients aged under 65 with their first myocardial infarction. Main outcome measures - Attendance at rehabilitation course; time before returning to work; measures of disability with sickness impact profile questionnaire for sleep and rest, social interaction, recreational activity, and home management; and sexual dysfunction. Results - Attendance at the rehabilitation course was significantly related to a stronger belief during admission that the illness could be cured or controlled (t = 2.08, P = 0.04). Return to work within six weeks was significantly predicted by the perception that the illness would last a short time (t = -2.52, P = 0.01) and have less grave consequences for the patient (t = -2.87, P = 0.005). Patients' belief that their heart disease would have serious consequences was significantly related to later disability in work around the house, recreational activities, and social interaction. A strong illness identity was significantly related to greater sexual dysfunction at both three and six months. Conclusions - Patients' initial perceptions of illness are important determinants of different aspects of recovery after myocardial infarction. Specific illness perceptions need to be identified at an early stage as a basis for optimising outcomes from rehabilitation programmes.","author":[{"dropping-particle":"","family":"Petrie","given":"Keith J.","non-dropping-particle":"","parse-names":false,"suffix":""},{"dropping-particle":"","family":"Weinman","given":"John","non-dropping-particle":"","parse-names":false,"suffix":""},{"dropping-particle":"","family":"Sharpe","given":"Norman","non-dropping-particle":"","parse-names":false,"suffix":""},{"dropping-particle":"","family":"Buckley","given":"Judith","non-dropping-particle":"","parse-names":false,"suffix":""}],"container-title":"British Medical Journal","id":"ITEM-2","issued":{"date-parts":[["1996"]]},"page":"1191-1194","title":"Role of patients' view of their illness in predicting return to work and functioning after myocardial infarction: longitudinal study","type":"article-journal","volume":"312"},"uris":["http://www.mendeley.com/documents/?uuid=5a054578-2b1d-4019-a4c6-90d9fe0d8d78"]},{"id":"ITEM-3","itemData":{"DOI":"10.1136/hrt.82.2.234","ISSN":"13556037","PMID":"10409543","abstract":"Objective - Many patients fail to attend cardiac rehabilitation. Attempts to identify sociodemographic or clinical predictors of non- attendance have not been very successful; therefore, this study aimed to determine whether the illness beliefs held during hospitalisation by patients who had suffered acute myocardial infarction or who had undergone coronary artery bypass graft surgery could predict cardiac rehabilitation attendance. Subjects and methods - 152 patients were prospectively studied of whom 41% had attended cardiac rehabilitation at six months. Results - In addition to being older, less aware of their cholesterol values, and less likely to be employed, non-attenders were less likely to believe their condition was controllable and that their lifestyle may have contributed to their illness. Conclusion - It should now be determined whether interventions aimed at optimising certain perceptions could promote cardiac rehabilitation uptake among those patients who could benefit the most.","author":[{"dropping-particle":"","family":"Cooper","given":"A.","non-dropping-particle":"","parse-names":false,"suffix":""},{"dropping-particle":"","family":"Lloyd","given":"G.","non-dropping-particle":"","parse-names":false,"suffix":""},{"dropping-particle":"","family":"Weinman","given":"J.","non-dropping-particle":"","parse-names":false,"suffix":""},{"dropping-particle":"","family":"Jackson","given":"G.","non-dropping-particle":"","parse-names":false,"suffix":""}],"container-title":"Heart","id":"ITEM-3","issue":"2","issued":{"date-parts":[["1999"]]},"page":"234-236","title":"Why patients do not attend cardiac rehabilitation: role of intentions and illness beliefs","type":"article-journal","volume":"82"},"uris":["http://www.mendeley.com/documents/?uuid=34c09c5a-879d-422b-93bf-3ab284d34bb2"]},{"id":"ITEM-4","itemData":{"ISSN":"00223999","abstract":"Objective: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Research","id":"ITEM-4","issued":{"date-parts":[["2006"]]},"page":"757-767","title":"Illness perceptions predict attendance at cardiac rehabilitation following acute myocardial infarction: a systematic review with meta-analysis","type":"article-journal","volume":"61"},"uris":["http://www.mendeley.com/documents/?uuid=046866de-6856-4a38-87d2-91dee1be78bc"]},{"id":"ITEM-5","itemData":{"ISSN":"1359107X","PMID":"12804334","abstract":"Objective.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Psychology","id":"ITEM-5","issue":"2","issued":{"date-parts":[["2003"]]},"page":"209-221","title":"Illness perceptions, mood and coping in predicting attendance at cardiac rehabilitation","type":"article-journal","volume":"8"},"uris":["http://www.mendeley.com/documents/?uuid=2b23aeed-ebf4-4ab9-8528-f2beb3776198"]}],"mendeley":{"formattedCitation":"(Broadbent et al., 2006; Cooper et al., 1999; French et al., 2006; Petrie et al., 1996; Whitmarsh et al., 2003)","manualFormatting":"(Broadbent et al., 2006; Cooper et al., 1999; French et al., 2006; Petrie et al., 1996; Whitmarsh et al., 2003)","plainTextFormattedCitation":"(Broadbent et al., 2006; Cooper et al., 1999; French et al., 2006; Petrie et al., 1996; Whitmarsh et al., 2003)","previouslyFormattedCitation":"(Broadbent et al., 2006; A. Cooper et al., 1999; French et al., 2006; Petrie et al., 1996; Whitmarsh et al., 2003)"},"properties":{"noteIndex":0},"schema":"https://github.com/citation-style-language/schema/raw/master/csl-citation.json"}</w:instrText>
      </w:r>
      <w:r w:rsidRPr="00103A0B">
        <w:rPr>
          <w:rFonts w:ascii="Arial" w:hAnsi="Arial" w:cs="Arial"/>
          <w:sz w:val="24"/>
          <w:szCs w:val="24"/>
        </w:rPr>
        <w:fldChar w:fldCharType="separate"/>
      </w:r>
      <w:r w:rsidR="00050ED6" w:rsidRPr="00103A0B">
        <w:rPr>
          <w:rFonts w:ascii="Arial" w:hAnsi="Arial" w:cs="Arial"/>
          <w:noProof/>
          <w:sz w:val="24"/>
          <w:szCs w:val="24"/>
        </w:rPr>
        <w:t xml:space="preserve">(Broadbent et al., 2006; Cooper et al., </w:t>
      </w:r>
      <w:r w:rsidR="00050ED6" w:rsidRPr="00103A0B">
        <w:rPr>
          <w:rFonts w:ascii="Arial" w:hAnsi="Arial" w:cs="Arial"/>
          <w:noProof/>
          <w:sz w:val="24"/>
          <w:szCs w:val="24"/>
        </w:rPr>
        <w:lastRenderedPageBreak/>
        <w:t>1999; French et al., 2006; Petrie et al., 1996; Whitmarsh et al., 2003)</w:t>
      </w:r>
      <w:r w:rsidRPr="00103A0B">
        <w:rPr>
          <w:rFonts w:ascii="Arial" w:hAnsi="Arial" w:cs="Arial"/>
          <w:sz w:val="24"/>
          <w:szCs w:val="24"/>
        </w:rPr>
        <w:fldChar w:fldCharType="end"/>
      </w:r>
      <w:r w:rsidRPr="00103A0B">
        <w:rPr>
          <w:rFonts w:ascii="Arial" w:hAnsi="Arial" w:cs="Arial"/>
          <w:sz w:val="24"/>
          <w:szCs w:val="24"/>
        </w:rPr>
        <w:t xml:space="preserve">. Also, participants with more positive identity, more control, who believed there were worse consequences, and had coherent beliefs were more likely to attend, with controllability being the strongest predictor of attendance than the other IP components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Research","id":"ITEM-1","issued":{"date-parts":[["2006"]]},"page":"757-767","title":"Illness perceptions predict attendance at cardiac rehabilitation following acute myocardial infarction: a systematic review with meta-analysis","type":"article-journal","volume":"61"},"uris":["http://www.mendeley.com/documents/?uuid=046866de-6856-4a38-87d2-91dee1be78bc"]}],"mendeley":{"formattedCitation":"(French et al., 2006)","plainTextFormattedCitation":"(French et al., 2006)","previouslyFormattedCitation":"(French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(French et al., 2006)</w:t>
      </w:r>
      <w:r w:rsidRPr="00103A0B">
        <w:rPr>
          <w:rFonts w:ascii="Arial" w:hAnsi="Arial" w:cs="Arial"/>
          <w:sz w:val="24"/>
          <w:szCs w:val="24"/>
        </w:rPr>
        <w:fldChar w:fldCharType="end"/>
      </w:r>
      <w:r w:rsidRPr="00103A0B">
        <w:rPr>
          <w:rFonts w:ascii="Arial" w:hAnsi="Arial" w:cs="Arial"/>
          <w:sz w:val="24"/>
          <w:szCs w:val="24"/>
        </w:rPr>
        <w:t xml:space="preserve">. Non-completion has been associated with a lower number of illness consequences and lower perceptions of controllability or treatment control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Psychology","id":"ITEM-1","issue":"2","issued":{"date-parts":[["2003"]]},"page":"209-221","title":"Illness perceptions, mood and coping in predicting attendance at cardiac rehabilitation","type":"article-journal","volume":"8"},"uris":["http://www.mendeley.com/documents/?uuid=2b23aeed-ebf4-4ab9-8528-f2beb3776198"]},{"id":"ITEM-2","itemData":{"ISBN":"0269215506","ISSN":"02692155","PMID":"17329279","abstract":"Objective: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Rehabilitation","id":"ITEM-2","issued":{"date-parts":[["2007"]]},"page":"222-229","title":"Predictors of drop-out from an outpatient cardiac rehabilitation programme","type":"article-journal","volume":"21"},"uris":["http://www.mendeley.com/documents/?uuid=1c9fcf5a-0df3-4220-a7bb-617e9a88b582"]}],"mendeley":{"formattedCitation":"(Whitmarsh et al., 2003; Yohannes et al., 2007)","plainTextFormattedCitation":"(Whitmarsh et al., 2003; Yohannes et al., 2007)","previouslyFormattedCitation":"(Whitmarsh et al., 2003; Yohannes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(Whitmarsh et al., 2003; Yohannes et al., 2007)</w:t>
      </w:r>
      <w:r w:rsidRPr="00103A0B">
        <w:rPr>
          <w:rFonts w:ascii="Arial" w:hAnsi="Arial" w:cs="Arial"/>
          <w:sz w:val="24"/>
          <w:szCs w:val="24"/>
        </w:rPr>
        <w:fldChar w:fldCharType="end"/>
      </w:r>
      <w:r w:rsidRPr="00103A0B">
        <w:rPr>
          <w:rFonts w:ascii="Arial" w:hAnsi="Arial" w:cs="Arial"/>
          <w:sz w:val="24"/>
          <w:szCs w:val="24"/>
        </w:rPr>
        <w:t xml:space="preserve">, as well as higher levels of personal control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Rehabilitation","id":"ITEM-1","issued":{"date-parts":[["2007"]]},"page":"222-229","title":"Predictors of drop-out from an outpatient cardiac rehabilitation programme","type":"article-journal","volume":"21"},"uris":["http://www.mendeley.com/documents/?uuid=1c9fcf5a-0df3-4220-a7bb-617e9a88b582"]}],"mendeley":{"formattedCitation":"(Yohannes et al., 2007)","plainTextFormattedCitation":"(Yohannes et al., 2007)","previouslyFormattedCitation":"(Yohannes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(Yohannes et al., 2007)</w:t>
      </w:r>
      <w:r w:rsidRPr="00103A0B">
        <w:rPr>
          <w:rFonts w:ascii="Arial" w:hAnsi="Arial" w:cs="Arial"/>
          <w:sz w:val="24"/>
          <w:szCs w:val="24"/>
        </w:rPr>
        <w:fldChar w:fldCharType="end"/>
      </w:r>
      <w:r w:rsidRPr="00103A0B">
        <w:rPr>
          <w:rFonts w:ascii="Arial" w:hAnsi="Arial" w:cs="Arial"/>
          <w:sz w:val="24"/>
          <w:szCs w:val="24"/>
        </w:rPr>
        <w:t xml:space="preserve"> in two studies of cardiac rehabilitation programmes. </w:t>
      </w:r>
    </w:p>
    <w:p w14:paraId="1B2141EB" w14:textId="7872F98E" w:rsidR="004D10A4" w:rsidRPr="00103A0B" w:rsidRDefault="004D10A4" w:rsidP="00CD5919">
      <w:pPr>
        <w:spacing w:before="100" w:after="100" w:line="360" w:lineRule="auto"/>
        <w:jc w:val="both"/>
        <w:rPr>
          <w:rFonts w:ascii="Arial" w:hAnsi="Arial" w:cs="Arial"/>
          <w:sz w:val="24"/>
          <w:szCs w:val="24"/>
        </w:rPr>
      </w:pPr>
      <w:r w:rsidRPr="00103A0B">
        <w:rPr>
          <w:rFonts w:ascii="Arial" w:hAnsi="Arial" w:cs="Arial"/>
          <w:sz w:val="24"/>
          <w:szCs w:val="24"/>
        </w:rPr>
        <w:t>Perceived SE can be defined as an individual</w:t>
      </w:r>
      <w:r w:rsidR="00F6449A" w:rsidRPr="00103A0B">
        <w:rPr>
          <w:rFonts w:ascii="Arial" w:hAnsi="Arial" w:cs="Arial"/>
          <w:sz w:val="24"/>
          <w:szCs w:val="24"/>
        </w:rPr>
        <w:t>’</w:t>
      </w:r>
      <w:r w:rsidRPr="00103A0B">
        <w:rPr>
          <w:rFonts w:ascii="Arial" w:hAnsi="Arial" w:cs="Arial"/>
          <w:sz w:val="24"/>
          <w:szCs w:val="24"/>
        </w:rPr>
        <w:t xml:space="preserve">s judgement of their own capability to perform an action/s in order to reach their desired goals </w:t>
      </w:r>
      <w:r w:rsidRPr="00103A0B">
        <w:rPr>
          <w:rFonts w:ascii="Arial" w:hAnsi="Arial" w:cs="Arial"/>
          <w:sz w:val="24"/>
          <w:szCs w:val="24"/>
        </w:rPr>
        <w:fldChar w:fldCharType="begin" w:fldLock="1"/>
      </w:r>
      <w:r w:rsidR="00926B09" w:rsidRPr="00103A0B">
        <w:rPr>
          <w:rFonts w:ascii="Arial" w:hAnsi="Arial" w:cs="Arial"/>
          <w:sz w:val="24"/>
          <w:szCs w:val="24"/>
        </w:rPr>
        <w:instrText>ADDIN CSL_CITATION {"citationItems":[{"id":"ITEM-1","itemData":{"author":[{"dropping-particle":"","family":"Bandura","given":"Albert","non-dropping-particle":"","parse-names":false,"suffix":""}],"container-title":"Psychological Review","id":"ITEM-1","issue":"2","issued":{"date-parts":[["1977"]]},"page":"191-215","title":"Self-efficacy: toward a unifying theory of behavioral change","type":"article-journal","volume":"84"},"uris":["http://www.mendeley.com/documents/?uuid=0f6afe49-a269-4028-90bd-3a7dc78a2b60"]}],"mendeley":{"formattedCitation":"(Bandura, 1977)","plainTextFormattedCitation":"(Bandura, 1977)","previouslyFormattedCitation":"(Bandura, 1977)"},"properties":{"noteIndex":0},"schema":"https://github.com/citation-style-language/schema/raw/master/csl-citation.json"}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(Bandura, 1977)</w:t>
      </w:r>
      <w:r w:rsidRPr="00103A0B">
        <w:rPr>
          <w:rFonts w:ascii="Arial" w:hAnsi="Arial" w:cs="Arial"/>
          <w:sz w:val="24"/>
          <w:szCs w:val="24"/>
        </w:rPr>
        <w:fldChar w:fldCharType="end"/>
      </w:r>
      <w:r w:rsidRPr="00103A0B">
        <w:rPr>
          <w:rFonts w:ascii="Arial" w:hAnsi="Arial" w:cs="Arial"/>
          <w:sz w:val="24"/>
          <w:szCs w:val="24"/>
        </w:rPr>
        <w:t xml:space="preserve">, and general SE relates to beliefs in one's overall capacity to perform tasks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Smith","given":"J.","non-dropping-particle":"","parse-names":false,"suffix":""},{"dropping-particle":"","family":"Gardner","given":"Benjamin","non-dropping-particle":"","parse-names":false,"suffix":""},{"dropping-particle":"","family":"Michie","given":"Susan","non-dropping-particle":"","parse-names":false,"suffix":""}],"id":"ITEM-1","issued":{"date-parts":[["2010"]]},"number-of-pages":"1-12","title":"Self efficacy guidance material for health trainer services","type":"report"},"uris":["http://www.mendeley.com/documents/?uuid=b9ae5e48-4d43-42dd-8cfc-e090b62b1d2f"]}],"mendeley":{"formattedCitation":"(J. Smith et al., 2010)","manualFormatting":"(Smith, Gardner, &amp; Michie, 2010)","plainTextFormattedCitation":"(J. Smith et al., 2010)","previouslyFormattedCitation":"(J. Smith et al.,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(Smith, Gardner, &amp; Michie, 2010)</w:t>
      </w:r>
      <w:r w:rsidRPr="00103A0B">
        <w:rPr>
          <w:rFonts w:ascii="Arial" w:hAnsi="Arial" w:cs="Arial"/>
          <w:sz w:val="24"/>
          <w:szCs w:val="24"/>
        </w:rPr>
        <w:fldChar w:fldCharType="end"/>
      </w:r>
      <w:r w:rsidRPr="00103A0B">
        <w:rPr>
          <w:rFonts w:ascii="Arial" w:hAnsi="Arial" w:cs="Arial"/>
          <w:sz w:val="24"/>
          <w:szCs w:val="24"/>
        </w:rPr>
        <w:t xml:space="preserve">. Self-efficacy is a vital link between knowledge application and actual behaviour change, and it is one of the main, effective predictors of health behaviour </w:t>
      </w:r>
      <w:r w:rsidRPr="00103A0B">
        <w:rPr>
          <w:rFonts w:ascii="Arial" w:hAnsi="Arial" w:cs="Arial"/>
          <w:sz w:val="24"/>
          <w:szCs w:val="24"/>
        </w:rPr>
        <w:fldChar w:fldCharType="begin" w:fldLock="1"/>
      </w:r>
      <w:r w:rsidR="00926B09" w:rsidRPr="00103A0B">
        <w:rPr>
          <w:rFonts w:ascii="Arial" w:hAnsi="Arial" w:cs="Arial"/>
          <w:sz w:val="24"/>
          <w:szCs w:val="24"/>
        </w:rPr>
        <w:instrText>ADDIN CSL_CITATION {"citationItems":[{"id":"ITEM-1","itemData":{"author":[{"dropping-particle":"","family":"Bandura","given":"Albert","non-dropping-particle":"","parse-names":false,"suffix":""}],"container-title":"American Psychologist","id":"ITEM-1","issue":"2","issued":{"date-parts":[["1982"]]},"page":"122-147","title":"Self-efficacy mechanism in human agency","type":"article-journal","volume":"37"},"uris":["http://www.mendeley.com/documents/?uuid=8a5f7d91-b473-485a-a700-3ca510ecc60d"]},{"id":"ITEM-2","itemData":{"DOI":"10.1111/j.1365-2702.2010.03320.x","author":[{"dropping-particle":"","family":"Chen","given":"Shu-fen","non-dropping-particle":"","parse-names":false,"suffix":""},{"dropping-particle":"","family":"Lin","given":"Chiu-chu","non-dropping-particle":"","parse-names":false,"suffix":""}],"container-title":"Journal of Clinical Nursing","id":"ITEM-2","issued":{"date-parts":[["2010"]]},"page":"2713-2719","title":"The predictors of adopting a health-promoting lifestyle among work site adults with prediabetes","type":"article-journal","volume":"19"},"uris":["http://www.mendeley.com/documents/?uuid=675d487b-ed56-494f-9b5a-10e15074a964"]}],"mendeley":{"formattedCitation":"(Bandura, 1982; S. Chen &amp; Lin, 2010)","manualFormatting":"(Bandura, 1982; Chen &amp; Lin, 2010)","plainTextFormattedCitation":"(Bandura, 1982; S. Chen &amp; Lin, 2010)","previouslyFormattedCitation":"(Bandura, 1982; S. Chen &amp; Lin,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(Bandura, 1982; Chen &amp; Lin, 2010)</w:t>
      </w:r>
      <w:r w:rsidRPr="00103A0B">
        <w:rPr>
          <w:rFonts w:ascii="Arial" w:hAnsi="Arial" w:cs="Arial"/>
          <w:sz w:val="24"/>
          <w:szCs w:val="24"/>
        </w:rPr>
        <w:fldChar w:fldCharType="end"/>
      </w:r>
      <w:r w:rsidRPr="00103A0B">
        <w:rPr>
          <w:rFonts w:ascii="Arial" w:hAnsi="Arial" w:cs="Arial"/>
          <w:sz w:val="24"/>
          <w:szCs w:val="24"/>
        </w:rPr>
        <w:t xml:space="preserve">. Self-efficacy determines the amount of effort and perseverance an individual will invest in a behaviour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{"citationItems":[{"id":"ITEM-1","itemData":{"author":[{"dropping-particle":"","family":"Schwarzer","given":"Ralf","non-dropping-particle":"","parse-names":false,"suffix":""}],"container-title":"Journal of Health Psychology","id":"ITEM-1","issue":"2","issued":{"date-parts":[["1999"]]},"page":"115-127","title":"Self-regulatory processes in the adoption and maintenance of health behaviors","type":"article-journal","volume":"4"},"uris":["http://www.mendeley.com/documents/?uuid=188f62d9-2ec4-460d-8fa7-1bed6231ea3e"]}],"mendeley":{"formattedCitation":"(Schwarzer, 1999)","plainTextFormattedCitation":"(Schwarzer, 1999)","previouslyFormattedCitation":"(Schwarzer, 1999)"},"properties":{"noteIndex":0},"schema":"https://github.com/citation-style-language/schema/raw/master/csl-citation.json"}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(Schwarzer, 1999)</w:t>
      </w:r>
      <w:r w:rsidRPr="00103A0B">
        <w:rPr>
          <w:rFonts w:ascii="Arial" w:hAnsi="Arial" w:cs="Arial"/>
          <w:sz w:val="24"/>
          <w:szCs w:val="24"/>
        </w:rPr>
        <w:fldChar w:fldCharType="end"/>
      </w:r>
      <w:r w:rsidRPr="00103A0B">
        <w:rPr>
          <w:rFonts w:ascii="Arial" w:hAnsi="Arial" w:cs="Arial"/>
          <w:sz w:val="24"/>
          <w:szCs w:val="24"/>
        </w:rPr>
        <w:t xml:space="preserve">, and higher levels of SE have been linked to increased behavioural change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trial","type":"article-journal","volume":"48"},"uris":["http://www.mendeley.com/documents/?uuid=2d8c03a8-0024-4655-930b-c43e21a3fdf8"]}],"mendeley":{"formattedCitation":"(Miller et al., 2016)","plainTextFormattedCitation":"(Miller et al., 2016)","previouslyFormattedCitation":"(Miller et al.,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(Miller et al., 2016)</w:t>
      </w:r>
      <w:r w:rsidRPr="00103A0B">
        <w:rPr>
          <w:rFonts w:ascii="Arial" w:hAnsi="Arial" w:cs="Arial"/>
          <w:sz w:val="24"/>
          <w:szCs w:val="24"/>
        </w:rPr>
        <w:fldChar w:fldCharType="end"/>
      </w:r>
      <w:r w:rsidRPr="00103A0B">
        <w:rPr>
          <w:rFonts w:ascii="Arial" w:hAnsi="Arial" w:cs="Arial"/>
          <w:sz w:val="24"/>
          <w:szCs w:val="24"/>
        </w:rPr>
        <w:t>.</w:t>
      </w:r>
    </w:p>
    <w:p w14:paraId="65EA8B11" w14:textId="406E5858" w:rsidR="004D10A4" w:rsidRPr="00103A0B" w:rsidRDefault="004D10A4" w:rsidP="00CD5919">
      <w:pPr>
        <w:pStyle w:val="NormalWeb"/>
        <w:spacing w:line="360" w:lineRule="auto"/>
        <w:jc w:val="both"/>
        <w:rPr>
          <w:rFonts w:ascii="Arial" w:hAnsi="Arial" w:cs="Arial"/>
        </w:rPr>
      </w:pPr>
      <w:r w:rsidRPr="00103A0B">
        <w:rPr>
          <w:rFonts w:ascii="Arial" w:hAnsi="Arial" w:cs="Arial"/>
        </w:rPr>
        <w:t>Many DPPs have demonstrated improved levels of SE</w:t>
      </w:r>
      <w:r w:rsidR="00992026" w:rsidRPr="00103A0B">
        <w:rPr>
          <w:rFonts w:ascii="Arial" w:hAnsi="Arial" w:cs="Arial"/>
        </w:rPr>
        <w:t xml:space="preserve"> </w:t>
      </w:r>
      <w:r w:rsidR="00992026" w:rsidRPr="00103A0B">
        <w:rPr>
          <w:rFonts w:ascii="Arial" w:hAnsi="Arial" w:cs="Arial"/>
        </w:rPr>
        <w:fldChar w:fldCharType="begin" w:fldLock="1"/>
      </w:r>
      <w:r w:rsidR="007A139F" w:rsidRPr="00103A0B">
        <w:rPr>
          <w:rFonts w:ascii="Arial" w:hAnsi="Arial" w:cs="Arial"/>
        </w:rPr>
        <w:instrText>ADDIN CSL_CITATION {"citationItems":[{"id":"ITEM-1","itemData":{"DOI":"10.1111/bjhp.1","author":[{"dropping-particle":"","family":"Borek","given":"Aleksandra J","non-dropping-particle":"","parse-names":false,"suffix":""},{"dropping-particle":"","family":"Abraham","given":"Charles","non-dropping-particle":"","parse-names":false,"suffix":""},{"dropping-particle":"","family":"Greaves","given":"Colin J","non-dropping-particle":"","parse-names":false,"suffix":""},{"dropping-particle":"","family":"Tarrant","given":"Mark","non-dropping-particle":"","parse-names":false,"suffix":""},{"dropping-particle":"","family":"Garner","given":"Nikki","non-dropping-particle":"","parse-names":false,"suffix":""},{"dropping-particle":"","family":"Pascale","given":"Melanie","non-dropping-particle":"","parse-names":false,"suffix":""}],"container-title":"British Journal of Health Psychology","id":"ITEM-1","issued":{"date-parts":[["2019"]]},"page":"787-805","title":"‘ We ’re all in the same boat ’: a qualitative study on how groups work in a diabetes prevention and management programme","type":"article-journal","volume":"24"},"uris":["http://www.mendeley.com/documents/?uuid=894ef5cc-3b9e-4f33-ba76-2387fb2a3e8e"]},{"id":"ITEM-2","itemData":{"DOI":"10.1097/JNR.0000000000000193","ISBN":"0000000000000","ISSN":"1948965X","PMID":"28277390","abstract":"BACKGROUND: Practicing a health-promoting lifestyle is believed to be effective for delaying or preventing the onset of diabetes. However, although empowerment interventions have proven effective for encouraging the adoption of a health-promoting lifestyle in people with diabetes, these interventions are rarely promoted to people with prediabetes. PURPOSE: The aims of this study were to develop an empowerment program for people with prediabetes and to examine its efficacy in terms of the adoption of a health-promoting lifestyle and improvements in blood sugar, body mass index, and self-efficacy. METHODS: A randomized controlled trial was conducted between May and December 2013. A convenience sample of people with a fasting blood sugar level of 100-125 mg/dl during the previous 3 months was recruited from the health examination center of a hospital in Kaohsiung, Taiwan. Participants were assigned to either the experimental group or the control group using block randomization with a block size of 8. The experimental group (n = 38) participated in a 4-month empowerment program (the ABC empowerment program), which encouraged participants to practice a health-promoting lifestyle in three phases: awareness raising, behavior building, and results checking. The control group (n = 40) received routine clinical care. Statistical analyses included descriptive statistics, independent t test, paired t test, and generalized estimated equations. RESULTS: After controlling for the differences at baseline and considering the interaction between group and time from baseline to 1 week and 3 months after completing the intervention, the generalized estimating equation showed significantly larger improvements in a health-promoting lifestyle, blood sugar, and self-efficacy in the experimental group than in the control group (p &lt; .01). Furthermore, the experimental group achieved a larger reduction in body mass index than the control group at 3 months after completing the intervention (p = .001). CONCLUSIONS/IMPLICATIONS FOR PRACTICE: The empowerment program was shown to have short-term, positive effects on behavioral, physical, and psychosocial outcomes in a Taiwan population with prediabetes. The results of this study provide a useful reference not only for healthcare personnel when implementing empowerment interventions in people with prediabetes but also for nursing educators and healthcare policymakers.","author":[{"dropping-particle":"","family":"Chen","given":"Mei Fang","non-dropping-particle":"","parse-names":false,"suffix":""},{"dropping-particle":"","family":"Hung","given":"Shu Ling","non-dropping-particle":"","parse-names":false,"suffix":""},{"dropping-particle":"","family":"Chen","given":"Shu Lin","non-dropping-particle":"","parse-names":false,"suffix":""}],"container-title":"Journal of Nursing Research","id":"ITEM-2","issue":"2","issued":{"date-parts":[["2017"]]},"page":"99-111","title":"Empowerment program for people with prediabetes: a randomized controlled trial","type":"article-journal","volume":"25"},"uris":["http://www.mendeley.com/documents/?uuid=84db263a-a050-4be7-82d7-ef051548507b"]},{"id":"ITEM-3","itemData":{"ISSN":"0168-8227","abstract":"Aims To explore the acceptability of a telephone- or a group-delivered diabetes prevention program for women with previous gestational diabetes and to compare the characteristics associated with program engagement. Methods Postpartum women participated in a lifestyle modification program delivered by telephone (n=33) or group format (n=284). Semi-structured interviews on barriers and enablers to program engagement (defined as completing≥80% sessions) were conducted before (Group) and after (Group and Telephone) interventions. The Health Action Process Approach theory was used as the framework for inquiry. Psychological measures were compared between engagement subgroups before and after group-delivered intervention. Results In the telephone-delivered program 82% participants met the engagement criteria compared with 38% for the group-delivered program. Engaged participants (Group) had significantly higher risk perception, outcome expectancy, and activity self-efficacy at baseline (P&lt;0.05). There was a greater decrease in body weight (−1.45±3.9 vs −0.26±3.5, P=0.024) and waist circumference (−3.56±5.1 vs −1.24±5.3, P=0.002) for engaged vs non-engaged participants following group program completion. Conclusions Telephone delivery was associated with greater engagement in postpartum women. Engagement was associated with greater reduction in weight and waist circumference. Further studies are required to confirm the effectiveness of telephone-delivered program for diabetes prevention in postpartum women.","author":[{"dropping-particle":"","family":"Lim","given":"Siew","non-dropping-particle":"","parse-names":false,"suffix":""},{"dropping-particle":"","family":"Dunbar","given":"James A","non-dropping-particle":"","parse-names":false,"suffix":""},{"dropping-particle":"","family":"Versace","given":"Vincent L","non-dropping-particle":"","parse-names":false,"suffix":""},{"dropping-particle":"","family":"Janus","given":"Edward","non-dropping-particle":"","parse-names":false,"suffix":""},{"dropping-particle":"","family":"Wildey","given":"Carol","non-dropping-particle":"","parse-names":false,"suffix":""},{"dropping-particle":"","family":"Skinner","given":"Timothy","non-dropping-particle":"","parse-names":false,"suffix":""},{"dropping-particle":"","family":"O'Reilly","given":"Sharleen","non-dropping-particle":"","parse-names":false,"suffix":""}],"container-title":"Diabetes Research and Clinical Practice","id":"ITEM-3","issued":{"date-parts":[["2017"]]},"page":"254-262","title":"Comparing a telephone- and a group-delivered diabetes prevention program: characteristics of engaged and non-engaged postpartum mothers with a history of gestational diabetes","type":"article-journal","volume":"126"},"uris":["http://www.mendeley.com/documents/?uuid=1e1989aa-8480-458e-9774-bce442753e6b"]},{"id":"ITEM-4","itemData":{"DOI":"10.1016/j.jneb.2015.12.002","ISBN":"1499-4046","ISSN":"14994046","PMID":"26787601","abstract":"Objective: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Behavior","id":"ITEM-4","issue":"3","issued":{"date-parts":[["2016"]]},"page":"160-69","publisher":"Elsevier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trial","type":"article-journal","volume":"48"},"uris":["http://www.mendeley.com/documents/?uuid=2d8c03a8-0024-4655-930b-c43e21a3fdf8"]},{"id":"ITEM-5","itemData":{"DOI":"10.1177/0145721714521020","ISBN":"0145-7217","ISSN":"15546063","PMID":"24510942","abstract":"Purpose: This article reports the results of a community-based, culturally tailored diabetes prevention program for overweight Mexican American adults on weight loss, waist circumference, diet and physical activity self-efficacy, and diet behaviors., Methods: The intervention used content from the Diabetes Prevention Program but culturally tailored the delivery methods into a community-based program for Spanishspeaking adults of Mexican descent. The design was a randomized controlled trial (N = 58) comparing the effects of a 5-month educational intervention with an attention control group. The primary study outcome was weight loss. Secondary outcomes included change in waist circumference, body mass index, diet self-efficacy, and physical activity self-efficacy., Results: There were significant intervention effects for weight, waist circumference, body mass index, and diet selfefficacy, with the intervention group doing better than the control group. These effects did not change over time., Conclusions: Findings support the conclusion that a community-based, culturally tailored intervention is effective in reducing diabetes risk factors in a 5-month program., (C) 2014 Sage Publishing","author":[{"dropping-particle":"","family":"Vincent","given":"Deborah","non-dropping-particle":"","parse-names":false,"suffix":""},{"dropping-particle":"","family":"McEwen","given":"Marylyn M.","non-dropping-particle":"","parse-names":false,"suffix":""},{"dropping-particle":"","family":"Hepworth","given":"Joseph T.","non-dropping-particle":"","parse-names":false,"suffix":""},{"dropping-particle":"","family":"Stump","given":"Craig S.","non-dropping-particle":"","parse-names":false,"suffix":""}],"container-title":"The Diabetes Educator","id":"ITEM-5","issue":"2","issued":{"date-parts":[["2014"]]},"page":"202-213","title":"The effects of a community-based, culturally tailored diabetes prevention intervention for high-risk adults of Mexican descent","type":"article-journal","volume":"40"},"uris":["http://www.mendeley.com/documents/?uuid=45a67a3a-a21d-4e1b-b15e-e4fcd00a23e0"]}],"mendeley":{"formattedCitation":"(Borek et al., 2019; M. F. Chen et al., 2017; Lim et al., 2017; Miller et al., 2016; Vincent et al., 2014)","manualFormatting":"(Borek et al., 2019; Chen et al., 2017; Lim et al., 2017; Miller et al., 2016; Vincent et al., 2014)","plainTextFormattedCitation":"(Borek et al., 2019; M. F. Chen et al., 2017; Lim et al., 2017; Miller et al., 2016; Vincent et al., 2014)","previouslyFormattedCitation":"(Borek et al., 2019; M. F. Chen et al., 2017; Lim et al., 2017; Miller et al., 2016; Vincent et al., 2014)"},"properties":{"noteIndex":0},"schema":"https://github.com/citation-style-language/schema/raw/master/csl-citation.json"}</w:instrText>
      </w:r>
      <w:r w:rsidR="00992026" w:rsidRPr="00103A0B">
        <w:rPr>
          <w:rFonts w:ascii="Arial" w:hAnsi="Arial" w:cs="Arial"/>
        </w:rPr>
        <w:fldChar w:fldCharType="separate"/>
      </w:r>
      <w:r w:rsidR="00992026" w:rsidRPr="00103A0B">
        <w:rPr>
          <w:rFonts w:ascii="Arial" w:hAnsi="Arial" w:cs="Arial"/>
          <w:noProof/>
        </w:rPr>
        <w:t>(Borek et al., 2019; Chen et al., 2017; Lim et al., 2017; Miller et al., 2016; Vincent et al., 2014)</w:t>
      </w:r>
      <w:r w:rsidR="00992026" w:rsidRPr="00103A0B">
        <w:rPr>
          <w:rFonts w:ascii="Arial" w:hAnsi="Arial" w:cs="Arial"/>
        </w:rPr>
        <w:fldChar w:fldCharType="end"/>
      </w:r>
      <w:r w:rsidRPr="00103A0B">
        <w:rPr>
          <w:rFonts w:ascii="Arial" w:hAnsi="Arial" w:cs="Arial"/>
        </w:rPr>
        <w:t xml:space="preserve">. This increased SE (as a result of the programme) has been found to lead to improvements in physical activity </w:t>
      </w:r>
      <w:r w:rsidRPr="00103A0B">
        <w:rPr>
          <w:rFonts w:ascii="Arial" w:hAnsi="Arial" w:cs="Arial"/>
        </w:rPr>
        <w:fldChar w:fldCharType="begin" w:fldLock="1"/>
      </w:r>
      <w:r w:rsidR="00992026" w:rsidRPr="00103A0B">
        <w:rPr>
          <w:rFonts w:ascii="Arial" w:hAnsi="Arial" w:cs="Arial"/>
        </w:rPr>
        <w:instrText>ADDIN CSL_CITATION {"citationItems":[{"id":"ITEM-1","itemData":{"DOI":"10.1080/13548506.2015.1058486","ISSN":"1354-8506","author":[{"dropping-particle":"","family":"Taylor","given":"Lorian M","non-dropping-particle":"","parse-names":false,"suffix":""},{"dropping-particle":"","family":"Raine","given":"Kim D","non-dropping-particle":"","parse-names":false,"suffix":""},{"dropping-particle":"","family":"Plotnikoff","given":"Ronald C","non-dropping-particle":"","parse-names":false,"suffix":""},{"dropping-particle":"","family":"Vallance","given":"Jeff K","non-dropping-particle":"","parse-names":false,"suffix":""},{"dropping-particle":"","family":"Arya","given":"M","non-dropping-particle":"","parse-names":false,"suffix":""},{"dropping-particle":"","family":"Spence","given":"John C","non-dropping-particle":"","parse-names":false,"suffix":""},{"dropping-particle":"","family":"Taylor","given":"Lorian M","non-dropping-particle":"","parse-names":false,"suffix":""},{"dropping-particle":"","family":"Raine","given":"Kim D","non-dropping-particle":"","parse-names":false,"suffix":""},{"dropping-particle":"","family":"Plotnikoff","given":"Ronald C","non-dropping-particle":"","parse-names":false,"suffix":""},{"dropping-particle":"","family":"Vallance","given":"Jeff K","non-dropping-particle":"","parse-names":false,"suffix":""},{"dropping-particle":"","family":"Arya","given":"M","non-dropping-particle":"","parse-names":false,"suffix":""}],"container-title":"Psychology, Health &amp; Medicine","id":"ITEM-1","issued":{"date-parts":[["2016"]]},"page":"1-7","publisher":"Routledge","title":"Understanding physical activity in individuals with prediabetes: an application of Social Cognitive Theory","type":"article-journal","volume":"8506"},"uris":["http://www.mendeley.com/documents/?uuid=803d6612-c5c9-4bfb-b706-d155aa8ad81a"]},{"id":"ITEM-2","itemData":{"DOI":"10.1038/nutd.2016.42","author":[{"dropping-particle":"","family":"Block","given":"G","non-dropping-particle":"","parse-names":false,"suffix":""},{"dropping-particle":"","family":"Azar","given":"K M J","non-dropping-particle":"","parse-names":false,"suffix":""},{"dropping-particle":"","family":"Romanelli","given":"R J","non-dropping-particle":"","parse-names":false,"suffix":""},{"dropping-particle":"","family":"Block","given":"T J","non-dropping-particle":"","parse-names":false,"suffix":""},{"dropping-particle":"","family":"Palaniappan","given":"L P","non-dropping-particle":"","parse-names":false,"suffix":""},{"dropping-particle":"","family":"Dolginsky","given":"M","non-dropping-particle":"","parse-names":false,"suffix":""},{"dropping-particle":"","family":"Block","given":"C H","non-dropping-particle":"","parse-names":false,"suffix":""}],"container-title":"Nutrition and Diabetes","id":"ITEM-2","issued":{"date-parts":[["2016"]]},"page":"e231","publisher":"Nature Publishing Group","title":"Improving diet, activity and wellness in adults at risk of diabetes: randomized controlled trial","type":"article-journal","volume":"6"},"uris":["http://www.mendeley.com/documents/?uuid=b7e08fbf-ecdb-43bc-bcfe-04a4ba8bdfb8"]},{"id":"ITEM-3","itemData":{"DOI":"10.2337/dc11-1183.","ISBN":"1260900081724","author":[{"dropping-particle":"","family":"Critchley","given":"C.R.","non-dropping-particle":"","parse-names":false,"suffix":""},{"dropping-particle":"","family":"Hardie","given":"E.A.","non-dropping-particle":"","parse-names":false,"suffix":""},{"dropping-particle":"","family":"Moore","given":"S.M.","non-dropping-particle":"","parse-names":false,"suffix":""}],"container-title":"Diabetes Care","id":"ITEM-3","issued":{"date-parts":[["2012"]]},"page":"699-705","title":"Examining the psychological pathways to behavior change in a group-based lifestyle program to prevent type 2 diabetes","type":"article-journal","volume":"35"},"uris":["http://www.mendeley.com/documents/?uuid=b905f072-65cf-4291-9681-b1e6ec1e098a"]},{"id":"ITEM-4","itemData":{"DOI":"10.1080/1354850310001604577","author":[{"dropping-particle":"","family":"Plotnikoff","given":"R C","non-dropping-particle":"","parse-names":false,"suffix":""},{"dropping-particle":"","family":"Brez","given":"S","non-dropping-particle":"","parse-names":false,"suffix":""},{"dropping-particle":"","family":"Brunet","given":"S","non-dropping-particle":"","parse-names":false,"suffix":""}],"container-title":"Psychology, Health &amp; Medicine","id":"ITEM-4","issue":"4","issued":{"date-parts":[["2003"]]},"page":"465-471","title":"Are exercise social-cognitive factors and behaviours different for adults with diabetes? a randomized community sample","type":"article-journal","volume":"8"},"uris":["http://www.mendeley.com/documents/?uuid=301986ea-04e0-454b-ba70-526a34553f95"]},{"id":"ITEM-5","itemData":{"DOI":"10.1136/bmjdrc-2018-000561","ISSN":"20524897","abstract":"Objective We evaluated the effects of a diabetes prevention itervention on self-efficacy (SE) and the associations between SE and diabetes-related outcomes among overweight Asian Indian adults with pre-diabetes in a randomized controlled translational trial (the Diabetes Community Lifestyle Improvement Program, D-CLIP). Research design and methods Data were obtained from 550 adults who were randomized to a diabetes prevention program or standard of care. Dietary and exercise-related SEs were measured at baseline, core intervention completion (4months), and annually until the end of follow-up (3 years or diabetes diagnosis). Mixed-effects regressions described changes in SE over time by treatment group. Among treatment participants, multivariable-adjusted models described associations of SE at baseline and intervention completion with diabetes incidence and other secondary outcomes (weight, waist circumference (WC), exercise, and energy intake). Results From baseline to 4months, dietary (β=10.3, p=0.04) and exercise (β=0.49, p=0.04) SE increased significantly in the treatment arm only; however, this increase from baseline was no longer significant at later time points. Among treatment participants, there was no association of dietary or exercise SE with diabetes incidence, but baseline exercise SE was independently associated with improved weight, WC, and exercise at 4months (p&lt;0.05). Change in exercise SE from baseline to intervention completion also predicted increased exercise at 4, 12, and 24 months (p&lt;0.05). Conclusions Exposure to D-CLIP resulted in improved SE at treatment completion, but this effect was not sustained over longer follow-up. Several short-term and long-term secondary outcomes, but not diabetes risk, were significantly associated with exercise SE, suggesting this psychosocial trait may facilitate success in achieving certain health goals. Trial registration number NCT01283308.","author":[{"dropping-particle":"","family":"Cioffi","given":"Catherine E.","non-dropping-particle":"","parse-names":false,"suffix":""},{"dropping-particle":"","family":"Ranjani","given":"Harish","non-dropping-particle":"","parse-names":false,"suffix":""},{"dropping-particle":"","family":"Staimez","given":"Lisa R.","non-dropping-particle":"","parse-names":false,"suffix":""},{"dropping-particle":"","family":"Anjana","given":"Ranjit Mohan","non-dropping-particle":"","parse-names":false,"suffix":""},{"dropping-particle":"","family":"Mohan","given":"Viswanathan","non-dropping-particle":"","parse-names":false,"suffix":""},{"dropping-particle":"","family":"Weber","given":"Mary Beth","non-dropping-particle":"","parse-names":false,"suffix":""}],"container-title":"BMJ Open Diabetes Research and Care","id":"ITEM-5","issue":"1","issued":{"date-parts":[["2018"]]},"page":"1-8","title":"Self-efficacy and diabetes prevention in overweight South Asians with pre-diabetes","type":"article-journal","volume":"6"},"uris":["http://www.mendeley.com/documents/?uuid=ca74e1ff-7086-4198-9042-de3e9003d975"]},{"id":"ITEM-6","itemData":{"DOI":"10.4162/nrp.2019.13.5.415","ISSN":"20056168","abstract":"BACKGROUND/OBJECTIVES: Existing evidence on lifestyle modification programs for weight loss is limited by the high attrition rate of such programs. Identifying predictors of adherence to a lifestyle modification program could result in program improvement. However, little is known about behavior-specific adherence and its psychological predictors. This study aimed to examine the psychological predictors of adherence after one-month participation in a community-based lifestyle modification program among Chinese overweight and obese adults in Hong Kong. SUBJECTS/METHODS: A total of 205 Chinese overweight and obese adults aged 38.9 ± 10.5 years completed the study. Data were collected at baseline and after one month using self-reported questionnaires, which assessed knowledge (self-developed scale), motivation (Treatment Self-Regulation Questionnaire), stage of change (Stage of Exercise Scale) and self-efficacy (Self-Rated Abilities for Health Practices Scale). At one month, a 4-day dietary recall and the International Physical Activity Questionnaire-Short Form were used to assess dietary and physical activity (PA) adherence. Food and PA diaries were examined to indicate self-monitoring. Program attendance was tracked between baseline and one-month follow-up. RESULTS: After one month, participants reported high dietary adherence, attendance, and adherence to self-monitoring but low PA adherence. Multiple regression analyses suggested that diet self-efficacy (baseline) and nutrition knowledge (one-month change) were independent predictors of dietary adherence score at one month, whereas autonomous PA motivation (baseline) and PA self-efficacy (both baseline and one-month change) were independent predictors of PA adherence score at one month. No significant psychological predictor was identified for attendance or self-monitoring. CONCLUSIONS: The results suggest that the effect of psychological factors on adherence differs between diet and PA adherence outcomes. To promote adherence, practitioners should assess self-efficacy, knowledge, and motivation at the beginning of a weight-loss program and explore behavior-specific strategies to improve knowledge and self-efficacy. The results of this study have direct implications for program improvements.","author":[{"dropping-particle":"","family":"Leung","given":"Alice Wai Yi","non-dropping-particle":"","parse-names":false,"suffix":""},{"dropping-particle":"","family":"Chan","given":"Ruth Suk Mei","non-dropping-particle":"","parse-names":false,"suffix":""},{"dropping-particle":"","family":"Sea","given":"Mandy Man Mei","non-dropping-particle":"","parse-names":false,"suffix":""},{"dropping-particle":"","family":"Woo","given":"Jean","non-dropping-particle":"","parse-names":false,"suffix":""}],"container-title":"Nutrition Research and Practice","id":"ITEM-6","issue":"5","issued":{"date-parts":[["2019"]]},"page":"415-424","title":"Identifying psychological predictors of adherence to a community-based lifestyle modification program for weight loss among Chinese overweight and obese adults","type":"article-journal","volume":"13"},"uris":["http://www.mendeley.com/documents/?uuid=464a0eef-ba69-4023-ac32-e71c1676e8ad"]},{"id":"ITEM-7","itemData":{"DOI":"10.1038/jid.2014.371","ISBN":"6176321972","ISSN":"15231747","PMID":"1000000221","author":[{"dropping-particle":"","family":"Cha","given":"EunSeok","non-dropping-particle":"","parse-names":false,"suffix":""},{"dropping-particle":"","family":"H","given":"Kim Kevin","non-dropping-particle":"","parse-names":false,"suffix":""},{"dropping-particle":"","family":"Umpierrez","given":"Gullermo","non-dropping-particle":"","parse-names":false,"suffix":""},{"dropping-particle":"","family":"R","given":"Dawkins Colleen","non-dropping-particle":"","parse-names":false,"suffix":""},{"dropping-particle":"","family":"Bello","given":"Morenike K","non-dropping-particle":"","parse-names":false,"suffix":""},{"dropping-particle":"","family":"Hannah","given":"Lerner","non-dropping-particle":"","parse-names":false,"suffix":""},{"dropping-particle":"","family":"Narayan","given":"Venkat","non-dropping-particle":"","parse-names":false,"suffix":""},{"dropping-particle":"","family":"Dunbar","given":"Sandra B.","non-dropping-particle":"","parse-names":false,"suffix":""}],"container-title":"Diabetes Educator","id":"ITEM-7","issue":"5","issued":{"date-parts":[["2014"]]},"page":"626-637","title":"A feasibility study to develop a diabetes prevention program for young adults with prediabetes using digital platforms and a hand held device","type":"article-journal","volume":"40"},"uris":["http://www.mendeley.com/documents/?uuid=d6f4122e-f236-4eab-acac-abb46041bcac"]},{"id":"ITEM-8","itemData":{"DOI":"10.1016/j.jada.2006.02.011","author":[{"dropping-particle":"","family":"Delahanty","given":"Linda M","non-dropping-particle":"","parse-names":false,"suffix":""},{"dropping-particle":"","family":"Conroy","given":"M.B","non-dropping-particle":"","parse-names":false,"suffix":""},{"dropping-particle":"","family":"Nathan","given":"D.M","non-dropping-particle":"","parse-names":false,"suffix":""},{"dropping-particle":"","family":"Diabetes Prevention Program Research Group","given":"","non-dropping-particle":"","parse-names":false,"suffix":""}],"container-title":"American Dietetic Assosication","id":"ITEM-8","issued":{"date-parts":[["2006"]]},"page":"698-705","title":"Psychological predictors of physical activity in the diabetes prevention program","type":"article-journal","volume":"106"},"uris":["http://www.mendeley.com/documents/?uuid=e5cda345-ed80-461e-9711-438c168ec829"]}],"mendeley":{"formattedCitation":"(Block et al., 2016; Cha et al., 2014; Cioffi et al., 2018; Critchley et al., 2012; Delahanty et al., 2006; Leung et al., 2019; Plotnikoff et al., 2003; Taylor et al., 2016)","plainTextFormattedCitation":"(Block et al., 2016; Cha et al., 2014; Cioffi et al., 2018; Critchley et al., 2012; Delahanty et al., 2006; Leung et al., 2019; Plotnikoff et al., 2003; Taylor et al., 2016)","previouslyFormattedCitation":"(Block et al., 2016; Cha et al., 2014; Cioffi et al., 2018; Critchley et al., 2012; Delahanty et al., 2006; Leung et al., 2019; Plotnikoff et al., 2003; Taylor et al., 2016)"},"properties":{"noteIndex":0},"schema":"https://github.com/citation-style-language/schema/raw/master/csl-citation.json"}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(Block et al., 2016; Cha et al., 2014; Cioffi et al., 2018; Critchley et al., 2012; Delahanty et al., 2006; Leung et al., 2019; Plotnikoff et al., 2003; Taylor et al., 2016)</w:t>
      </w:r>
      <w:r w:rsidRPr="00103A0B">
        <w:rPr>
          <w:rFonts w:ascii="Arial" w:hAnsi="Arial" w:cs="Arial"/>
        </w:rPr>
        <w:fldChar w:fldCharType="end"/>
      </w:r>
      <w:r w:rsidRPr="00103A0B">
        <w:rPr>
          <w:rFonts w:ascii="Arial" w:hAnsi="Arial" w:cs="Arial"/>
        </w:rPr>
        <w:t xml:space="preserve">, healthy eating </w:t>
      </w:r>
      <w:r w:rsidRPr="00103A0B">
        <w:rPr>
          <w:rFonts w:ascii="Arial" w:hAnsi="Arial" w:cs="Arial"/>
        </w:rPr>
        <w:fldChar w:fldCharType="begin" w:fldLock="1"/>
      </w:r>
      <w:r w:rsidR="00992026" w:rsidRPr="00103A0B">
        <w:rPr>
          <w:rFonts w:ascii="Arial" w:hAnsi="Arial" w:cs="Arial"/>
        </w:rPr>
        <w:instrText>ADDIN CSL_CITATION {"citationItems":[{"id":"ITEM-1","itemData":{"DOI":"10.1016/j.jneb.2015.12.002","ISBN":"1499-4046","ISSN":"14994046","PMID":"26787601","abstract":"Objective: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-2","itemData":{"DOI":"10.1038/nutd.2016.42","author":[{"dropping-particle":"","family":"Block","given":"G","non-dropping-particle":"","parse-names":false,"suffix":""},{"dropping-particle":"","family":"Azar","given":"K M J","non-dropping-particle":"","parse-names":false,"suffix":""},{"dropping-particle":"","family":"Romanelli","given":"R J","non-dropping-particle":"","parse-names":false,"suffix":""},{"dropping-particle":"","family":"Block","given":"T J","non-dropping-particle":"","parse-names":false,"suffix":""},{"dropping-particle":"","family":"Palaniappan","given":"L P","non-dropping-particle":"","parse-names":false,"suffix":""},{"dropping-particle":"","family":"Dolginsky","given":"M","non-dropping-particle":"","parse-names":false,"suffix":""},{"dropping-particle":"","family":"Block","given":"C H","non-dropping-particle":"","parse-names":false,"suffix":""}],"container-title":"Nutrition and Diabetes","id":"ITEM-2","issued":{"date-parts":[["2016"]]},"page":"e231","publisher":"Nature Publishing Group","title":"Improving diet, activity and wellness in adults at risk of diabetes: randomized controlled trial","type":"article-journal","volume":"6"},"uris":["http://www.mendeley.com/documents/?uuid=b7e08fbf-ecdb-43bc-bcfe-04a4ba8bdfb8"]},{"id":"ITEM-3","itemData":{"author":[{"dropping-particle":"","family":"Glynn","given":"Shirley M","non-dropping-particle":"","parse-names":false,"suffix":""},{"dropping-particle":"","family":"Ruderman","given":"Audrey J","non-dropping-particle":"","parse-names":false,"suffix":""}],"container-title":"Cognitive Therapy and Research","id":"ITEM-3","issue":"4","issued":{"date-parts":[["1986"]]},"page":"403-420","title":"The development and validation of an eating self-efficacy scale","type":"article-journal","volume":"10"},"uris":["http://www.mendeley.com/documents/?uuid=2a04fbb3-804c-464f-8219-d46d1b9ecf1f"]},{"id":"ITEM-4","itemData":{"DOI":"10.4162/nrp.2019.13.5.415","ISSN":"20056168","abstract":"BACKGROUND/OBJECTIVES: Existing evidence on lifestyle modification programs for weight loss is limited by the high attrition rate of such programs. Identifying predictors of adherence to a lifestyle modification program could result in program improvement. However, little is known about behavior-specific adherence and its psychological predictors. This study aimed to examine the psychological predictors of adherence after one-month participation in a community-based lifestyle modification program among Chinese overweight and obese adults in Hong Kong. SUBJECTS/METHODS: A total of 205 Chinese overweight and obese adults aged 38.9 ± 10.5 years completed the study. Data were collected at baseline and after one month using self-reported questionnaires, which assessed knowledge (self-developed scale), motivation (Treatment Self-Regulation Questionnaire), stage of change (Stage of Exercise Scale) and self-efficacy (Self-Rated Abilities for Health Practices Scale). At one month, a 4-day dietary recall and the International Physical Activity Questionnaire-Short Form were used to assess dietary and physical activity (PA) adherence. Food and PA diaries were examined to indicate self-monitoring. Program attendance was tracked between baseline and one-month follow-up. RESULTS: After one month, participants reported high dietary adherence, attendance, and adherence to self-monitoring but low PA adherence. Multiple regression analyses suggested that diet self-efficacy (baseline) and nutrition knowledge (one-month change) were independent predictors of dietary adherence score at one month, whereas autonomous PA motivation (baseline) and PA self-efficacy (both baseline and one-month change) were independent predictors of PA adherence score at one month. No significant psychological predictor was identified for attendance or self-monitoring. CONCLUSIONS: The results suggest that the effect of psychological factors on adherence differs between diet and PA adherence outcomes. To promote adherence, practitioners should assess self-efficacy, knowledge, and motivation at the beginning of a weight-loss program and explore behavior-specific strategies to improve knowledge and self-efficacy. The results of this study have direct implications for program improvements.","author":[{"dropping-particle":"","family":"Leung","given":"Alice Wai Yi","non-dropping-particle":"","parse-names":false,"suffix":""},{"dropping-particle":"","family":"Chan","given":"Ruth Suk Mei","non-dropping-particle":"","parse-names":false,"suffix":""},{"dropping-particle":"","family":"Sea","given":"Mandy Man Mei","non-dropping-particle":"","parse-names":false,"suffix":""},{"dropping-particle":"","family":"Woo","given":"Jean","non-dropping-particle":"","parse-names":false,"suffix":""}],"container-title":"Nutrition Research and Practice","id":"ITEM-4","issue":"5","issued":{"date-parts":[["2019"]]},"page":"415-424","title":"Identifying psychological predictors of adherence to a community-based lifestyle modification program for weight loss among Chinese overweight and obese adults","type":"article-journal","volume":"13"},"uris":["http://www.mendeley.com/documents/?uuid=464a0eef-ba69-4023-ac32-e71c1676e8ad"]},{"id":"ITEM-5","itemData":{"author":[{"dropping-particle":"","family":"Kyrios","given":"Michael","non-dropping-particle":"","parse-names":false,"suffix":""},{"dropping-particle":"","family":"Moore","given":"Susan M","non-dropping-particle":"","parse-names":false,"suffix":""},{"dropping-particle":"","family":"Hackworth","given":"Naomi","non-dropping-particle":"","parse-names":false,"suffix":""},{"dropping-particle":"","family":"Buzwell","given":"Simone A","non-dropping-particle":"","parse-names":false,"suffix":""},{"dropping-particle":"","family":"Crafti","given":"Naomi","non-dropping-particle":"","parse-names":false,"suffix":""},{"dropping-particle":"","family":"Critchley","given":"Christine","non-dropping-particle":"","parse-names":false,"suffix":""},{"dropping-particle":"","family":"Hardie","given":"Elizabeth","non-dropping-particle":"","parse-names":false,"suffix":""},{"dropping-particle":"","family":"Medical","given":"The","non-dropping-particle":"","parse-names":false,"suffix":""}],"container-title":"Medical Journal of Austrailia (MJA)","id":"ITEM-5","issued":{"date-parts":[["2009"]]},"page":"S81-S85","title":"The influence of depression and anxiety on outcomes after an intervention for prediabetes","type":"article-journal","volume":"190"},"uris":["http://www.mendeley.com/documents/?uuid=140b54ca-5394-4d55-b05c-732790730165"]},{"id":"ITEM-6","itemData":{"DOI":"10.1007/s13142-015-0383-3","ISBN":"1314201503833","ISSN":"1869-6716","author":[{"dropping-particle":"","family":"Townsend","given":"C.K.M","non-dropping-particle":"","parse-names":false,"suffix":""},{"dropping-particle":"","family":"Miyamoto","given":"R.E.S","non-dropping-particle":"","parse-names":false,"suffix":""},{"dropping-particle":"","family":"Antonio","given":"M","non-dropping-particle":"","parse-names":false,"suffix":""},{"dropping-particle":"","family":"Zhang","given":"Guangxing","non-dropping-particle":"","parse-names":false,"suffix":""},{"dropping-particle":"","family":"Paloma","given":"Diane","non-dropping-particle":"","parse-names":false,"suffix":""},{"dropping-particle":"","family":"Basques","given":"Deanna","non-dropping-particle":"","parse-names":false,"suffix":""},{"dropping-particle":"","family":"Braun","given":"Kathryn L","non-dropping-particle":"","parse-names":false,"suffix":""},{"dropping-particle":"","family":"Keawe","given":"Joseph K","non-dropping-particle":"","parse-names":false,"suffix":""}],"container-title":"Translational Behavioral Medicine","id":"ITEM-6","issued":{"date-parts":[["2016"]]},"page":"190-201","publisher":"Translational Behavioral Medicine","title":"The PILI@Work Program: a translation of the diabetes prevention program to native Hawaiian-serving worksites in Hawai‘i","type":"article-journal","volume":"6"},"uris":["http://www.mendeley.com/documents/?uuid=85696b72-0040-45f4-ab48-d3bdeaafb322"]}],"mendeley":{"formattedCitation":"(Block et al., 2016; Glynn &amp; Ruderman, 1986; Kyrios et al., 2009; Leung et al., 2019; Miller et al., 2016; Townsend et al., 2016)","plainTextFormattedCitation":"(Block et al., 2016; Glynn &amp; Ruderman, 1986; Kyrios et al., 2009; Leung et al., 2019; Miller et al., 2016; Townsend et al., 2016)","previouslyFormattedCitation":"(Block et al., 2016; Glynn &amp; Ruderman, 1986; Kyrios et al., 2009; Leung et al., 2019; Miller et al., 2016; Townsend et al., 2016)"},"properties":{"noteIndex":0},"schema":"https://github.com/citation-style-language/schema/raw/master/csl-citation.json"}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(Block et al., 2016; Glynn &amp; Ruderman, 1986; Kyrios et al., 2009; Leung et al., 2019; Miller et al., 2016; Townsend et al., 2016)</w:t>
      </w:r>
      <w:r w:rsidRPr="00103A0B">
        <w:rPr>
          <w:rFonts w:ascii="Arial" w:hAnsi="Arial" w:cs="Arial"/>
        </w:rPr>
        <w:fldChar w:fldCharType="end"/>
      </w:r>
      <w:r w:rsidRPr="00103A0B">
        <w:rPr>
          <w:rFonts w:ascii="Arial" w:hAnsi="Arial" w:cs="Arial"/>
        </w:rPr>
        <w:t xml:space="preserve">, weight loss </w:t>
      </w:r>
      <w:r w:rsidRPr="00103A0B">
        <w:rPr>
          <w:rFonts w:ascii="Arial" w:hAnsi="Arial" w:cs="Arial"/>
        </w:rPr>
        <w:fldChar w:fldCharType="begin" w:fldLock="1"/>
      </w:r>
      <w:r w:rsidR="008E0722" w:rsidRPr="00103A0B">
        <w:rPr>
          <w:rFonts w:ascii="Arial" w:hAnsi="Arial" w:cs="Arial"/>
        </w:rPr>
        <w:instrText>ADDIN CSL_CITATION {"citationItems":[{"id":"ITEM-1","itemData":{"DOI":"10.1038/sj.ijo.0802727","ISSN":"03070565","abstract":"OBJECTIVE: This study analyzed baseline behavioral and psychosocial differences between successful and nonsuccessful participants in a behavioral weight management program. Success was defined by commonly used health-related criteria (5% weight loss). Noncompletion was also used as a marker of a failed attempt at weight control. SUBJECTS: A total of 158 healthy overweight and obese women (age, 48.0 ± 4.5 y; BMI, 31.0 ± 3.8 kg/m2; body fat, 44.5 ± 5.3%). INTERVENTION: Subjects participated in a 16-week lifestyle weight loss program consisting of group-based behavior therapy to improve diet and increase physical activity, and were followed for 1 y after treatment. METHODS: At baseline, all women completed a comprehensive behavioral and psychosocial battery assessing dieting/weight history, dietary intake and eating behaviors, exercise, self-efficacy, outcome evaluations, body image, and other variables considered relevant for weight management. Participants who maintained a weight loss of 5% or more at 16 months (or 10% or more of initial fat mass) were classified as successful. Nonsuccessful participants were those who dropped out and completers who had not lost weight at follow-up. RESULTS: Of all participants, 30% (n = 47) did not complete initial treatment and/or missed follow-up assessments (noncompleters). Noncompletion was independently associated with more previous weight loss attempts, poorer quality of life, more stringent weight outcome evaluations, and lower reported carbohydrate intake at baseline. In logistic regression, completion status was predicted correctly in 84% of all cases (χ2 = 45.5, P &lt; 0.001), using baseline information only. Additional predictors of attrition were initial weight, exercise minutes, fiber intake, binge eating, psychological health, and body image. A large variation in weight loss/maintenance results was observed (range: 37.2 kg for 16-month weight change). Independent baseline predictors of success at 16 months were more moderate weight outcome evaluations, lower level of previous dieting, higher exercise self-efficacy, and smaller waist-to-hip ratio. Success status at follow-up was predicted correctly in 74% of all starting cases (χ2 = 33.6, P &lt; 0.001). CONCLUSION: Psychosocial and behavioral variables (eg, dieting history, dietary intake, outcome evaluations, exercise self-efficacy, and quality of life) may be useful as pretreatment predictors of success level and/or attrition in previously overweight and mildly…","author":[{"dropping-particle":"","family":"Teixeira","given":"P. J.","non-dropping-particle":"","parse-names":false,"suffix":""},{"dropping-particle":"","family":"Going","given":"S. B.","non-dropping-particle":"","parse-names":false,"suffix":""},{"dropping-particle":"","family":"Houtkooper","given":"L. B.","non-dropping-particle":"","parse-names":false,"suffix":""},{"dropping-particle":"","family":"Cussler","given":"E. C.","non-dropping-particle":"","parse-names":false,"suffix":""},{"dropping-particle":"","family":"Metcalfe","given":"L. L.","non-dropping-particle":"","parse-names":false,"suffix":""},{"dropping-particle":"","family":"Blew","given":"R. M.","non-dropping-particle":"","parse-names":false,"suffix":""},{"dropping-particle":"","family":"Sardinha","given":"L. B.","non-dropping-particle":"","parse-names":false,"suffix":""},{"dropping-particle":"","family":"Lohman","given":"T. G.","non-dropping-particle":"","parse-names":false,"suffix":""}],"container-title":"International Journal of Obesity","id":"ITEM-1","issue":"9","issued":{"date-parts":[["2004"]]},"page":"1124-1133","title":"Pretreatment predictors of attrition and successful weight management in women","type":"article-journal","volume":"28"},"uris":["http://www.mendeley.com/documents/?uuid=1a0874bc-2b18-4b7b-a692-86d0f4cc58e6"]},{"id":"ITEM-2","itemData":{"DOI":"10.1016/j.appet.2012.01.005","ISSN":"10958304","PMID":"22248709","abstract":"Pre-treatment diet and exercise self-efficacies can predict weight loss success. Changes in diet self-efficacy across treatment appear to be even stronger predictors than baseline levels, but research on changes in exercise self-efficacy is lacking. Using data from a pilot study evaluating tangible reinforcement for weight loss (N= 30), we examined the impact of changes in diet and exercise self-efficacy on outcomes. Multiple regression analyses indicated that treatment attendance and changes in exercise self-efficacy during treatment were the strongest predictors of weight loss. Developing weight loss programs that foster the development of exercise self-efficacy may enhance participants' success. © 2012 .","author":[{"dropping-particle":"","family":"Byrne","given":"Shannon","non-dropping-particle":"","parse-names":false,"suffix":""},{"dropping-particle":"","family":"Barry","given":"Danielle","non-dropping-particle":"","parse-names":false,"suffix":""},{"dropping-particle":"","family":"Petry","given":"Nancy M.","non-dropping-particle":"","parse-names":false,"suffix":""}],"container-title":"Appetite","id":"ITEM-2","issue":"2","issued":{"date-parts":[["2012"]]},"page":"695-698","title":"Predictors of weight loss success: exercise vs. dietary self-efficacy and treatment attendance","type":"article-journal","volume":"58"},"uris":["http://www.mendeley.com/documents/?uuid=3caeea86-5d8f-4cf4-81b0-07d791ad2a9c"]},{"id":"ITEM-3","itemData":{"DOI":"10.2337/dc12-0733.","author":[{"dropping-particle":"","family":"Delahanty","given":"Linda M","non-dropping-particle":"","parse-names":false,"suffix":""},{"dropping-particle":"","family":"Peyrot","given":"M","non-dropping-particle":"","parse-names":false,"suffix":""},{"dropping-particle":"","family":"Shrader","given":"P.J","non-dropping-particle":"","parse-names":false,"suffix":""},{"dropping-particle":"","family":"Williamson","given":"D.A","non-dropping-particle":"","parse-names":false,"suffix":""},{"dropping-particle":"","family":"Meigs","given":"J.B","non-dropping-particle":"","parse-names":false,"suffix":""},{"dropping-particle":"","family":"Nathan","given":"D.M","non-dropping-particle":"","parse-names":false,"suffix":""},{"dropping-particle":"","family":"Group","given":"DPP Research","non-dropping-particle":"","parse-names":false,"suffix":""}],"container-title":"Diabates Care","id":"ITEM-3","issued":{"date-parts":[["2013"]]},"page":"34-40","title":"Pretreatment, psychological, and behavioral predictors of weight outcomes among lifestyle intervention participants in the diabetes prevention program (DPP)","type":"article-journal","volume":"36"},"uris":["http://www.mendeley.com/documents/?uuid=1a9a833f-0d5a-45b0-a457-9b7fbf91e50a"]},{"id":"ITEM-4","itemData":{"author":[{"dropping-particle":"","family":"Hays","given":"Laura M","non-dropping-particle":"","parse-names":false,"suffix":""},{"dropping-particle":"","family":"Finch","given":"Emily A","non-dropping-particle":"","parse-names":false,"suffix":""},{"dropping-particle":"","family":"Saha","given":"Chandan","non-dropping-particle":"","parse-names":false,"suffix":""},{"dropping-particle":"","family":"Marrero","given":"David G","non-dropping-particle":"","parse-names":false,"suffix":""},{"dropping-particle":"","family":"Ronald","given":"T","non-dropping-particle":"","parse-names":false,"suffix":""}],"container-title":"Diabetes Spectrum","id":"ITEM-4","issue":"4","issued":{"date-parts":[["2014"]]},"page":"270-275","title":"Effect of self-efficacy on weight loss: a psychosocial analysis of a community-based adaptation of the diabetes prevention program lifestyle intervention","type":"article-journal","volume":"27"},"uris":["http://www.mendeley.com/documents/?uuid=414c3899-27d0-4036-b75e-ef392229f4e4"]}],"mendeley":{"formattedCitation":"(Byrne et al., 2012; Delahanty et al., 2013; Hays et al., 2014; Teixeira et al., 2004)","plainTextFormattedCitation":"(Byrne et al., 2012; Delahanty et al., 2013; Hays et al., 2014; Teixeira et al., 2004)","previouslyFormattedCitation":"(Byrne et al., 2012; Delahanty et al., 2013; Hays et al., 2014; Teixeira et al., 2004)"},"properties":{"noteIndex":0},"schema":"https://github.com/citation-style-language/schema/raw/master/csl-citation.json"}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(Byrne et al., 2012; Delahanty et al., 2013; Hays et al., 2014; Teixeira et al., 2004)</w:t>
      </w:r>
      <w:r w:rsidRPr="00103A0B">
        <w:rPr>
          <w:rFonts w:ascii="Arial" w:hAnsi="Arial" w:cs="Arial"/>
        </w:rPr>
        <w:fldChar w:fldCharType="end"/>
      </w:r>
      <w:r w:rsidRPr="00103A0B">
        <w:rPr>
          <w:rFonts w:ascii="Arial" w:hAnsi="Arial" w:cs="Arial"/>
        </w:rPr>
        <w:t xml:space="preserve"> and reduction in risk of developing T2DM by promoting healthier lifestyles </w:t>
      </w:r>
      <w:r w:rsidRPr="00103A0B">
        <w:rPr>
          <w:rFonts w:ascii="Arial" w:hAnsi="Arial" w:cs="Arial"/>
        </w:rPr>
        <w:fldChar w:fldCharType="begin" w:fldLock="1"/>
      </w:r>
      <w:r w:rsidRPr="00103A0B">
        <w:rPr>
          <w:rFonts w:ascii="Arial" w:hAnsi="Arial" w:cs="Arial"/>
        </w:rPr>
        <w:instrText>ADDIN CSL_CITATION {"citationItems":[{"id":"ITEM-1","itemData":{"DOI":"10.1111/j.1365-2702.2010.03320.x","author":[{"dropping-particle":"","family":"Chen","given":"Shu-fen","non-dropping-particle":"","parse-names":false,"suffix":""},{"dropping-particle":"","family":"Lin","given":"Chiu-chu","non-dropping-particle":"","parse-names":false,"suffix":""}],"container-title":"Journal of Clinical Nursing","id":"ITEM-1","issued":{"date-parts":[["2010"]]},"page":"2713-2719","title":"The predictors of adopting a health-promoting lifestyle among work site adults with prediabetes","type":"article-journal","volume":"19"},"uris":["http://www.mendeley.com/documents/?uuid=675d487b-ed56-494f-9b5a-10e15074a964"]}],"mendeley":{"formattedCitation":"(S. Chen &amp; Lin, 2010)","manualFormatting":"(Chen &amp; Lin, 2010)","plainTextFormattedCitation":"(S. Chen &amp; Lin, 2010)","previouslyFormattedCitation":"(S. Chen &amp; Lin, 2010)"},"properties":{"noteIndex":0},"schema":"https://github.com/citation-style-language/schema/raw/master/csl-citation.json"}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(Chen &amp; Lin, 2010)</w:t>
      </w:r>
      <w:r w:rsidRPr="00103A0B">
        <w:rPr>
          <w:rFonts w:ascii="Arial" w:hAnsi="Arial" w:cs="Arial"/>
        </w:rPr>
        <w:fldChar w:fldCharType="end"/>
      </w:r>
      <w:r w:rsidRPr="00103A0B">
        <w:rPr>
          <w:rFonts w:ascii="Arial" w:hAnsi="Arial" w:cs="Arial"/>
        </w:rPr>
        <w:t xml:space="preserve">. Research on cardiac rehabilitation and lifestyle change programmes have shown SE is related to attendance (i.e., starting and attending a certain proportion of sessions) </w:t>
      </w:r>
      <w:r w:rsidRPr="00103A0B">
        <w:rPr>
          <w:rFonts w:ascii="Arial" w:hAnsi="Arial" w:cs="Arial"/>
        </w:rPr>
        <w:fldChar w:fldCharType="begin" w:fldLock="1"/>
      </w:r>
      <w:r w:rsidR="00BA4374" w:rsidRPr="00103A0B">
        <w:rPr>
          <w:rFonts w:ascii="Arial" w:hAnsi="Arial" w:cs="Arial"/>
        </w:rPr>
        <w:instrText>ADDIN CSL_CITATION {"citationItems":[{"id":"ITEM-1","itemData":{"author":[{"dropping-particle":"","family":"Selzler","given":"Anne-marie","non-dropping-particle":"","parse-names":false,"suffix":""},{"dropping-particle":"","family":"Rodgers","given":"Wendy M","non-dropping-particle":"","parse-names":false,"suffix":""},{"dropping-particle":"","family":"Berry","given":"Tanya R","non-dropping-particle":"","parse-names":false,"suffix":""},{"dropping-particle":"","family":"Mcfadden","given":"Kimberley","non-dropping-particle":"","parse-names":false,"suffix":""},{"dropping-particle":"","family":"Husband","given":"Cassandra","non-dropping-particle":"","parse-names":false,"suffix":""},{"dropping-particle":"","family":"Hall","given":"Craig","non-dropping-particle":"","parse-names":false,"suffix":""}],"container-title":"British Journal of Health Psychology","id":"ITEM-1","issued":{"date-parts":[["2019"]]},"page":"123-140","title":"Reciprocal relationships between self-efficacy, outcome satisfaction, and attendance at an exercise programme","type":"article-journal","volume":"24"},"uris":["http://www.mendeley.com/documents/?uuid=05d67eff-5f90-4933-af30-990820fe40ed"]},{"id":"ITEM-2","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Disorders","id":"ITEM-2","issued":{"date-parts":[["2012"]]},"page":"120","title":"A systematic review of patient reported factors associated with uptake and completion of cardiovascular lifestyle behaviour change","type":"article-journal","volume":"12"},"uris":["http://www.mendeley.com/documents/?uuid=8909c03f-c8a9-4dd2-84c1-a3cf90717072"]}],"mendeley":{"formattedCitation":"(Murray et al., 2012; Selzler et al., 2019)","plainTextFormattedCitation":"(Murray et al., 2012; Selzler et al., 2019)","previouslyFormattedCitation":"(Murray et al., 2012; Selzler et al., 2019)"},"properties":{"noteIndex":0},"schema":"https://github.com/citation-style-language/schema/raw/master/csl-citation.json"}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(Murray et al., 2012; Selzler et al., 2019)</w:t>
      </w:r>
      <w:r w:rsidRPr="00103A0B">
        <w:rPr>
          <w:rFonts w:ascii="Arial" w:hAnsi="Arial" w:cs="Arial"/>
        </w:rPr>
        <w:fldChar w:fldCharType="end"/>
      </w:r>
      <w:r w:rsidRPr="00103A0B">
        <w:rPr>
          <w:rFonts w:ascii="Arial" w:hAnsi="Arial" w:cs="Arial"/>
        </w:rPr>
        <w:t xml:space="preserve"> and those with lower levels of SE were more likely to drop</w:t>
      </w:r>
      <w:r w:rsidR="00B93938" w:rsidRPr="00103A0B">
        <w:rPr>
          <w:rFonts w:ascii="Arial" w:hAnsi="Arial" w:cs="Arial"/>
        </w:rPr>
        <w:t xml:space="preserve"> </w:t>
      </w:r>
      <w:r w:rsidRPr="00103A0B">
        <w:rPr>
          <w:rFonts w:ascii="Arial" w:hAnsi="Arial" w:cs="Arial"/>
        </w:rPr>
        <w:t xml:space="preserve">out and become non-completers </w:t>
      </w:r>
      <w:r w:rsidRPr="00103A0B">
        <w:rPr>
          <w:rFonts w:ascii="Arial" w:hAnsi="Arial" w:cs="Arial"/>
        </w:rPr>
        <w:fldChar w:fldCharType="begin" w:fldLock="1"/>
      </w:r>
      <w:r w:rsidR="00BA4374" w:rsidRPr="00103A0B">
        <w:rPr>
          <w:rFonts w:ascii="Arial" w:hAnsi="Arial" w:cs="Arial"/>
        </w:rPr>
        <w:instrText>ADDIN CSL_CITATION {"citationItems":[{"id":"ITEM-1","itemData":{"author":[{"dropping-particle":"","family":"Bernier","given":"Michel","non-dropping-particle":"","parse-names":false,"suffix":""},{"dropping-particle":"","family":"Avard","given":"Jacqueline","non-dropping-particle":"","parse-names":false,"suffix":""}],"container-title":"Cognitive Therapy and Research","id":"ITEM-1","issue":"3","issued":{"date-parts":[["1986"]]},"page":"319-338","title":"Self-efficacy, outcome, and attrition in weight-reduction program","type":"article-journal","volume":"10"},"uris":["http://www.mendeley.com/documents/?uuid=bdc6575d-b477-48c3-90a4-7863e2488b55"]},{"id":"ITEM-2","itemData":{"ISSN":"14795868","PMID":"27612561","abstract":"Background: The purpose of this study was to identify demographic, clinical, psychosocial, physical and environmental factors that are associated with participation in and adherence to a combined resistance and endurance exercise program among cancer survivors, shortly after completion of primary cancer treatment. Data from the randomized controlled Resistance and Endurance exercise After ChemoTherapy (REACT) study were used for this study. Methods: The participants of the REACT study were randomly allocated to either a high intensity (HI) or low-to-moderate intensity (LMI) exercise program. Patients' participation rate was defined as the cancer survivors' decision to participate in the REACT study. Exercise adherence reflected participants' attendance to the scheduled exercise sessions and their compliance to the prescribed exercises. High session attendance rates were defined as attending at least 80 % of the sessions. High compliance rates were defined as performing at least of 90 % of the prescribed exercise across all sessions. Correlates of exercise adherence were studied separately for HI and LMI exercise. Demographic, clinical, and physical factors were assessed using self-reported questionnaires. Relevant clinical information was extracted from medical records. Multivariable logistic regression analyses were applied to identify correlates that were significantly associated with participation, high session attendance, high compliance with resistance and high compliance with endurance exercises. Results: Participants were more likely to have higher education, be non-smokers, have lower psychological distress, higher outcome expectations, and perceive more exercise barriers than non-participants. In HI exercise, higher self-efficacy was significantly associated with high session attendance and high compliance with endurance exercises, and lower psychological distress was significantly associated with high compliance with resistance exercises. In LMI exercise, being a non-smoker was significantly associated with high compliance with resistance exercises and higher BMI was significantly associated with high compliance with resistance and endurance exercises. Furthermore, breast cancer survivors were less likely to report high compliance with resistance and endurance exercises in LMI exercise compared to survivors of other types of cancer. The discriminative ability of the multivariable models ranged from 0.62 to 0.75. Conclusion: Several demographic…","author":[{"dropping-particle":"","family":"Kampshoff","given":"Caroline S.","non-dropping-particle":"","parse-names":false,"suffix":""},{"dropping-particle":"","family":"Mechelen","given":"Willem","non-dropping-particle":"","parse-names":false,"suffix":""},{"dropping-particle":"","family":"Schep","given":"Goof","non-dropping-particle":"","parse-names":false,"suffix":""},{"dropping-particle":"","family":"Nijziel","given":"Marten R.","non-dropping-particle":"","parse-names":false,"suffix":""},{"dropping-particle":"","family":"Witlox","given":"Lenja","non-dropping-particle":"","parse-names":false,"suffix":""},{"dropping-particle":"","family":"Bosman","given":"Lisa","non-dropping-particle":"","parse-names":false,"suffix":""},{"dropping-particle":"","family":"Chinapaw","given":"Mai J.M.","non-dropping-particle":"","parse-names":false,"suffix":""},{"dropping-particle":"","family":"Brug","given":"Johannes","non-dropping-particle":"","parse-names":false,"suffix":""},{"dropping-particle":"","family":"Buffart","given":"Laurien M.","non-dropping-particle":"","parse-names":false,"suffix":""}],"container-title":"International Journal of Behavioral Nutrition and Physical Activity","id":"ITEM-2","issued":{"date-parts":[["2016"]]},"page":"100","publisher":"International Journal of Behavioral Nutrition and Physical Activity","title":"Participation in and adherence to physical exercise after completion of primary cancer treatment","type":"article-journal","volume":"13"},"uris":["http://www.mendeley.com/documents/?uuid=278d7aff-d6ba-4e39-8ace-5c16057e7469"]},{"id":"ITEM-3","itemData":{"ISSN":"1543267X","abstract":"This study investigated attrition in a 6-month physical activity intervention for older adults. The program was based on the social-cognitive theory incorporating self-efficacy factors. Two hundred forty-eight insufficiently active 65- to 74-year-olds were recruited from the Australian federal electoral roll. The intervention comprised walking and strength and flexibility exercises and was conducted in 30 local neighborhoods where the participants resided. Characteristics of individuals lost to attrition (n = 86, 35%) were compared with those of program completers (n = 162, 65%). Logistic-regression analysis showed that those lost to attrition came from areas of lower socioeconomic status, were overweight and less physically active, and had lower walking self-efficacy scores and higher loneliness scores. The results suggest that early assessment of these characteristics should be undertaken to identify individuals at risk of attrition, to improve retention, and to avoid potential bias. © 2007 Human Kinetics, Inc.","author":[{"dropping-particle":"","family":"Jancey","given":"Jonine","non-dropping-particle":"","parse-names":false,"suffix":""},{"dropping-particle":"","family":"Lee","given":"Andy","non-dropping-particle":"","parse-names":false,"suffix":""},{"dropping-particle":"","family":"Howat","given":"Peter","non-dropping-particle":"","parse-names":false,"suffix":""},{"dropping-particle":"","family":"Clarke","given":"Ann","non-dropping-particle":"","parse-names":false,"suffix":""},{"dropping-particle":"","family":"Wang","given":"Kui","non-dropping-particle":"","parse-names":false,"suffix":""},{"dropping-particle":"","family":"Shilton","given":"Trevor","non-dropping-particle":"","parse-names":false,"suffix":""}],"container-title":"Journal of Aging and Physical Activity","id":"ITEM-3","issue":"2","issued":{"date-parts":[["2007"]]},"page":"152-165","title":"Reducing attrition in physical activity programs for older adults","type":"article-journal","volume":"15"},"uris":["http://www.mendeley.com/documents/?uuid=92dd1e44-3c9e-4ca6-a0a5-cca50dc9df28"]},{"id":"ITEM-4","itemData":{"DOI":"10.1016/S0163-8343(02)00179-2","ISSN":"01638343","PMID":"12062136","abstract":"Cardiovascular disease (CVD) is the leading cause of death and disability for women and men. Substantial health risks continue following ischemic coronary events (ICEs), but secondary prevention efforts, including cardiac rehabilitation (CR), have beneficial effects on both early and late mortality and morbidity. This prospective study examined the relationship among psychosocial factors and CR referral and participation patterns in 906 (586 men, 320 women) patients from the coronary intensive care unit (CICU) over the course of six months. Only 30% of participants were referred to CR programs, with significantly fewer women being referred. A logistic regression analysis was used to determine whether depression, anxiety, self-efficacy, or social support predicted CR participation six months following an ICE, while controlling for sociodemographic factors. Results show that higher family income, greater anxiety symptomatology, and higher self-efficacy were significantly predictive of CR participation at six months. Implications for women's recovery from an ICE are discussed. © 2002 Elsevier Science Inc. All rights reserved.","author":[{"dropping-particle":"","family":"Grace","given":"Sherry L.","non-dropping-particle":"","parse-names":false,"suffix":""},{"dropping-particle":"","family":"Abbey","given":"Susan E.","non-dropping-particle":"","parse-names":false,"suffix":""},{"dropping-particle":"","family":"Shnek","given":"Zachary M.","non-dropping-particle":"","parse-names":false,"suffix":""},{"dropping-particle":"","family":"Irvine","given":"Jane","non-dropping-particle":"","parse-names":false,"suffix":""},{"dropping-particle":"","family":"Franche","given":"Renée Louise","non-dropping-particle":"","parse-names":false,"suffix":""},{"dropping-particle":"","family":"Stewart","given":"Donna E.","non-dropping-particle":"","parse-names":false,"suffix":""}],"container-title":"General Hospital Psychiatry","id":"ITEM-4","issue":"3","issued":{"date-parts":[["2002"]]},"page":"127-134","title":"Cardiac rehabilitation II: referral and participation","type":"article-journal","volume":"24"},"uris":["http://www.mendeley.com/documents/?uuid=15b1d444-7c5e-4d66-9fc8-6746405f760a"]}],"mendeley":{"formattedCitation":"(Bernier &amp; Avard, 1986; Grace et al., 2002; Jancey et al., 2007; Kampshoff et al., 2016)","plainTextFormattedCitation":"(Bernier &amp; Avard, 1986; Grace et al., 2002; Jancey et al., 2007; Kampshoff et al., 2016)","previouslyFormattedCitation":"(Bernier &amp; Avard, 1986; Grace et al., 2002; Jancey et al., 2007; Kampshoff et al., 2016)"},"properties":{"noteIndex":0},"schema":"https://github.com/citation-style-language/schema/raw/master/csl-citation.json"}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(Bernier &amp; Avard, 1986; Grace et al., 2002; Jancey et al., 2007; Kampshoff et al., 2016)</w:t>
      </w:r>
      <w:r w:rsidRPr="00103A0B">
        <w:rPr>
          <w:rFonts w:ascii="Arial" w:hAnsi="Arial" w:cs="Arial"/>
        </w:rPr>
        <w:fldChar w:fldCharType="end"/>
      </w:r>
      <w:r w:rsidRPr="00103A0B">
        <w:rPr>
          <w:rFonts w:ascii="Arial" w:hAnsi="Arial" w:cs="Arial"/>
        </w:rPr>
        <w:t xml:space="preserve">. </w:t>
      </w:r>
    </w:p>
    <w:p w14:paraId="71E5FBF1" w14:textId="07401F87" w:rsidR="004D10A4" w:rsidRPr="00103A0B" w:rsidRDefault="004D10A4" w:rsidP="00CD5919">
      <w:pPr>
        <w:pStyle w:val="NormalWeb"/>
        <w:spacing w:line="360" w:lineRule="auto"/>
        <w:jc w:val="both"/>
        <w:rPr>
          <w:rFonts w:ascii="Arial" w:hAnsi="Arial" w:cs="Arial"/>
        </w:rPr>
      </w:pPr>
      <w:r w:rsidRPr="00103A0B">
        <w:rPr>
          <w:rFonts w:ascii="Arial" w:hAnsi="Arial" w:cs="Arial"/>
        </w:rPr>
        <w:t xml:space="preserve">Mental wellbeing (MWB) is a further factor DPPs should consider. Mental wellbeing refers to positive mental health, which includes the subjective experience of happiness </w:t>
      </w:r>
      <w:r w:rsidRPr="00103A0B">
        <w:rPr>
          <w:rFonts w:ascii="Arial" w:hAnsi="Arial" w:cs="Arial"/>
        </w:rPr>
        <w:lastRenderedPageBreak/>
        <w:t xml:space="preserve">and life satisfaction, as well as positive psychological functioning and developing and maintaining good personal and social relationships </w:t>
      </w:r>
      <w:r w:rsidRPr="00103A0B">
        <w:rPr>
          <w:rFonts w:ascii="Arial" w:hAnsi="Arial" w:cs="Arial"/>
        </w:rPr>
        <w:fldChar w:fldCharType="begin" w:fldLock="1"/>
      </w:r>
      <w:r w:rsidR="00BA4374" w:rsidRPr="00103A0B">
        <w:rPr>
          <w:rFonts w:ascii="Arial" w:hAnsi="Arial" w:cs="Arial"/>
        </w:rPr>
        <w:instrText>ADDIN CSL_CITATION {"citationItems":[{"id":"ITEM-1","itemData":{"author":[{"dropping-particle":"","family":"Putz, Rebecca; O’Hara, Kate; Taggart, Frances and Stewart-Brown","given":"Sarah","non-dropping-particle":"","parse-names":false,"suffix":""}],"id":"ITEM-1","issued":{"date-parts":[["2012"]]},"number-of-pages":"1-19","title":"Using WEMWBS to measure the impact of your work on mental wellbeing: a practice-based user guide","type":"report"},"uris":["http://www.mendeley.com/documents/?uuid=34403bc7-b3c7-4ce1-b527-14c9b8980cf4"]},{"id":"ITEM-2","itemData":{"abstract":"population. The monitoring of population mental well-being and the evaluation of interventions to promote positive mental health has therefore had to be undertaken using instruments designed primarily to detect mental illness. There are two problems with such an approach. First, mental illness measures tend to have significant ceiling effects in general population samples, meaning that people with only moderately good mental health can achieve the highest possible score. As a result the instrument cannot show improvements in mental health in the healthier portion of the population distribution. Second, participants who are involved in the evaluation of interventions to promote mental health may develop the erroneous impression that the interventions are designed only to help people with mental health problems and in this way the evaluation can affect the impact of interventions. To overcome these problems NHS Health Scotland commissioned the development of the Warwick-Edinburgh Mental Well-being Scale (WEMWBS) as part of the Mental Health Indicators Programme.2 This manual is for those who want to use WEMWBS for monitoring and research purposes as well as for evaluations. Those who require information on what to consider for evaluation are referred to the NHS Health Scotland evaluation guides in the first instance (www.healthscotland.com/mental-health- publications.aspx). Ceiling","author":[{"dropping-particle":"","family":"Stewart-Brown","given":"S","non-dropping-particle":"","parse-names":false,"suffix":""},{"dropping-particle":"","family":"Janmohamed","given":"K","non-dropping-particle":"","parse-names":false,"suffix":""}],"id":"ITEM-2","issued":{"date-parts":[["2008"]]},"number-of-pages":"1-27","title":"Warwick-Edinburgh mental well-being scale user guide","type":"report"},"uris":["http://www.mendeley.com/documents/?uuid=61b420bc-f042-467d-a585-ccae2af3e570"]},{"id":"ITEM-3","itemData":{"DOI":"10.1146/annurev.psych.52.1.141","ISSN":"00664308","PMID":"11148302","abstract":"Well-being is a complex construct that concerns optimal experience and functioning. Current research on well-being has been derived from two general perspectives: the hedonic approach, which focuses on happiness and defines well-being in terms of pleasure attainment and pain avoidance; and the eudaimonic approach, which focuses on meaning and self-realization and defines well-being in terms of the degree to which a person is fully functioning. These two views have given rise to different research foci and a body of knowledge that is in some areas divergent and in others complementary. New methodological developments concerning multilevel modeling and construct comparisons are also allowing researchers to formulate new questions for the field. This review considers research from both perspectives concerning the nature of well-being, its antecedents, and its stability across time and culture.","author":[{"dropping-particle":"","family":"Ryan","given":"Richard M.","non-dropping-particle":"","parse-names":false,"suffix":""},{"dropping-particle":"","family":"Deci","given":"Edward L.","non-dropping-particle":"","parse-names":false,"suffix":""}],"container-title":"Annual Review of Psychology","id":"ITEM-3","issued":{"date-parts":[["2001"]]},"page":"141-166","title":"On happiness and human potentials: a review of research on hedonic and eudaimonic well-being","type":"article-journal","volume":"52"},"uris":["http://www.mendeley.com/documents/?uuid=7ed2eba3-1a88-47cc-8367-b3c791decb46"]}],"mendeley":{"formattedCitation":"(Putz, Rebecca; O’Hara, Kate; Taggart, Frances and Stewart-Brown, 2012; Ryan &amp; Deci, 2001; Stewart-Brown &amp; Janmohamed, 2008)","plainTextFormattedCitation":"(Putz, Rebecca; O’Hara, Kate; Taggart, Frances and Stewart-Brown, 2012; Ryan &amp; Deci, 2001; Stewart-Brown &amp; Janmohamed, 2008)","previouslyFormattedCitation":"(Putz, Rebecca; O’Hara, Kate; Taggart, Frances and Stewart-Brown, 2012; Ryan &amp; Deci, 2001; Stewart-Brown &amp; Janmohamed, 2008)"},"properties":{"noteIndex":0},"schema":"https://github.com/citation-style-language/schema/raw/master/csl-citation.json"}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(Putz, Rebecca; O’Hara, Kate; Taggart, Frances and Stewart-Brown, 2012; Ryan &amp; Deci, 2001; Stewart-Brown &amp; Janmohamed, 2008)</w:t>
      </w:r>
      <w:r w:rsidRPr="00103A0B">
        <w:rPr>
          <w:rFonts w:ascii="Arial" w:hAnsi="Arial" w:cs="Arial"/>
        </w:rPr>
        <w:fldChar w:fldCharType="end"/>
      </w:r>
      <w:r w:rsidRPr="00103A0B">
        <w:rPr>
          <w:rFonts w:ascii="Arial" w:hAnsi="Arial" w:cs="Arial"/>
        </w:rPr>
        <w:t>.</w:t>
      </w:r>
      <w:r w:rsidR="007A139F" w:rsidRPr="00103A0B">
        <w:rPr>
          <w:rFonts w:ascii="Arial" w:hAnsi="Arial" w:cs="Arial"/>
        </w:rPr>
        <w:t xml:space="preserve"> </w:t>
      </w:r>
      <w:r w:rsidRPr="00103A0B">
        <w:rPr>
          <w:rFonts w:ascii="Arial" w:hAnsi="Arial" w:cs="Arial"/>
        </w:rPr>
        <w:t xml:space="preserve">Mental wellbeing also incorporates maintaining a sense of autonomy, self-acceptance, personal growth and self-esteem </w:t>
      </w:r>
      <w:r w:rsidRPr="00103A0B">
        <w:rPr>
          <w:rFonts w:ascii="Arial" w:hAnsi="Arial" w:cs="Arial"/>
        </w:rPr>
        <w:fldChar w:fldCharType="begin" w:fldLock="1"/>
      </w:r>
      <w:r w:rsidR="00BA4374" w:rsidRPr="00103A0B">
        <w:rPr>
          <w:rFonts w:ascii="Arial" w:hAnsi="Arial" w:cs="Arial"/>
        </w:rPr>
        <w:instrText>ADDIN CSL_CITATION {"citationItems":[{"id":"ITEM-1","itemData":{"abstract":"population. The monitoring of population mental well-being and the evaluation of interventions to promote positive mental health has therefore had to be undertaken using instruments designed primarily to detect mental illness. There are two problems with such an approach. First, mental illness measures tend to have significant ceiling effects in general population samples, meaning that people with only moderately good mental health can achieve the highest possible score. As a result the instrument cannot show improvements in mental health in the healthier portion of the population distribution. Second, participants who are involved in the evaluation of interventions to promote mental health may develop the erroneous impression that the interventions are designed only to help people with mental health problems and in this way the evaluation can affect the impact of interventions. To overcome these problems NHS Health Scotland commissioned the development of the Warwick-Edinburgh Mental Well-being Scale (WEMWBS) as part of the Mental Health Indicators Programme.2 This manual is for those who want to use WEMWBS for monitoring and research purposes as well as for evaluations. Those who require information on what to consider for evaluation are referred to the NHS Health Scotland evaluation guides in the first instance (www.healthscotland.com/mental-health- publications.aspx). Ceiling","author":[{"dropping-particle":"","family":"Stewart-Brown","given":"S","non-dropping-particle":"","parse-names":false,"suffix":""},{"dropping-particle":"","family":"Janmohamed","given":"K","non-dropping-particle":"","parse-names":false,"suffix":""}],"id":"ITEM-1","issued":{"date-parts":[["2008"]]},"number-of-pages":"1-27","title":"Warwick-Edinburgh mental well-being scale user guide","type":"report"},"uris":["http://www.mendeley.com/documents/?uuid=61b420bc-f042-467d-a585-ccae2af3e570"]}],"mendeley":{"formattedCitation":"(Stewart-Brown &amp; Janmohamed, 2008)","plainTextFormattedCitation":"(Stewart-Brown &amp; Janmohamed, 2008)","previouslyFormattedCitation":"(Stewart-Brown &amp; Janmohamed, 2008)"},"properties":{"noteIndex":0},"schema":"https://github.com/citation-style-language/schema/raw/master/csl-citation.json"}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(Stewart-Brown &amp; Janmohamed, 2008)</w:t>
      </w:r>
      <w:r w:rsidRPr="00103A0B">
        <w:rPr>
          <w:rFonts w:ascii="Arial" w:hAnsi="Arial" w:cs="Arial"/>
        </w:rPr>
        <w:fldChar w:fldCharType="end"/>
      </w:r>
      <w:r w:rsidRPr="00103A0B">
        <w:rPr>
          <w:rFonts w:ascii="Arial" w:hAnsi="Arial" w:cs="Arial"/>
        </w:rPr>
        <w:t xml:space="preserve">. </w:t>
      </w:r>
    </w:p>
    <w:p w14:paraId="1EFF348E" w14:textId="0CA0A15F" w:rsidR="004D10A4" w:rsidRPr="00103A0B" w:rsidRDefault="004D10A4" w:rsidP="00CD5919">
      <w:pPr>
        <w:pStyle w:val="NormalWeb"/>
        <w:spacing w:line="360" w:lineRule="auto"/>
        <w:jc w:val="both"/>
        <w:rPr>
          <w:rFonts w:ascii="Arial" w:hAnsi="Arial" w:cs="Arial"/>
        </w:rPr>
      </w:pPr>
      <w:r w:rsidRPr="00103A0B">
        <w:rPr>
          <w:rFonts w:ascii="Arial" w:hAnsi="Arial" w:cs="Arial"/>
        </w:rPr>
        <w:t xml:space="preserve">Mental wellbeing has been shown to be associated with uptake and attendance of lifestyle change programmes </w:t>
      </w:r>
      <w:r w:rsidRPr="00103A0B">
        <w:rPr>
          <w:rFonts w:ascii="Arial" w:hAnsi="Arial" w:cs="Arial"/>
        </w:rPr>
        <w:fldChar w:fldCharType="begin" w:fldLock="1"/>
      </w:r>
      <w:r w:rsidR="00BA4374" w:rsidRPr="00103A0B">
        <w:rPr>
          <w:rFonts w:ascii="Arial" w:hAnsi="Arial" w:cs="Arial"/>
        </w:rPr>
        <w:instrText>ADDIN CSL_CITATION {"citationItems":[{"id":"ITEM-1","itemData":{"author":[{"dropping-particle":"","family":"Murray","given":"Jenni","non-dropping-particle":"","parse-names":false,"suffix":""},{"dropping-particle":"","family":"Craigs","given":"Cheryl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Disorders","id":"ITEM-1","issued":{"date-parts":[["2012"]]},"page":"120","title":"A systematic review of patient reported factors associated with uptake and completion of cardiovascular lifestyle behaviour change","type":"article-journal","volume":"12"},"uris":["http://www.mendeley.com/documents/?uuid=8909c03f-c8a9-4dd2-84c1-a3cf90717072"]},{"id":"ITEM-2","itemData":{"ISSN":"2152-7180","abstract":"This paper reports the qualitative component from a pragmatic randomized controlled trial (PRCT), the quantitative component is reported in Callaghan, Khalil, Morres and Carter (2011). Exercise may be effective in treating depression, but trials testing its effect in depressed women are rare. Our previous research found that standard exercise programmes, prescribed by General Practitioners and based on national guidelines of intensity levels thought to produce health benefits, are not suitable for this group, as they find them discouraging and lonely, with many dropping out very early on. Exercise that is matched to participants’ preferred intensity improves mental health outcomes and attrition rates. Our aim was to develop such a programme. This study addressed the question: does mentored exercise of preferred intensity lead to better psychological, physiological and social wellbeing outcomes and improved adherence rates when compared with exercise of prescribed intensity in 38 depressed women? Focus groups were conducted with participants from both arms of the study, to explore their experience of the exercise programme and to gather information that might help to explain the quantitative outcomes, a technique recommended by previous researchers conducting pragmatic trials. Women in the experimental programme experienced a statistically significant improvement in their mood, physical health, sense of wellbeing, self-esteem and quality of life. They reported achieving these gains via a positive experience which encouraged continued attendance. In contrast, women who received the “exercise as usual” programme experienced no significant benefits, were less likely to continue attending, and markedly less enthusiastic.","author":[{"dropping-particle":"","family":"Khalil","given":"Elizabeth","non-dropping-particle":"","parse-names":false,"suffix":""},{"dropping-particle":"","family":"Callaghan","given":"Patrick","non-dropping-particle":"","parse-names":false,"suffix":""},{"dropping-particle":"","family":"Carter","given":"Tim","non-dropping-particle":"","parse-names":false,"suffix":""},{"dropping-particle":"","family":"Morres","given":"Ioannis","non-dropping-particle":"","parse-names":false,"suffix":""}],"container-title":"Scientific Research","id":"ITEM-2","issue":"11","issued":{"date-parts":[["2012"]]},"page":"979-986","title":"Pragmatic randomised controlled trial of an exercise programme to improve wellbeing outcomes in women with depression: findings from the qualitative component","type":"article-journal","volume":"3"},"uris":["http://www.mendeley.com/documents/?uuid=40edca00-e60c-42ba-a917-a11f3c616774"]}],"mendeley":{"formattedCitation":"(Khalil et al., 2012; Murray et al., 2012)","plainTextFormattedCitation":"(Khalil et al., 2012; Murray et al., 2012)","previouslyFormattedCitation":"(Khalil et al., 2012; Murray et al., 2012)"},"properties":{"noteIndex":0},"schema":"https://github.com/citation-style-language/schema/raw/master/csl-citation.json"}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(Khalil et al., 2012; Murray et al., 2012)</w:t>
      </w:r>
      <w:r w:rsidRPr="00103A0B">
        <w:rPr>
          <w:rFonts w:ascii="Arial" w:hAnsi="Arial" w:cs="Arial"/>
        </w:rPr>
        <w:fldChar w:fldCharType="end"/>
      </w:r>
      <w:r w:rsidRPr="00103A0B">
        <w:rPr>
          <w:rFonts w:ascii="Arial" w:hAnsi="Arial" w:cs="Arial"/>
        </w:rPr>
        <w:t xml:space="preserve"> and cardiac rehabilitation programmes </w:t>
      </w:r>
      <w:r w:rsidRPr="00103A0B">
        <w:rPr>
          <w:rFonts w:ascii="Arial" w:hAnsi="Arial" w:cs="Arial"/>
        </w:rPr>
        <w:fldChar w:fldCharType="begin" w:fldLock="1"/>
      </w:r>
      <w:r w:rsidRPr="00103A0B">
        <w:rPr>
          <w:rFonts w:ascii="Arial" w:hAnsi="Arial" w:cs="Arial"/>
        </w:rPr>
        <w:instrText>ADDIN CSL_CITATION {"citationItems":[{"id":"ITEM-1","itemData":{"ISSN":"00229032","PMID":"19618319","abstract":"Background: The value of cardiac rehabilitation in patients with coronary artery disease has been well established. The main problem is a low attendance of patients qualified for rehabilitation. Aim: To assess differences between subjects attending outpatient cardiac rehabilitation (OutCR) after completing an early inpatient programme (InCR), and patients refusing participation in OutCR; to investigate factors determining patients' decisions. Methods: Seventy-two patients (mean age 57 ± 9.4 years; 53 men) 2-3 weeks after an acute coronary syndrome (ACS) treated with primary PCI were enrolled. On admission to the cardiac rehabilitation ward, the following parameters were assessed: quality of life (EuroQol-5D questionnaire), psychological status (Beck's, SOPER and STAI questionnaires), marital status, education, economic status, employment, place of living, smoking status, and comorbidities (a questionnaire prepared by the authors). Additionally, patients' opinions on outpatient and inpatient cardiac rehabilitation were noted. The inpatient programme lasted 2-3 weeks. At discharge, the assessment was repeated, and patients were proposed to enrol in a 12-week outpatient programme. In the case of refusal, patients were asked to give the reason. Results: Two men failed to complete the inpatient program. Of the remaining 70 subjects, 16 attended and completed the outpatient programme. In the group participating in OutCR, there were fewer patients with depression before InCR (12 vs. 39% in the group without OutCR, p = 0.0484). Subjects in the OutCR group had a higher score for mood after InCR (7.7 ± 1.25 vs. 6.7 ± 1.69, p = 0.0365), lower score for emotional stress before and after InCR (before InCR: 4.4 ± 1.09 vs. 5.3 ± 1.34, p = 0.0188; after InCR: 3.8 ± 1.51 vs. 4.8 ± 1.4, p = 0.0262), and lower score for anxiety before InCR (3.1 ± 1.75 vs. 4.4 ± 2.12, p = 0.0426). Patients in the two groups differed with regard to employment (p = 0.0256) and smoking status (p = 0.0517). In both groups, most patients (≥ 80%) preferred inpatient rehabilitation. Continuous medical care, lack of commuting problems, and convenience were the most frequently given advantages of inpatient rehabilitation, while commuting problems and conflict with job were the most frequently perceived barriers to outpatient rehabilitation. Conclusions: Only a small proportion of patients after an ACS decides to participate in outpatient rehabilitation after completing a short-term inpatient progra…","author":[{"dropping-particle":"","family":"Deskur-Śmielecka","given":"Ewa","non-dropping-particle":"","parse-names":false,"suffix":""},{"dropping-particle":"","family":"Borowicz-Bieńkowska","given":"Sławomira","non-dropping-particle":"","parse-names":false,"suffix":""},{"dropping-particle":"","family":"Brychcy","given":"Aleksandra","non-dropping-particle":"","parse-names":false,"suffix":""},{"dropping-particle":"","family":"Wilk","given":"Małgorzata","non-dropping-particle":"","parse-names":false,"suffix":""},{"dropping-particle":"","family":"Przywarska","given":"Izabela","non-dropping-particle":"","parse-names":false,"suffix":""},{"dropping-particle":"","family":"Dylewicz","given":"Piotr","non-dropping-particle":"","parse-names":false,"suffix":""}],"container-title":"Kardiologia Polska","id":"ITEM-1","issue":"6","issued":{"date-parts":[["2009"]]},"page":"632-638","title":"Why patients after acute coronary syndromes do not participate in an early outpatient rehabilitation programme?","type":"article-journal","volume":"67"},"uris":["http://www.mendeley.com/documents/?uuid=13ceea54-962e-43d5-bfe0-972c5fca5d22"]}],"mendeley":{"formattedCitation":"(Deskur-Śmielecka et al., 2009)","plainTextFormattedCitation":"(Deskur-Śmielecka et al., 2009)","previouslyFormattedCitation":"(Deskur-Śmielecka et al., 2009)"},"properties":{"noteIndex":0},"schema":"https://github.com/citation-style-language/schema/raw/master/csl-citation.json"}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(Deskur-Śmielecka et al., 2009)</w:t>
      </w:r>
      <w:r w:rsidRPr="00103A0B">
        <w:rPr>
          <w:rFonts w:ascii="Arial" w:hAnsi="Arial" w:cs="Arial"/>
        </w:rPr>
        <w:fldChar w:fldCharType="end"/>
      </w:r>
      <w:r w:rsidRPr="00103A0B">
        <w:rPr>
          <w:rFonts w:ascii="Arial" w:hAnsi="Arial" w:cs="Arial"/>
        </w:rPr>
        <w:t xml:space="preserve">. Some have also demonstrated that MWB can positively affect completion or encourage continued attendance </w:t>
      </w:r>
      <w:r w:rsidRPr="00103A0B">
        <w:rPr>
          <w:rFonts w:ascii="Arial" w:hAnsi="Arial" w:cs="Arial"/>
        </w:rPr>
        <w:fldChar w:fldCharType="begin" w:fldLock="1"/>
      </w:r>
      <w:r w:rsidR="00BA4374" w:rsidRPr="00103A0B">
        <w:rPr>
          <w:rFonts w:ascii="Arial" w:hAnsi="Arial" w:cs="Arial"/>
        </w:rPr>
        <w:instrText>ADDIN CSL_CITATION {"citationItems":[{"id":"ITEM-1","itemData":{"ISSN":"2152-7180","abstract":"This paper reports the qualitative component from a pragmatic randomized controlled trial (PRCT), the quantitative component is reported in Callaghan, Khalil, Morres and Carter (2011). Exercise may be effective in treating depression, but trials testing its effect in depressed women are rare. Our previous research found that standard exercise programmes, prescribed by General Practitioners and based on national guidelines of intensity levels thought to produce health benefits, are not suitable for this group, as they find them discouraging and lonely, with many dropping out very early on. Exercise that is matched to participants’ preferred intensity improves mental health outcomes and attrition rates. Our aim was to develop such a programme. This study addressed the question: does mentored exercise of preferred intensity lead to better psychological, physiological and social wellbeing outcomes and improved adherence rates when compared with exercise of prescribed intensity in 38 depressed women? Focus groups were conducted with participants from both arms of the study, to explore their experience of the exercise programme and to gather information that might help to explain the quantitative outcomes, a technique recommended by previous researchers conducting pragmatic trials. Women in the experimental programme experienced a statistically significant improvement in their mood, physical health, sense of wellbeing, self-esteem and quality of life. They reported achieving these gains via a positive experience which encouraged continued attendance. In contrast, women who received the “exercise as usual” programme experienced no significant benefits, were less likely to continue attending, and markedly less enthusiastic.","author":[{"dropping-particle":"","family":"Khalil","given":"Elizabeth","non-dropping-particle":"","parse-names":false,"suffix":""},{"dropping-particle":"","family":"Callaghan","given":"Patrick","non-dropping-particle":"","parse-names":false,"suffix":""},{"dropping-particle":"","family":"Carter","given":"Tim","non-dropping-particle":"","parse-names":false,"suffix":""},{"dropping-particle":"","family":"Morres","given":"Ioannis","non-dropping-particle":"","parse-names":false,"suffix":""}],"container-title":"Scientific Research","id":"ITEM-1","issue":"11","issued":{"date-parts":[["2012"]]},"page":"979-986","title":"Pragmatic randomised controlled trial of an exercise programme to improve wellbeing outcomes in women with depression: findings from the qualitative component","type":"article-journal","volume":"3"},"uris":["http://www.mendeley.com/documents/?uuid=40edca00-e60c-42ba-a917-a11f3c616774"]},{"id":"ITEM-2","itemData":{"ISSN":"14799731","PMID":"24659210","abstract":"Pulmonary rehabilitation (PR) is an effective treatment for people with chronic obstructive pulmonary disease (COPD). However, uptake and adherence to rehabilitation is poor and non-adherence is associated with poorer clinical outcomes. This study investigated the factors that might predict an individual completing his/her PR programme. Demographic, physiological and psychological data were collected from routine assessment information. Non-completers (N = 213) who dropped out after initial assessment were compared with completers (N = 438) who attended all 6 weeks of PR programme. Regression analysis indicated that smoking status was the strongest predictor for completing PR programme, that is, ex-smokers were 2.6 times (95% confidence interval (CI) = 1.7-3.9) and those who had never smoked were 2.5 times (95% confidence interval (CI) = 1.1-5.7) more likely to complete in comparison with those who were current smokers. Scoring better on psychological well-being measures (odds ratio = 1.6; 95% CI = 1.2-1.9) was also a strong predictor. The findings suggest the areas that could be addressed to enhance adherence to rehabilitation, for example, targeted interventions for clients who continue to smoke and for those who require support for psychological distress. © The Author(s) 2014.","author":[{"dropping-particle":"","family":"Cassidy","given":"Susan","non-dropping-particle":"","parse-names":false,"suffix":""},{"dropping-particle":"","family":"Turnbull","given":"Sue","non-dropping-particle":"","parse-names":false,"suffix":""},{"dropping-particle":"","family":"Gardani","given":"Maria","non-dropping-particle":"","parse-names":false,"suffix":""},{"dropping-particle":"","family":"Kirkwood","given":"Kim","non-dropping-particle":"","parse-names":false,"suffix":""}],"container-title":"Chronic Respiratory Disease","id":"ITEM-2","issue":"2","issued":{"date-parts":[["2014"]]},"page":"95-102","title":"Attendance at pulmonary rehabilitation classes: an exploration of demographic, physiological and psychological factors that predict completion of treatment","type":"article-journal","volume":"11"},"uris":["http://www.mendeley.com/documents/?uuid=c69fbeec-8523-4d93-b894-8a20fbc78dfd"]}],"mendeley":{"formattedCitation":"(Cassidy et al., 2014; Khalil et al., 2012)","plainTextFormattedCitation":"(Cassidy et al., 2014; Khalil et al., 2012)","previouslyFormattedCitation":"(Cassidy et al., 2014; Khalil et al., 2012)"},"properties":{"noteIndex":0},"schema":"https://github.com/citation-style-language/schema/raw/master/csl-citation.json"}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(Cassidy et al., 2014; Khalil et al., 2012)</w:t>
      </w:r>
      <w:r w:rsidRPr="00103A0B">
        <w:rPr>
          <w:rFonts w:ascii="Arial" w:hAnsi="Arial" w:cs="Arial"/>
        </w:rPr>
        <w:fldChar w:fldCharType="end"/>
      </w:r>
      <w:r w:rsidRPr="00103A0B">
        <w:rPr>
          <w:rFonts w:ascii="Arial" w:hAnsi="Arial" w:cs="Arial"/>
        </w:rPr>
        <w:t xml:space="preserve">. For DPPs, some have found that as a result of programme participation, MWB improved or self-esteem increased </w:t>
      </w:r>
      <w:r w:rsidRPr="00103A0B">
        <w:rPr>
          <w:rFonts w:ascii="Arial" w:hAnsi="Arial" w:cs="Arial"/>
        </w:rPr>
        <w:fldChar w:fldCharType="begin" w:fldLock="1"/>
      </w:r>
      <w:r w:rsidR="00810F86" w:rsidRPr="00103A0B">
        <w:rPr>
          <w:rFonts w:ascii="Arial" w:hAnsi="Arial" w:cs="Arial"/>
        </w:rPr>
        <w:instrText>ADDIN CSL_CITATION {"citationItems":[{"id":"ITEM-1","itemData":{"DOI":"10.2337/dc08-2141","ISSN":"01495992","PMID":"19509014","abstract":"OBJECTIVE: To evaluate the efficacy of the group program PREDIAS for diabetes prevention.\\n\\nRESEARCH DESIGN AND METHODS: PREDIAS consists of 12 lessons and aims at lifestyle modification. The control group received written information about diabetes prevention. In this study, a total of 182 persons with an elevated diabetes risk participated (aged 56.3 +/- 10.1 years, 43% female, and BMI 31.5 +/- 5.3 kg/m(2)).\\n\\nRESULTS: After 12 months, weight loss was significantly higher (P = 0.001) in PREDIAS than in the control group (-3.8 +/- 5.2 vs. -1.4 +/- 4.09 kg). There were also significant effects (P = 0.001) on fasting glucose (control group 1.8 +/- 13.1 mg/dl vs. PREDIAS -4.3 +/- 11.3 mg/dl), duration of physical activity per week (control group 17.9 +/- 63.8 min vs. PREDIAS 46.6 +/- 95.5 min; P = 0.03), and eating behavior.\\n\\nCONCLUSIONS: PREDIAS significantly modified lifestyle factors associated with an elevated diabetes risk.","author":[{"dropping-particle":"","family":"Kulzer","given":"Bernhard","non-dropping-particle":"","parse-names":false,"suffix":""},{"dropping-particle":"","family":"Hermanns","given":"Norbert","non-dropping-particle":"","parse-names":false,"suffix":""},{"dropping-particle":"","family":"Gorges","given":"Daniela","non-dropping-particle":"","parse-names":false,"suffix":""},{"dropping-particle":"","family":"Schwarz","given":"Peter","non-dropping-particle":"","parse-names":false,"suffix":""},{"dropping-particle":"","family":"Haak","given":"Thomas","non-dropping-particle":"","parse-names":false,"suffix":""}],"container-title":"Diabetes Care","id":"ITEM-1","issue":"7","issued":{"date-parts":[["2009"]]},"page":"1143-1146","title":"Prevention of diabetes self-management program (PREDIAS): effects on weight, metabolic risk factors, and behavioral outcomes","type":"article-journal","volume":"32"},"uris":["http://www.mendeley.com/documents/?uuid=df2278a0-0ae5-40ab-bc80-f2e143b41d86"]},{"id":"ITEM-2","itemData":{"DOI":"10.1177/0898264316688791","ISBN":"0898264316","ISSN":"15526887","PMID":"28553807","abstract":"Objective: To examine the outcomes of a Medicare population who participated in a program combining digital health with human coaching for diabetes risk reduction. Method: People at risk for diabetes enrolled in a program combining digital health with human coaching. Participation and health outcomes were examined at 16 weeks and 6 and 12 months. Results: A total of 501 participants enrolled; 92% completed at least nine of 16 core lessons. Participants averaged 19 of 31 possible opportunities for weekly program engagement. At 12 months, participants lost 7.5% (SD = 7.8%) of initial body weight; among participants with clinical data, glucose control improved (glycosylated hemoglobin [HbA1c] change = −0.14%, p =.001) and total cholesterol decreased (−7.08 mg/dL, p =.008). Self-reported well-being, depression, and self-care improved (p &lt;.0001). Discussion: This Medicare population demonstrated sustained program engagement and improved weight, health, and well-being. The findings support digital programs with human coaching for reducing chronic disease risk among older adults.","author":[{"dropping-particle":"","family":"Castro Sweet","given":"Cynthia M.","non-dropping-particle":"","parse-names":false,"suffix":""},{"dropping-particle":"","family":"Chiguluri","given":"Vinay","non-dropping-particle":"","parse-names":false,"suffix":""},{"dropping-particle":"","family":"Gumpina","given":"Rajiv","non-dropping-particle":"","parse-names":false,"suffix":""},{"dropping-particle":"","family":"Abbott","given":"Paul","non-dropping-particle":"","parse-names":false,"suffix":""},{"dropping-particle":"","family":"Madero","given":"Erica N.","non-dropping-particle":"","parse-names":false,"suffix":""},{"dropping-particle":"","family":"Payne","given":"Mike","non-dropping-particle":"","parse-names":false,"suffix":""},{"dropping-particle":"","family":"Happe","given":"Laura","non-dropping-particle":"","parse-names":false,"suffix":""},{"dropping-particle":"","family":"Matanich","given":"Roger","non-dropping-particle":"","parse-names":false,"suffix":""},{"dropping-particle":"","family":"Renda","given":"Andrew","non-dropping-particle":"","parse-names":false,"suffix":""},{"dropping-particle":"","family":"Prewitt","given":"Todd","non-dropping-particle":"","parse-names":false,"suffix":""}],"container-title":"Journal of Aging and Health","id":"ITEM-2","issue":"5","issued":{"date-parts":[["2018"]]},"page":"692-710","title":"Outcomes of a digital health program with human coaching for diabetes risk reduction in a medicare population","type":"article-journal","volume":"30"},"uris":["http://www.mendeley.com/documents/?uuid=ada3a899-f9f8-4d71-a79f-523d556906fd"]},{"id":"ITEM-3","itemData":{"DOI":"10.1093/tbm/ibx064","ISSN":"1613-9860","abstract":"The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Medicine","id":"ITEM-3","issue":"2","issued":{"date-parts":[["2018"]]},"note":"Accession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illness.","type":"article-journal","volume":"8"},"uris":["http://www.mendeley.com/documents/?uuid=25ddcc05-70f1-4333-9e99-b9d202b84d0d"]}],"mendeley":{"formattedCitation":"(Castro Sweet et al., 2018; Kulzer et al., 2009; Quiñones et al., 2018)","plainTextFormattedCitation":"(Castro Sweet et al., 2018; Kulzer et al., 2009; Quiñones et al., 2018)","previouslyFormattedCitation":"(Castro Sweet et al., 2018; Kulzer et al., 2009; Quiñones et al., 2018)"},"properties":{"noteIndex":0},"schema":"https://github.com/citation-style-language/schema/raw/master/csl-citation.json"}</w:instrText>
      </w:r>
      <w:r w:rsidRPr="00103A0B">
        <w:rPr>
          <w:rFonts w:ascii="Arial" w:hAnsi="Arial" w:cs="Arial"/>
        </w:rPr>
        <w:fldChar w:fldCharType="separate"/>
      </w:r>
      <w:r w:rsidR="00810F86" w:rsidRPr="00103A0B">
        <w:rPr>
          <w:rFonts w:ascii="Arial" w:hAnsi="Arial" w:cs="Arial"/>
          <w:noProof/>
        </w:rPr>
        <w:t>(Castro Sweet et al., 2018; Kulzer et al., 2009; Quiñones et al., 2018)</w:t>
      </w:r>
      <w:r w:rsidRPr="00103A0B">
        <w:rPr>
          <w:rFonts w:ascii="Arial" w:hAnsi="Arial" w:cs="Arial"/>
        </w:rPr>
        <w:fldChar w:fldCharType="end"/>
      </w:r>
      <w:r w:rsidRPr="00103A0B">
        <w:rPr>
          <w:rFonts w:ascii="Arial" w:hAnsi="Arial" w:cs="Arial"/>
        </w:rPr>
        <w:t xml:space="preserve">. Others have shown that completers had better MWB (lower scores on measures of psychological distress, anxiety and depression) when compared to non-completers </w:t>
      </w:r>
      <w:r w:rsidRPr="00103A0B">
        <w:rPr>
          <w:rFonts w:ascii="Arial" w:hAnsi="Arial" w:cs="Arial"/>
        </w:rPr>
        <w:fldChar w:fldCharType="begin" w:fldLock="1"/>
      </w:r>
      <w:r w:rsidR="007E0EE7" w:rsidRPr="00103A0B">
        <w:rPr>
          <w:rFonts w:ascii="Arial" w:hAnsi="Arial" w:cs="Arial"/>
        </w:rPr>
        <w:instrText>ADDIN CSL_CITATION {"citationItems":[{"id":"ITEM-1","itemData":{"DOI":"10.1186/1471-2458-7-249","ISBN":"1471-2458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Health","id":"ITEM-1","issue":"249","issued":{"date-parts":[["2007"]]},"title":"Prevention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project","type":"article-journal","volume":"7"},"uris":["http://www.mendeley.com/documents/?uuid=ef090087-0d56-42cf-8079-ddbfceb8d350"]},{"id":"ITEM-2","itemData":{"DOI":"10.2217/dmt.12.46","ISSN":"1758-1907","abstract":"Aims: This study aims to identify factors associated with participation in and adherence to a low-intensity diabetes prevention program. Methods: A total of 644 subjects who were at an intermediate-to-high risk for developing diabetes were enrolled in this study, aiming to acheive weight reduction, diet changes and regular physical activity. Results: Attendance at the baseline medical examination (n = 198) was associated with higher diabetes risk, being more anxious, lower fat intake and being unsatisfied more often with bodyweight compared with nonattendance. Workshops were attended by 142 individuals who were older and had lower levels of low-density lipoprotein cholesterol than nonattendees. Participants at the final medical examinations (n = 80) had a higher level of education, better self-rated fitness, fewer signs of depression and lower diastolic blood pressure than nonparticipants. Conclusion: Self-perceived diabetes risk can thus motivate people to participate in a diabetes prevention program. Adherence could be improved by adapting interventions to the education, possible depressive symptoms, fitness and health of participants. © 2012 Future Medicine Ltd.","author":[{"dropping-particle":"","family":"Teuschl","given":"Yvonne","non-dropping-particle":"","parse-names":false,"suffix":""},{"dropping-particle":"","family":"Matz","given":"Karl","non-dropping-particle":"","parse-names":false,"suffix":""},{"dropping-particle":"","family":"Dachenhausen","given":"Alexandra","non-dropping-particle":"","parse-names":false,"suffix":""},{"dropping-particle":"","family":"Tuomilehto","given":"Jaakko","non-dropping-particle":"","parse-names":false,"suffix":""},{"dropping-particle":"","family":"Brainin","given":"Michael","non-dropping-particle":"","parse-names":false,"suffix":""}],"container-title":"Diabetes Management","id":"ITEM-2","issue":"5","issued":{"date-parts":[["2012"]]},"page":"385-393","title":"Factors associated with participation in a diabetes prevention program in Austria: a prospective cohort study","type":"article-journal","volume":"2"},"uris":["http://www.mendeley.com/documents/?uuid=886bb5fb-3c3f-44f7-b53d-01c00c5a8a35"]}],"mendeley":{"formattedCitation":"(Laatikainen et al., 2007; Teuschl et al., 2012)","plainTextFormattedCitation":"(Laatikainen et al., 2007; Teuschl et al., 2012)","previouslyFormattedCitation":"(Laatikainen et al., 2007; Teuschl et al., 2012)"},"properties":{"noteIndex":0},"schema":"https://github.com/citation-style-language/schema/raw/master/csl-citation.json"}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(Laatikainen et al., 2007; Teuschl et al., 2012)</w:t>
      </w:r>
      <w:r w:rsidRPr="00103A0B">
        <w:rPr>
          <w:rFonts w:ascii="Arial" w:hAnsi="Arial" w:cs="Arial"/>
        </w:rPr>
        <w:fldChar w:fldCharType="end"/>
      </w:r>
      <w:r w:rsidRPr="00103A0B">
        <w:rPr>
          <w:rFonts w:ascii="Arial" w:hAnsi="Arial" w:cs="Arial"/>
        </w:rPr>
        <w:t xml:space="preserve">. </w:t>
      </w:r>
    </w:p>
    <w:p w14:paraId="7D827E7A" w14:textId="7DD1562F" w:rsidR="002D3F5D" w:rsidRPr="00103A0B" w:rsidRDefault="004D10A4" w:rsidP="00423291">
      <w:pPr>
        <w:pStyle w:val="NormalWeb"/>
        <w:spacing w:line="360" w:lineRule="auto"/>
        <w:jc w:val="both"/>
        <w:rPr>
          <w:rFonts w:ascii="Arial" w:hAnsi="Arial" w:cs="Arial"/>
        </w:rPr>
      </w:pPr>
      <w:r w:rsidRPr="00103A0B">
        <w:rPr>
          <w:rFonts w:ascii="Arial" w:hAnsi="Arial" w:cs="Arial"/>
        </w:rPr>
        <w:t xml:space="preserve">To date, there is a lack of research investigating whether Illness Perceptions, perceived self-efficacy, and mental wellbeing have a role in predicting uptake and/or completion of DPPs like the NHS diabetes </w:t>
      </w:r>
      <w:r w:rsidR="00734FB6" w:rsidRPr="00103A0B">
        <w:rPr>
          <w:rFonts w:ascii="Arial" w:hAnsi="Arial" w:cs="Arial"/>
        </w:rPr>
        <w:t xml:space="preserve">prevention </w:t>
      </w:r>
      <w:r w:rsidRPr="00103A0B">
        <w:rPr>
          <w:rFonts w:ascii="Arial" w:hAnsi="Arial" w:cs="Arial"/>
        </w:rPr>
        <w:t xml:space="preserve">programme. This is what this thesis aims to do (see Chapter 7). </w:t>
      </w:r>
    </w:p>
    <w:p w14:paraId="62E43831" w14:textId="77777777" w:rsidR="00423291" w:rsidRPr="00103A0B" w:rsidRDefault="00423291" w:rsidP="00423291">
      <w:pPr>
        <w:pStyle w:val="NormalWeb"/>
        <w:spacing w:line="360" w:lineRule="auto"/>
        <w:jc w:val="both"/>
        <w:rPr>
          <w:rFonts w:ascii="Arial" w:hAnsi="Arial" w:cs="Arial"/>
        </w:rPr>
      </w:pPr>
    </w:p>
    <w:p w14:paraId="123AFEF1" w14:textId="5C3644F6" w:rsidR="002D3F5D" w:rsidRPr="00103A0B" w:rsidRDefault="002D3F5D" w:rsidP="00423291">
      <w:pPr>
        <w:pStyle w:val="Heading2"/>
        <w:spacing w:before="240"/>
        <w:jc w:val="both"/>
        <w:rPr>
          <w:rFonts w:ascii="Arial" w:hAnsi="Arial" w:cs="Arial"/>
          <w:sz w:val="28"/>
        </w:rPr>
      </w:pPr>
      <w:bookmarkStart w:id="62" w:name="_Toc151548298"/>
      <w:bookmarkStart w:id="63" w:name="_Hlk121316891"/>
      <w:r w:rsidRPr="00103A0B">
        <w:rPr>
          <w:rFonts w:ascii="Arial" w:hAnsi="Arial" w:cs="Arial"/>
          <w:sz w:val="28"/>
        </w:rPr>
        <w:t xml:space="preserve">Non-modifiable </w:t>
      </w:r>
      <w:r w:rsidR="00734FB6" w:rsidRPr="00103A0B">
        <w:rPr>
          <w:rFonts w:ascii="Arial" w:hAnsi="Arial" w:cs="Arial"/>
          <w:sz w:val="28"/>
        </w:rPr>
        <w:t>F</w:t>
      </w:r>
      <w:r w:rsidRPr="00103A0B">
        <w:rPr>
          <w:rFonts w:ascii="Arial" w:hAnsi="Arial" w:cs="Arial"/>
          <w:sz w:val="28"/>
        </w:rPr>
        <w:t xml:space="preserve">actors </w:t>
      </w:r>
      <w:r w:rsidR="00803D36" w:rsidRPr="00103A0B">
        <w:rPr>
          <w:rFonts w:ascii="Arial" w:hAnsi="Arial" w:cs="Arial"/>
          <w:sz w:val="28"/>
        </w:rPr>
        <w:t>A</w:t>
      </w:r>
      <w:r w:rsidRPr="00103A0B">
        <w:rPr>
          <w:rFonts w:ascii="Arial" w:hAnsi="Arial" w:cs="Arial"/>
          <w:sz w:val="28"/>
        </w:rPr>
        <w:t xml:space="preserve">ffecting </w:t>
      </w:r>
      <w:r w:rsidR="00734FB6" w:rsidRPr="00103A0B">
        <w:rPr>
          <w:rFonts w:ascii="Arial" w:hAnsi="Arial" w:cs="Arial"/>
          <w:sz w:val="28"/>
        </w:rPr>
        <w:t>U</w:t>
      </w:r>
      <w:r w:rsidRPr="00103A0B">
        <w:rPr>
          <w:rFonts w:ascii="Arial" w:hAnsi="Arial" w:cs="Arial"/>
          <w:sz w:val="28"/>
        </w:rPr>
        <w:t xml:space="preserve">ptake and </w:t>
      </w:r>
      <w:r w:rsidR="00734FB6" w:rsidRPr="00103A0B">
        <w:rPr>
          <w:rFonts w:ascii="Arial" w:hAnsi="Arial" w:cs="Arial"/>
          <w:sz w:val="28"/>
        </w:rPr>
        <w:t>R</w:t>
      </w:r>
      <w:r w:rsidRPr="00103A0B">
        <w:rPr>
          <w:rFonts w:ascii="Arial" w:hAnsi="Arial" w:cs="Arial"/>
          <w:sz w:val="28"/>
        </w:rPr>
        <w:t>etention</w:t>
      </w:r>
      <w:bookmarkEnd w:id="62"/>
      <w:r w:rsidRPr="00103A0B">
        <w:rPr>
          <w:rFonts w:ascii="Arial" w:hAnsi="Arial" w:cs="Arial"/>
          <w:sz w:val="28"/>
        </w:rPr>
        <w:t xml:space="preserve"> </w:t>
      </w:r>
    </w:p>
    <w:bookmarkEnd w:id="63"/>
    <w:p w14:paraId="6B8B50A1" w14:textId="06681F7D" w:rsidR="00734FB6" w:rsidRPr="00103A0B" w:rsidRDefault="00734FB6" w:rsidP="009B6D84">
      <w:pPr>
        <w:spacing w:line="360" w:lineRule="auto"/>
        <w:jc w:val="both"/>
        <w:rPr>
          <w:rFonts w:ascii="Arial" w:hAnsi="Arial" w:cs="Arial"/>
          <w:sz w:val="24"/>
          <w:szCs w:val="24"/>
        </w:rPr>
      </w:pPr>
      <w:r w:rsidRPr="00103A0B">
        <w:rPr>
          <w:rFonts w:ascii="Arial" w:hAnsi="Arial" w:cs="Arial"/>
          <w:sz w:val="24"/>
          <w:szCs w:val="24"/>
        </w:rPr>
        <w:t xml:space="preserve">It also important to be aware of non-modifiable factors (i.e., age, sex, </w:t>
      </w:r>
      <w:proofErr w:type="gramStart"/>
      <w:r w:rsidRPr="00103A0B">
        <w:rPr>
          <w:rFonts w:ascii="Arial" w:hAnsi="Arial" w:cs="Arial"/>
          <w:sz w:val="24"/>
          <w:szCs w:val="24"/>
        </w:rPr>
        <w:t>ethnicity</w:t>
      </w:r>
      <w:proofErr w:type="gramEnd"/>
      <w:r w:rsidRPr="00103A0B">
        <w:rPr>
          <w:rFonts w:ascii="Arial" w:hAnsi="Arial" w:cs="Arial"/>
          <w:sz w:val="24"/>
          <w:szCs w:val="24"/>
        </w:rPr>
        <w:t xml:space="preserve"> and deprivation) which can influence DPP uptake and retention. Those DPPs which have reported how these non-modifiable factors relate to uptake and retention will be now discussed. </w:t>
      </w:r>
    </w:p>
    <w:p w14:paraId="1AB2B8B3" w14:textId="2EF90852" w:rsidR="002D3F5D" w:rsidRPr="00103A0B" w:rsidRDefault="00C42E5F" w:rsidP="009B6D84">
      <w:pPr>
        <w:keepLines/>
        <w:jc w:val="both"/>
        <w:rPr>
          <w:rFonts w:ascii="Arial" w:hAnsi="Arial" w:cs="Arial"/>
          <w:i/>
          <w:iCs/>
          <w:sz w:val="24"/>
          <w:szCs w:val="24"/>
        </w:rPr>
      </w:pPr>
      <w:r w:rsidRPr="00103A0B">
        <w:rPr>
          <w:rFonts w:ascii="Arial" w:hAnsi="Arial" w:cs="Arial"/>
          <w:i/>
          <w:iCs/>
          <w:sz w:val="24"/>
          <w:szCs w:val="24"/>
        </w:rPr>
        <w:t xml:space="preserve">1.7.1 </w:t>
      </w:r>
      <w:r w:rsidR="002D3F5D" w:rsidRPr="00103A0B">
        <w:rPr>
          <w:rFonts w:ascii="Arial" w:hAnsi="Arial" w:cs="Arial"/>
          <w:i/>
          <w:iCs/>
          <w:sz w:val="24"/>
          <w:szCs w:val="24"/>
        </w:rPr>
        <w:t>Age</w:t>
      </w:r>
    </w:p>
    <w:p w14:paraId="060B1E6F" w14:textId="25B08A9A" w:rsidR="00734FB6" w:rsidRPr="00103A0B" w:rsidRDefault="00734FB6" w:rsidP="00CD5919">
      <w:pPr>
        <w:spacing w:line="360" w:lineRule="auto"/>
        <w:jc w:val="both"/>
        <w:rPr>
          <w:rFonts w:ascii="Arial" w:hAnsi="Arial" w:cs="Arial"/>
          <w:sz w:val="24"/>
          <w:szCs w:val="24"/>
        </w:rPr>
      </w:pPr>
      <w:r w:rsidRPr="00103A0B">
        <w:rPr>
          <w:rFonts w:ascii="Arial" w:hAnsi="Arial" w:cs="Arial"/>
          <w:sz w:val="24"/>
          <w:szCs w:val="24"/>
        </w:rPr>
        <w:t xml:space="preserve">T2DM is usually diagnosed in non-pregnant adults aged 40 years and older, but age of onset is becoming increasingly lower in certain high risk groups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{"citationItems":[{"id":"ITEM-1","itemData":{"ISBN":"9782930229843","abstract":"Research on the sexual lives of bisexually-identified women tends to focus on their heightened risk for sexually transmitted infection acquisition. The development of effective, tailored interventions would benefit from detailed behavior estimates from a large sample of bisexual women. Thus, this study collected sexual behavior data from 710 bisexually-identified women. When possible, items were adapted from the National Survey of Sexual Health and Behavior. Approximately equal proportions of participants reported no recent (past 30 days) sexual partners, male sexual partners only, female sexual partners only and male and female sexual partners. The majority of participants reported a diverse sexual repertoire. © 2012 Copyright Taylor and Francis Group, LLC.","author":[{"dropping-particle":"","family":"International Diabetes Federation","given":"","non-dropping-particle":"","parse-names":false,"suffix":""}],"id":"ITEM-1","issued":{"date-parts":[["2016"]]},"number-of-pages":"1-68","title":"Cost-effective solutions for the prevention of type 2 diabetes","type":"report"},"uris":["http://www.mendeley.com/documents/?uuid=c4ac29b7-8f64-41b1-a2d1-21c43511bf2d"]},{"id":"ITEM-2","itemData":{"author":[{"dropping-particle":"","family":"National Institute for Health and Care Excellence (NICE)","given":"","non-dropping-particle":"","parse-names":false,"suffix":""}],"id":"ITEM-2","issued":{"date-parts":[["2011"]]},"number-of-pages":"1-84","title":"Type 2 diabetes prevention: population and community-level interventions","type":"report"},"uris":["http://www.mendeley.com/documents/?uuid=17ac8fd4-ef34-4d63-b6c1-750a43ee37dd"]}],"mendeley":{"formattedCitation":"(International Diabetes Federation, 2016; National Institute for Health and Care Excellence (NICE), 2011)","plainTextFormattedCitation":"(International Diabetes Federation, 2016; National Institute for Health and Care Excellence (NICE), 2011)","previouslyFormattedCitation":"(International Diabetes Federation, 2016; National Institute for Health and Care Excellence (NICE), 2011)"},"properties":{"noteIndex":0},"schema":"https://github.com/citation-style-language/schema/raw/master/csl-citation.json"}</w:instrText>
      </w:r>
      <w:r w:rsidRPr="00103A0B">
        <w:rPr>
          <w:rFonts w:ascii="Arial" w:hAnsi="Arial" w:cs="Arial"/>
          <w:sz w:val="24"/>
          <w:szCs w:val="24"/>
        </w:rPr>
        <w:fldChar w:fldCharType="separate"/>
      </w:r>
      <w:r w:rsidR="007E0EE7" w:rsidRPr="00103A0B">
        <w:rPr>
          <w:rFonts w:ascii="Arial" w:hAnsi="Arial" w:cs="Arial"/>
          <w:noProof/>
          <w:sz w:val="24"/>
          <w:szCs w:val="24"/>
        </w:rPr>
        <w:t xml:space="preserve">(International Diabetes Federation, 2016; National Institute for Health and Care Excellence (NICE), </w:t>
      </w:r>
      <w:r w:rsidR="007E0EE7" w:rsidRPr="00103A0B">
        <w:rPr>
          <w:rFonts w:ascii="Arial" w:hAnsi="Arial" w:cs="Arial"/>
          <w:noProof/>
          <w:sz w:val="24"/>
          <w:szCs w:val="24"/>
        </w:rPr>
        <w:lastRenderedPageBreak/>
        <w:t>2011)</w:t>
      </w:r>
      <w:r w:rsidRPr="00103A0B">
        <w:rPr>
          <w:rFonts w:ascii="Arial" w:hAnsi="Arial" w:cs="Arial"/>
          <w:sz w:val="24"/>
          <w:szCs w:val="24"/>
        </w:rPr>
        <w:fldChar w:fldCharType="end"/>
      </w:r>
      <w:r w:rsidRPr="00103A0B">
        <w:rPr>
          <w:rFonts w:ascii="Arial" w:hAnsi="Arial" w:cs="Arial"/>
          <w:sz w:val="24"/>
          <w:szCs w:val="24"/>
        </w:rPr>
        <w:t xml:space="preserve">. The majority of DPPs have found those who are older are more likely to be interested in and go on to start the programmes when compared to those who </w:t>
      </w:r>
      <w:r w:rsidR="00F6449A" w:rsidRPr="00103A0B">
        <w:rPr>
          <w:rFonts w:ascii="Arial" w:hAnsi="Arial" w:cs="Arial"/>
          <w:sz w:val="24"/>
          <w:szCs w:val="24"/>
        </w:rPr>
        <w:t>are</w:t>
      </w:r>
      <w:r w:rsidRPr="00103A0B">
        <w:rPr>
          <w:rFonts w:ascii="Arial" w:hAnsi="Arial" w:cs="Arial"/>
          <w:sz w:val="24"/>
          <w:szCs w:val="24"/>
        </w:rPr>
        <w:t xml:space="preserve"> younger</w:t>
      </w:r>
      <w:r w:rsidR="00717295" w:rsidRPr="00103A0B">
        <w:rPr>
          <w:rFonts w:ascii="Arial" w:hAnsi="Arial" w:cs="Arial"/>
          <w:sz w:val="24"/>
          <w:szCs w:val="24"/>
        </w:rPr>
        <w:t xml:space="preserve"> </w:t>
      </w:r>
      <w:r w:rsidR="00717295" w:rsidRPr="00103A0B">
        <w:rPr>
          <w:rFonts w:ascii="Arial" w:hAnsi="Arial" w:cs="Arial"/>
          <w:sz w:val="24"/>
          <w:szCs w:val="24"/>
        </w:rPr>
        <w:fldChar w:fldCharType="begin" w:fldLock="1"/>
      </w:r>
      <w:r w:rsidR="00717295" w:rsidRPr="00103A0B">
        <w:rPr>
          <w:rFonts w:ascii="Arial" w:hAnsi="Arial" w:cs="Arial"/>
          <w:sz w:val="24"/>
          <w:szCs w:val="24"/>
        </w:rPr>
        <w:instrText>ADDIN CSL_CITATION {"citationItems":[{"id":"ITEM-1","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Medicine","id":"ITEM-1","issued":{"date-parts":[["2018"]]},"page":"513-518","title":"Progress of the healthier you: NHS diabetes prevention programme: referrals, uptake and participant characteristics","type":"article-journal","volume":"35"},"uris":["http://www.mendeley.com/documents/?uuid=1f5d47f1-f2c9-41a7-af24-e63deeae9374"]},{"id":"ITEM-2","itemData":{"DOI":"https://doi.org/10.5888/ pcd14.160556.","author":[{"dropping-particle":"","family":"Brunisholz","given":"Kimberly D","non-dropping-particle":"","parse-names":false,"suffix":""},{"dropping-particle":"","family":"Kim","given":"Jaewhan","non-dropping-particle":"","parse-names":false,"suffix":""},{"dropping-particle":"","family":"Savitz","given":"Lucy A","non-dropping-particle":"","parse-names":false,"suffix":""},{"dropping-particle":"","family":"Hashibe","given":"Mia","non-dropping-particle":"","parse-names":false,"suffix":""},{"dropping-particle":"","family":"Gren","given":"Lisa H","non-dropping-particle":"","parse-names":false,"suffix":""},{"dropping-particle":"","family":"Hamilton","given":"Sharon","non-dropping-particle":"","parse-names":false,"suffix":""},{"dropping-particle":"","family":"Huynh","given":"Kelly","non-dropping-particle":"","parse-names":false,"suffix":""},{"dropping-particle":"","family":"Joy","given":"Elizabeth A","non-dropping-particle":"","parse-names":false,"suffix":""}],"container-title":"Preventing Chronic Disease","id":"ITEM-2","issued":{"date-parts":[["2017"]]},"page":"160556","title":"A formative evaluation of a diabetes prevention program using the RE-AIM framework in a learning health care system, Utah, 2013–2015","type":"article-journal","volume":"14"},"uris":["http://www.mendeley.com/documents/?uuid=fc6c352b-1b45-4287-b76a-47d77e2d84ad"]},{"id":"ITEM-3","itemData":{"DOI":"10.5888/pcd14.160486","ISSN":"15451151","PMID":"28358669","abstract":"METHODS: Among Montefiore Health System (MHS) patients referred to YMCA's DPP (n = 1,249) from July 10, 2010, through November 11, 2015, we identified demographic factors (eg, age, preferred language) and primary care practice-level factors (eg, time between referral and start of session, session season) associated with placement into a session and subsequent drop-out. We also evaluated factors associated with weight loss. RESULTS: Patients were predominantly female (71%) and aged 45 years or older (71%). Patients preferring sessions in Spanish were less often placed in sessions. Patients aged 18 to 44 years were less often placed (P = .01) and enrolled (P = .001) than patients aged 60 years or older. Sessions conducted in the summer and spring had higher enrollment than fall and winter months. Patients who started the YMCA's DPP within 2 months of their referral date were more often enrolled (54.4%) than patients who waited 4 or more months (21.6%) to start their sessions. Patients aged 45 to 59 years lost marginally less weight than those aged 60 years or older (-3.1% vs -3.8%; P = .07). CONCLUSION: Although this evaluation gives some insight into the barriers to placement and enrollment in YMCA's DPP, challenges remain. Efforts are under way to increase referral of patients to community-based DPPs. INTRODUCTION: The reach of the New York State YMCA's Diabetes Prevention Program (DPP) to at-risk populations may be increased through integration with primary care settings. Although considerable effort has been made in the referral and retention of patients, little is known about the factors associated with the placement of potential participants into YMCA's DPP.","author":[{"dropping-particle":"","family":"Chambers","given":"Earle C.","non-dropping-particle":"","parse-names":false,"suffix":""},{"dropping-particle":"","family":"Rehm","given":"Colin D.","non-dropping-particle":"","parse-names":false,"suffix":""},{"dropping-particle":"","family":"Correra","given":"Jordan","non-dropping-particle":"","parse-names":false,"suffix":""},{"dropping-particle":"","family":"Garcia","given":"Lydia Elena","non-dropping-particle":"","parse-names":false,"suffix":""},{"dropping-particle":"","family":"Marquez","given":"Melinda E.","non-dropping-particle":"","parse-names":false,"suffix":""},{"dropping-particle":"","family":"Wylie-Rosett","given":"Judith","non-dropping-particle":"","parse-names":false,"suffix":""},{"dropping-particle":"","family":"Parsons","given":"Amanda","non-dropping-particle":"","parse-names":false,"suffix":""}],"container-title":"Preventing chronic disease","id":"ITEM-3","issued":{"date-parts":[["2017"]]},"page":"160486","title":"Factors in placement and enrollment of primary care patients in YMCA's diabetes prevention program, Bronx, New York, 2010-2015","type":"article-journal","volume":"14"},"uris":["http://www.mendeley.com/documents/?uuid=0d9fc92b-598e-49f9-96f9-4c3ac5ce7eac"]},{"id":"ITEM-4","itemData":{"DOI":"10.1177/0145721719880503","ISSN":"15546063","PMID":"31608798","abstract":"Purpose: The purpose of this study was to identify patient and program delivery characteristics associated with engagement and weight loss in a Diabetes Prevention Program (DPP) implemented in an urban hospital system. Methods: Patient and program delivery data were collected between July 2015 and December 2017. DPP eligibility was determined based on age, body mass index (BMI), and hemoglobin A1C data via the electronic health record. Engagement was measured at 3 levels: ≤3 sessions, 4 to 8 sessions, and ≥9 sessions. Weight was measured at each DPP session. Results: Among the eligible patients (N = 31 524), referrals and engagement were lower in men than women, in Spanish speakers than English speakers, in younger (18-34 years) and middle-aged (35-54 years) than older adults, and in patients receiving Medicaid than other patients. Referral and engagement were higher in patients with higher BMIs and those prescribed ≥5 medications. Current smokers were less frequently engaged. Prior health care provider contact was associated with higher engagement. Overall, 28% of DPP participants achieved ≥5% weight loss; younger and middle-aged patients and those who gained weight in the prior 2 years were less likely to lose weight. Conclusion: This assessment identified characteristics of patients with lower levels of referral and engagement. The DPP staff may need to increase outreach to address barriers to referral and during all points of engagement among men, younger patients, and Spanish speakers. Future research is needed to increase understanding with regard to why referrals and engagement are lower among these groups.","author":[{"dropping-particle":"","family":"Chambers","given":"Earle C.","non-dropping-particle":"","parse-names":false,"suffix":""},{"dropping-particle":"","family":"Gonzalez","given":"Jeffrey S.","non-dropping-particle":"","parse-names":false,"suffix":""},{"dropping-particle":"","family":"Marquez","given":"Melinda E.","non-dropping-particle":"","parse-names":false,"suffix":""},{"dropping-particle":"","family":"Parsons","given":"Amanda","non-dropping-particle":"","parse-names":false,"suffix":""},{"dropping-particle":"","family":"Rehm","given":"Colin D.","non-dropping-particle":"","parse-names":false,"suffix":""}],"container-title":"Diabetes Educator","id":"ITEM-4","issue":"6","issued":{"date-parts":[["2019"]]},"page":"616-628","title":"The reach of an urban hospital system-based diabetes prevention program: patient engagement and weight loss characteristics","type":"article-journal","volume":"45"},"uris":["http://www.mendeley.com/documents/?uuid=39c758bb-06e6-4f36-bd99-5bdeb83ca01e"]},{"id":"ITEM-5","itemData":{"DOI":"10.1016/j.amepre.2017.06.013","ISSN":"0749-3797","abstract":"Introduction: Reducing obesity and diabetes risks among women of child-bearing age is urgently needed to halt the transgenerational cycle of disease. Interventions among pregnant women have largely been ineffective and may be initiated too late to improve maternal and child health. The National Diabetes Prevention Program is a widely disseminated lifestyle intervention that may help mitigate risks before pregnancy. However, the program has targeted relatively older adults, and effectiveness among women of child-bearing age remains largely unknown.Methods: The National Diabetes Prevention Program was delivered in an urban safety net hospital. Reach and effectiveness were evaluated among 4,866 eligible women who were invited to participate in the program. The authors compared enrollment, attendance, and weight loss for women aged 18-39 years as compared to women aged ≥40 years. Data were collected between 2013 and 2016. Analyses were conducted in 2017.Results: Women of child-bearing age were nearly half as likely to enroll than older women in adjusted models (OR=0.58, 95% CI=0.49, 0.69). Subsequently, younger enrollees were less likely to attend ≥1 session(s) than older women (OR=0.77, 95% CI=0.61, 0.99). There was no significant age group difference in program completion rates or weight-loss outcomes. Both groups lost an average of 3% body weight.Conclusions: Women of child-bearing age were less likely than older women to engage in the National Diabetes Prevention Program; however, they were equally likely to benefit from weight loss when they attended. Further efforts are needed to improve engagement of women of child-bearing age.","author":[{"dropping-particle":"","family":"Ritchie","given":"Natalie D","non-dropping-particle":"","parse-names":false,"suffix":""},{"dropping-particle":"","family":"Sauder","given":"Katherine A","non-dropping-particle":"","parse-names":false,"suffix":""},{"dropping-particle":"","family":"Fabbri","given":"Stefka","non-dropping-particle":"","parse-names":false,"suffix":""}],"container-title":"American Journal of Preventive Medicine","id":"ITEM-5","issue":"5","issued":{"date-parts":[["2017","11"]]},"note":"Accession Number: 125526460. Language: English. Entry Date: 20180722. Revision Date: 20180722. Publication Type: journal article. Journal Subset: Biomedical; Health Promotion/Education; USA. Instrumentation: Maternal Confidence Questionnaire (MCQ) (Parker and Zahr). NLM UID: 8704773.","page":"714-718","publisher":"Elsevier B.V.","publisher-place":"Department of Psychiatry, University of Colorado School of Medicine, Aurora, Colorado","title":"Reach and effectiveness of the national diabetes prevention program for young women.","type":"article-journal","volume":"53"},"uris":["http://www.mendeley.com/documents/?uuid=eff8d673-f774-43d5-921c-c9d2cab22bd4"]},{"id":"ITEM-6","itemData":{"ISSN":"18732607","PMID":"30661888","abstract":"Introduction: As the burden of type 2 diabetes rises, there is increasing focus on improving the reach of evidence-based lifestyle interventions. Using nationally representative data, this study identifies how frequently at-risk adults are being referred to and participating in diabetes prevention programming, and explores correlates of referral, participation, and interest. Methods: Data from the 2016 National Health Interview Survey, a cross-sectional survey of U.S. households, were analyzed in 2017. The study population consisted of adults (aged ≥18 years) without a self-reported diabetes diagnosis, who were likely eligible for diabetes prevention programming based on (1) self-reported diagnosis of prediabetes or gestational diabetes, and (2) meeting BMI criteria. Prevalence of self-reported referral and participation was determined, and sociodemographic correlates of referral, participation, and interest were characterized through multivariable logistic regression analyses. Results: The study population consisted of 2,341 adults. The majority were female (63%), white (74.6%), non-Hispanic (83.4%), and aged ≥45 years (68.2%). A total of 4.2% reported ever being referred to a 12-month prevention program and only 2.4% reported ever participating. In multivariable logistic regression, race was correlated with referral (black and Asian adults more likely to report referral) and age was positively correlated with participation. More than 25% of adults who were never referred or participated reported an interest in engaging in programming. Conclusions: Although more than one quarter of adults likely eligible for diabetes prevention programming express interest in participating, few are being referred and fewer still have participated. This underscores the need for efforts to enhance program referral and access.","author":[{"dropping-particle":"","family":"Venkataramani","given":"Maya","non-dropping-particle":"","parse-names":false,"suffix":""},{"dropping-particle":"","family":"Pollack","given":"Craig Evan","non-dropping-particle":"","parse-names":false,"suffix":""},{"dropping-particle":"","family":"Yeh","given":"Hsin Chieh","non-dropping-particle":"","parse-names":false,"suffix":""},{"dropping-particle":"","family":"Maruthur","given":"Nisa M.","non-dropping-particle":"","parse-names":false,"suffix":""}],"container-title":"American Journal of Preventive Medicine","id":"ITEM-6","issue":"3","issued":{"date-parts":[["2019"]]},"page":"452-457","publisher":"Elsevier Inc.","title":"Prevalence and correlates of diabetes prevention program referral and participation","type":"article-journal","volume":"56"},"uris":["http://www.mendeley.com/documents/?uuid=4b34fdeb-95e2-4c75-a3e4-aaff4bc151e7"]},{"id":"ITEM-7","itemData":{"DOI":"10.1093/fampra/cmp100","ISSN":"02632136","abstract":"Background: Several trials have shown the potential of lifestyle intervention programmes for prevention of type 2 diabetes. The effectiveness of implementation of these programmes into daily practice is now being studied in several countries. The 'Active Prevention in High Risk individuals of Diabetes Type 2 in Eindhoven' (APHRODITE) study investigates whether type 2 diabetes prevention by lifestyle intervention is effective in Dutch primary care. In this article we describe the process of recruiting the study participants. Objective: To assess the reach of an active strategy to recruit participants for a programme on type 2 diabetes prevention by lifestyle intervention in Dutch primary care. Methods: A diabetes risk questionnaire was sent to general practice patients aged 40-70 years. Individuals with a risk score above threshold were invited for an admission interview with the GP and an oral glucose tolerance test (OGTT). All individuals with non-diabetic glucose levels were asked to participate in the intervention study. Results: In total, 8752 (54.6%) of the individuals returned the questionnaire in time. Of all highrisk individuals (n = 1533), 73.1% contacted their practice to schedule a consultation with the GP. Response rates varied significantly among practices. Conclusions: Using invitational letters, a substantial amount of individuals could be motivated to participate in a programme on type 2 diabetes prevention by lifestyle intervention in Dutch primary care. Further research is needed on what kind of strategy would be most effective and efficient to screen for individuals at high risk for type 2 diabetes in primary care. © The Author 2010. Published by Oxford University Press. All rights reserved.","author":[{"dropping-particle":"","family":"Vermunt","given":"P. W.A.","non-dropping-particle":"","parse-names":false,"suffix":""},{"dropping-particle":"","family":"Milder","given":"I. E.J.","non-dropping-particle":"","parse-names":false,"suffix":""},{"dropping-particle":"","family":"Wielaard","given":"F.","non-dropping-particle":"","parse-names":false,"suffix":""},{"dropping-particle":"","family":"Oers","given":"J. A.M.","non-dropping-particle":"van","parse-names":false,"suffix":""},{"dropping-particle":"","family":"Westert","given":"G. P.","non-dropping-particle":"","parse-names":false,"suffix":""}],"container-title":"Family Practice","id":"ITEM-7","issue":"3","issued":{"date-parts":[["2010"]]},"page":"312-319","title":"An active strategy to identify individuals eligible for type 2 diabetes prevention by lifestyle intervention in Dutch primary care: the APHRODITE study","type":"article-journal","volume":"27"},"uris":["http://www.mendeley.com/documents/?uuid=d85e7c46-cd34-4f84-8766-c631b6535104"]},{"id":"ITEM-8","itemData":{"ISSN":"08901171","abstract":"&lt;bold&gt;Purpose: &lt;/bold&gt;Our objective is to evaluate the \"reach\" component of the Reach Effectiveness Adoption Implementation Maintenance (RE-AIM) framework by comparing prediabetics who were and were not interested in enrolling in a free work site diabetes prevention program (DPP) during the first year of the program. Reach is defined as the proportion of eligible participants who enroll in a health program.&lt;bold&gt;Design: &lt;/bold&gt;A cross-sectional study design was used.&lt;bold&gt;Setting: &lt;/bold&gt;The setting was a large health system in the Midwest.&lt;bold&gt;Participants: &lt;/bold&gt;Prediabetic health plan enrollees and spouses (N = 2158).&lt;bold&gt;Measures: &lt;/bold&gt;An online health survey, annual voluntary biometric screenings delivered by a trained health-care professional using standardized protocols via point-of-care testing, and records from the DPP office were the sources of data for this study.&lt;bold&gt;Analysis: &lt;/bold&gt;Health behaviors and biometric screening results were simultaneously compared using multivariable logistic regression.&lt;bold&gt;Results: &lt;/bold&gt;The study population was 63% female, 79% white, and 16% black, and the mean age was 50.2 years (SD = 10.2). The reach of this program was 10%. Prediabetics were more likely to express interest in the DPP, if they were female (adjusted odds ratio [AOR]: 2.4; 95% confidence interval [95% CI]: 1.55-3.72; P &lt; .001), black (AOR = 2.23; 95% CI: 1.43-3.47; P &lt; .001), older in age (AOR: 1.08; 95% CI: 0.99-1.17; P = .05), or had a high-risk waist circumference (AOR = 1.44; 95% CI: 0.98-2.13; P = .07), lower self-efficacy to make healthy changes (AOR = 0.48; 95% CI: 0.26-0.91; P = .03), and 5 or more doctor visits in the last year (AOR = 2.13; 95% CI: 0.99-4.57; P = .05), after controlling for other covariates.&lt;bold&gt;Conclusion: &lt;/bold&gt;Current recruitment and implementation strategies are reaching only a small group of individuals who are not representative of the larger prediabetic population. These findings inform future engagement strategies, and we recommend that public health practitioners evaluate reach to ensure that health promotion programs are of high value. ABSTRACT FROM AUTHOR","author":[{"dropping-particle":"","family":"Zigmont","given":"Victoria A","non-dropping-particle":"","parse-names":false,"suffix":""},{"dropping-particle":"","family":"Shoben","given":"Abigail B","non-dropping-particle":"","parse-names":false,"suffix":""},{"dropping-particle":"","family":"Kaye","given":"Gail L","non-dropping-particle":"","parse-names":false,"suffix":""},{"dropping-particle":"","family":"Snow","given":"Richard J","non-dropping-particle":"","parse-names":false,"suffix":""},{"dropping-particle":"","family":"Clinton","given":"Steven K","non-dropping-particle":"","parse-names":false,"suffix":""},{"dropping-particle":"","family":"Harris","given":"Randall E","non-dropping-particle":"","parse-names":false,"suffix":""},{"dropping-particle":"","family":"Olivo-Marston","given":"Susan E","non-dropping-particle":"","parse-names":false,"suffix":""}],"container-title":"American Journal of Health Promotion","id":"ITEM-8","issue":"6","issued":{"date-parts":[["2018"]]},"note":"Accession Number: 130506972; Author: Zigmont, Victoria A.: 1 email: vzigmont42@gmail.com. Author: Shoben, Abigail B.: 2 Author: Kaye, Gail L.: 3 Author: Snow, Richard J.: 4 Author: Clinton, Steven K.: 5 Author: Harris, Randall E.: 6 Author: Olivo-Marston, Susan E.: 6 ; Author Affiliation: 1 Department of Public Health, Southern Connecticut State University, New Haven, CT, USA: 2 Division of Biostatistics, College of Public Health, The Ohio State University, Columbus, OH, USA: 3 Division of Health Promotion, College of Public Health, The Ohio State University, Columbus, OH, USA: 4 Touro College of Osteopathic Medicine, Touro University, Vallejo, CA, USA: 5 Department of Internal Medicine, The Ohio State University College of Medicine, Columbus, OH, USA: 6 Division of Epidemiology, College of Public Health, The Ohio State University, Columbus, OH, USA; No. of Pages: 8; Language: English; Publication Type: journal article; Update Code: 20180706","page":"1417-1424","title":"An evaluation of reach for a work site implementation of the national diabetes prevention program focusing on diet and exercise.","type":"article-journal","volume":"32"},"uris":["http://www.mendeley.com/documents/?uuid=eadca763-b969-4148-b924-ba4cd499e859"]},{"id":"ITEM-9","itemData":{"ISSN":"20524897","PMID":"33303493","abstract":"Introduction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Care","id":"ITEM-9","issued":{"date-parts":[["2020"]]},"page":"e001835","title":"'Going the distance': an independent cohort study of engagement and dropout among the first 100 000 referrals into a large-scale diabetes prevention program","type":"article-journal","volume":"8"},"uris":["http://www.mendeley.com/documents/?uuid=40d46080-9604-42ba-942c-0e13d9f1562f"]}],"mendeley":{"formattedCitation":"(Barron et al., 2018; Brunisholz et al., 2017; Chambers et al., 2017, 2019; Howarth et al., 2020; Ritchie et al., 2017; Venkataramani et al., 2019; Vermunt et al., 2010; Zigmont et al., 2018)","plainTextFormattedCitation":"(Barron et al., 2018; Brunisholz et al., 2017; Chambers et al., 2017, 2019; Howarth et al., 2020; Ritchie et al., 2017; Venkataramani et al., 2019; Vermunt et al., 2010; Zigmont et al., 2018)","previouslyFormattedCitation":"(Barron et al., 2018; Brunisholz et al., 2017; Chambers et al., 2017, 2019; Howarth et al., 2020; Ritchie et al., 2017; Venkataramani et al., 2019; Vermunt et al., 2010; Zigmont et al., 2018)"},"properties":{"noteIndex":0},"schema":"https://github.com/citation-style-language/schema/raw/master/csl-citation.json"}</w:instrText>
      </w:r>
      <w:r w:rsidR="00717295" w:rsidRPr="00103A0B">
        <w:rPr>
          <w:rFonts w:ascii="Arial" w:hAnsi="Arial" w:cs="Arial"/>
          <w:sz w:val="24"/>
          <w:szCs w:val="24"/>
        </w:rPr>
        <w:fldChar w:fldCharType="separate"/>
      </w:r>
      <w:r w:rsidR="00717295" w:rsidRPr="00103A0B">
        <w:rPr>
          <w:rFonts w:ascii="Arial" w:hAnsi="Arial" w:cs="Arial"/>
          <w:noProof/>
          <w:sz w:val="24"/>
          <w:szCs w:val="24"/>
        </w:rPr>
        <w:t>(Barron et al., 2018; Brunisholz et al., 2017; Chambers et al., 2017, 2019; Howarth et al., 2020; Ritchie et al., 2017; Venkataramani et al., 2019; Vermunt et al., 2010; Zigmont et al., 2018)</w:t>
      </w:r>
      <w:r w:rsidR="00717295" w:rsidRPr="00103A0B">
        <w:rPr>
          <w:rFonts w:ascii="Arial" w:hAnsi="Arial" w:cs="Arial"/>
          <w:sz w:val="24"/>
          <w:szCs w:val="24"/>
        </w:rPr>
        <w:fldChar w:fldCharType="end"/>
      </w:r>
      <w:r w:rsidR="00717295" w:rsidRPr="00103A0B">
        <w:rPr>
          <w:rFonts w:ascii="Arial" w:hAnsi="Arial" w:cs="Arial"/>
          <w:sz w:val="24"/>
          <w:szCs w:val="24"/>
        </w:rPr>
        <w:t>.</w:t>
      </w:r>
      <w:r w:rsidRPr="00103A0B">
        <w:rPr>
          <w:rFonts w:ascii="Arial" w:hAnsi="Arial" w:cs="Arial"/>
          <w:sz w:val="24"/>
          <w:szCs w:val="24"/>
        </w:rPr>
        <w:t xml:space="preserve"> Some DPPs have found non-attenders are significantly younger than attenders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{"citationItems":[{"id":"ITEM-1","itemData":{"DOI":"10.1016/j.cct.2015.01.010","ISSN":"15592030","PMID":"25633207","abstract":"The success of the Diabetes Prevention Program (DPP) lifestyle intervention has led to community-based translation efforts in a variety of settings. One community setting which holds promise for the delivery of prevention intervention is the worksite; however, information regarding recruitment in this setting is limited. The current effort describes the initial processes surrounding provision of an adapted DPP lifestyle intervention at a corporate worksite. Methods: Investigators and key management at the worksite collaborated to develop and implement a recruitment plan for the intervention focusing on 1) in-person onsite activities and 2) implementation of a variety of media recruitment tools and methods. Results: Adult, non-diabetic overweight/obese employees and family members with pre-diabetes and/or the metabolic syndrome were eligible for the study. Telephone pre-screening was completed for 176 individuals resulting in 171 eligible for onsite screening. Of that number, 160 completed onsite screening, 107 met eligibility criteria, and 89 enrolled in the study. Support from worksite leadership, an invested worksite planning team and a solid recruitment plan consisting of multiple strategies were identified as crucial elements of this effective workplace recruitment effort. Conclusion: A worksite team successfully developed and implemented a recruitment plan using existing mechanisms appropriate to that worksite in order to identify and enroll eligible individuals. The results of this effort indicate that employee recruitment in a worksite setting is feasible as the first step in offering onsite behavioral lifestyle intervention programs as part of a widespread dissemination plan to prevent diabetes and lower risk for cardiovascular disease.","author":[{"dropping-particle":"","family":"Taradash","given":"J.","non-dropping-particle":"","parse-names":false,"suffix":""},{"dropping-particle":"","family":"Kramer","given":"M.","non-dropping-particle":"","parse-names":false,"suffix":""},{"dropping-particle":"","family":"Molenaar","given":"D.","non-dropping-particle":"","parse-names":false,"suffix":""},{"dropping-particle":"","family":"Arena","given":"V.","non-dropping-particle":"","parse-names":false,"suffix":""},{"dropping-particle":"","family":"Vanderwood","given":"K.","non-dropping-particle":"","parse-names":false,"suffix":""},{"dropping-particle":"","family":"Kriska","given":"Andrea M.","non-dropping-particle":"","parse-names":false,"suffix":""}],"container-title":"Contemporary Clinical Trials","id":"ITEM-1","issued":{"date-parts":[["2015"]]},"page":"204-210","publisher":"Elsevier Inc.","title":"Recruitment for a diabetes prevention program translation effort in a worksite setting","type":"article-journal","volume":"41"},"uris":["http://www.mendeley.com/documents/?uuid=89346458-ae08-455f-8400-eee3f412c5a9"]},{"id":"ITEM-2","itemData":{"DOI":"10.1111/phn.12093","author":[{"dropping-particle":"","family":"Whittemore","given":"R","non-dropping-particle":"","parse-names":false,"suffix":""},{"dropping-particle":"","family":"Rosenberg","given":"A","non-dropping-particle":"","parse-names":false,"suffix":""},{"dropping-particle":"","family":"Gilmore","given":"L","non-dropping-particle":"","parse-names":false,"suffix":""},{"dropping-particle":"","family":"Withey","given":"Mary","non-dropping-particle":"","parse-names":false,"suffix":""},{"dropping-particle":"","family":"Breault","given":"Allison","non-dropping-particle":"","parse-names":false,"suffix":""}],"container-title":"Public Health Nursing","id":"ITEM-2","issue":"4","issued":{"date-parts":[["2014"]]},"page":"317-326","title":"Implementation of a diabetes prevention program in public housing communities","type":"article-journal","volume":"31"},"uris":["http://www.mendeley.com/documents/?uuid=df520635-dde4-4267-afd4-849f5c5c578e"]},{"id":"ITEM-3","itemData":{"ISBN":"1549-1277","ISSN":"15491676","PMID":"27404094","abstract":"BACKGROUND: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Medicine","id":"ITEM-3","issue":"7","issued":{"date-parts":[["2016"]]},"page":"e1002078","title":"Engagement, retention, and progression to type 2 diabetes: a retrospective analysis of the cluster-randomised \"Let's Prevent Diabetes\" trial","type":"article-journal","volume":"13"},"uris":["http://www.mendeley.com/documents/?uuid=34e3af29-349e-4120-a3cb-a3a7408ba3b4"]},{"id":"ITEM-4","itemData":{"DOI":"10.2217/dmt.12.46","ISSN":"1758-1907","abstract":"Aims: This study aims to identify factors associated with participation in and adherence to a low-intensity diabetes prevention program. Methods: A total of 644 subjects who were at an intermediate-to-high risk for developing diabetes were enrolled in this study, aiming to acheive weight reduction, diet changes and regular physical activity. Results: Attendance at the baseline medical examination (n = 198) was associated with higher diabetes risk, being more anxious, lower fat intake and being unsatisfied more often with bodyweight compared with nonattendance. Workshops were attended by 142 individuals who were older and had lower levels of low-density lipoprotein cholesterol than nonattendees. Participants at the final medical examinations (n = 80) had a higher level of education, better self-rated fitness, fewer signs of depression and lower diastolic blood pressure than nonparticipants. Conclusion: Self-perceived diabetes risk can thus motivate people to participate in a diabetes prevention program. Adherence could be improved by adapting interventions to the education, possible depressive symptoms, fitness and health of participants. © 2012 Future Medicine Ltd.","author":[{"dropping-particle":"","family":"Teuschl","given":"Yvonne","non-dropping-particle":"","parse-names":false,"suffix":""},{"dropping-particle":"","family":"Matz","given":"Karl","non-dropping-particle":"","parse-names":false,"suffix":""},{"dropping-particle":"","family":"Dachenhausen","given":"Alexandra","non-dropping-particle":"","parse-names":false,"suffix":""},{"dropping-particle":"","family":"Tuomilehto","given":"Jaakko","non-dropping-particle":"","parse-names":false,"suffix":""},{"dropping-particle":"","family":"Brainin","given":"Michael","non-dropping-particle":"","parse-names":false,"suffix":""}],"container-title":"Diabetes Management","id":"ITEM-4","issue":"5","issued":{"date-parts":[["2012"]]},"page":"385-393","title":"Factors associated with participation in a diabetes prevention program in Austria: a prospective cohort study","type":"article-journal","volume":"2"},"uris":["http://www.mendeley.com/documents/?uuid=886bb5fb-3c3f-44f7-b53d-01c00c5a8a35"]},{"id":"ITEM-5","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Open","id":"ITEM-5","issued":{"date-parts":[["2019"]]},"page":"e028491","title":"Users ’ experiences of a pragmatic diabetes prevention intervention implemented in primary care: qualitative study","type":"article-journal","volume":"9"},"uris":["http://www.mendeley.com/documents/?uuid=883930c4-afe2-4928-a344-24e5a77c114f"]}],"mendeley":{"formattedCitation":"(Aujla et al., 2019; Gray et al., 2016; Taradash et al., 2015; Teuschl et al., 2012; Whittemore et al., 2014)","plainTextFormattedCitation":"(Aujla et al., 2019; Gray et al., 2016; Taradash et al., 2015; Teuschl et al., 2012; Whittemore et al., 2014)","previouslyFormattedCitation":"(Aujla et al., 2019; Gray et al., 2016; Taradash et al., 2015; Teuschl et al., 2012; Whittemore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(Aujla et al., 2019; Gray et al., 2016; Taradash et al., 2015; Teuschl et al., 2012; Whittemore et al., 2014)</w:t>
      </w:r>
      <w:r w:rsidRPr="00103A0B">
        <w:rPr>
          <w:rFonts w:ascii="Arial" w:hAnsi="Arial" w:cs="Arial"/>
          <w:sz w:val="24"/>
          <w:szCs w:val="24"/>
        </w:rPr>
        <w:fldChar w:fldCharType="end"/>
      </w:r>
      <w:r w:rsidRPr="00103A0B">
        <w:rPr>
          <w:rFonts w:ascii="Arial" w:hAnsi="Arial" w:cs="Arial"/>
          <w:sz w:val="24"/>
          <w:szCs w:val="24"/>
        </w:rPr>
        <w:t xml:space="preserve">. </w:t>
      </w:r>
    </w:p>
    <w:p w14:paraId="739B4DC8" w14:textId="0D0BBE78" w:rsidR="00734FB6" w:rsidRPr="00103A0B" w:rsidRDefault="00734FB6" w:rsidP="00CD5919">
      <w:pPr>
        <w:spacing w:line="360" w:lineRule="auto"/>
        <w:jc w:val="both"/>
        <w:rPr>
          <w:rFonts w:ascii="Arial" w:hAnsi="Arial" w:cs="Arial"/>
          <w:sz w:val="24"/>
          <w:szCs w:val="24"/>
        </w:rPr>
      </w:pPr>
      <w:r w:rsidRPr="00103A0B">
        <w:rPr>
          <w:rFonts w:ascii="Arial" w:hAnsi="Arial" w:cs="Arial"/>
          <w:sz w:val="24"/>
          <w:szCs w:val="24"/>
        </w:rPr>
        <w:t xml:space="preserve">Although some DPPs have found there to be no association between age and retention </w:t>
      </w:r>
      <w:r w:rsidRPr="00103A0B">
        <w:rPr>
          <w:rFonts w:ascii="Arial" w:hAnsi="Arial" w:cs="Arial"/>
          <w:sz w:val="24"/>
          <w:szCs w:val="24"/>
        </w:rPr>
        <w:fldChar w:fldCharType="begin" w:fldLock="1"/>
      </w:r>
      <w:r w:rsidR="007A139F" w:rsidRPr="00103A0B">
        <w:rPr>
          <w:rFonts w:ascii="Arial" w:hAnsi="Arial" w:cs="Arial"/>
          <w:sz w:val="24"/>
          <w:szCs w:val="24"/>
        </w:rPr>
        <w:instrText xml:space="preserve">ADDIN CSL_CITATION {"citationItems":[{"id":"ITEM-1","itemData":{"DOI":"10.2337/dc07-1869","ISSN":"01495992","PMID":"18252904","abstract":"OBJECTIVE-The objective of this study was to determine if a community-based modified Diabetes Prevention Program Group Lifestyle Balance (GLB) intervention, for individuals with metabolic syndrome, was effective in decreasing risk for type 2 diabetes and cardiovascular disease (CVD) in an urban medically underserved community, and subsequently to determine if improvements in clinical outcomes could be sustained in the short term. RESEARCH DESIGN AND METHODS-This nonrandomized prospective intervention study used a one-group design to test the effectiveness of a community-based GLB intervention. Residents from 11 targeted neighborhoods were screened for metabolic syndrome (n = 573) and took part in a 12-week GLB intervention (n = 88) that addressed safe weight loss and physical activity. RESULTS-A marked decline in weight (46.4% lost ≥5% and 26.1% lost ≥7%) was observed in individuals after completion of the intervention. Of these subjects, 87.5% (n = 28) and 66.7% (n = 12) sustained the 5% and 7% reduction, respectively, at the 6-month reassessment. Over one-third of the population (43.5%, n = 30) experienced improvements in one or more component of metabolic syndrome, and 73.3% (n = 22) sustained this improvement at the 6-month reassessment. Additional improvements occurred in waist circumference (P &lt; 0.009) and blood pressure levels (P = 0.04) after adjustment for age, sex, race, mean number of GLB classes attended, and time. CONCLUSIONS-Adults in an urban medically underserved community can decrease their risk for type 2 diabetes and CVD through participation in a GLB intervention, and short-term sustainability is feasible. Future research will include long-term follow-up of these subjects. © 2008 by the American Diabetes Association.","author":[{"dropping-particle":"","family":"Seidel","given":"Miriam C.","non-dropping-particle":"","parse-names":false,"suffix":""},{"dropping-particle":"","family":"Powell","given":"Robert O.","non-dropping-particle":"","parse-names":false,"suffix":""},{"dropping-particle":"","family":"Zgibor","given":"Janice C.","non-dropping-particle":"","parse-names":false,"suffix":""},{"dropping-particle":"","family":"Siminerio","given":"Linda M.","non-dropping-particle":"","parse-names":false,"suffix":""},{"dropping-particle":"","family":"Piatt","given":"Gretchen A.","non-dropping-particle":"","parse-names":false,"suffix":""}],"container-title":"Diabetes Care","id":"ITEM-1","issue":"4","issued":{"date-parts":[["2008"]]},"page":"684-689","title":"Translating the diabetes prevention program into an urban medically underserved community","type":"article-journal","volume":"31"},"uris":["http://www.mendeley.com/documents/?uuid=d068b7a4-f154-435f-b3f1-da959b991863"]},{"id":"ITEM-2","itemData":{"DOI":"10.2337/dc18-1141","ISSN":"19355548","PMID":"30377187","abstract":"OBJECTIVE To investigate whether older veterans enrolled in two diabetes prevention programs (DPPs) in the Veterans Health Administration will have similar weight loss as younger veterans. RESEARCH DESIGN AND METHODS Post hoc analysis of data from two prospective, pragmatic, nonrandomized studies of behavioral weight management interventions that were delivered in-person (Department of Veterans Affairs [VA]-DPP) or online (Online-DPP), comparing participation and weight loss between participants aged ‡65 years (N = 120) vs. &lt;65 years (N = 258). RESULTS Over 70% of participants in both age groups completed eight or more sessions within 6 months; a higher proportion completed eight or more sessions in the Online-DPP intervention than in the VA-DPP intervention (P &lt; 0.05). The overall weight changes at 6 and 12 months were similar across the two age groups: </w:instrText>
      </w:r>
      <w:r w:rsidR="007A139F" w:rsidRPr="00103A0B">
        <w:rPr>
          <w:rFonts w:ascii="Cambria Math" w:hAnsi="Cambria Math" w:cs="Cambria Math"/>
          <w:sz w:val="24"/>
          <w:szCs w:val="24"/>
        </w:rPr>
        <w:instrText>∼</w:instrText>
      </w:r>
      <w:r w:rsidR="007A139F" w:rsidRPr="00103A0B">
        <w:rPr>
          <w:rFonts w:ascii="Arial" w:hAnsi="Arial" w:cs="Arial"/>
          <w:sz w:val="24"/>
          <w:szCs w:val="24"/>
        </w:rPr>
        <w:instrText>5 kg or 5% weight loss compared with baseline (P &gt; 0.05). CONCLUSIONS DPPs delivered in person or online can be similarly effective in older and younger veterans. Online programs may be an important means to improve the reach of DPPs for older adults.","author":[{"dropping-particle":"","family":"Lee","given":"Pearl G.","non-dropping-particle":"","parse-names":false,"suffix":""},{"dropping-particle":"","family":"Damschroder","given":"Laura J.","non-dropping-particle":"","parse-names":false,"suffix":""},{"dropping-particle":"","family":"Holleman","given":"Robert","non-dropping-particle":"","parse-names":false,"suffix":""},{"dropping-particle":"","family":"Moin","given":"Tannaz","non-dropping-particle":"","parse-names":false,"suffix":""},{"dropping-particle":"","family":"Richardson","given":"Caroline R.","non-dropping-particle":"","parse-names":false,"suffix":""}],"container-title":"Diabetes Care","id":"ITEM-2","issue":"12","issued":{"date-parts":[["2018"]]},"page":"2644-2647","title":"Older adults and diabetes prevention programs in the veterans health administration","type":"article-journal","volume":"41"},"uris":["http://www.mendeley.com/documents/?uuid=eb42c42e-be1e-4230-b7f3-97a599b15e00"]},{"id":"ITEM-3","itemData":{"DOI":"10.1177/0145721709333269","ISSN":"01457217","abstract":"Purpose The purpose of this study was to evaluate the feasibility of translating the Diabetes Prevention Program (DPP) lifestyle intervention into practice in the general community. Methods In 2008, the Montana Diabetes Control Program, working collaboratively with 4 health care facilities, implemented an adapted group-based DPP lifestyle intervention. Adults at high risk for diabetes and cardiovascular disease were recruited and enrolled (n = 355). Eighty-three percent (n = 295) of participants completed the 16-session program. Participants set targets to reduce fat intake and increase physical activity (ĝ‰¥150 minutes per week) to achieve a weight loss goal of 7%. Results Seventy percent of participants achieved the physical activity goal of ĝ‰¥150 minutes per week. There was a significant decrease among participants' weight from baseline (mean ± SD, 99.3 ± 19.7 kg) to week 16 (92.6 ± 18.8 kg; mean difference, 6.7 ± 4.0 kg, P &lt;.001). Forty-five percent of the participants achieved the 7% weight loss goal, and 67% achieved at least 5% weight loss. Participants who were 60 years of age and older, had a diagnosis of hypertension, met their physical activity goal of ĝ‰¥150 minutes per week, and those more frequently monitoring their fat intake were more likely to meet the 7% weight loss goal compared with participants without these characteristics. Conclusion The findings suggest that it is feasible to recruit and retain high-risk participants and achieve weight loss and physical goals in a group setting that are comparable with those achieved in the DPP.","author":[{"dropping-particle":"","family":"Amundson","given":"Helen A.","non-dropping-particle":"","parse-names":false,"suffix":""},{"dropping-particle":"","family":"Butcher","given":"Marcene K.","non-dropping-particle":"","parse-names":false,"suffix":""},{"dropping-particle":"","family":"Gohdes","given":"Dorothy","non-dropping-particle":"","parse-names":false,"suffix":""},{"dropping-particle":"","family":"Hall","given":"Taryn O.","non-dropping-particle":"","parse-names":false,"suffix":""},{"dropping-particle":"","family":"Harwell","given":"Todd S.","non-dropping-particle":"","parse-names":false,"suffix":""},{"dropping-particle":"","family":"Helgerson","given":"Steven D.","non-dropping-particle":"","parse-names":false,"suffix":""},{"dropping-particle":"","family":"Vanderwood","given":"Karl K.","non-dropping-particle":"","parse-names":false,"suffix":""}],"container-title":"Diabetes Educator","id":"ITEM-3","issue":"2","issued":{"date-parts":[["2009"]]},"page":"209-223","title":"Translating the diabetes prevention program into practice in the general community: findings from the Montana cardiovascular disease and diabetes prevention program","type":"article-journal","volume":"35"},"uris":["http://www.mendeley.com/documents/?uuid=c684678d-0475-4a86-baaf-4cb4589cb48d"]}],"mendeley":{"formattedCitation":"(Amundson et al., 2009; Lee et al., 2018; M. C. Seidel et al., 2008)","manualFormatting":"(Amundson et al., 2009; Lee et al., 2018; Seidel et al., 2008)","plainTextFormattedCitation":"(Amundson et al., 2009; Lee et al., 2018; M. C. Seidel et al., 2008)","previouslyFormattedCitation":"(Amundson et al., 2009; Lee et al., 2018; M. C. Seidel et al., 2008)"},"properties":{"noteIndex":0},"schema":"https://github.com/citation-style-language/schema/raw/master/csl-citation.json"}</w:instrText>
      </w:r>
      <w:r w:rsidRPr="00103A0B">
        <w:rPr>
          <w:rFonts w:ascii="Arial" w:hAnsi="Arial" w:cs="Arial"/>
          <w:sz w:val="24"/>
          <w:szCs w:val="24"/>
        </w:rPr>
        <w:fldChar w:fldCharType="separate"/>
      </w:r>
      <w:r w:rsidR="00833C44" w:rsidRPr="00103A0B">
        <w:rPr>
          <w:rFonts w:ascii="Arial" w:hAnsi="Arial" w:cs="Arial"/>
          <w:noProof/>
          <w:sz w:val="24"/>
          <w:szCs w:val="24"/>
        </w:rPr>
        <w:t>(Amundson et al., 2009; Lee et al., 2018; Seidel et al., 2008)</w:t>
      </w:r>
      <w:r w:rsidRPr="00103A0B">
        <w:rPr>
          <w:rFonts w:ascii="Arial" w:hAnsi="Arial" w:cs="Arial"/>
          <w:sz w:val="24"/>
          <w:szCs w:val="24"/>
        </w:rPr>
        <w:fldChar w:fldCharType="end"/>
      </w:r>
      <w:r w:rsidRPr="00103A0B">
        <w:rPr>
          <w:rFonts w:ascii="Arial" w:hAnsi="Arial" w:cs="Arial"/>
          <w:sz w:val="24"/>
          <w:szCs w:val="24"/>
        </w:rPr>
        <w:t>, the majority have found those who are older are more likely to attend more sessions (i.e., achieve the required attendance thresholds) and complete DPPs as opposed to non-completers who are significantly younger in age</w:t>
      </w:r>
      <w:r w:rsidR="00717295" w:rsidRPr="00103A0B">
        <w:rPr>
          <w:rFonts w:ascii="Arial" w:hAnsi="Arial" w:cs="Arial"/>
          <w:sz w:val="24"/>
          <w:szCs w:val="24"/>
        </w:rPr>
        <w:t xml:space="preserve"> </w:t>
      </w:r>
      <w:r w:rsidR="00717295" w:rsidRPr="00103A0B">
        <w:rPr>
          <w:rFonts w:ascii="Arial" w:hAnsi="Arial" w:cs="Arial"/>
          <w:sz w:val="24"/>
          <w:szCs w:val="24"/>
        </w:rPr>
        <w:fldChar w:fldCharType="begin" w:fldLock="1"/>
      </w:r>
      <w:r w:rsidR="005C6715" w:rsidRPr="00103A0B">
        <w:rPr>
          <w:rFonts w:ascii="Arial" w:hAnsi="Arial" w:cs="Arial"/>
          <w:sz w:val="24"/>
          <w:szCs w:val="24"/>
        </w:rPr>
        <w:instrText>ADDIN CSL_CITATION {"citationItems":[{"id":"ITEM-1","itemData":{"ISSN":"21665435","abstract":"Introduction: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Disease","id":"ITEM-1","issued":{"date-parts":[["2014"]]},"page":"140006","title":"Implementation and outcomes of the New York state YMCA diabetes prevention program: A multisite community-based translation, 2010-2012","type":"article-journal","volume":"11"},"uris":["http://www.mendeley.com/documents/?uuid=d5f59245-ab59-4ba0-bd1c-beec143eb24b"]},{"id":"ITEM-2","itemData":{"DOI":"10.1111/jgs.13428","ISSN":"15325415","abstract":"Objectives To compare participation, self-monitoring behaviors, and weight loss outcomes in older and younger participants in an adapted Diabetes Prevention Program (DPP) lifestyle intervention. Design Pre- and postevaluation of outcomes in participants enrolled in the Montana Cardiovascular Disease (CVD) and DPP lifestyle intervention from 2008 through 2012. Setting Community. Participants Adults at high risk for CVD and type 2 diabetes mellitus (N = 3,804). Measurements Number of core (16 weekly sessions) and postcore (6 monthly sessions) intervention sessions attended, weekly self-monitoring of fat intake and minutes of physical activity, weight loss outcomes and achievement of the weight loss goal, and improvements in CVD-related risk factors. Results Participants aged 65 and older were significantly more likely to attend more intervention sessions, self-monitor their fat intake, and achieve the physical activity and weight loss goals than those younger than 65. Older and younger participants experienced significant improvements in CVD-related risk factors. Conclusion Older adults at high risk of CVD and diabetes mellitus participating in an adapted DPP lifestyle intervention had higher participation and self-monitoring rates than younger participants, were more likely to achieve physical activity and weight loss goals, and achieved similar CVD risk reduction.","author":[{"dropping-particle":"","family":"Brokaw","given":"Sarah M.","non-dropping-particle":"","parse-names":false,"suffix":""},{"dropping-particle":"","family":"Carpenedo","given":"Dorota","non-dropping-particle":"","parse-names":false,"suffix":""},{"dropping-particle":"","family":"Campbell","given":"Paul","non-dropping-particle":"","parse-names":false,"suffix":""},{"dropping-particle":"","family":"Butcher","given":"Marcene K.","non-dropping-particle":"","parse-names":false,"suffix":""},{"dropping-particle":"","family":"Furshong","given":"Ginny","non-dropping-particle":"","parse-names":false,"suffix":""},{"dropping-particle":"","family":"Helgerson","given":"Steven D.","non-dropping-particle":"","parse-names":false,"suffix":""},{"dropping-particle":"","family":"Harwell","given":"Todd S.","non-dropping-particle":"","parse-names":false,"suffix":""}],"container-title":"Journal of the American Geriatrics Society","id":"ITEM-2","issue":"6","issued":{"date-parts":[["2015"]]},"page":"1067-1074","title":"Effectiveness of an adapted diabetes prevention program lifestyle intervention in older and younger adults","type":"article-journal","volume":"63"},"uris":["http://www.mendeley.com/documents/?uuid=4b8c7f9d-8f5c-4ceb-a19e-91cbaee82ccf"]},{"id":"ITEM-3","itemData":{"DOI":"10.2337/dc19-2366","ISSN":"0149-5992","abstract":"OBJECTIVE: To assess retention in the National Diabetes Prevention Program (DPP) lifestyle change program, which seeks to prevent type 2 diabetes in adults at high risk. RESEARCH DESIGN AND METHODS: We analyzed retention among 41,203 individuals who enrolled in Centers for Disease Control and Prevention (CDC)-recognized in-person lifestyle change programs at organizations that submitted data to CDC's Diabetes Prevention Recognition Program during January 2012-February 2017. RESULTS: Weekly attrition rates were typically &lt;1-2% but were between 3.5% and 5% at week 2 and at weeks 17 and 18, where session frequency typically transitions from weekly to monthly. The percent of participants retained through 18 weeks varied by age (45.9% for 18-29 year olds, 53.4% for 30-44 year olds, 60.2% for 45-54 year olds, 66.7% for 55-64 year olds, and 67.6% for ≥65 year olds), race/ethnicity (70.5% for non-Hispanic whites, 60.5% for non-Hispanic blacks, 52.6% for Hispanics, and 50.6% for other), mean weekly percentage of body weight lost (41.0% for ≤0% lost, 66.2% for &gt;0 to &lt;0.25% lost, 72.9% for 0.25 to &lt;0.5% lost, and 73.9% for ≥0.5% lost), and mean weekly physical activity minutes (12.8% for 0 min, 56.1% for &gt;0 to &lt;60 min, 74.8% for 60 to &lt;150 min, and 82.8% for ≥150 min) but not by sex (63.0% for men and 63.1% for women). CONCLUSIONS: Our results demonstrate the need to identify strategies to improve retention, especially among individuals who are younger or are members of racial/ethnic minority populations and among those who report less physical activity or less early weight loss. Strategies that address retention after the first session and during the transition from weekly to monthly sessions offer the greatest opportunity for impact.","author":[{"dropping-particle":"","family":"Cannon","given":"Michael J.","non-dropping-particle":"","parse-names":false,"suffix":""},{"dropping-particle":"","family":"Masalovich","given":"Svetlana","non-dropping-particle":"","parse-names":false,"suffix":""},{"dropping-particle":"","family":"Ng","given":"Boon Peng","non-dropping-particle":"","parse-names":false,"suffix":""},{"dropping-particle":"","family":"Soler","given":"Robin E.","non-dropping-particle":"","parse-names":false,"suffix":""},{"dropping-particle":"","family":"Jabrah","given":"Rajai","non-dropping-particle":"","parse-names":false,"suffix":""},{"dropping-particle":"","family":"Ely","given":"Elizabeth K.","non-dropping-particle":"","parse-names":false,"suffix":""},{"dropping-particle":"","family":"Smith","given":"Bryce D.","non-dropping-particle":"","parse-names":false,"suffix":""}],"container-title":"Diabetes Care","id":"ITEM-3","issue":"9","issued":{"date-parts":[["2020"]]},"page":"2042-2049","title":"Retention among participants in the national diabetes prevention program lifestyle change program, 2012–2017","type":"article-journal","volume":"43"},"uris":["http://www.mendeley.com/documents/?uuid=eed9f8c6-e26e-4c4e-b26e-930df126d002"]},{"id":"ITEM-4","itemData":{"DOI":"https://doi.org/10.1016/j.cct.2020.105960","ISSN":"15592030","PMID":"32087338","abstract":"Diabetes prevalence has risen rapidly and has become a global health challenge. The Diabetes Prevention Program (DPP) has been shown to prevent or delay the development of diabetes among individuals with prediabetes. Yet, diabetes prevention studies within the Medicaid population are limited and results are mixed. This study aimed to evaluate the impact of different financial incentive strategies on the utilization of the DPP for Medicaid managed care adults in New York State. A four-arm randomized controlled trial was conducted among Medicaid managed care adult enrollees diagnosed with prediabetes and/or obesity. Study participants were offered a 16-week DPP with various incentive strategies based on class attendance and weight loss as follows: Attendance-Only, Weight-Loss Only, and both Attendance and Weight-Loss. A control group was offered DPP with no incentives for attendance or weight loss. We evaluated the impact of incentives on achievement of the program completion and weight-loss milestone. Participants who received incentives for the Attendance-Only class were least likely to be lost to follow-up, more likely to complete the program, and had two times higher percentage of meeting the weight-loss milestone compared to the control group. Results for the other incentive cohorts were mixed. A strong positive association was observed for participants who attended 9 or more classes and weight-loss regardless of incentive strategies. Providing monetary incentives for DPP class attendance had a positive impact on program completion and achieving the weight-loss milestone. However, the results from this study indicate that participant enrollment and retention remained challenges despite the incentives.","author":[{"dropping-particle":"","family":"Chin","given":"Jo Yu","non-dropping-particle":"","parse-names":false,"suffix":""},{"dropping-particle":"","family":"Matson","given":"Jacqueline","non-dropping-particle":"","parse-names":false,"suffix":""},{"dropping-particle":"","family":"McCauley","given":"Susan","non-dropping-particle":"","parse-names":false,"suffix":""},{"dropping-particle":"","family":"Anarella","given":"Joseph","non-dropping-particle":"","parse-names":false,"suffix":""},{"dropping-particle":"","family":"Gesten","given":"Foster","non-dropping-particle":"","parse-names":false,"suffix":""},{"dropping-particle":"","family":"Roohan","given":"Patrick","non-dropping-particle":"","parse-names":false,"suffix":""}],"container-title":"Contemporary Clinical Trials","id":"ITEM-4","issued":{"date-parts":[["2020"]]},"page":"105960","publisher":"Elsevier","title":"The impact of financial incentives on utilization and outcomes of diabetes prevention programs among Medicaid managed care adults in New York state","type":"article-journal","volume":"91"},"uris":["http://www.mendeley.com/documents/?uuid=73705fca-c50d-4e34-861c-f5f59cddb6a5"]},{"id":"ITEM-5","itemData":{"DOI":"10.1007/s13187-014-0750-7","ISSN":"15430154","PMID":"25394834","abstract":"Underserved minority communities have few resources for addressing comorbidity risk reduction among long-term cancer survivors. To address this community need, we developed and piloted the Bronx Oncology Living Daily (BOLD) Healthy Living program, the first known diabetes prevention and control program to target cancer survivors and co-survivors in Bronx County, NY. The program aimed to facilitate lifestyle change and improve health-related quality of life (HRQoL) through weekly group nutrition education (60–90 min) and exercise (60 min) classes. We examined baseline characteristics of participants using simple descriptive statistics and evaluated program implementation and impact using the Reach, Efficacy, Adoption, Implementation and Maintenance (RE-AIM) framework. The curriculum, which drew from the social-ecological framework and motivational and cognitive behavioral strategies, consisted of 12 culturally and medically tailored modules with options for implementation as a 12- or 4-week program. Seven programs (four 12 weeks and three 4 weeks in length, respectively) were implemented at five community site locations. Sixty-six cancer survivors and 17 cancer co-survivors (mean age 60.5 ± 10.2 years) enrolled in one of the programs. Most participants were female (95.2 %) minority (55.4 % black, 26.5 % Hispanic/Latino) breast cancer survivors (75.7 %). Median program attendance was 62.5 % and did not significantly differ by program length; however, 67.3 % of participants achieved ≥60 % attendance among the 12-week programs, compared to 41.9 % among the 4-week programs, and this difference was statistically significant (p = 0.02). Overall, participants reported significant pre/post improvements in perceived health as good/excellent (66.0 to 75.5 %; p = 0.001) and borderline significant decreases in perceived pain as moderate/severe (45.5 to 38.2 %; p = 0.05). More than 90 % of participants reported that the program helped them to achieve their short-term goals, motivated them to engage in healthier behaviors, and felt that the nutrition and exercise classes were relevant to their needs. These results indicate that a short-term lifestyle intervention program for adult cancer survivors was acceptable in our community and motivated cancer survivors to improve their HRQoL. The curriculum can be used as a tool to facilitate development of similar programs in the future.","author":[{"dropping-particle":"","family":"Conlon","given":"Beth A.","non-dropping-particle":"","parse-names":false,"suffix":""},{"dropping-particle":"","family":"Kahan","given":"Michelle","non-dropping-particle":"","parse-names":false,"suffix":""},{"dropping-particle":"","family":"Martinez","given":"Melissa","non-dropping-particle":"","parse-names":false,"suffix":""},{"dropping-particle":"","family":"Isaac","given":"Kathleen","non-dropping-particle":"","parse-names":false,"suffix":""},{"dropping-particle":"","family":"Rossi","given":"Amerigo","non-dropping-particle":"","parse-names":false,"suffix":""},{"dropping-particle":"","family":"Skyhart","given":"Rebecca","non-dropping-particle":"","parse-names":false,"suffix":""},{"dropping-particle":"","family":"Wylie-Rosett","given":"Judith","non-dropping-particle":"","parse-names":false,"suffix":""},{"dropping-particle":"","family":"Moadel-Robblee","given":"Alyson","non-dropping-particle":"","parse-names":false,"suffix":""}],"container-title":"Journal of Cancer Education","id":"ITEM-5","issue":"3","issued":{"date-parts":[["2015"]]},"page":"535-545","title":"Development and evaluation of the curriculum for BOLD (Bronx Oncology Living Daily) healthy living: a diabetes prevention and control program for underserved cancer survivors","type":"article-journal","volume":"30"},"uris":["http://www.mendeley.com/documents/?uuid=9f5a6f8a-648c-4d7f-9255-3dd27b19a65f"]},{"id":"ITEM-6","itemData":{"DOI":"10.1007/s13142-017-0494-0","ISBN":"1314201704940","author":[{"dropping-particle":"","family":"Eaglehouse","given":"Yvonne L","non-dropping-particle":"","parse-names":false,"suffix":""},{"dropping-particle":"","family":"Venditti","given":"Elizabeth M","non-dropping-particle":"","parse-names":false,"suffix":""},{"dropping-particle":"","family":"Kramer","given":"M Kaye","non-dropping-particle":"","parse-names":false,"suffix":""},{"dropping-particle":"","family":"Arena","given":"Vincent C","non-dropping-particle":"","parse-names":false,"suffix":""},{"dropping-particle":"","family":"Vanderwood","given":"Karl K","non-dropping-particle":"","parse-names":false,"suffix":""},{"dropping-particle":"","family":"Rockette-wagner","given":"Bonny","non-dropping-particle":"","parse-names":false,"suffix":""},{"dropping-particle":"","family":"Kriska","given":"Andrea M","non-dropping-particle":"","parse-names":false,"suffix":""}],"container-title":"TBM","id":"ITEM-6","issued":{"date-parts":[["2017"]]},"page":"873-880","publisher":"Translational Behavioral Medicine","title":"Factors related to lifestyle goal achievement in a diabetes prevention program dissemination study","type":"article-journal","volume":"7"},"uris":["http://www.mendeley.com/documents/?uuid=86ef78ac-c4e3-42df-adba-38723ba385d4"]},{"id":"ITEM-7","itemData":{"DOI":"10.2337/dc16-2099","author":[{"dropping-particle":"","family":"Ely","given":"Elizabeth K","non-dropping-particle":"","parse-names":false,"suffix":""},{"dropping-particle":"","family":"Gruss","given":"Stephanie M","non-dropping-particle":"","parse-names":false,"suffix":""},{"dropping-particle":"","family":"Luman","given":"Elizabeth T","non-dropping-particle":"","parse-names":false,"suffix":""},{"dropping-particle":"","family":"Gregg","given":"Edward W","non-dropping-particle":"","parse-names":false,"suffix":""},{"dropping-particle":"","family":"Ali","given":"Mohammed K","non-dropping-particle":"","parse-names":false,"suffix":""},{"dropping-particle":"","family":"Nhim","given":"Kunthea","non-dropping-particle":"","parse-names":false,"suffix":""},{"dropping-particle":"","family":"Rolka","given":"Deborah B","non-dropping-particle":"","parse-names":false,"suffix":""},{"dropping-particle":"","family":"Albright","given":"Ann L","non-dropping-particle":"","parse-names":false,"suffix":""}],"container-title":"Diabetes Care","id":"ITEM-7","issued":{"date-parts":[["2017"]]},"page":"1331-1341","title":"A national effort to prevent type 2 diabetes: participant-level evaluation of CDC ’ s national diabetes prevention program","type":"article-journal","volume":"40"},"uris":["http://www.mendeley.com/documents/?uuid=03ec6206-c938-47f8-aec1-2cddac5d0dd3"]},{"id":"ITEM-8","itemData":{"ISBN":"1549-1277","ISSN":"15491676","PMID":"27404094","abstract":"BACKGROUND: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Medicine","id":"ITEM-8","issue":"7","issued":{"date-parts":[["2016"]]},"page":"e1002078","title":"Engagement, retention, and progression to type 2 diabetes: a retrospective analysis of the cluster-randomised \"Let's Prevent Diabetes\" trial","type":"article-journal","volume":"13"},"uris":["http://www.mendeley.com/documents/?uuid=34e3af29-349e-4120-a3cb-a3a7408ba3b4"]},{"id":"ITEM-9","itemData":{"DOI":"10.2337/diaspect.24.3.138","ISSN":"10409165","abstract":"This study evaluated weight loss and cardiometabolic risk reduction achieved through an adapted Diabetes Prevention Program lifestyle intervention among adults at high risk for cardiovascular disease (CVD) and diabetes. A 16-session lifestyle intervention was delivered through a partnership between a diabetes self-management education (DSME) program and the Young Men's Christian Association (YMCA). Overweight adults with ≥ 1 additional risk factors for CVD or diabetes were enrolled (n = 265). Lifestyle coaches from the DSME program coordinated intervention delivery and taught the curriculum. YMCA staff delivered the physical activity component of the intervention. Two-hundred and nineteen participants (83%) completed the program. Seventy-five percent of participants achieved the physical activity goal (≥ 150 minutes/week), 34% achieved the 7% weight loss goal, and 60% achieved weight loss ≥ 5%. There were significant improvements in cardiometabolic risk factors among participants completing the intervention. Our findings suggest that an adapted lifestyle intervention can be successfully implemented through collaboration between a DSME program and a YMCA. Implementation of effective prevention programs in multiple settings throughout the United States will be needed to ensure that the large subpopulation of adults at high risk for CVD and diabetes have access to this prevention service.","author":[{"dropping-particle":"","family":"Guyse","given":"Lane A.","non-dropping-particle":"","parse-names":false,"suffix":""},{"dropping-particle":"","family":"McHugh","given":"Beverly R.","non-dropping-particle":"","parse-names":false,"suffix":""},{"dropping-particle":"","family":"Meszaros","given":"Jane Fitch","non-dropping-particle":"","parse-names":false,"suffix":""},{"dropping-particle":"","family":"Vanderwood","given":"Karl K.","non-dropping-particle":"","parse-names":false,"suffix":""},{"dropping-particle":"","family":"Hall","given":"Taryn O.","non-dropping-particle":"","parse-names":false,"suffix":""},{"dropping-particle":"","family":"Arave","given":"Diane","non-dropping-particle":"","parse-names":false,"suffix":""},{"dropping-particle":"","family":"Butcher","given":"Marcene K.","non-dropping-particle":"","parse-names":false,"suffix":""},{"dropping-particle":"","family":"Helgerson","given":"Steven D.","non-dropping-particle":"","parse-names":false,"suffix":""},{"dropping-particle":"","family":"Harwell","given":"Todd S.","non-dropping-particle":"","parse-names":false,"suffix":""}],"container-title":"Diabetes Spectrum","id":"ITEM-9","issue":"3","issued":{"date-parts":[["2011"]]},"page":"138-143","title":"Collaborative approach to implementing an adapted diabetes prevention program lifestyle intervention","type":"article-journal","volume":"24"},"uris":["http://www.mendeley.com/documents/?uuid=4e19fc7b-1774-4cca-ab0c-9bc5a50f7be5"]},{"id":"ITEM-10","itemData":{"DOI":"https://doi.org/10.1016/j.pmedr.2019.100961","author":[{"dropping-particle":"","family":"Jeffers","given":"K.S.","non-dropping-particle":"","parse-names":false,"suffix":""},{"dropping-particle":"","family":"Castellon-lopez","given":"Y.","non-dropping-particle":"","parse-names":false,"suffix":""},{"dropping-particle":"","family":"Grotts","given":"J.","non-dropping-particle":"","parse-names":false,"suffix":""},{"dropping-particle":"","family":"Mangione","given":"C.M.","non-dropping-particle":"","parse-names":false,"suffix":""},{"dropping-particle":"","family":"Moin","given":"T.","non-dropping-particle":"","parse-names":false,"suffix":""},{"dropping-particle":"","family":"Tseng","given":"C.","non-dropping-particle":"","parse-names":false,"suffix":""},{"dropping-particle":"","family":"Al.","given":"Et","non-dropping-particle":"","parse-names":false,"suffix":""}],"container-title":"Preventive Medicine Reports","id":"ITEM-10","issued":{"date-parts":[["2019"]]},"page":"1-7","title":"Diabetes prevention program attendance is associated with improved patient activation: results from the prediabetes informed decisions and education (PRIDE) study","type":"article-journal","volume":"16"},"uris":["http://www.mendeley.com/documents/?uuid=11512934-8964-4615-9b04-e45863353b74"]},{"id":"ITEM-11","itemData":{"DOI":"10.2337/dc12-1250","ISBN":"0149-5992\\r1935-5548","ISSN":"01495992","PMID":"23275375","abstract":"OBJECTIVE: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Care","id":"ITEM-11","issue":"7","issued":{"date-parts":[["2013"]]},"page":"2027-2034","title":"Translating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project","type":"article-journal","volume":"36"},"uris":["http://www.mendeley.com/documents/?uuid=6fb8d6ab-39ae-48b6-b78a-5dcf85b9cf0a"]},{"id":"ITEM-12","itemData":{"DOI":"10.1016/j.amepre.2009.07.020","ISSN":"07493797","abstract":"Background: The Diabetes Prevention Program (DPP) demonstrated that lifestyle intervention reduces risk for type 2 diabetes and the metabolic syndrome. A universal framework for translation of multiple aspects of the DPP intervention, including training, support, and evaluation is needed to enhance treatment fidelity in a variety of settings. Purpose: This study aims to develop a comprehensive model for diabetes prevention translation using a modified DPP lifestyle intervention. Methods: The DPP lifestyle intervention was adapted to a 12-session group-based program called Group Lifestyle Balance for implementation in the community setting. A model for training and support mirroring that of the DPP was developed for prevention professionals administering the program. The process of training/support and program implementation was evaluated for feasibility and effectiveness using a nonrandomized prospective design in two phases (N=51, Phase 1: 2005-2006; N=42, Phase 2: 2007-2009; data analysis completed 2008-2009). A total of 93 nondiabetic individuals with BMI ≥25 kg/m2 and the metabolic syndrome or prediabetes participated. Measures were collected at baseline and post-intervention for all and 6 and 12 months post-intervention for Phase 2. Results: Significant decreases in weight, waist circumference, and BMI were noted in both phases from baseline. Participants in Phase 2 also demonstrated decreases in total cholesterol, non-HDL cholesterol, and systolic and diastolic blood pressure that were maintained at 12 months. Average combined weight loss for both groups over the course of the 3-month intervention was 7.4 pounds (3.5% relative loss, p&lt;0.001); 23.8% and 52.2% of those who completed the program reached 7% and 5% weight loss, respectively. More than 80% of those achieving 7% weight loss in the Phase-2 group maintained their weight loss at 6 months. Conclusions: A comprehensive diabetes prevention model for training, intervention delivery, and support was shown to be successful and was effective in reducing diabetes and cardiovascular disease risk factors in this group of high-risk individuals. © 2009 American Journal of Preventive Medicine.","author":[{"dropping-particle":"","family":"Kramer","given":"M. Kaye","non-dropping-particle":"","parse-names":false,"suffix":""},{"dropping-particle":"","family":"Kriska","given":"Andrea M.","non-dropping-particle":"","parse-names":false,"suffix":""},{"dropping-particle":"","family":"Venditti","given":"Elizabeth M.","non-dropping-particle":"","parse-names":false,"suffix":""},{"dropping-particle":"","family":"Miller","given":"Rachel G.","non-dropping-particle":"","parse-names":false,"suffix":""},{"dropping-particle":"","family":"Brooks","given":"Maria M.","non-dropping-particle":"","parse-names":false,"suffix":""},{"dropping-particle":"","family":"Burke","given":"Lora E.","non-dropping-particle":"","parse-names":false,"suffix":""},{"dropping-particle":"","family":"Siminerio","given":"Linda M.","non-dropping-particle":"","parse-names":false,"suffix":""},{"dropping-particle":"","family":"Solano","given":"Francis X.","non-dropping-particle":"","parse-names":false,"suffix":""},{"dropping-particle":"","family":"Orchard","given":"Trevor J.","non-dropping-particle":"","parse-names":false,"suffix":""}],"container-title":"American Journal of Preventive Medicine","id":"ITEM-12","issue":"6","issued":{"date-parts":[["2009"]]},"page":"505-511","publisher":"Elsevier Inc.","title":"Translating the diabetes prevention program: a comprehensive model for prevention training and program delivery","type":"article-journal","volume":"37"},"uris":["http://www.mendeley.com/documents/?uuid=de04e223-0533-400e-a9dc-f6839bb50633"]},{"id":"ITEM-13","itemData":{"ISSN":"0168-8227","abstract":"Aims To explore the acceptability of a telephone- or a group-delivered diabetes prevention program for women with previous gestational diabetes and to compare the characteristics associated with program engagement. Methods Postpartum women participated in a lifestyle modification program delivered by telephone (n=33) or group format (n=284). Semi-structured interviews on barriers and enablers to program engagement (defined as completing≥80% sessions) were conducted before (Group) and after (Group and Telephone) interventions. The Health Action Process Approach theory was used as the framework for inquiry. Psychological measures were compared between engagement subgroups before and after group-delivered intervention. Results In the telephone-delivered program 82% participants met the engagement criteria compared with 38% for the group-delivered program. Engaged participants (Group) had significantly higher risk perception, outcome expectancy, and activity self-efficacy at baseline (P&lt;0.05). There was a greater decrease in body weight (−1.45±3.9 vs −0.26±3.5, P=0.024) and waist circumference (−3.56±5.1 vs −1.24±5.3, P=0.002) for engaged vs non-engaged participants following group program completion. Conclusions Telephone delivery was associated with greater engagement in postpartum women. Engagement was associated with greater reduction in weight and waist circumference. Further studies are required to confirm the effectiveness of telephone-delivered program for diabetes prevention in postpartum women.","author":[{"dropping-particle":"","family":"Lim","given":"Siew","non-dropping-particle":"","parse-names":false,"suffix":""},{"dropping-particle":"","family":"Dunbar","given":"James A","non-dropping-particle":"","parse-names":false,"suffix":""},{"dropping-particle":"","family":"Versace","given":"Vincent L","non-dropping-particle":"","parse-names":false,"suffix":""},{"dropping-particle":"","family":"Janus","given":"Edward","non-dropping-particle":"","parse-names":false,"suffix":""},{"dropping-particle":"","family":"Wildey","given":"Carol","non-dropping-particle":"","parse-names":false,"suffix":""},{"dropping-particle":"","family":"Skinner","given":"Timothy","non-dropping-particle":"","parse-names":false,"suffix":""},{"dropping-particle":"","family":"O'Reilly","given":"Sharleen","non-dropping-particle":"","parse-names":false,"suffix":""}],"container-title":"Diabetes Research and Clinical Practice","id":"ITEM-13","issued":{"date-parts":[["2017"]]},"page":"254-262","title":"Comparing a telephone- and a group-delivered diabetes prevention program: characteristics of engaged and non-engaged postpartum mothers with a history of gestational diabetes","type":"article-journal","volume":"126"},"uris":["http://www.mendeley.com/documents/?uuid=1e1989aa-8480-458e-9774-bce442753e6b"]},{"id":"ITEM-14","itemData":{"DOI":"10.1016/j.amepre.2017.06.013","ISSN":"0749-3797","abstract":"Introduction: Reducing obesity and diabetes risks among women of child-bearing age is urgently needed to halt the transgenerational cycle of disease. Interventions among pregnant women have largely been ineffective and may be initiated too late to improve maternal and child health. The National Diabetes Prevention Program is a widely disseminated lifestyle intervention that may help mitigate risks before pregnancy. However, the program has targeted relatively older adults, and effectiveness among women of child-bearing age remains largely unknown.Methods: The National Diabetes Prevention Program was delivered in an urban safety net hospital. Reach and effectiveness were evaluated among 4,866 eligible women who were invited to participate in the program. The authors compared enrollment, attendance, and weight loss for women aged 18-39 years as compared to women aged ≥40 years. Data were collected between 2013 and 2016. Analyses were conducted in 2017.Results: Women of child-bearing age were nearly half as likely to enroll than older women in adjusted models (OR=0.58, 95% CI=0.49, 0.69). Subsequently, younger enrollees were less likely to attend ≥1 session(s) than older women (OR=0.77, 95% CI=0.61, 0.99). There was no significant age group difference in program completion rates or weight-loss outcomes. Both groups lost an average of 3% body weight.Conclusions: Women of child-bearing age were less likely than older women to engage in the National Diabetes Prevention Program; however, they were equally likely to benefit from weight loss when they attended. Further efforts are needed to improve engagement of women of child-bearing age.","author":[{"dropping-particle":"","family":"Ritchie","given":"Natalie D","non-dropping-particle":"","parse-names":false,"suffix":""},{"dropping-particle":"","family":"Sauder","given":"Katherine A","non-dropping-particle":"","parse-names":false,"suffix":""},{"dropping-particle":"","family":"Fabbri","given":"Stefka","non-dropping-particle":"","parse-names":false,"suffix":""}],"container-title":"American Journal of Preventive Medicine","id":"ITEM-14","issue":"5","issued":{"date-parts":[["2017","11"]]},"note":"Accession Number: 125526460. Language: English. Entry Date: 20180722. Revision Date: 20180722. Publication Type: journal article. Journal Subset: Biomedical; Health Promotion/Education; USA. Instrumentation: Maternal Confidence Questionnaire (MCQ) (Parker and Zahr). NLM UID: 8704773.","page":"714-718","publisher":"Elsevier B.V.","publisher-place":"Department of Psychiatry, University of Colorado School of Medicine, Aurora, Colorado","title":"Reach and effectiveness of the national diabetes prevention program for young women.","type":"article-journal","volume":"53"},"uris":["http://www.mendeley.com/documents/?uuid=eff8d673-f774-43d5-921c-c9d2cab22bd4"]},{"id":"ITEM-15","itemData":{"DOI":"10.1186/s12966-019-0877-3","ISSN":"14795868","PMID":"31771589","abstract":"Objective: This two-site randomised trial compared the effectiveness of a voluntary sector-led, community-based diabetes prevention programme to a waiting-list control group at 6 months, and included an observational follow-up of the intervention arm to 12 months. Methods: Adults aged 18-75 years at increased risk of developing type 2 diabetes due to elevated blood glucose and being overweight were recruited from primary care practices at two UK sites, with data collected in participants' homes or community venues. Participants were randomised using an online central allocation service. The intervention, comprising the prototype \"Living Well, Taking Control\" (LWTC) programme, involved four weekly two-hour group sessions held in local community venues to promote changes in diet and physical activity, plus planned follow-up contacts at two, three, six, nine and 12 months alongside 5 hours of additional activities/classes. Waiting list controls received usual care for 6 months before accessing the programme. The primary outcome was weight loss at 6 months. Secondary outcomes included glycated haemoglobin (HbA1c), blood pressure, physical activity, diet, health status and well-being. Only researchers conducting analyses were blinded. Results: The target sample of 314 participants (157 each arm) was largely representative of local populations, including 44% men, 26% from ethnic minorities and 33% living in deprived areas. Primary outcome data were available for 285 (91%) participants (141 intervention, 144 control). Between baseline and 6 months, intervention participants on average lost more weight than controls (- 1.7 kg, 95% CI - 2.59 to - 0.85). Higher attendance was associated with greater weight loss (- 3.0 kg, 95% CI - 4.5 to - 1.5). The prototype LWTC programme more than doubled the proportion of participants losing &gt; 5% of their body weight (21% intervention vs. 8% control, OR 2.83, 95% CI 1.36 to 5.90) and improved self-reported dietary behaviour and health status. There were no impacts on HbA1c, blood pressure, physical activity and well-being at 6 months and, amongst intervention participants, few further changes from six to 12-months (e.g. average weight re-gain 0.36 kg, 95% CI - 0.20 to 0.91). There were no serious adverse events but four exercise-related injuries were reported in the intervention arm. Conclusions: This voluntary sector-led diabetes prevention programme reached a broad spectrum of the population and had modest effects on weight…","author":[{"dropping-particle":"","family":"Smith","given":"Jane R.","non-dropping-particle":"","parse-names":false,"suffix":""},{"dropping-particle":"","family":"Greaves","given":"Colin J.","non-dropping-particle":"","parse-names":false,"suffix":""},{"dropping-particle":"","family":"Thompson","given":"Janice L.","non-dropping-particle":"","parse-names":false,"suffix":""},{"dropping-particle":"","family":"Taylor","given":"Rod S.","non-dropping-particle":"","parse-names":false,"suffix":""},{"dropping-particle":"","family":"Jones","given":"Matthew","non-dropping-particle":"","parse-names":false,"suffix":""},{"dropping-particle":"","family":"Armstrong","given":"Rosy","non-dropping-particle":"","parse-names":false,"suffix":""},{"dropping-particle":"","family":"Moorlock","given":"Sarah","non-dropping-particle":"","parse-names":false,"suffix":""},{"dropping-particle":"","family":"Griffin","given":"Ann","non-dropping-particle":"","parse-names":false,"suffix":""},{"dropping-particle":"","family":"Solomon-Moore","given":"Emma","non-dropping-particle":"","parse-names":false,"suffix":""},{"dropping-particle":"","family":"Biddle","given":"Michele S.Y.","non-dropping-particle":"","parse-names":false,"suffix":""},{"dropping-particle":"","family":"Price","given":"Lisa","non-dropping-particle":"","parse-names":false,"suffix":""},{"dropping-particle":"","family":"Abraham","given":"Charles","non-dropping-particle":"","parse-names":false,"suffix":""}],"container-title":"International Journal of Behavioral Nutrition and Physical Activity","id":"ITEM-15","issued":{"date-parts":[["2019"]]},"page":"112","publisher":"International Journal of Behavioral Nutrition and Physical Activity","title":"The community-based prevention of diabetes (ComPoD) study: a randomised, waiting list controlled trial of a voluntary sector-led diabetes prevention programme","type":"article-journal","volume":"16"},"uris":["http://www.mendeley.com/documents/?uuid=ebd60753-e18e-4575-803f-dcdc56ae1d44"]},{"id":"ITEM-16","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Care","id":"ITEM-16","issued":{"date-parts":[["2020"]]},"page":"152-160","title":"Early outcomes from the English National Health Service diabetes prevention programme","type":"article-journal","volume":"43"},"uris":["http://www.mendeley.com/documents/?uuid=32a7a44a-df0b-4cde-9269-536e48e08190"]},{"id":"ITEM-17","itemData":{"DOI":"10.2337/dc10-0862","ISSN":"01495992","PMID":"20805260","abstract":"OBJECTIVE - To evaluate weight loss and cardiometabolic risk reduction achieved through an adapted Diabetes Prevention Program intervention among adults at high risk for cardiovascular disease (CVD) and diabetes. RESEARCH DESIGN AND METHODS - Eight health care facilities implemented a group-based lifestyle intervention beginning in 2008. Participants attended 16 weekly core sessions followed by 6 monthly after core sessions. RESULTS - A total of 1,003 participants were enrolled, 816 (81%) completed the core and 578 (58%) completed the after core. Of participants completing the core and after core, 45 and 49% achieved the 7% weight loss goal, respectively. There were significant improvements in blood pressure, fasting glucose, and LDL cholesterol among participants completing the intervention. CONCLUSIONS - Our findings indicate it is feasible for state-coordinated CVD and diabetes prevention programs to achieve significant weight loss and improve cardiometabolic risk. © 2010 by the American Diabetes Association.","author":[{"dropping-particle":"","family":"Vanderwood","given":"Karl K.","non-dropping-particle":"","parse-names":false,"suffix":""},{"dropping-particle":"","family":"Hall","given":"Taryn O.","non-dropping-particle":"","parse-names":false,"suffix":""},{"dropping-particle":"","family":"Harwell","given":"Todd S.","non-dropping-particle":"","parse-names":false,"suffix":""},{"dropping-particle":"","family":"Butcher","given":"Marcene K.","non-dropping-particle":"","parse-names":false,"suffix":""},{"dropping-particle":"","family":"Helgerson","given":"Steven D.","non-dropping-particle":"","parse-names":false,"suffix":""}],"container-title":"Diabetes Care","id":"ITEM-17","issue":"12","issued":{"date-parts":[["2010"]]},"page":"2543-2545","title":"Implementing a state-based cardiovascular disease and diabetes prevention program","type":"article-journal","volume":"33"},"uris":["http://www.mendeley.com/documents/?uuid=00dd954f-f142-412d-ba5d-4129e6937e67"]},{"id":"ITEM-18","itemData":{"DOI":"10.1016/j.diabres.2010.12.001","ISSN":"01688227","abstract":"Aims: This study evaluated factors associated with achievement or maintenance of a 7% weight loss goal post intervention among adults at high-risk for cardiovascular disease (CVD) and diabetes who participated in an adapted Diabetes Prevention Program (DPP) intervention. Materials and methods: High-risk adults completed the intervention in 2008 or 2009 (N= 466). In 2010, we conducted a follow-up survey of participants to assess characteristics, behaviors and barriers associated with the maintenance or achievement of the weight loss goal. Results: Thirty-nine percent of respondents (73/188) maintained or achieved the goal post intervention. Participants who achieved the goal were more likely to have attended more intervention sessions, and to have lost more weight during the intervention compared to participants who did not achieve the goal. Participants who achieved or maintained the goal post intervention were more likely to engage in behaviors related to weight loss maintenance. Discussion: Our findings suggest maintenance or achievement of a weight loss goal post intervention among participants in an adapted lifestyle intervention is consistent with the original DPP. Our findings also highlight the relationship between maintaining or achieving a weight loss goal post intervention and behaviors that can be reinforced and barriers that can be mitigated. © 2010 Elsevier Ireland Ltd.","author":[{"dropping-particle":"","family":"Vanderwood","given":"Karl K.","non-dropping-particle":"","parse-names":false,"suffix":""},{"dropping-particle":"","family":"Hall","given":"Taryn O.","non-dropping-particle":"","parse-names":false,"suffix":""},{"dropping-particle":"","family":"Harwell","given":"Todd S.","non-dropping-particle":"","parse-names":false,"suffix":""},{"dropping-particle":"","family":"Arave","given":"Diane","non-dropping-particle":"","parse-names":false,"suffix":""},{"dropping-particle":"","family":"Butcher","given":"Marcene K.","non-dropping-particle":"","parse-names":false,"suffix":""},{"dropping-particle":"","family":"Helgerson","given":"Steven D.","non-dropping-particle":"","parse-names":false,"suffix":""}],"container-title":"Diabetes Research and Clinical Practice","id":"ITEM-18","issue":"2","issued":{"date-parts":[["2011"]]},"page":"141-147","title":"Factors associated with the maintenance or achievement of the weight loss goal at follow-up among participants completing an adapted diabetes prevention program","type":"article-journal","volume":"91"},"uris":["http://www.mendeley.com/documents/?uuid=12f290a8-07ea-4469-a009-2e018b4c4f26"]},{"id":"ITEM-19","itemData":{"DOI":"10.1186/1471-2296-14-78","ISSN":"14712296","PMID":"23758998","abstract":"Background: As in clinical practice resources may be limited compared to experimental settings, translation of evidence-based lifestyle interventions into daily life settings is challenging. In this study we therefore evaluated the implementation of the APHRODITE lifestyle intervention for the prevention of type 2 diabetes in Dutch primary care. Based on this evaluation we discuss opportunities for refining intervention delivery. Methods: A 2.5-year intervention was performed in 14 general practices in the Netherlands among individuals at high risk for type 2 diabetes (FINDRISC-score ≥ 13) (n = 479) and was compared to usual care (n = 446). Intervention consisted of individual lifestyle counselling by nurse practitioners (n = 24) and GPs (n = 48) and group-consultations. Drop-out and attendance were registered during the programme. After the intervention, satisfaction with the programme and perceived implementation barriers were assessed with questionnaires. Results: Drop-out was modest (intervention: 14.6 %; usual care: 13.2 %) and attendance at individual consultations was high (intervention: 80-97 %; usual care: 86-94 %). Providers were confident about diabetes prevention by lifestyle intervention in primary care. Participants were more satisfied with counselling from nurse practitioners than from GPs. A major part of the GPs reported low self-efficacy regarding dietary guidance. Lack of counselling time (60 %), participant motivation (12 %), and financial reimbursement (11 %) were regarded by providers as important barriers for intervention implementation. Conclusions: High participant compliance and a positive attitude of providers make primary care a suitable setting for diabetes prevention by lifestyle counselling. Results support a role for the nurse practitioner as the key player in guiding lifestyle modification. Further research is needed on strategies that could increase cost-effectiveness, such as more stringent criteria for participant inclusion, group-counselling, more tailor-made counselling and integration of screening and / or interventions for different disorders.","author":[{"dropping-particle":"","family":"Vermunt","given":"P.W.A.","non-dropping-particle":"","parse-names":false,"suffix":""},{"dropping-particle":"","family":"Milder","given":"Ivon E.J.","non-dropping-particle":"","parse-names":false,"suffix":""},{"dropping-particle":"","family":"Wielaard","given":"Frits","non-dropping-particle":"","parse-names":false,"suffix":""},{"dropping-particle":"","family":"Baan","given":"Caroline A.","non-dropping-particle":"","parse-names":false,"suffix":""},{"dropping-particle":"","family":"Schelfhout","given":"Jos D.M.","non-dropping-particle":"","parse-names":false,"suffix":""},{"dropping-particle":"","family":"Westert","given":"Gert P.","non-dropping-particle":"","parse-names":false,"suffix":""},{"dropping-particle":"","family":"Oers","given":"Hans A.M.","non-dropping-particle":"Van","parse-names":false,"suffix":""}],"container-title":"BMC Family Practice","id":"ITEM-19","issue":"79","issued":{"date-parts":[["2012"]]},"title":"Implementation of a lifestyle intervention for type 2 diabetes prevention in Dutch primary care: opportunities for intervention content","type":"article-journal","volume":"13"},"uris":["http://www.mendeley.com/documents/?uuid=cc3c717b-0180-4c79-bf81-837570a8199e"]},{"id":"ITEM-20","itemData":{"DOI":"10.1016/j.diabres.2015.11.010","ISSN":"18728227","PMID":"26724186","abstract":"Aims/hypothesis: The Sydney Diabetes Prevention Program (SDPP) was a community-based type 2 diabetes prevention translational research study with screening and recruitment in the primary health care setting. We aimed to investigate the program's effectiveness in reducing risk factors for diabetes as well as the program's reach, adoption and implementation. Methods: 1238 participants aged 50-65 years at high-risk of developing type 2 diabetes were recruited by primary care physicians in the greater Sydney region. The intervention, delivered by trained allied health professionals, included an initial consultation, three group sessions/individual sessions, three follow-up phone calls, and a final review at 12 months. Biomarkers and behavioural goals were compared between baseline and 12 months. Results: At baseline, the mean age of those who entered the program was 58.8 ± 4.4 years, 63% female, and the mean body mass index was 31.6 ± 5.2 kg/m2. There was a significant weight reduction of 2 ± 4.3 kg (p &lt; 0.02) in the 850 participants who completed the 12-month follow-up accompanied by improvements in diet (total fat, saturated fat, and fibre intake) and physical activity. There were also significant reductions in waist circumference 2.6 ± 4.7 cm (p &lt; 0.001) and total cholesterol -0.2 ± 0.8 mmol/L (p &lt; 0.001) but not blood glucose. The diabetes risk reduction was estimated to be 30%, consistent with similar trials. Conclusions/interpretation: This study demonstrates that a community-based lifestyle modification program is effective in reducing important risk factors for diabetes in individuals at high-risk of developing type 2 diabetes.","author":[{"dropping-particle":"","family":"Vita","given":"Philip","non-dropping-particle":"","parse-names":false,"suffix":""},{"dropping-particle":"","family":"Cardona-Morrell","given":"Magnolia","non-dropping-particle":"","parse-names":false,"suffix":""},{"dropping-particle":"","family":"Bauman","given":"Adrian","non-dropping-particle":"","parse-names":false,"suffix":""},{"dropping-particle":"","family":"Singh","given":"Maria Fiatarone","non-dropping-particle":"","parse-names":false,"suffix":""},{"dropping-particle":"","family":"Moore","given":"Michael","non-dropping-particle":"","parse-names":false,"suffix":""},{"dropping-particle":"","family":"Pennock","given":"Rene","non-dropping-particle":"","parse-names":false,"suffix":""},{"dropping-particle":"","family":"Snow","given":"Jill","non-dropping-particle":"","parse-names":false,"suffix":""},{"dropping-particle":"","family":"Williams","given":"Mandy","non-dropping-particle":"","parse-names":false,"suffix":""},{"dropping-particle":"","family":"Jackson","given":"Lilian","non-dropping-particle":"","parse-names":false,"suffix":""},{"dropping-particle":"","family":"Milat","given":"Andrew","non-dropping-particle":"","parse-names":false,"suffix":""},{"dropping-particle":"","family":"Colagiuri","given":"Stephen","non-dropping-particle":"","parse-names":false,"suffix":""}],"container-title":"Diabetes Research and Clinical Practice","id":"ITEM-20","issued":{"date-parts":[["2016"]]},"page":"13-19","publisher":"Elsevier Ireland Ltd","title":"Type 2 diabetes prevention in the community: 12-month outcomes from the Sydney diabetes prevention program","type":"article-journal","volume":"112"},"uris":["http://www.mendeley.com/documents/?uuid=2a083f9e-7958-4f53-b930-1e6a977893c9"]},{"id":"ITEM-21","itemData":{"DOI":"10.1097/NNR.0b013e31818fcef3.Translating","author":[{"dropping-particle":"","family":"Whittemore","given":"R.","non-dropping-particle":"","parse-names":false,"suffix":""},{"dropping-particle":"","family":"Melkus","given":"G.","non-dropping-particle":"","parse-names":false,"suffix":""},{"dropping-particle":"","family":"Wagner","given":"J.","non-dropping-particle":"","parse-names":false,"suffix":""},{"dropping-particle":"","family":"Northrup","given":"V.","non-dropping-particle":"","parse-names":false,"suffix":""},{"dropping-particle":"","family":"Dziura","given":"J.","non-dropping-particle":"","parse-names":false,"suffix":""},{"dropping-particle":"","family":"Grey","given":"M.","non-dropping-particle":"","parse-names":false,"suffix":""}],"container-title":"Nursing Research","id":"ITEM-21","issue":"1","issued":{"date-parts":[["2009"]]},"page":"2-12","title":"Translating the diabetes prevention program to primary care: a pilot study","type":"article-journal","volume":"58"},"uris":["http://www.mendeley.com/documents/?uuid=a3464f28-0630-422a-9b5a-63598fe56b14"]},{"id":"ITEM-22","itemData":{"ISSN":"20524897","PMID":"33303493","abstract":"Introduction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Care","id":"ITEM-22","issued":{"date-parts":[["2020"]]},"page":"e001835","title":"'Going the distance': an independent cohort study of engagement and dropout among the first 100 000 referrals into a large-scale diabetes prevention program","type":"article-journal","volume":"8"},"uris":["http://www.mendeley.com/documents/?uuid=40d46080-9604-42ba-942c-0e13d9f1562f"]}],"mendeley":{"formattedCitation":"(Bozack et al., 2014; Brokaw et al., 2015; Cannon et al., 2020; Chin et al., 2020; Conlon et al., 2015; Eaglehouse et al., 2017; Ely et al., 2017; Gray et al., 2016; Guyse et al., 2011; Howarth et al., 2020; Jeffers et al., 2019; Jiang et al., 2013; Kramer et al., 2009; Lim et al., 2017; Ritchie et al., 2017; J. R. Smith et al., 2019; Valabhji et al., 2020; Vanderwood et al., 2010, 2011; Vermunt et al., 2012; Vita et al., 2016; Whittemore et al., 2009)","manualFormatting":"(Bozack et al., 2014; Brokaw et al., 2015; Cannon et al., 2020; Chin et al., 2020; Conlon et al., 2015; Eaglehouse et al., 2017; Ely et al., 2017; Gray et al., 2016; Guyse et al., 2011; Howarth et al., 2020; Jeffers et al., 2019; Jiang et al., 2013; Kramer et al., 2009; Lim et al., 2017; Ritchie et al., 2017; Smith et al., 2019; Valabhji et al., 2020; Vanderwood et al., 2010, 2011; Vermunt et al., 2012; Vita et al., 2016; Whittemore et al., 2009)","plainTextFormattedCitation":"(Bozack et al., 2014; Brokaw et al., 2015; Cannon et al., 2020; Chin et al., 2020; Conlon et al., 2015; Eaglehouse et al., 2017; Ely et al., 2017; Gray et al., 2016; Guyse et al., 2011; Howarth et al., 2020; Jeffers et al., 2019; Jiang et al., 2013; Kramer et al., 2009; Lim et al., 2017; Ritchie et al., 2017; J. R. Smith et al., 2019; Valabhji et al., 2020; Vanderwood et al., 2010, 2011; Vermunt et al., 2012; Vita et al., 2016; Whittemore et al., 2009)","previouslyFormattedCitation":"(Bozack et al., 2014; Brokaw et al., 2015; Cannon et al., 2020; Chin et al., 2020; Conlon et al., 2015; Eaglehouse et al., 2017; Ely et al., 2017; Gray et al., 2016; Guyse et al., 2011; Howarth et al., 2020; Jeffers et al., 2019; Jiang et al., 2013; Kramer et al., 2009; Lim et al., 2017; Ritchie et al., 2017; J. R. Smith et al., 2019; Valabhji et al., 2020; Vanderwood et al., 2010, 2011; Vermunt et al., 2012; Vita et al., 2016; Whittemore et al., 2009)"},"properties":{"noteIndex":0},"schema":"https://github.com/citation-style-language/schema/raw/master/csl-citation.json"}</w:instrText>
      </w:r>
      <w:r w:rsidR="00717295" w:rsidRPr="00103A0B">
        <w:rPr>
          <w:rFonts w:ascii="Arial" w:hAnsi="Arial" w:cs="Arial"/>
          <w:sz w:val="24"/>
          <w:szCs w:val="24"/>
        </w:rPr>
        <w:fldChar w:fldCharType="separate"/>
      </w:r>
      <w:r w:rsidR="005C6715" w:rsidRPr="00103A0B">
        <w:rPr>
          <w:rFonts w:ascii="Arial" w:hAnsi="Arial" w:cs="Arial"/>
          <w:noProof/>
          <w:sz w:val="24"/>
          <w:szCs w:val="24"/>
        </w:rPr>
        <w:t>(Bozack et al., 2014; Brokaw et al., 2015; Cannon et al., 2020; Chin et al., 2020; Conlon et al., 2015; Eaglehouse et al., 2017; Ely et al., 2017; Gray et al., 2016; Guyse et al., 2011; Howarth et al., 2020; Jeffers et al., 2019; Jiang et al., 2013; Kramer et al., 2009; Lim et al., 2017; Ritchie et al., 2017; Smith et al., 2019; Valabhji et al., 2020; Vanderwood et al., 2010, 2011; Vermunt et al., 2012; Vita et al., 2016; Whittemore et al., 2009)</w:t>
      </w:r>
      <w:r w:rsidR="00717295" w:rsidRPr="00103A0B">
        <w:rPr>
          <w:rFonts w:ascii="Arial" w:hAnsi="Arial" w:cs="Arial"/>
          <w:sz w:val="24"/>
          <w:szCs w:val="24"/>
        </w:rPr>
        <w:fldChar w:fldCharType="end"/>
      </w:r>
      <w:r w:rsidR="00717295" w:rsidRPr="00103A0B">
        <w:rPr>
          <w:rFonts w:ascii="Arial" w:hAnsi="Arial" w:cs="Arial"/>
          <w:sz w:val="24"/>
          <w:szCs w:val="24"/>
        </w:rPr>
        <w:t>.</w:t>
      </w:r>
      <w:r w:rsidR="00833C44" w:rsidRPr="00103A0B">
        <w:rPr>
          <w:rFonts w:ascii="Arial" w:hAnsi="Arial" w:cs="Arial"/>
          <w:sz w:val="24"/>
          <w:szCs w:val="24"/>
        </w:rPr>
        <w:t xml:space="preserve"> </w:t>
      </w:r>
    </w:p>
    <w:p w14:paraId="11DE1DAC" w14:textId="46574A1B" w:rsidR="002D3F5D" w:rsidRPr="00103A0B" w:rsidRDefault="00C42E5F" w:rsidP="009B6D84">
      <w:pPr>
        <w:keepLines/>
        <w:jc w:val="both"/>
        <w:rPr>
          <w:rFonts w:ascii="Arial" w:hAnsi="Arial" w:cs="Arial"/>
          <w:i/>
          <w:iCs/>
          <w:sz w:val="24"/>
          <w:szCs w:val="24"/>
        </w:rPr>
      </w:pPr>
      <w:r w:rsidRPr="00103A0B">
        <w:rPr>
          <w:rFonts w:ascii="Arial" w:hAnsi="Arial" w:cs="Arial"/>
          <w:i/>
          <w:iCs/>
          <w:sz w:val="24"/>
          <w:szCs w:val="24"/>
        </w:rPr>
        <w:t xml:space="preserve">1.7.2 </w:t>
      </w:r>
      <w:r w:rsidR="003F54B5" w:rsidRPr="00103A0B">
        <w:rPr>
          <w:rFonts w:ascii="Arial" w:hAnsi="Arial" w:cs="Arial"/>
          <w:i/>
          <w:iCs/>
          <w:sz w:val="24"/>
          <w:szCs w:val="24"/>
        </w:rPr>
        <w:t>Sex</w:t>
      </w:r>
    </w:p>
    <w:p w14:paraId="2AA55520" w14:textId="6A899E82" w:rsidR="003F54B5" w:rsidRPr="00103A0B" w:rsidRDefault="003F54B5" w:rsidP="00CD5919">
      <w:pPr>
        <w:spacing w:line="360" w:lineRule="auto"/>
        <w:jc w:val="both"/>
        <w:rPr>
          <w:rFonts w:ascii="Arial" w:hAnsi="Arial" w:cs="Arial"/>
          <w:sz w:val="24"/>
          <w:szCs w:val="24"/>
        </w:rPr>
      </w:pPr>
      <w:r w:rsidRPr="00103A0B">
        <w:rPr>
          <w:rFonts w:ascii="Arial" w:hAnsi="Arial" w:cs="Arial"/>
          <w:sz w:val="24"/>
          <w:szCs w:val="24"/>
        </w:rPr>
        <w:t xml:space="preserve">Sex is another risk factor for T2DM, as rates of T2DM are higher in males than females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{"citationItems":[{"id":"ITEM-1","itemData":{"DOI":"10.1016/S0140-6736(07)60361-4","ISSN":"01406736","PMID":"17336651","abstract":"Background: The prevalence of diabetes has been increasing greatly, but WHO's predicted 39% rise in the global rate of diabetes from 2000 to 2030 might be an underestimate. We aimed to assess diabetes trends in Ontario, Canada. Methods: Using population-based data, including a validated diabetes database from the province of Ontario, Canada, we examined trends in diabetes prevalence and mortality from 1995 to 2005, and incidence from 1997 to 2003, in adults aged 20 years or older. Findings: Age-adjusted and sex-adjusted diabetes prevalence increased by 69%, from 5·2% in a population of 7 908 562 in 1995 to 8·8% of 9 276 945 in 2005. Prevalence increased by 27% from 6·9% in a population of 8 457 720 in 2000 to 8·8% of 9 276 945 in 2005. Although prevalence rates have remained higher in people aged 50 years or older (7·1% of 3 675 554) than in those aged 20-49 years (3·5% of 5 601 391), rates increased to a greater extent in the younger population (94% vs 63%, p&lt;0·0001). A 31% increase occurred in yearly incidence over 6 years, from 6·6 per 1000 in 1997 to 8·2 per 1000 in 2003. The adjusted mortality rate in people with diabetes fell by 25% from 1995 to 2005. Interpretation: The prevalence of diabetes in Ontario, Canada increased substantially during the past 10 years, and by 2005 already exceeded the global rate that was predicted for 2030. This increase in prevalence is attributable to both rising incidence and declining mortality. Effective public-health interventions aimed at diabetes prevention are needed, as well as improved resources to manage the greater number of people living longer with the disease. © 2007 Elsevier Ltd. All rights reserved.","author":[{"dropping-particle":"","family":"Lipscombe","given":"Lorraine L.","non-dropping-particle":"","parse-names":false,"suffix":""},{"dropping-particle":"","family":"Hux","given":"Janet E.","non-dropping-particle":"","parse-names":false,"suffix":""}],"container-title":"Lancet","id":"ITEM-1","issue":"9563","issued":{"date-parts":[["2007"]]},"page":"750-756","title":"Trends in diabetes prevalence, incidence, and mortality in Ontario, Canada 1995-2005: a population-based study","type":"article-journal","volume":"369"},"uris":["http://www.mendeley.com/documents/?uuid=0181ecb7-5a28-4aed-9402-3594f1971c58"]}],"mendeley":{"formattedCitation":"(Lipscombe &amp; Hux, 2007)","plainTextFormattedCitation":"(Lipscombe &amp; Hux, 2007)","previouslyFormattedCitation":"(Lipscombe &amp; Hux,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(Lipscombe &amp; Hux, 2007)</w:t>
      </w:r>
      <w:r w:rsidRPr="00103A0B">
        <w:rPr>
          <w:rFonts w:ascii="Arial" w:hAnsi="Arial" w:cs="Arial"/>
          <w:sz w:val="24"/>
          <w:szCs w:val="24"/>
        </w:rPr>
        <w:fldChar w:fldCharType="end"/>
      </w:r>
      <w:r w:rsidRPr="00103A0B">
        <w:rPr>
          <w:rFonts w:ascii="Arial" w:hAnsi="Arial" w:cs="Arial"/>
          <w:sz w:val="24"/>
          <w:szCs w:val="24"/>
        </w:rPr>
        <w:t xml:space="preserve">. Although a few DPPs have found there are no significant differences by sex in uptake </w:t>
      </w:r>
      <w:r w:rsidRPr="00103A0B">
        <w:rPr>
          <w:rFonts w:ascii="Arial" w:hAnsi="Arial" w:cs="Arial"/>
          <w:sz w:val="24"/>
          <w:szCs w:val="24"/>
        </w:rPr>
        <w:fldChar w:fldCharType="begin" w:fldLock="1"/>
      </w:r>
      <w:r w:rsidR="00926B09" w:rsidRPr="00103A0B">
        <w:rPr>
          <w:rFonts w:ascii="Arial" w:hAnsi="Arial" w:cs="Arial"/>
          <w:sz w:val="24"/>
          <w:szCs w:val="24"/>
        </w:rPr>
        <w:instrText>ADDIN CSL_CITATION {"citationItems":[{"id":"ITEM-1","itemData":{"DOI":"10.5888/pcd14.160486","ISSN":"15451151","PMID":"28358669","abstract":"METHODS: Among Montefiore Health System (MHS) patients referred to YMCA's DPP (n = 1,249) from July 10, 2010, through November 11, 2015, we identified demographic factors (eg, age, preferred language) and primary care practice-level factors (eg, time between referral and start of session, session season) associated with placement into a session and subsequent drop-out. We also evaluated factors associated with weight loss. RESULTS: Patients were predominantly female (71%) and aged 45 years or older (71%). Patients preferring sessions in Spanish were less often placed in sessions. Patients aged 18 to 44 years were less often placed (P = .01) and enrolled (P = .001) than patients aged 60 years or older. Sessions conducted in the summer and spring had higher enrollment than fall and winter months. Patients who started the YMCA's DPP within 2 months of their referral date were more often enrolled (54.4%) than patients who waited 4 or more months (21.6%) to start their sessions. Patients aged 45 to 59 years lost marginally less weight than those aged 60 years or older (-3.1% vs -3.8%; P = .07). CONCLUSION: Although this evaluation gives some insight into the barriers to placement and enrollment in YMCA's DPP, challenges remain. Efforts are under way to increase referral of patients to community-based DPPs. INTRODUCTION: The reach of the New York State YMCA's Diabetes Prevention Program (DPP) to at-risk populations may be increased through integration with primary care settings. Although considerable effort has been made in the referral and retention of patients, little is known about the factors associated with the placement of potential participants into YMCA's DPP.","author":[{"dropping-particle":"","family":"Chambers","given":"Earle C.","non-dropping-particle":"","parse-names":false,"suffix":""},{"dropping-particle":"","family":"Rehm","given":"Colin D.","non-dropping-particle":"","parse-names":false,"suffix":""},{"dropping-particle":"","family":"Correra","given":"Jordan","non-dropping-particle":"","parse-names":false,"suffix":""},{"dropping-particle":"","family":"Garcia","given":"Lydia Elena","non-dropping-particle":"","parse-names":false,"suffix":""},{"dropping-particle":"","family":"Marquez","given":"Melinda E.","non-dropping-particle":"","parse-names":false,"suffix":""},{"dropping-particle":"","family":"Wylie-Rosett","given":"Judith","non-dropping-particle":"","parse-names":false,"suffix":""},{"dropping-particle":"","family":"Parsons","given":"Amanda","non-dropping-particle":"","parse-names":false,"suffix":""}],"container-title":"Preventing chronic disease","id":"ITEM-1","issued":{"date-parts":[["2017"]]},"page":"160486","title":"Factors in placement and enrollment of primary care patients in YMCA's diabetes prevention program, Bronx, New York, 2010-2015","type":"article-journal","volume":"14"},"uris":["http://www.mendeley.com/documents/?uuid=0d9fc92b-598e-49f9-96f9-4c3ac5ce7eac"]},{"id":"ITEM-2","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Medicine","id":"ITEM-2","issued":{"date-parts":[["2018"]]},"page":"513-518","title":"Progress of the healthier you: NHS diabetes prevention programme: referrals, uptake and participant characteristics","type":"article-journal","volume":"35"},"uris":["http://www.mendeley.com/documents/?uuid=1f5d47f1-f2c9-41a7-af24-e63deeae9374"]}],"mendeley":{"formattedCitation":"(Barron et al., 2018; Chambers et al., 2017)","plainTextFormattedCitation":"(Barron et al., 2018; Chambers et al., 2017)","previouslyFormattedCitation":"(Barron et al., 2018; Chambers et al., 2017)"},"properties":{"noteIndex":0},"schema":"https://github.com/citation-style-language/schema/raw/master/csl-citation.json"}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(Barron et al., 2018; Chambers et al., 2017)</w:t>
      </w:r>
      <w:r w:rsidRPr="00103A0B">
        <w:rPr>
          <w:rFonts w:ascii="Arial" w:hAnsi="Arial" w:cs="Arial"/>
          <w:sz w:val="24"/>
          <w:szCs w:val="24"/>
        </w:rPr>
        <w:fldChar w:fldCharType="end"/>
      </w:r>
      <w:r w:rsidRPr="00103A0B">
        <w:rPr>
          <w:rFonts w:ascii="Arial" w:hAnsi="Arial" w:cs="Arial"/>
          <w:sz w:val="24"/>
          <w:szCs w:val="24"/>
        </w:rPr>
        <w:t xml:space="preserve"> and others have found males are more likely to attend </w:t>
      </w:r>
      <w:r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{"citationItems":[{"id":"ITEM-1","itemData":{"DOI":"10.1093/pubmed/fdv110","ISSN":"17413850","PMID":"26311822","abstract":"Background We report development of a group-based lifestyle intervention, Let's Prevent, using the UK Medical Research Council (MRC) framework, and delivered by structured education to prevent type 2 diabetes mellitus (T2DM) in people with impaired glucose regulation (IGR) in a UK multi-ethnic population. Methods Diabetes Education and Self-Management for Ongoing and Newly Diagnosed (DESMOND) is the first national T2DM programme that meets National Institute for Health and Care Excellence criteria and formed the basis for Let's Prevent. An iterative cycle of initial development, piloting, collecting and collating qualitative and quantitative data, and reflection and modification, was used to inform and refine lifestyle intervention until it was fit for evaluation in a definitive randomized controlled trial (RCT). The programme encouraged IGR self-management using simple, non-technical language and visual aids. Results Qualitative and quantitative data suggested that intervention resulted in beneficial short-term behaviour change such as healthier eating patterns, improved health beliefs and greater participant motivation and empowerment. We also demonstrated that recruitment strategy and data collection methods were feasible for RCT implementation. Conclusions Let's Prevent was developed following successful application of MRC framework criteria and the subsequent RCT will determine whether it is feasible, reliable and transferable from research into a real-world NHS primary healthcare setting. Trial Registration ISRCTN80605705.","author":[{"dropping-particle":"","family":"Troughton","given":"Jacqui","non-dropping-particle":"","parse-names":false,"suffix":""},{"dropping-particle":"","family":"Chatterjee","given":"Sudesna","non-dropping-particle":"","parse-names":false,"suffix":""},{"dropping-particle":"","family":"Hill","given":"Siân E.","non-dropping-particle":"","parse-names":false,"suffix":""},{"dropping-particle":"","family":"Daly","given":"Heather","non-dropping-particle":"","parse-names":false,"suffix":""},{"dropping-particle":"","family":"Martin Stacey","given":"Lorraine","non-dropping-particle":"","parse-names":false,"suffix":""},{"dropping-particle":"","family":"Stone","given":"Margaret A.","non-dropping-particle":"","parse-names":false,"suffix":""},{"dropping-particle":"","family":"Patel","given":"Naina","non-dropping-particle":"","parse-names":false,"suffix":""},{"dropping-particle":"","family":"Khunti","given":"Kamlesh","non-dropping-particle":"","parse-names":false,"suffix":""},{"dropping-particle":"","family":"Yates","given":"Thomas","non-dropping-particle":"","parse-names":false,"suffix":""},{"dropping-particle":"","family":"Gray","given":"Laura J.","non-dropping-particle":"","parse-names":false,"suffix":""},{"dropping-particle":"","family":"Davies","given":"Melanie J.","non-dropping-particle":"","parse-names":false,"suffix":""}],"container-title":"Journal of Public Health","id":"ITEM-1","issue":"3","issued":{"date-parts":[["2015"]]},"page":"493-501","title":"Development of a lifestyle intervention using the MRC framework for diabetes prevention in people with impaired glucose regulation","type":"article-journal","volume":"38"},"uris":["http://www.mendeley.com/documents/?uuid=e7f6d712-b9e9-4c8b-8f15-7c6fe6d8cd3f"]},{"id":"ITEM-2","itemData":{"ISBN":"1549-1277","ISSN":"15491676","PMID":"27404094","abstract":"BACKGROUND: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Medicine","id":"ITEM-2","issue":"7","issued":{"date-parts":[["2016"]]},"page":"e1002078","title":"Engagement, retention, and progression to type 2 diabetes: a retrospective analysis of the cluster-randomised \"Let's Prevent Diabetes\" trial","type":"article-journal","volume":"13"},"uris":["http://www.mendeley.com/documents/?uuid=34e3af29-349e-4120-a3cb-a3a7408ba3b4"]}],"mendeley":{"formattedCitation":"(Gray et al., 2016; Troughton et al., 2015)","plainTextFormattedCitation":"(Gray et al., 2016; Troughton et al., 2015)","previouslyFormattedCitation":"(Gray et al., 2016; Troughton et al.,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(Gray et al., 2016; Troughton et al., 2015)</w:t>
      </w:r>
      <w:r w:rsidRPr="00103A0B">
        <w:rPr>
          <w:rFonts w:ascii="Arial" w:hAnsi="Arial" w:cs="Arial"/>
          <w:sz w:val="24"/>
          <w:szCs w:val="24"/>
        </w:rPr>
        <w:fldChar w:fldCharType="end"/>
      </w:r>
      <w:r w:rsidRPr="00103A0B">
        <w:rPr>
          <w:rFonts w:ascii="Arial" w:hAnsi="Arial" w:cs="Arial"/>
          <w:sz w:val="24"/>
          <w:szCs w:val="24"/>
        </w:rPr>
        <w:t xml:space="preserve">, the majority of DPPs report females are more likely to be interested and go on to start when compared to males who are more likely to become non-attenders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DOI":"10.1111/phn.12093","author":[{"dropping-particle":"","family":"Whittemore","given":"R","non-dropping-particle":"","parse-names":false,"suffix":""},{"dropping-particle":"","family":"Rosenberg","given":"A","non-dropping-particle":"","parse-names":false,"suffix":""},{"dropping-particle":"","family":"Gilmore","given":"L","non-dropping-particle":"","parse-names":false,"suffix":""},{"dropping-particle":"","family":"Withey","given":"Mary","non-dropping-particle":"","parse-names":false,"suffix":""},{"dropping-particle":"","family":"Breault","given":"Allison","non-dropping-particle":"","parse-names":false,"suffix":""}],"container-title":"Public Health Nursing","id":"ITEM-1","issue":"4","issued":{"date-parts":[["2014"]]},"page":"317-326","title":"Implementation of a diabetes prevention program in public housing communities","type":"article-journal","volume":"31"},"uris":["http://www.mendeley.com/documents/?uuid=df520635-dde4-4267-afd4-849f5c5c578e"]},{"id":"ITEM-2","itemData":{"DOI":"https://doi.org/10.5888/ pcd14.160556.","author":[{"dropping-particle":"","family":"Brunisholz","given":"Kimberly D","non-dropping-particle":"","parse-names":false,"suffix":""},{"dropping-particle":"","family":"Kim","given":"Jaewhan","non-dropping-particle":"","parse-names":false,"suffix":""},{"dropping-particle":"","family":"Savitz","given":"Lucy A","non-dropping-particle":"","parse-names":false,"suffix":""},{"dropping-particle":"","family":"Hashibe","given":"Mia","non-dropping-particle":"","parse-names":false,"suffix":""},{"dropping-particle":"","family":"Gren","given":"Lisa H","non-dropping-particle":"","parse-names":false,"suffix":""},{"dropping-particle":"","family":"Hamilton","given":"Sharon","non-dropping-particle":"","parse-names":false,"suffix":""},{"dropping-particle":"","family":"Huynh","given":"Kelly","non-dropping-particle":"","parse-names":false,"suffix":""},{"dropping-particle":"","family":"Joy","given":"Elizabeth A","non-dropping-particle":"","parse-names":false,"suffix":""}],"container-title":"Preventing Chronic Disease","id":"ITEM-2","issued":{"date-parts":[["2017"]]},"page":"160556","title":"A formative evaluation of a diabetes prevention program using the RE-AIM framework in a learning health care system, Utah, 2013–2015","type":"article-journal","volume":"14"},"uris":["http://www.mendeley.com/documents/?uuid=fc6c352b-1b45-4287-b76a-47d77e2d84ad"]},{"id":"ITEM-3","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Medicine","id":"ITEM-3","issued":{"date-parts":[["2018"]]},"page":"513-518","title":"Progress of the healthier you: NHS diabetes prevention programme: referrals, uptake and participant characteristics","type":"article-journal","volume":"35"},"uris":["http://www.mendeley.com/documents/?uuid=1f5d47f1-f2c9-41a7-af24-e63deeae9374"]},{"id":"ITEM-4","itemData":{"DOI":"10.1016/j.diabres.2018.01.006","ISSN":"1872-8227","abstract":"Aims: We assessed the effectiveness of a Type 2 diabetes mellitus (T2D) prevention programme in routine primary health care (PHC) in high-risk patients.; Methods: Phase IV cluster clinical trial involving 14 PHC centres in the Basque Health Service were randomised to the DE-PLAN educational healthy lifestyle promotion programme or standard care. All non-diabetic 45- to 70-year-old PHC attendees considered at high risk of T2D (FINDRISC ≥ 14 points) were eligible. The primary outcome was the 24-month cumulative incidence of T2D confirmed by oral glucose tolerance testing. Secondary outcomes were self-reported physical activity and dietary changes at 12 months in a subsample.; Results: Of the 4170 patients screened, 2128 (51%) were considered high risk, but 355 (33%) and 459 (43.6%) refused to participate in the control and intervention groups, respectively. Of all eligible non-diabetic patients, 634 and 454 were included in the control and intervention arms, 545 (85.9%) and 411 (90.5%) completed the follow-up. Intention-to-treat cumulative incidences of T2D were 12.1% (77/634) in the control group and 8.4% (38/454) in intervention group, with an absolute difference of 3.8% (95% CI: 0.18%-7.4%, p = 0.045) and a relative risk reduction of 32% (0.68; 95% CI: 0.47-0.99, p = 0.048) in favour of the intervention. Intervention patients were 1.83-fold more likely to meet recommended physical activity levels at 12 months (95% CI: 1.06-3.17, p = 0.03).; Conclusions: The DE-PLAN programme was effective in reducing T2D incidence in PHC high-risk patients. Research on implementation strategies to improve its feasible and sustainable adoption, reach and public health impact is warranted.; Copyright © 2018 Elsevier B.V. All rights reserved.","author":[{"dropping-particle":"","family":"Sanchez","given":"Alvaro","non-dropping-particle":"","parse-names":false,"suffix":""},{"dropping-particle":"","family":"Silvestre","given":"Carmen","non-dropping-particle":"","parse-names":false,"suffix":""},{"dropping-particle":"","family":"Campo","given":"Natalia","non-dropping-particle":"","parse-names":false,"suffix":""},{"dropping-particle":"","family":"Grandes","given":"Gonzalo","non-dropping-particle":"","parse-names":false,"suffix":""}],"container-title":"Diabetes Research And Clinical Practice","id":"ITEM-4","issued":{"date-parts":[["2018","5"]]},"note":"Accession Number: 29476888. Corporate Author: PredDE Group. Language: English. Date Revised: 20180612. Date Created: 20180225. Date Completed: 20180612. Update Code: 20180613. Publication Type: Clinical Trial, Phase IV. Journal ID: 8508335. Publication Model: Print-Electronic. Cited Medium: Internet. NLM ISO Abbr: Diabetes Res. Clin. Pract.. Linking ISSN: 01688227. Subset: IM; Date of Electronic Publication: 2018 Feb 21. Current Imprints: Publication: 1993- : Limerick : Elsevier Scientific Publishers; Original Imprints: Publication: Amsterdam : Elsevier Science Publishers B.V., c1985-","page":"32-42","publisher":"Elsevier Scientific Publishers","publisher-place":"Primary Care Research Unit of Bizkaia, Basque Healthcare Service - Osakidetza, BioCruces Health Research Institute, Luis Power 18, E48014 Bilbao, Spain. Electronic address: alvaro.sanchezperez@osakidetza.eus.","title":"Effective translation of a type-2 diabetes primary prevention programme into routine primary care: the PreDE cluster randomised clinical trial.","type":"article-journal","volume":"139"},"uris":["http://www.mendeley.com/documents/?uuid=1d0dd8a7-b1dc-4936-a875-0494b09fba08"]},{"id":"ITEM-5","itemData":{"DOI":"10.2337/dc19-2366","ISSN":"0149-5992","abstract":"OBJECTIVE: To assess retention in the National Diabetes Prevention Program (DPP) lifestyle change program, which seeks to prevent type 2 diabetes in adults at high risk. RESEARCH DESIGN AND METHODS: We analyzed retention among 41,203 individuals who enrolled in Centers for Disease Control and Prevention (CDC)-recognized in-person lifestyle change programs at organizations that submitted data to CDC's Diabetes Prevention Recognition Program during January 2012-February 2017. RESULTS: Weekly attrition rates were typically &lt;1-2% but were between 3.5% and 5% at week 2 and at weeks 17 and 18, where session frequency typically transitions from weekly to monthly. The percent of participants retained through 18 weeks varied by age (45.9% for 18-29 year olds, 53.4% for 30-44 year olds, 60.2% for 45-54 year olds, 66.7% for 55-64 year olds, and 67.6% for ≥65 year olds), race/ethnicity (70.5% for non-Hispanic whites, 60.5% for non-Hispanic blacks, 52.6% for Hispanics, and 50.6% for other), mean weekly percentage of body weight lost (41.0% for ≤0% lost, 66.2% for &gt;0 to &lt;0.25% lost, 72.9% for 0.25 to &lt;0.5% lost, and 73.9% for ≥0.5% lost), and mean weekly physical activity minutes (12.8% for 0 min, 56.1% for &gt;0 to &lt;60 min, 74.8% for 60 to &lt;150 min, and 82.8% for ≥150 min) but not by sex (63.0% for men and 63.1% for women). CONCLUSIONS: Our results demonstrate the need to identify strategies to improve retention, especially among individuals who are younger or are members of racial/ethnic minority populations and among those who report less physical activity or less early weight loss. Strategies that address retention after the first session and during the transition from weekly to monthly sessions offer the greatest opportunity for impact.","author":[{"dropping-particle":"","family":"Cannon","given":"Michael J.","non-dropping-particle":"","parse-names":false,"suffix":""},{"dropping-particle":"","family":"Masalovich","given":"Svetlana","non-dropping-particle":"","parse-names":false,"suffix":""},{"dropping-particle":"","family":"Ng","given":"Boon Peng","non-dropping-particle":"","parse-names":false,"suffix":""},{"dropping-particle":"","family":"Soler","given":"Robin E.","non-dropping-particle":"","parse-names":false,"suffix":""},{"dropping-particle":"","family":"Jabrah","given":"Rajai","non-dropping-particle":"","parse-names":false,"suffix":""},{"dropping-particle":"","family":"Ely","given":"Elizabeth K.","non-dropping-particle":"","parse-names":false,"suffix":""},{"dropping-particle":"","family":"Smith","given":"Bryce D.","non-dropping-particle":"","parse-names":false,"suffix":""}],"container-title":"Diabetes Care","id":"ITEM-5","issue":"9","issued":{"date-parts":[["2020"]]},"page":"2042-2049","title":"Retention among participants in the national diabetes prevention program lifestyle change program, 2012–2017","type":"article-journal","volume":"43"},"uris":["http://www.mendeley.com/documents/?uuid=eed9f8c6-e26e-4c4e-b26e-930df126d002"]},{"id":"ITEM-6","itemData":{"DOI":"10.1177/0145721719880503","ISSN":"15546063","PMID":"31608798","abstract":"Purpose: The purpose of this study was to identify patient and program delivery characteristics associated with engagement and weight loss in a Diabetes Prevention Program (DPP) implemented in an urban hospital system. Methods: Patient and program delivery data were collected between July 2015 and December 2017. DPP eligibility was determined based on age, body mass index (BMI), and hemoglobin A1C data via the electronic health record. Engagement was measured at 3 levels: ≤3 sessions, 4 to 8 sessions, and ≥9 sessions. Weight was measured at each DPP session. Results: Among the eligible patients (N = 31 524), referrals and engagement were lower in men than women, in Spanish speakers than English speakers, in younger (18-34 years) and middle-aged (35-54 years) than older adults, and in patients receiving Medicaid than other patients. Referral and engagement were higher in patients with higher BMIs and those prescribed ≥5 medications. Current smokers were less frequently engaged. Prior health care provider contact was associated with higher engagement. Overall, 28% of DPP participants achieved ≥5% weight loss; younger and middle-aged patients and those who gained weight in the prior 2 years were less likely to lose weight. Conclusion: This assessment identified characteristics of patients with lower levels of referral and engagement. The DPP staff may need to increase outreach to address barriers to referral and during all points of engagement among men, younger patients, and Spanish speakers. Future research is needed to increase understanding with regard to why referrals and engagement are lower among these groups.","author":[{"dropping-particle":"","family":"Chambers","given":"Earle C.","non-dropping-particle":"","parse-names":false,"suffix":""},{"dropping-particle":"","family":"Gonzalez","given":"Jeffrey S.","non-dropping-particle":"","parse-names":false,"suffix":""},{"dropping-particle":"","family":"Marquez","given":"Melinda E.","non-dropping-particle":"","parse-names":false,"suffix":""},{"dropping-particle":"","family":"Parsons","given":"Amanda","non-dropping-particle":"","parse-names":false,"suffix":""},{"dropping-particle":"","family":"Rehm","given":"Colin D.","non-dropping-particle":"","parse-names":false,"suffix":""}],"container-title":"Diabetes Educator","id":"ITEM-6","issue":"6","issued":{"date-parts":[["2019"]]},"page":"616-628","title":"The reach of an urban hospital system-based diabetes prevention program: patient engagement and weight loss characteristics","type":"article-journal","volume":"45"},"uris":["http://www.mendeley.com/documents/?uuid=39c758bb-06e6-4f36-bd99-5bdeb83ca01e"]},{"id":"ITEM-7","itemData":{"DOI":"10.1177/1557988318758788","ISSN":"15579891","abstract":"The Diabetes Prevention Program (DPP) landmark randomized trial demonstrated that participants with prediabetes could reduce their risk for type 2 diabetes by 58% if they achieved 5%–7% weight loss through healthy eating and increasing physical activity. The National DPP (NDPP) is a group intervention based on the DPP and has been widely disseminated by the Centers for Disease Control and Prevention (CDC) and many healthcare institutions. While data show that the program is effective in diverse populations, enrollment among men from low-income and minority communities is low. Thus, the study piloted a novel adaptation focused on men living in disadvantaged neighborhoods. The study approach to adaptation and implementation used characteristics of participatory research, including input from an expert panel of African American and Latino leaders, ongoing consultation with an Advisory Panel, and focus groups with members of the target population. Discussions with these groups focused on male perspectives regarding health promotion and barriers and facilitators to participation in health programming for men. There was general agreement when reviewing ongoing pilot program implementation that the adapted program should have male-only groups with male coaches, as the Advisory Panel had originally suggested. The pilot programs were implemented at five New York City Department of Parks and Recreation sites in Harlem, the Bronx, and Brooklyn in 2015–2016.","author":[{"dropping-particle":"","family":"Gary-Webb","given":"Tiffany L.","non-dropping-particle":"","parse-names":false,"suffix":""},{"dropping-particle":"","family":"Walker","given":"Elizabeth A.","non-dropping-particle":"","parse-names":false,"suffix":""},{"dropping-particle":"","family":"Realmuto","given":"Lindsey","non-dropping-particle":"","parse-names":false,"suffix":""},{"dropping-particle":"","family":"Kamler","given":"Alexandra","non-dropping-particle":"","parse-names":false,"suffix":""},{"dropping-particle":"","family":"Lukin","given":"Jennifer","non-dropping-particle":"","parse-names":false,"suffix":""},{"dropping-particle":"","family":"Tyson","given":"William","non-dropping-particle":"","parse-names":false,"suffix":""},{"dropping-particle":"","family":"Carrasquillo","given":"Olveen","non-dropping-particle":"","parse-names":false,"suffix":""},{"dropping-particle":"","family":"Weiss","given":"Linda","non-dropping-particle":"","parse-names":false,"suffix":""}],"container-title":"American Journal of Men's Health","id":"ITEM-7","issue":"4","issued":{"date-parts":[["2018"]]},"page":"998-1006","title":"Translation of the national diabetes prevention program to engage men in disadvantaged neighborhoods in New York city: a description of power up for health","type":"article-journal","volume":"12"},"uris":["http://www.mendeley.com/documents/?uuid=3158ad52-8574-4886-872e-85fd9ce4f2e5"]},{"id":"ITEM-8","itemData":{"DOI":"10.1177/0145721720964585","ISBN":"0145721720964","ISSN":"15546063","PMID":"33063641","abstract":"Purpose: The purpose of the study was to examine how gender was related to enrollment and number of sessions attended in the National Diabetes Prevention Program’s Lifestyle Change Program (DPP LCP). Methods: To better understand program uptake, a population of those who would be eligible for the LCP was compared to those who enrolled. Estimates of those eligible were computed using data from the National Health and Nutrition Examination Survey, whereas enrollment and sessions attended were computed using data from the Centers for Disease Control and Prevention’s Diabetes Prevention Recognition Program. Results: Results revealed that although similar numbers of males and females were eligible for the program, only 39 321 males versus 121 007 females had enrolled in the National DPP LCP by the end of 2017 (odds ratio = 3.20; 95% CI, 3.17-3.24). The gender differences persisted even when stratifying by age or race/ethnicity. In contrast, no significant gender differences were found between the average number of sessions attended for males (14.0) and females (13.8). Discussion: Results of the study can help inform efforts to market and tailor programs to appeal more directly to men and other groups that are underrepresented in the National DPP LCP.","author":[{"dropping-particle":"","family":"Jackson","given":"Matt C.","non-dropping-particle":"","parse-names":false,"suffix":""},{"dropping-particle":"","family":"Dai","given":"Shifan","non-dropping-particle":"","parse-names":false,"suffix":""},{"dropping-particle":"","family":"Skeete","given":"Renée A.","non-dropping-particle":"","parse-names":false,"suffix":""},{"dropping-particle":"","family":"Owens-Gary","given":"Michelle","non-dropping-particle":"","parse-names":false,"suffix":""},{"dropping-particle":"","family":"Cannon","given":"Michael J.","non-dropping-particle":"","parse-names":false,"suffix":""},{"dropping-particle":"","family":"Smith","given":"Bryce D.","non-dropping-particle":"","parse-names":false,"suffix":""},{"dropping-particle":"","family":"Jabrah","given":"Rajai","non-dropping-particle":"","parse-names":false,"suffix":""},{"dropping-particle":"","family":"Masalovich","given":"Svetlana E.","non-dropping-particle":"","parse-names":false,"suffix":""},{"dropping-particle":"","family":"Soler","given":"Robin E.","non-dropping-particle":"","parse-names":false,"suffix":""}],"container-title":"Diabetes Educator","id":"ITEM-8","issue":"6","issued":{"date-parts":[["2020"]]},"page":"580-586","title":"An examination of gender differences in the national diabetes prevention program’s lifestyle change program","type":"article-journal","volume":"46"},"uris":["http://www.mendeley.com/documents/?uuid=3c381335-5e7d-4441-8e2b-c9a3540af15b"]},{"id":"ITEM-9","itemData":{"DOI":"10.1093/fampra/cmp100","ISSN":"02632136","abstract":"Background: Several trials have shown the potential of lifestyle intervention programmes for prevention of type 2 diabetes. The effectiveness of implementation of these programmes into daily practice is now being studied in several countries. The 'Active Prevention in High Risk individuals of Diabetes Type 2 in Eindhoven' (APHRODITE) study investigates whether type 2 diabetes prevention by lifestyle intervention is effective in Dutch primary care. In this article we describe the process of recruiting the study participants. Objective: To assess the reach of an active strategy to recruit participants for a programme on type 2 diabetes prevention by lifestyle intervention in Dutch primary care. Methods: A diabetes risk questionnaire was sent to general practice patients aged 40-70 years. Individuals with a risk score above threshold were invited for an admission interview with the GP and an oral glucose tolerance test (OGTT). All individuals with non-diabetic glucose levels were asked to participate in the intervention study. Results: In total, 8752 (54.6%) of the individuals returned the questionnaire in time. Of all highrisk individuals (n = 1533), 73.1% contacted their practice to schedule a consultation with the GP. Response rates varied significantly among practices. Conclusions: Using invitational letters, a substantial amount of individuals could be motivated to participate in a programme on type 2 diabetes prevention by lifestyle intervention in Dutch primary care. Further research is needed on what kind of strategy would be most effective and efficient to screen for individuals at high risk for type 2 diabetes in primary care. © The Author 2010. Published by Oxford University Press. All rights reserved.","author":[{"dropping-particle":"","family":"Vermunt","given":"P. W.A.","non-dropping-particle":"","parse-names":false,"suffix":""},{"dropping-particle":"","family":"Milder","given":"I. E.J.","non-dropping-particle":"","parse-names":false,"suffix":""},{"dropping-particle":"","family":"Wielaard","given":"F.","non-dropping-particle":"","parse-names":false,"suffix":""},{"dropping-particle":"","family":"Oers","given":"J. A.M.","non-dropping-particle":"van","parse-names":false,"suffix":""},{"dropping-particle":"","family":"Westert","given":"G. P.","non-dropping-particle":"","parse-names":false,"suffix":""}],"container-title":"Family Practice","id":"ITEM-9","issue":"3","issued":{"date-parts":[["2010"]]},"page":"312-319","title":"An active strategy to identify individuals eligible for type 2 diabetes prevention by lifestyle intervention in Dutch primary care: the APHRODITE study","type":"article-journal","volume":"27"},"uris":["http://www.mendeley.com/documents/?uuid=d85e7c46-cd34-4f84-8766-c631b6535104"]},{"id":"ITEM-10","itemData":{"ISSN":"08901171","abstract":"&lt;bold&gt;Purpose: &lt;/bold&gt;Our objective is to evaluate the \"reach\" component of the Reach Effectiveness Adoption Implementation Maintenance (RE-AIM) framework by comparing prediabetics who were and were not interested in enrolling in a free work site diabetes prevention program (DPP) during the first year of the program. Reach is defined as the proportion of eligible participants who enroll in a health program.&lt;bold&gt;Design: &lt;/bold&gt;A cross-sectional study design was used.&lt;bold&gt;Setting: &lt;/bold&gt;The setting was a large health system in the Midwest.&lt;bold&gt;Participants: &lt;/bold&gt;Prediabetic health plan enrollees and spouses (N = 2158).&lt;bold&gt;Measures: &lt;/bold&gt;An online health survey, annual voluntary biometric screenings delivered by a trained health-care professional using standardized protocols via point-of-care testing, and records from the DPP office were the sources of data for this study.&lt;bold&gt;Analysis: &lt;/bold&gt;Health behaviors and biometric screening results were simultaneously compared using multivariable logistic regression.&lt;bold&gt;Results: &lt;/bold&gt;The study population was 63% female, 79% white, and 16% black, and the mean age was 50.2 years (SD = 10.2). The reach of this program was 10%. Prediabetics were more likely to express interest in the DPP, if they were female (adjusted odds ratio [AOR]: 2.4; 95% confidence interval [95% CI]: 1.55-3.72; P &lt; .001), black (AOR = 2.23; 95% CI: 1.43-3.47; P &lt; .001), older in age (AOR: 1.08; 95% CI: 0.99-1.17; P = .05), or had a high-risk waist circumference (AOR = 1.44; 95% CI: 0.98-2.13; P = .07), lower self-efficacy to make healthy changes (AOR = 0.48; 95% CI: 0.26-0.91; P = .03), and 5 or more doctor visits in the last year (AOR = 2.13; 95% CI: 0.99-4.57; P = .05), after controlling for other covariates.&lt;bold&gt;Conclusion: &lt;/bold&gt;Current recruitment and implementation strategies are reaching only a small group of individuals who are not representative of the larger prediabetic population. These findings inform future engagement strategies, and we recommend that public health practitioners evaluate reach to ensure that health promotion programs are of high value. ABSTRACT FROM AUTHOR","author":[{"dropping-particle":"","family":"Zigmont","given":"Victoria A","non-dropping-particle":"","parse-names":false,"suffix":""},{"dropping-particle":"","family":"Shoben","given":"Abigail B","non-dropping-particle":"","parse-names":false,"suffix":""},{"dropping-particle":"","family":"Kaye","given":"Gail L","non-dropping-particle":"","parse-names":false,"suffix":""},{"dropping-particle":"","family":"Snow","given":"Richard J","non-dropping-particle":"","parse-names":false,"suffix":""},{"dropping-particle":"","family":"Clinton","given":"Steven K","non-dropping-particle":"","parse-names":false,"suffix":""},{"dropping-particle":"","family":"Harris","given":"Randall E","non-dropping-particle":"","parse-names":false,"suffix":""},{"dropping-particle":"","family":"Olivo-Marston","given":"Susan E","non-dropping-particle":"","parse-names":false,"suffix":""}],"container-title":"American Journal of Health Promotion","id":"ITEM-10","issue":"6","issued":{"date-parts":[["2018"]]},"note":"Accession Number: 130506972; Author: Zigmont, Victoria A.: 1 email: vzigmont42@gmail.com. Author: Shoben, Abigail B.: 2 Author: Kaye, Gail L.: 3 Author: Snow, Richard J.: 4 Author: Clinton, Steven K.: 5 Author: Harris, Randall E.: 6 Author: Olivo-Marston, Susan E.: 6 ; Author Affiliation: 1 Department of Public Health, Southern Connecticut State University, New Haven, CT, USA: 2 Division of Biostatistics, College of Public Health, The Ohio State University, Columbus, OH, USA: 3 Division of Health Promotion, College of Public Health, The Ohio State University, Columbus, OH, USA: 4 Touro College of Osteopathic Medicine, Touro University, Vallejo, CA, USA: 5 Department of Internal Medicine, The Ohio State University College of Medicine, Columbus, OH, USA: 6 Division of Epidemiology, College of Public Health, The Ohio State University, Columbus, OH, USA; No. of Pages: 8; Language: English; Publication Type: journal article; Update Code: 20180706","page":"1417-1424","title":"An evaluation of reach for a work site implementation of the national diabetes prevention program focusing on diet and exercise.","type":"article-journal","volume":"32"},"uris":["http://www.mendeley.com/documents/?uuid=eadca763-b969-4148-b924-ba4cd499e859"]}],"mendeley":{"formattedCitation":"(Barron et al., 2018; Brunisholz et al., 2017; Cannon et al., 2020; Chambers et al., 2019; Gary-Webb et al., 2018; Jackson et al., 2020; Sanchez et al., 2018; Vermunt et al., 2010; Whittemore et al., 2014; Zigmont et al., 2018)","plainTextFormattedCitation":"(Barron et al., 2018; Brunisholz et al., 2017; Cannon et al., 2020; Chambers et al., 2019; Gary-Webb et al., 2018; Jackson et al., 2020; Sanchez et al., 2018; Vermunt et al., 2010; Whittemore et al., 2014; Zigmont et al., 2018)","previouslyFormattedCitation":"(Barron et al., 2018; Brunisholz et al., 2017; Cannon et al., 2020; Chambers et al., 2019; Gary-Webb et al., 2018; Jackson et al., 2020; Sanchez et al., 2018; Vermunt et al., 2010; Whittemore et al., 2014; Zigmont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(Barron et al., 2018; Brunisholz et al., 2017; Cannon et al., 2020; Chambers et al., 2019; Gary-Webb et al., 2018; Jackson et al., 2020; Sanchez et al., 2018; Vermunt et al., 2010; Whittemore et al., 2014; Zigmont et al., 2018)</w:t>
      </w:r>
      <w:r w:rsidRPr="00103A0B">
        <w:rPr>
          <w:rFonts w:ascii="Arial" w:hAnsi="Arial" w:cs="Arial"/>
          <w:sz w:val="24"/>
          <w:szCs w:val="24"/>
        </w:rPr>
        <w:fldChar w:fldCharType="end"/>
      </w:r>
      <w:r w:rsidRPr="00103A0B">
        <w:rPr>
          <w:rFonts w:ascii="Arial" w:hAnsi="Arial" w:cs="Arial"/>
          <w:sz w:val="24"/>
          <w:szCs w:val="24"/>
        </w:rPr>
        <w:t xml:space="preserve">. </w:t>
      </w:r>
    </w:p>
    <w:p w14:paraId="1DC2D4B0" w14:textId="27D87E61" w:rsidR="003F54B5" w:rsidRPr="00103A0B" w:rsidRDefault="003F54B5" w:rsidP="009B6D84">
      <w:pPr>
        <w:spacing w:line="360" w:lineRule="auto"/>
        <w:jc w:val="both"/>
        <w:rPr>
          <w:rFonts w:ascii="Arial" w:hAnsi="Arial" w:cs="Arial"/>
          <w:sz w:val="24"/>
          <w:szCs w:val="24"/>
        </w:rPr>
      </w:pPr>
      <w:r w:rsidRPr="00103A0B">
        <w:rPr>
          <w:rFonts w:ascii="Arial" w:hAnsi="Arial" w:cs="Arial"/>
          <w:sz w:val="24"/>
          <w:szCs w:val="24"/>
        </w:rPr>
        <w:t xml:space="preserve">Although some DPPs have found there to be no associations between sex and retention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{"citationItems":[{"id":"ITEM-1","itemData":{"DOI":"10.1007/s13187-014-0750-7","ISSN":"15430154","PMID":"25394834","abstract":"Underserved minority communities have few resources for addressing comorbidity risk reduction among long-term cancer survivors. To address this community need, we developed and piloted the Bronx Oncology Living Daily (BOLD) Healthy Living program, the first known diabetes prevention and control program to target cancer survivors and co-survivors in Bronx County, NY. The program aimed to facilitate lifestyle change and improve health-related quality of life (HRQoL) through weekly group nutrition education (60–90 min) and exercise (60 min) classes. We examined baseline characteristics of participants using simple descriptive statistics and evaluated program implementation and impact using the Reach, Efficacy, Adoption, Implementation and Maintenance (RE-AIM) framework. The curriculum, which drew from the social-ecological framework and motivational and cognitive behavioral strategies, consisted of 12 culturally and medically tailored modules with options for implementation as a 12- or 4-week program. Seven programs (four 12 weeks and three 4 weeks in length, respectively) were implemented at five community site locations. Sixty-six cancer survivors and 17 cancer co-survivors (mean age 60.5 ± 10.2 years) enrolled in one of the programs. Most participants were female (95.2 %) minority (55.4 % black, 26.5 % Hispanic/Latino) breast cancer survivors (75.7 %). Median program attendance was 62.5 % and did not significantly differ by program length; however, 67.3 % of participants achieved ≥60 % attendance among the 12-week programs, compared to 41.9 % among the 4-week programs, and this difference was statistically significant (p = 0.02). Overall, participants reported significant pre/post improvements in perceived health as good/excellent (66.0 to 75.5 %; p = 0.001) and borderline significant decreases in perceived pain as moderate/severe (45.5 to 38.2 %; p = 0.05). More than 90 % of participants reported that the program helped them to achieve their short-term goals, motivated them to engage in healthier behaviors, and felt that the nutrition and exercise classes were relevant to their needs. These results indicate that a short-term lifestyle intervention program for adult cancer survivors was acceptable in our community and motivated cancer survivors to improve their HRQoL. The curriculum can be used as a tool to facilitate development of similar programs in the future.","author":[{"dropping-particle":"","family":"Conlon","given":"Beth A.","non-dropping-particle":"","parse-names":false,"suffix":""},{"dropping-particle":"","family":"Kahan","given":"Michelle","non-dropping-particle":"","parse-names":false,"suffix":""},{"dropping-particle":"","family":"Martinez","given":"Melissa","non-dropping-particle":"","parse-names":false,"suffix":""},{"dropping-particle":"","family":"Isaac","given":"Kathleen","non-dropping-particle":"","parse-names":false,"suffix":""},{"dropping-particle":"","family":"Rossi","given":"Amerigo","non-dropping-particle":"","parse-names":false,"suffix":""},{"dropping-particle":"","family":"Skyhart","given":"Rebecca","non-dropping-particle":"","parse-names":false,"suffix":""},{"dropping-particle":"","family":"Wylie-Rosett","given":"Judith","non-dropping-particle":"","parse-names":false,"suffix":""},{"dropping-particle":"","family":"Moadel-Robblee","given":"Alyson","non-dropping-particle":"","parse-names":false,"suffix":""}],"container-title":"Journal of Cancer Education","id":"ITEM-1","issue":"3","issued":{"date-parts":[["2015"]]},"page":"535-545","title":"Development and evaluation of the curriculum for BOLD (Bronx Oncology Living Daily) healthy living: a diabetes prevention and control program for underserved cancer survivors","type":"article-journal","volume":"30"},"uris":["http://www.mendeley.com/documents/?uuid=9f5a6f8a-648c-4d7f-9255-3dd27b19a65f"]},{"id":"ITEM-2","itemData":{"DOI":"10.2337/dc16-2099","author":[{"dropping-particle":"","family":"Ely","given":"Elizabeth K","non-dropping-particle":"","parse-names":false,"suffix":""},{"dropping-particle":"","family":"Gruss","given":"Stephanie M","non-dropping-particle":"","parse-names":false,"suffix":""},{"dropping-particle":"","family":"Luman","given":"Elizabeth T","non-dropping-particle":"","parse-names":false,"suffix":""},{"dropping-particle":"","family":"Gregg","given":"Edward W","non-dropping-particle":"","parse-names":false,"suffix":""},{"dropping-particle":"","family":"Ali","given":"Mohammed K","non-dropping-particle":"","parse-names":false,"suffix":""},{"dropping-particle":"","family":"Nhim","given":"Kunthea","non-dropping-particle":"","parse-names":false,"suffix":""},{"dropping-particle":"","family":"Rolka","given":"Deborah B","non-dropping-particle":"","parse-names":false,"suffix":""},{"dropping-particle":"","family":"Albright","given":"Ann L","non-dropping-particle":"","parse-names":false,"suffix":""}],"container-title":"Diabetes Care","id":"ITEM-2","issued":{"date-parts":[["2017"]]},"page":"1331-1341","title":"A national effort to prevent type 2 diabetes: participant-level evaluation of CDC ’ s national diabetes prevention program","type":"article-journal","volume":"40"},"uris":["http://www.mendeley.com/documents/?uuid=03ec6206-c938-47f8-aec1-2cddac5d0dd3"]},{"id":"ITEM-3","itemData":{"DOI":"10.1177/0145721709333269","ISSN":"01457217","abstract":"Purpose The purpose of this study was to evaluate the feasibility of translating the Diabetes Prevention Program (DPP) lifestyle intervention into practice in the general community. Methods In 2008, the Montana Diabetes Control Program, working collaboratively with 4 health care facilities, implemented an adapted group-based DPP lifestyle intervention. Adults at high risk for diabetes and cardiovascular disease were recruited and enrolled (n = 355). Eighty-three percent (n = 295) of participants completed the 16-session program. Participants set targets to reduce fat intake and increase physical activity (ĝ‰¥150 minutes per week) to achieve a weight loss goal of 7%. Results Seventy percent of participants achieved the physical activity goal of ĝ‰¥150 minutes per week. There was a significant decrease among participants' weight from baseline (mean ± SD, 99.3 ± 19.7 kg) to week 16 (92.6 ± 18.8 kg; mean difference, 6.7 ± 4.0 kg, P &lt;.001). Forty-five percent of the participants achieved the 7% weight loss goal, and 67% achieved at least 5% weight loss. Participants who were 60 years of age and older, had a diagnosis of hypertension, met their physical activity goal of ĝ‰¥150 minutes per week, and those more frequently monitoring their fat intake were more likely to meet the 7% weight loss goal compared with participants without these characteristics. Conclusion The findings suggest that it is feasible to recruit and retain high-risk participants and achieve weight loss and physical goals in a group setting that are comparable with those achieved in the DPP.","author":[{"dropping-particle":"","family":"Amundson","given":"Helen A.","non-dropping-particle":"","parse-names":false,"suffix":""},{"dropping-particle":"","family":"Butcher","given":"Marcene K.","non-dropping-particle":"","parse-names":false,"suffix":""},{"dropping-particle":"","family":"Gohdes","given":"Dorothy","non-dropping-particle":"","parse-names":false,"suffix":""},{"dropping-particle":"","family":"Hall","given":"Taryn O.","non-dropping-particle":"","parse-names":false,"suffix":""},{"dropping-particle":"","family":"Harwell","given":"Todd S.","non-dropping-particle":"","parse-names":false,"suffix":""},{"dropping-particle":"","family":"Helgerson","given":"Steven D.","non-dropping-particle":"","parse-names":false,"suffix":""},{"dropping-particle":"","family":"Vanderwood","given":"Karl K.","non-dropping-particle":"","parse-names":false,"suffix":""}],"container-title":"Diabetes Educator","id":"ITEM-3","issue":"2","issued":{"date-parts":[["2009"]]},"page":"209-223","title":"Translating the diabetes prevention program into practice in the general community: findings from the Montana cardiovascular disease and diabetes prevention program","type":"article-journal","volume":"35"},"uris":["http://www.mendeley.com/documents/?uuid=c684678d-0475-4a86-baaf-4cb4589cb48d"]},{"id":"ITEM-4","itemData":{"DOI":"10.1111/jgs.13428","ISSN":"15325415","abstract":"Objectives To compare participation, self-monitoring behaviors, and weight loss outcomes in older and younger participants in an adapted Diabetes Prevention Program (DPP) lifestyle intervention. Design Pre- and postevaluation of outcomes in participants enrolled in the Montana Cardiovascular Disease (CVD) and DPP lifestyle intervention from 2008 through 2012. Setting Community. Participants Adults at high risk for CVD and type 2 diabetes mellitus (N = 3,804). Measurements Number of core (16 weekly sessions) and postcore (6 monthly sessions) intervention sessions attended, weekly self-monitoring of fat intake and minutes of physical activity, weight loss outcomes and achievement of the weight loss goal, and improvements in CVD-related risk factors. Results Participants aged 65 and older were significantly more likely to attend more intervention sessions, self-monitor their fat intake, and achieve the physical activity and weight loss goals than those younger than 65. Older and younger participants experienced significant improvements in CVD-related risk factors. Conclusion Older adults at high risk of CVD and diabetes mellitus participating in an adapted DPP lifestyle intervention had higher participation and self-monitoring rates than younger participants, were more likely to achieve physical activity and weight loss goals, and achieved similar CVD risk reduction.","author":[{"dropping-particle":"","family":"Brokaw","given":"Sarah M.","non-dropping-particle":"","parse-names":false,"suffix":""},{"dropping-particle":"","family":"Carpenedo","given":"Dorota","non-dropping-particle":"","parse-names":false,"suffix":""},{"dropping-particle":"","family":"Campbell","given":"Paul","non-dropping-particle":"","parse-names":false,"suffix":""},{"dropping-particle":"","family":"Butcher","given":"Marcene K.","non-dropping-particle":"","parse-names":false,"suffix":""},{"dropping-particle":"","family":"Furshong","given":"Ginny","non-dropping-particle":"","parse-names":false,"suffix":""},{"dropping-particle":"","family":"Helgerson","given":"Steven D.","non-dropping-particle":"","parse-names":false,"suffix":""},{"dropping-particle":"","family":"Harwell","given":"Todd S.","non-dropping-particle":"","parse-names":false,"suffix":""}],"container-title":"Journal of the American Geriatrics Society","id":"ITEM-4","issue":"6","issued":{"date-parts":[["2015"]]},"page":"1067-1074","title":"Effectiveness of an adapted diabetes prevention program lifestyle intervention in older and younger adults","type":"article-journal","volume":"63"},"uris":["http://www.mendeley.com/documents/?uuid=4b8c7f9d-8f5c-4ceb-a19e-91cbaee82ccf"]},{"id":"ITEM-5","itemData":{"DOI":"10.1016/j.diabres.2015.11.010","ISSN":"18728227","PMID":"26724186","abstract":"Aims/hypothesis: The Sydney Diabetes Prevention Program (SDPP) was a community-based type 2 diabetes prevention translational research study with screening and recruitment in the primary health care setting. We aimed to investigate the program's effectiveness in reducing risk factors for diabetes as well as the program's reach, adoption and implementation. Methods: 1238 participants aged 50-65 years at high-risk of developing type 2 diabetes were recruited by primary care physicians in the greater Sydney region. The intervention, delivered by trained allied health professionals, included an initial consultation, three group sessions/individual sessions, three follow-up phone calls, and a final review at 12 months. Biomarkers and behavioural goals were compared between baseline and 12 months. Results: At baseline, the mean age of those who entered the program was 58.8 ± 4.4 years, 63% female, and the mean body mass index was 31.6 ± 5.2 kg/m2. There was a significant weight reduction of 2 ± 4.3 kg (p &lt; 0.02) in the 850 participants who completed the 12-month follow-up accompanied by improvements in diet (total fat, saturated fat, and fibre intake) and physical activity. There were also significant reductions in waist circumference 2.6 ± 4.7 cm (p &lt; 0.001) and total cholesterol -0.2 ± 0.8 mmol/L (p &lt; 0.001) but not blood glucose. The diabetes risk reduction was estimated to be 30%, consistent with similar trials. Conclusions/interpretation: This study demonstrates that a community-based lifestyle modification program is effective in reducing important risk factors for diabetes in individuals at high-risk of developing type 2 diabetes.","author":[{"dropping-particle":"","family":"Vita","given":"Philip","non-dropping-particle":"","parse-names":false,"suffix":""},{"dropping-particle":"","family":"Cardona-Morrell","given":"Magnolia","non-dropping-particle":"","parse-names":false,"suffix":""},{"dropping-particle":"","family":"Bauman","given":"Adrian","non-dropping-particle":"","parse-names":false,"suffix":""},{"dropping-particle":"","family":"Singh","given":"Maria Fiatarone","non-dropping-particle":"","parse-names":false,"suffix":""},{"dropping-particle":"","family":"Moore","given":"Michael","non-dropping-particle":"","parse-names":false,"suffix":""},{"dropping-particle":"","family":"Pennock","given":"Rene","non-dropping-particle":"","parse-names":false,"suffix":""},{"dropping-particle":"","family":"Snow","given":"Jill","non-dropping-particle":"","parse-names":false,"suffix":""},{"dropping-particle":"","family":"Williams","given":"Mandy","non-dropping-particle":"","parse-names":false,"suffix":""},{"dropping-particle":"","family":"Jackson","given":"Lilian","non-dropping-particle":"","parse-names":false,"suffix":""},{"dropping-particle":"","family":"Milat","given":"Andrew","non-dropping-particle":"","parse-names":false,"suffix":""},{"dropping-particle":"","family":"Colagiuri","given":"Stephen","non-dropping-particle":"","parse-names":false,"suffix":""}],"container-title":"Diabetes Research and Clinical Practice","id":"ITEM-5","issued":{"date-parts":[["2016"]]},"page":"13-19","publisher":"Elsevier Ireland Ltd","title":"Type 2 diabetes prevention in the community: 12-month outcomes from the Sydney diabetes prevention program","type":"article-journal","volume":"112"},"uris":["http://www.mendeley.com/documents/?uuid=2a083f9e-7958-4f53-b930-1e6a977893c9"]},{"id":"ITEM-6","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Care","id":"ITEM-6","issued":{"date-parts":[["2020"]]},"page":"152-160","title":"Early outcomes from the English National Health Service diabetes prevention programme","type":"article-journal","volume":"43"},"uris":["http://www.mendeley.com/documents/?uuid=32a7a44a-df0b-4cde-9269-536e48e08190"]},{"id":"ITEM-7","itemData":{"DOI":"10.2337/dc19-2366","ISSN":"0149-5992","abstract":"OBJECTIVE: To assess retention in the National Diabetes Prevention Program (DPP) lifestyle change program, which seeks to prevent type 2 diabetes in adults at high risk. RESEARCH DESIGN AND METHODS: We analyzed retention among 41,203 individuals who enrolled in Centers for Disease Control and Prevention (CDC)-recognized in-person lifestyle change programs at organizations that submitted data to CDC's Diabetes Prevention Recognition Program during January 2012-February 2017. RESULTS: Weekly attrition rates were typically &lt;1-2% but were between 3.5% and 5% at week 2 and at weeks 17 and 18, where session frequency typically transitions from weekly to monthly. The percent of participants retained through 18 weeks varied by age (45.9% for 18-29 year olds, 53.4% for 30-44 year olds, 60.2% for 45-54 year olds, 66.7% for 55-64 year olds, and 67.6% for ≥65 year olds), race/ethnicity (70.5% for non-Hispanic whites, 60.5% for non-Hispanic blacks, 52.6% for Hispanics, and 50.6% for other), mean weekly percentage of body weight lost (41.0% for ≤0% lost, 66.2% for &gt;0 to &lt;0.25% lost, 72.9% for 0.25 to &lt;0.5% lost, and 73.9% for ≥0.5% lost), and mean weekly physical activity minutes (12.8% for 0 min, 56.1% for &gt;0 to &lt;60 min, 74.8% for 60 to &lt;150 min, and 82.8% for ≥150 min) but not by sex (63.0% for men and 63.1% for women). CONCLUSIONS: Our results demonstrate the need to identify strategies to improve retention, especially among individuals who are younger or are members of racial/ethnic minority populations and among those who report less physical activity or less early weight loss. Strategies that address retention after the first session and during the transition from weekly to monthly sessions offer the greatest opportunity for impact.","author":[{"dropping-particle":"","family":"Cannon","given":"Michael J.","non-dropping-particle":"","parse-names":false,"suffix":""},{"dropping-particle":"","family":"Masalovich","given":"Svetlana","non-dropping-particle":"","parse-names":false,"suffix":""},{"dropping-particle":"","family":"Ng","given":"Boon Peng","non-dropping-particle":"","parse-names":false,"suffix":""},{"dropping-particle":"","family":"Soler","given":"Robin E.","non-dropping-particle":"","parse-names":false,"suffix":""},{"dropping-particle":"","family":"Jabrah","given":"Rajai","non-dropping-particle":"","parse-names":false,"suffix":""},{"dropping-particle":"","family":"Ely","given":"Elizabeth K.","non-dropping-particle":"","parse-names":false,"suffix":""},{"dropping-particle":"","family":"Smith","given":"Bryce D.","non-dropping-particle":"","parse-names":false,"suffix":""}],"container-title":"Diabetes Care","id":"ITEM-7","issue":"9","issued":{"date-parts":[["2020"]]},"page":"2042-2049","title":"Retention among participants in the national diabetes prevention program lifestyle change program, 2012–2017","type":"article-journal","volume":"43"},"uris":["http://www.mendeley.com/documents/?uuid=eed9f8c6-e26e-4c4e-b26e-930df126d002"]}],"mendeley":{"formattedCitation":"(Amundson et al., 2009; Brokaw et al., 2015; Cannon et al., 2020; Conlon et al., 2015; Ely et al., 2017; Valabhji et al., 2020; Vita et al., 2016)","plainTextFormattedCitation":"(Amundson et al., 2009; Brokaw et al., 2015; Cannon et al., 2020; Conlon et al., 2015; Ely et al., 2017; Valabhji et al., 2020; Vita et al., 2016)","previouslyFormattedCitation":"(Amundson et al., 2009; Brokaw et al., 2015; Cannon et al., 2020; Conlon et al., 2015; Ely et al., 2017; Valabhji et al., 2020; Vita et al.,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(Amundson et al., 2009; Brokaw et al., 2015; Cannon et al., 2020; Conlon et al., 2015; Ely et al., 2017; Valabhji et al., 2020; Vita et al., 2016)</w:t>
      </w:r>
      <w:r w:rsidRPr="00103A0B">
        <w:rPr>
          <w:rFonts w:ascii="Arial" w:hAnsi="Arial" w:cs="Arial"/>
          <w:sz w:val="24"/>
          <w:szCs w:val="24"/>
        </w:rPr>
        <w:fldChar w:fldCharType="end"/>
      </w:r>
      <w:r w:rsidRPr="00103A0B">
        <w:rPr>
          <w:rFonts w:ascii="Arial" w:hAnsi="Arial" w:cs="Arial"/>
          <w:sz w:val="24"/>
          <w:szCs w:val="24"/>
        </w:rPr>
        <w:t xml:space="preserve">, other DPPs have found females to be more likely to achieve the required attendance thresholds and complete DPPs when compared to males who are </w:t>
      </w:r>
      <w:r w:rsidRPr="00103A0B">
        <w:rPr>
          <w:rFonts w:ascii="Arial" w:eastAsia="Times New Roman" w:hAnsi="Arial" w:cs="Arial"/>
          <w:sz w:val="24"/>
          <w:szCs w:val="24"/>
          <w:lang w:eastAsia="en-GB"/>
        </w:rPr>
        <w:t>more likely to drop</w:t>
      </w:r>
      <w:r w:rsidR="00F6449A" w:rsidRPr="00103A0B">
        <w:rPr>
          <w:rFonts w:ascii="Arial" w:eastAsia="Times New Roman" w:hAnsi="Arial" w:cs="Arial"/>
          <w:sz w:val="24"/>
          <w:szCs w:val="24"/>
          <w:lang w:eastAsia="en-GB"/>
        </w:rPr>
        <w:t xml:space="preserve"> </w:t>
      </w:r>
      <w:r w:rsidRPr="00103A0B">
        <w:rPr>
          <w:rFonts w:ascii="Arial" w:eastAsia="Times New Roman" w:hAnsi="Arial" w:cs="Arial"/>
          <w:sz w:val="24"/>
          <w:szCs w:val="24"/>
          <w:lang w:eastAsia="en-GB"/>
        </w:rPr>
        <w:t xml:space="preserve">out and become </w:t>
      </w:r>
      <w:r w:rsidRPr="00103A0B">
        <w:rPr>
          <w:rFonts w:ascii="Arial" w:eastAsia="Times New Roman" w:hAnsi="Arial" w:cs="Arial"/>
          <w:sz w:val="24"/>
          <w:szCs w:val="24"/>
          <w:lang w:eastAsia="en-GB"/>
        </w:rPr>
        <w:lastRenderedPageBreak/>
        <w:t>non-completers</w:t>
      </w:r>
      <w:r w:rsidR="007A139F" w:rsidRPr="00103A0B">
        <w:rPr>
          <w:rFonts w:ascii="Arial" w:eastAsia="Times New Roman" w:hAnsi="Arial" w:cs="Arial"/>
          <w:sz w:val="24"/>
          <w:szCs w:val="24"/>
          <w:lang w:eastAsia="en-GB"/>
        </w:rPr>
        <w:t xml:space="preserve"> </w:t>
      </w:r>
      <w:r w:rsidR="00810F86" w:rsidRPr="00103A0B">
        <w:rPr>
          <w:rFonts w:ascii="Arial" w:eastAsia="Times New Roman" w:hAnsi="Arial" w:cs="Arial"/>
          <w:sz w:val="24"/>
          <w:szCs w:val="24"/>
          <w:lang w:eastAsia="en-GB"/>
        </w:rPr>
        <w:fldChar w:fldCharType="begin" w:fldLock="1"/>
      </w:r>
      <w:r w:rsidR="00597BD1" w:rsidRPr="00103A0B">
        <w:rPr>
          <w:rFonts w:ascii="Arial" w:eastAsia="Times New Roman" w:hAnsi="Arial" w:cs="Arial"/>
          <w:sz w:val="24"/>
          <w:szCs w:val="24"/>
          <w:lang w:eastAsia="en-GB"/>
        </w:rPr>
        <w:instrText>ADDIN CSL_CITATION {"citationItems":[{"id":"ITEM-1","itemData":{"DOI":"10.1007/s11136-011-9919-2","ISSN":"09629343","abstract":"Objective To evaluate whether an interdisciplinary intervention program on lifestyle results in better quality of life (QoL) and lower frequencies of depression and binge eating disorder (BED) in individuals at risk for type 2 diabetes mellitus. Methods A total of 177 individuals (32.2% men, age 55.4 ± 12.5 years) at risk for diabetes were allocated to a 9-month traditional (TI) or intensive interdisciplinary intervention (II) on dietary habits and physical activity including psychoeducative groups. They were submitted to questionnaires and clinical and laboratory examinations. Predictors of non-adherence were analyzed by logistic regression. Results Only individuals submitted to II had blood pressure and plasma glucose levels reduced. Frequencies of depression reduced in both interventions but of BED only in II (28.0-4.0%, P&lt;0.001). Increments in the scores of SF-36 domains (physical functioning: 11.1 ± 14.0 vs. 5.3 ± 13.0, role-emotional: 20.4 ± 40.2 vs. 6.2 ± 43.8, P = 0.05) were greater in the II than in TI, respectively. Changes in SF-36 correlated with decreases in anthropometry, blood pressure and glucose levels, depression and BED scores. Male gender was independently associated with non-adherence to the II. Conclusions In addition to metabolic benefits, an interdisciplinary approach may induce desirable extrametabolic effects, favoring the control of psychiatric disorders and improving the QoL of individuals at risk for diabetes. © Springer Science+Business Media B.V. 2011.","author":[{"dropping-particle":"","family":"Cezaretto","given":"Adriana","non-dropping-particle":"","parse-names":false,"suffix":""},{"dropping-particle":"","family":"Siqueira-Catania","given":"Antonela","non-dropping-particle":"","parse-names":false,"suffix":""},{"dropping-particle":"","family":"Barros","given":"Camila Risso","non-dropping-particle":"De","parse-names":false,"suffix":""},{"dropping-particle":"","family":"Salvador","given":"Emanuel Péricles","non-dropping-particle":"","parse-names":false,"suffix":""},{"dropping-particle":"","family":"Ferreira","given":"Sandra Roberta G.","non-dropping-particle":"","parse-names":false,"suffix":""}],"container-title":"Quality of Life Research","id":"ITEM-1","issue":"1","issued":{"date-parts":[["2012"]]},"page":"105-113","title":"Benefits on quality of life concomitant to metabolic improvement in intervention program for prevention of diabetes mellitus","type":"article-journal","volume":"21"},"uris":["http://www.mendeley.com/documents/?uuid=0dedac99-39eb-4241-b611-e5199557363e"]},{"id":"ITEM-2","itemData":{"DOI":"10.1016/j.diabres.2009.05.009","ISSN":"01688227","PMID":"19525026","abstract":"We describe changes in markers and prevalence of glucose metabolism disorders following a 2-year community-wide intervention aimed at reducing insulin resistance (IR) prevalence in a high risk community. Surveys were undertaken before and 2 years after implementation of a community developed and led diabetes prevention program. Proportions and means were calculated and compared by sex and age groups: 25-49 years and 50+ years. A process evaluation contributed to interpretation of results. Response rates were around 50% and demographic characteristics similar in both surveys. Overall, IR prevalence decreased markedly from 35.5% to 25.4% (p = 0.003). Most changes were observed amongst 25-49 years old women for whom there was a significant change in prevalences of IR and glucose metabolism disorders (p = 0.015), largely due to reduced IR prevalence (38.2-25.6%). In 2006, 60.3% achieved minimum recommended exercise levels and 65.4% ate wholegrain bread compared with 45.1% (p = 0.002) and 42.2% (p = 0.044), respectively, in 2003. Participation in a community diabetes prevention intervention appeared to reduce IR prevalence after 2 years in those with the highest level of participation and most marked lifestyle changes. © 2009 Elsevier Ireland Ltd. All rights reserved.","author":[{"dropping-particle":"","family":"Coppell","given":"Kirsten J.","non-dropping-particle":"","parse-names":false,"suffix":""},{"dropping-particle":"","family":"Tipene-Leach","given":"David C.","non-dropping-particle":"","parse-names":false,"suffix":""},{"dropping-particle":"","family":"Pahau","given":"Helen L.R.","non-dropping-particle":"","parse-names":false,"suffix":""},{"dropping-particle":"","family":"Williams","given":"Sheila M.","non-dropping-particle":"","parse-names":false,"suffix":""},{"dropping-particle":"","family":"Abel","given":"Sally","non-dropping-particle":"","parse-names":false,"suffix":""},{"dropping-particle":"","family":"Iles","given":"Mark","non-dropping-particle":"","parse-names":false,"suffix":""},{"dropping-particle":"","family":"Hindmarsh","given":"Jennie Harré","non-dropping-particle":"","parse-names":false,"suffix":""},{"dropping-particle":"","family":"Mann","given":"Jim I.","non-dropping-particle":"","parse-names":false,"suffix":""}],"container-title":"Diabetes Research and Clinical Practice","id":"ITEM-2","issue":"2","issued":{"date-parts":[["2009"]]},"page":"220-227","title":"Two-year results from a community-wide diabetes prevention intervention in a high risk indigenous community: the Ngati and healthy project","type":"article-journal","volume":"85"},"uris":["http://www.mendeley.com/documents/?uuid=aaee6916-e9a3-4dfe-8ea6-759a55b4a6f3"]},{"id":"ITEM-3","itemData":{"abstract":"It has been shown that real-life implementation studies for the prevention of type 2 diabetes (DM2) performed in different settings and populations can be effective. However, not enough information is available on factors influencing the reach of DM2 prevention programmes. This study examines the predictors of completing an intervention programme targeted at people at high risk of DM2 in Krakow, Poland as part of the DE-PLAN project.A total of 262 middle-aged people, everyday patients of 9 general practitioners' (GP) practices, at high risk of DM2 (Finnish Diabetes Risk Score (FINDRISK) &gt;14) agreed to participate in the lifestyle intervention to prevent DM2. Intervention consisted of 11 lifestyle counseling sessions, organized physical activity sessions followed by motivational phone calls and letters. Measurements were performed at baseline and 1 year after the initiation of the intervention.Seventy percent of the study participants enrolled completed the core curriculum (n = 184), 22% were men. When compared to noncompleters, completers had a healthier baseline diabetes risk profile (P &lt;.05). People who completed the intervention were less frequently employed versus noncompleters (P = .037), less often had hypertension (P = .043), and more frequently consumed vegetables and fruit daily (P = .055).In multiple logistic regression model, employment reduced the likelihood of completing the intervention 2 times (odds ratio [OR] 0.45, 95% confidence interval [CI] 0.25-0.81). Higher glucose 2 hours after glucose load and hypertension were the independent factors decreasing the chance to participate in the intervention (OR 0.79, 95% 0.69-0.92 and OR 0.52, 95% CI 0.27-0.99, respectively). Daily consumption of vegetables and fruits increased the likelihood of completing the intervention (OR 1.86, 95% 1.01-3.41).In conclusion, people with healthier behavior and risk profile are more predisposed to complete diabetes prevention interventions. Male, those who work and those with a worse health profile, are less likely to participate and complete interventions. Targeted strategies are needed in real-life diabetes prevention interventions to improve male participation and to reach those who are working as well as people with a higher risk profile.;","author":[{"dropping-particle":"","family":"Gilis-Januszewska","given":"Aleksandra","non-dropping-particle":"","parse-names":false,"suffix":""},{"dropping-particle":"","family":"Lindström","given":"Jaana","non-dropping-particle":"","parse-names":false,"suffix":""},{"dropping-particle":"","family":"Barengo","given":"Noël C","non-dropping-particle":"","parse-names":false,"suffix":""},{"dropping-particle":"","family":"Tuomilehto","given":"Jaakko","non-dropping-particle":"","parse-names":false,"suffix":""},{"dropping-particle":"","family":"Schwarz","given":"Peter Eh","non-dropping-particle":"","parse-names":false,"suffix":""},{"dropping-particle":"","family":"Wójtowicz","given":"Ewa","non-dropping-particle":"","parse-names":false,"suffix":""},{"dropping-particle":"","family":"Piwońska-Solska","given":"Beat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Medicine","id":"ITEM-3","issue":"5","issued":{"date-parts":[["2018"]]},"note":"Accession Number: 29384876. Language: English. Date Revised: 20180221. Date Created: 20180201. Date Completed: 20180209. Update Code: 20180221. Publication Type: Journal Article. Journal ID: 2985248R. Publication Model: Print. Cited Medium: Internet. NLM ISO Abbr: Medicine (Baltimore). Comment: Cites: Prim Care Diabetes. 2015 Apr;9(2):96-104. (PMID: 25128324). Cites: BMC Med Res Methodol. 2014 Jan 24;14:13. (PMID: 24461045). Cites: Scand J Work Environ Health. 2010 May;36(3):202-15. (PMID: 20066386). Cites: Diabetes Care. 2003 Dec;26(12):3230-6. (PMID: 14633807). Cites: Diabet Med. 2010 Apr;27(4):459-65. (PMID: 20536519). Cites: Horm Metab Res. 2010 Apr;42 Suppl 1:S37-55. (PMID: 20391307). Cites: Obes Rev. 2005 Feb;6(1):43-65. (PMID: 15655038). Cites: Prim Care Diabetes. 2012 Dec;6(4):277-83. (PMID: 22868007). Cites: BMC Public Health. 2017 Feb 15;17 (1):198. (PMID: 28202029). Cites: Diabetes Care. 2007 Oct;30(10):2465-70. (PMID: 17586741). Cites: Horm Metab Res. 2010 Apr;42 Suppl 1:S3-36. (PMID: 20391306). Cites: Diabetes Care. 2014 Apr;37(4):922-33. (PMID: 24652723). Cites: Am J Prev Med. 2009 Oct;37(4):340-57. (PMID: 19765507). Cites: BMC Health Serv Res. 2013 May 31;13:201. (PMID: 23725521). Cites: Exp Clin Endocrinol Diabetes. 2008 Mar;116(3):167-72. (PMID: 18350480). Cites: Metabolism. 2013 Feb;62(2):303-14. (PMID: 22959500). Cites: J Med Internet Res. 2015 Apr 10;17(4):e92. (PMID: 25863515). Cites: Am J Prev Med. 2007 May;32(5):419-34. (PMID: 17478269). Cites: BMC Health Serv Res. 2008 Feb 04;8:33. (PMID: 18248673). Cites: J Cardiovasc Nurs. 2006 Jul-Aug;21(4):251-8; quiz 259-60. (PMID: 16823276). Cites: Diabetologia. 2012 May;55(5):1319-28. (PMID: 22322921). Cites: Diabetes. 1997 Apr;46(4):701-10. (PMID: 9075814). Cites: N Engl J Med. 2001 May 3;344(18):1343-50. (PMID: 11333990). Cites: Health Educ Res. 2009 Aug;24(4):699-720. (PMID: 19286893). Cites: BMC Public Health. 2012 Sep 24;12:822. (PMID: 23006577). Cites: BMC Public Health. 2007 Sep 19;7:249. (PMID: 17877832). Cites: N Engl J Med. 2002 Feb 7;346(6):393-403. (PMID: 11832527). Cites: Addict Behav. 1996 Jul-Aug;21(4):509-13. (PMID: 8830908). Cites: Am J Prev Med. 2009 Feb;36(2):142-9. (PMID: 19062240). Cites: Diabet Med. 2013 Jan;30(1):3-15. (PMID: 22998334). Cites: Diabetes Res Clin Pract. 2016 Feb;112:13-19. (PMID: 26724186). Linking ISSN: 00257974. Subset: AIM; IM; Date of Electronic Publication: 20180201. ; Original Imprints: Publication: Hagerstown, Md : Lippincott Williams &amp;amp; Wilkins","page":"e9790","title":"Predictors of completing a primary health care diabetes prevention intervention programme in people at high risk of type 2 diabetes: experiences of the DE-PLAN project.","type":"article-journal","volume":"97"},"uris":["http://www.mendeley.com/documents/?uuid=57445cef-4f0f-4d72-8634-76a2864ec486"]},{"id":"ITEM-4","itemData":{"DOI":"10.2105/AJPH.2011.300357","ISBN":"1541-0048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Health","id":"ITEM-4","issue":"2","issued":{"date-parts":[["2012"]]},"page":"336-342","title":"Outcomes of a Latino community-based intervention for the prevention of diabetes: the lawrence Latino diabetes prevention project","type":"article-journal","volume":"102"},"uris":["http://www.mendeley.com/documents/?uuid=6b9cb080-dc52-4e71-a5c6-bb5e3c90945b"]},{"id":"ITEM-5","itemData":{"DOI":"10.1093/tbm/ibx064","ISSN":"1613-9860","abstract":"The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Medicine","id":"ITEM-5","issue":"2","issued":{"date-parts":[["2018"]]},"note":"Accession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illness.","type":"article-journal","volume":"8"},"uris":["http://www.mendeley.com/documents/?uuid=25ddcc05-70f1-4333-9e99-b9d202b84d0d"]}],"mendeley":{"formattedCitation":"(Cezaretto et al., 2012; Coppell et al., 2009; Gilis-Januszewska, Lindström, et al., 2018; Ockene et al., 2012; Quiñones et al., 2018)","plainTextFormattedCitation":"(Cezaretto et al., 2012; Coppell et al., 2009; Gilis-Januszewska, Lindström, et al., 2018; Ockene et al., 2012; Quiñones et al., 2018)","previouslyFormattedCitation":"(Cezaretto et al., 2012; Coppell et al., 2009; Gilis-Januszewska, Lindström, et al., 2018; Ockene et al., 2012; Quiñones et al., 2018)"},"properties":{"noteIndex":0},"schema":"https://github.com/citation-style-language/schema/raw/master/csl-citation.json"}</w:instrText>
      </w:r>
      <w:r w:rsidR="00810F86" w:rsidRPr="00103A0B">
        <w:rPr>
          <w:rFonts w:ascii="Arial" w:eastAsia="Times New Roman" w:hAnsi="Arial" w:cs="Arial"/>
          <w:sz w:val="24"/>
          <w:szCs w:val="24"/>
          <w:lang w:eastAsia="en-GB"/>
        </w:rPr>
        <w:fldChar w:fldCharType="separate"/>
      </w:r>
      <w:r w:rsidR="00810F86" w:rsidRPr="00103A0B">
        <w:rPr>
          <w:rFonts w:ascii="Arial" w:eastAsia="Times New Roman" w:hAnsi="Arial" w:cs="Arial"/>
          <w:noProof/>
          <w:sz w:val="24"/>
          <w:szCs w:val="24"/>
          <w:lang w:eastAsia="en-GB"/>
        </w:rPr>
        <w:t>(Cezaretto et al., 2012; Coppell et al., 2009; Gilis-Januszewska, Lindström, et al., 2018; Ockene et al., 2012; Quiñones et al., 2018)</w:t>
      </w:r>
      <w:r w:rsidR="00810F86" w:rsidRPr="00103A0B">
        <w:rPr>
          <w:rFonts w:ascii="Arial" w:eastAsia="Times New Roman" w:hAnsi="Arial" w:cs="Arial"/>
          <w:sz w:val="24"/>
          <w:szCs w:val="24"/>
          <w:lang w:eastAsia="en-GB"/>
        </w:rPr>
        <w:fldChar w:fldCharType="end"/>
      </w:r>
      <w:r w:rsidRPr="00103A0B">
        <w:rPr>
          <w:rFonts w:ascii="Arial" w:hAnsi="Arial" w:cs="Arial"/>
          <w:sz w:val="24"/>
          <w:szCs w:val="24"/>
        </w:rPr>
        <w:t>.</w:t>
      </w:r>
    </w:p>
    <w:p w14:paraId="1067737D" w14:textId="3D856A71" w:rsidR="002D3F5D" w:rsidRPr="00103A0B" w:rsidRDefault="00C42E5F" w:rsidP="009B6D84">
      <w:pPr>
        <w:keepLines/>
        <w:jc w:val="both"/>
        <w:rPr>
          <w:rFonts w:ascii="Arial" w:hAnsi="Arial" w:cs="Arial"/>
          <w:i/>
          <w:iCs/>
          <w:sz w:val="24"/>
          <w:szCs w:val="24"/>
        </w:rPr>
      </w:pPr>
      <w:r w:rsidRPr="00103A0B">
        <w:rPr>
          <w:rFonts w:ascii="Arial" w:hAnsi="Arial" w:cs="Arial"/>
          <w:i/>
          <w:iCs/>
          <w:sz w:val="24"/>
          <w:szCs w:val="24"/>
        </w:rPr>
        <w:t xml:space="preserve">1.7.3 </w:t>
      </w:r>
      <w:r w:rsidR="002D3F5D" w:rsidRPr="00103A0B">
        <w:rPr>
          <w:rFonts w:ascii="Arial" w:hAnsi="Arial" w:cs="Arial"/>
          <w:i/>
          <w:iCs/>
          <w:sz w:val="24"/>
          <w:szCs w:val="24"/>
        </w:rPr>
        <w:t>Ethnicity</w:t>
      </w:r>
    </w:p>
    <w:p w14:paraId="42A78A87" w14:textId="3EC4DDF9" w:rsidR="003F54B5" w:rsidRPr="00103A0B" w:rsidRDefault="003F54B5" w:rsidP="00CD5919">
      <w:pPr>
        <w:spacing w:line="360" w:lineRule="auto"/>
        <w:jc w:val="both"/>
        <w:rPr>
          <w:rFonts w:ascii="Arial" w:hAnsi="Arial" w:cs="Arial"/>
          <w:sz w:val="24"/>
          <w:szCs w:val="24"/>
        </w:rPr>
      </w:pPr>
      <w:r w:rsidRPr="00103A0B">
        <w:rPr>
          <w:rFonts w:ascii="Arial" w:hAnsi="Arial" w:cs="Arial"/>
          <w:sz w:val="24"/>
          <w:szCs w:val="24"/>
        </w:rPr>
        <w:t>Ethnicity is another important risk factor for T2DM as research has shown when compared to white ethnic groups, specific ethnic groups such as South Asian, African-Caribbean, Black African and Chinese</w:t>
      </w:r>
      <w:r w:rsidR="009B6D84" w:rsidRPr="00103A0B">
        <w:rPr>
          <w:rFonts w:ascii="Arial" w:hAnsi="Arial" w:cs="Arial"/>
          <w:sz w:val="24"/>
          <w:szCs w:val="24"/>
        </w:rPr>
        <w:t xml:space="preserve"> </w:t>
      </w:r>
      <w:r w:rsidRPr="00103A0B">
        <w:rPr>
          <w:rFonts w:ascii="Arial" w:hAnsi="Arial" w:cs="Arial"/>
          <w:sz w:val="24"/>
          <w:szCs w:val="24"/>
        </w:rPr>
        <w:t xml:space="preserve">are more likely to develop T2DM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{"citationItems":[{"id":"ITEM-1","itemData":{"author":[{"dropping-particle":"","family":"National Institute for Health and Care Excellence (NICE)","given":"","non-dropping-particle":"","parse-names":false,"suffix":""}],"id":"ITEM-1","issued":{"date-parts":[["2011"]]},"number-of-pages":"1-84","title":"Type 2 diabetes prevention: population and community-level interventions","type":"report"},"uris":["http://www.mendeley.com/documents/?uuid=17ac8fd4-ef34-4d63-b6c1-750a43ee37dd"]},{"id":"ITEM-2","itemData":{"DOI":"ISBN 978 92 4 156525 7","ISBN":"978 92 4 156525 7","ISSN":"1098-6596","PMID":"25246403","abstract":"Diabetes is a serious, chronic disease that occurs either when the pancreas does not produce enough insulin (a hormone that regulates blood sugar, or glucose), or when the body cannot effectively use the insulin it produces. Diabetes is an important public health problem, one of four priority noncommunicable diseases (NCDs) targeted for action by world leaders. Both the number of cases and the prevalence of diabetes have been steadily increasing over the past few decades.","author":[{"dropping-particle":"","family":"World Health Organization (WHO)","given":"","non-dropping-particle":"","parse-names":false,"suffix":""}],"id":"ITEM-2","issued":{"date-parts":[["2016"]]},"number-of-pages":"88","title":"Global Report on Diabetes","type":"report"},"uris":["http://www.mendeley.com/documents/?uuid=0133d977-4488-47a0-bc3c-e61df8f0f802"]},{"id":"ITEM-3","itemData":{"DOI":"10.1210/jc.2016-1915","ISSN":"19457197","PMID":"27490920","abstract":"Context: We have previously found that visceral fat is a stronger predictor for cardiovascular risk factors than body mass index (BMI). Objective: This study sought to investigate the prevalence of diabetes in elderly men and women in relation to objectively assessed visceral fat volume. Design and Setting: The cohort consisted of a population-based sample of 705 men and 688 women, all age 70 y at the time of examination. Main Outcome Measures: Associations between body fat estimates, plasma glucose level, and diabetes prevalence were investigated using multivariable-adjusted statistical models. Results: The prevalence of type 2 diabetes was 14.6% in men and 9.1% in women (P &lt;.001). Mean BMIwasslightlyhigherinmenthaninwomen(27.3vs26.6kg/m2; P =.01),withagreaterdifference in mean visceral fat mass (1987 vs 1077 g; P &lt;.001). After adjustment for physical activity and smoking, men had about/approximately twice the odds of having type 2 diabetes compared with women (odds ratio [OR], 1.95; 95% confidence interval [CI], 1.38-2.76). The inclusion of BMI in this model did not change the risk associated with male sex (OR, 1.93; 95% CI, 1.34-2.77). However, whenvisceralfatwasincludedasacovariate,malesexwasnotassociatedwithincreasedriskoftype 2 diabetes (OR, 0.77; 95% CI, 0.51-1.18). Conclusions: The higher prevalence of type 2 diabetes in older men than in older women was associated with larger amount of visceral fat in men. In contrast, differences in BMI was not associated with this difference.","author":[{"dropping-particle":"","family":"Nordström","given":"Anna","non-dropping-particle":"","parse-names":false,"suffix":""},{"dropping-particle":"","family":"Hadrévi","given":"Jenny","non-dropping-particle":"","parse-names":false,"suffix":""},{"dropping-particle":"","family":"Olsson","given":"Tommy","non-dropping-particle":"","parse-names":false,"suffix":""},{"dropping-particle":"","family":"Franks","given":"Paul W.","non-dropping-particle":"","parse-names":false,"suffix":""},{"dropping-particle":"","family":"Nordström","given":"Peter","non-dropping-particle":"","parse-names":false,"suffix":""}],"container-title":"Journal of Clinical Endocrinology and Metabolism","id":"ITEM-3","issue":"10","issued":{"date-parts":[["2016"]]},"page":"3740-3746","title":"Higher prevalence of type 2 diabetes in men than in women is associated with differences in visceral fat mass","type":"article-journal","volume":"101"},"uris":["http://www.mendeley.com/documents/?uuid=f8216a42-74b0-4268-8324-79c9abe1aa13"]}],"mendeley":{"formattedCitation":"(National Institute for Health and Care Excellence (NICE), 2011; Nordström et al., 2016; World Health Organization (WHO), 2016)","plainTextFormattedCitation":"(National Institute for Health and Care Excellence (NICE), 2011; Nordström et al., 2016; World Health Organization (WHO), 2016)","previouslyFormattedCitation":"(National Institute for Health and Care Excellence (NICE), 2011; Nordström et al., 2016; World Health Organization (WHO), 2016)"},"properties":{"noteIndex":0},"schema":"https://github.com/citation-style-language/schema/raw/master/csl-citation.json"}</w:instrText>
      </w:r>
      <w:r w:rsidRPr="00103A0B">
        <w:rPr>
          <w:rFonts w:ascii="Arial" w:hAnsi="Arial" w:cs="Arial"/>
          <w:sz w:val="24"/>
          <w:szCs w:val="24"/>
        </w:rPr>
        <w:fldChar w:fldCharType="separate"/>
      </w:r>
      <w:r w:rsidR="007E0EE7" w:rsidRPr="00103A0B">
        <w:rPr>
          <w:rFonts w:ascii="Arial" w:hAnsi="Arial" w:cs="Arial"/>
          <w:noProof/>
          <w:sz w:val="24"/>
          <w:szCs w:val="24"/>
        </w:rPr>
        <w:t>(National Institute for Health and Care Excellence (NICE), 2011; Nordström et al., 2016; World Health Organization (WHO), 2016)</w:t>
      </w:r>
      <w:r w:rsidRPr="00103A0B">
        <w:rPr>
          <w:rFonts w:ascii="Arial" w:hAnsi="Arial" w:cs="Arial"/>
          <w:sz w:val="24"/>
          <w:szCs w:val="24"/>
        </w:rPr>
        <w:fldChar w:fldCharType="end"/>
      </w:r>
      <w:r w:rsidRPr="00103A0B">
        <w:rPr>
          <w:rFonts w:ascii="Arial" w:hAnsi="Arial" w:cs="Arial"/>
          <w:sz w:val="24"/>
          <w:szCs w:val="24"/>
        </w:rPr>
        <w:t xml:space="preserve">. </w:t>
      </w:r>
    </w:p>
    <w:p w14:paraId="307A360F" w14:textId="4DCD71EF" w:rsidR="003F54B5" w:rsidRPr="00103A0B" w:rsidRDefault="003F54B5" w:rsidP="00CD5919">
      <w:pPr>
        <w:spacing w:line="360" w:lineRule="auto"/>
        <w:jc w:val="both"/>
        <w:rPr>
          <w:rFonts w:ascii="Arial" w:hAnsi="Arial" w:cs="Arial"/>
          <w:sz w:val="24"/>
          <w:szCs w:val="24"/>
        </w:rPr>
      </w:pPr>
      <w:r w:rsidRPr="00103A0B">
        <w:rPr>
          <w:rFonts w:ascii="Arial" w:hAnsi="Arial" w:cs="Arial"/>
          <w:sz w:val="24"/>
          <w:szCs w:val="24"/>
        </w:rPr>
        <w:t xml:space="preserve">There is mixed evidence regarding ethnicity and uptake. Although some DPPs have found those from Black, Asian, Afro-Caribbean, or mixed ethnic backgrounds are more likely to be interested in and start DPPs when compared to any other ethnic or White European groups </w:t>
      </w:r>
      <w:r w:rsidRPr="00103A0B">
        <w:rPr>
          <w:rFonts w:ascii="Arial" w:hAnsi="Arial" w:cs="Arial"/>
          <w:sz w:val="24"/>
          <w:szCs w:val="24"/>
        </w:rPr>
        <w:fldChar w:fldCharType="begin" w:fldLock="1"/>
      </w:r>
      <w:r w:rsidR="00926B09" w:rsidRPr="00103A0B">
        <w:rPr>
          <w:rFonts w:ascii="Arial" w:hAnsi="Arial" w:cs="Arial"/>
          <w:sz w:val="24"/>
          <w:szCs w:val="24"/>
        </w:rPr>
        <w:instrText>ADDIN CSL_CITATION {"citationItems":[{"id":"ITEM-1","itemData":{"ISSN":"18732607","PMID":"30661888","abstract":"Introduction: As the burden of type 2 diabetes rises, there is increasing focus on improving the reach of evidence-based lifestyle interventions. Using nationally representative data, this study identifies how frequently at-risk adults are being referred to and participating in diabetes prevention programming, and explores correlates of referral, participation, and interest. Methods: Data from the 2016 National Health Interview Survey, a cross-sectional survey of U.S. households, were analyzed in 2017. The study population consisted of adults (aged ≥18 years) without a self-reported diabetes diagnosis, who were likely eligible for diabetes prevention programming based on (1) self-reported diagnosis of prediabetes or gestational diabetes, and (2) meeting BMI criteria. Prevalence of self-reported referral and participation was determined, and sociodemographic correlates of referral, participation, and interest were characterized through multivariable logistic regression analyses. Results: The study population consisted of 2,341 adults. The majority were female (63%), white (74.6%), non-Hispanic (83.4%), and aged ≥45 years (68.2%). A total of 4.2% reported ever being referred to a 12-month prevention program and only 2.4% reported ever participating. In multivariable logistic regression, race was correlated with referral (black and Asian adults more likely to report referral) and age was positively correlated with participation. More than 25% of adults who were never referred or participated reported an interest in engaging in programming. Conclusions: Although more than one quarter of adults likely eligible for diabetes prevention programming express interest in participating, few are being referred and fewer still have participated. This underscores the need for efforts to enhance program referral and access.","author":[{"dropping-particle":"","family":"Venkataramani","given":"Maya","non-dropping-particle":"","parse-names":false,"suffix":""},{"dropping-particle":"","family":"Pollack","given":"Craig Evan","non-dropping-particle":"","parse-names":false,"suffix":""},{"dropping-particle":"","family":"Yeh","given":"Hsin Chieh","non-dropping-particle":"","parse-names":false,"suffix":""},{"dropping-particle":"","family":"Maruthur","given":"Nisa M.","non-dropping-particle":"","parse-names":false,"suffix":""}],"container-title":"American Journal of Preventive Medicine","id":"ITEM-1","issue":"3","issued":{"date-parts":[["2019"]]},"page":"452-457","publisher":"Elsevier Inc.","title":"Prevalence and correlates of diabetes prevention program referral and participation","type":"article-journal","volume":"56"},"uris":["http://www.mendeley.com/documents/?uuid=4b34fdeb-95e2-4c75-a3e4-aaff4bc151e7"]},{"id":"ITEM-2","itemData":{"ISSN":"08901171","abstract":"&lt;bold&gt;Purpose: &lt;/bold&gt;Our objective is to evaluate the \"reach\" component of the Reach Effectiveness Adoption Implementation Maintenance (RE-AIM) framework by comparing prediabetics who were and were not interested in enrolling in a free work site diabetes prevention program (DPP) during the first year of the program. Reach is defined as the proportion of eligible participants who enroll in a health program.&lt;bold&gt;Design: &lt;/bold&gt;A cross-sectional study design was used.&lt;bold&gt;Setting: &lt;/bold&gt;The setting was a large health system in the Midwest.&lt;bold&gt;Participants: &lt;/bold&gt;Prediabetic health plan enrollees and spouses (N = 2158).&lt;bold&gt;Measures: &lt;/bold&gt;An online health survey, annual voluntary biometric screenings delivered by a trained health-care professional using standardized protocols via point-of-care testing, and records from the DPP office were the sources of data for this study.&lt;bold&gt;Analysis: &lt;/bold&gt;Health behaviors and biometric screening results were simultaneously compared using multivariable logistic regression.&lt;bold&gt;Results: &lt;/bold&gt;The study population was 63% female, 79% white, and 16% black, and the mean age was 50.2 years (SD = 10.2). The reach of this program was 10%. Prediabetics were more likely to express interest in the DPP, if they were female (adjusted odds ratio [AOR]: 2.4; 95% confidence interval [95% CI]: 1.55-3.72; P &lt; .001), black (AOR = 2.23; 95% CI: 1.43-3.47; P &lt; .001), older in age (AOR: 1.08; 95% CI: 0.99-1.17; P = .05), or had a high-risk waist circumference (AOR = 1.44; 95% CI: 0.98-2.13; P = .07), lower self-efficacy to make healthy changes (AOR = 0.48; 95% CI: 0.26-0.91; P = .03), and 5 or more doctor visits in the last year (AOR = 2.13; 95% CI: 0.99-4.57; P = .05), after controlling for other covariates.&lt;bold&gt;Conclusion: &lt;/bold&gt;Current recruitment and implementation strategies are reaching only a small group of individuals who are not representative of the larger prediabetic population. These findings inform future engagement strategies, and we recommend that public health practitioners evaluate reach to ensure that health promotion programs are of high value. ABSTRACT FROM AUTHOR","author":[{"dropping-particle":"","family":"Zigmont","given":"Victoria A","non-dropping-particle":"","parse-names":false,"suffix":""},{"dropping-particle":"","family":"Shoben","given":"Abigail B","non-dropping-particle":"","parse-names":false,"suffix":""},{"dropping-particle":"","family":"Kaye","given":"Gail L","non-dropping-particle":"","parse-names":false,"suffix":""},{"dropping-particle":"","family":"Snow","given":"Richard J","non-dropping-particle":"","parse-names":false,"suffix":""},{"dropping-particle":"","family":"Clinton","given":"Steven K","non-dropping-particle":"","parse-names":false,"suffix":""},{"dropping-particle":"","family":"Harris","given":"Randall E","non-dropping-particle":"","parse-names":false,"suffix":""},{"dropping-particle":"","family":"Olivo-Marston","given":"Susan E","non-dropping-particle":"","parse-names":false,"suffix":""}],"container-title":"American Journal of Health Promotion","id":"ITEM-2","issue":"6","issued":{"date-parts":[["2018"]]},"note":"Accession Number: 130506972; Author: Zigmont, Victoria A.: 1 email: vzigmont42@gmail.com. Author: Shoben, Abigail B.: 2 Author: Kaye, Gail L.: 3 Author: Snow, Richard J.: 4 Author: Clinton, Steven K.: 5 Author: Harris, Randall E.: 6 Author: Olivo-Marston, Susan E.: 6 ; Author Affiliation: 1 Department of Public Health, Southern Connecticut State University, New Haven, CT, USA: 2 Division of Biostatistics, College of Public Health, The Ohio State University, Columbus, OH, USA: 3 Division of Health Promotion, College of Public Health, The Ohio State University, Columbus, OH, USA: 4 Touro College of Osteopathic Medicine, Touro University, Vallejo, CA, USA: 5 Department of Internal Medicine, The Ohio State University College of Medicine, Columbus, OH, USA: 6 Division of Epidemiology, College of Public Health, The Ohio State University, Columbus, OH, USA; No. of Pages: 8; Language: English; Publication Type: journal article; Update Code: 20180706","page":"1417-1424","title":"An evaluation of reach for a work site implementation of the national diabetes prevention program focusing on diet and exercise.","type":"article-journal","volume":"32"},"uris":["http://www.mendeley.com/documents/?uuid=eadca763-b969-4148-b924-ba4cd499e859"]},{"id":"ITEM-3","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Medicine","id":"ITEM-3","issued":{"date-parts":[["2018"]]},"page":"513-518","title":"Progress of the healthier you: NHS diabetes prevention programme: referrals, uptake and participant characteristics","type":"article-journal","volume":"35"},"uris":["http://www.mendeley.com/documents/?uuid=1f5d47f1-f2c9-41a7-af24-e63deeae9374"]}],"mendeley":{"formattedCitation":"(Barron et al., 2018; Venkataramani et al., 2019; Zigmont et al., 2018)","plainTextFormattedCitation":"(Barron et al., 2018; Venkataramani et al., 2019; Zigmont et al., 2018)","previouslyFormattedCitation":"(Barron et al., 2018; Venkataramani et al., 2019; Zigmont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(Barron et al., 2018; Venkataramani et al., 2019; Zigmont et al., 2018)</w:t>
      </w:r>
      <w:r w:rsidRPr="00103A0B">
        <w:rPr>
          <w:rFonts w:ascii="Arial" w:hAnsi="Arial" w:cs="Arial"/>
          <w:sz w:val="24"/>
          <w:szCs w:val="24"/>
        </w:rPr>
        <w:fldChar w:fldCharType="end"/>
      </w:r>
      <w:r w:rsidRPr="00103A0B">
        <w:rPr>
          <w:rFonts w:ascii="Arial" w:hAnsi="Arial" w:cs="Arial"/>
          <w:sz w:val="24"/>
          <w:szCs w:val="24"/>
        </w:rPr>
        <w:t xml:space="preserve">, others have found non-Hispanic White or White ethnic individuals are more likely to start and become attenders than other ethnic groups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{"citationItems":[{"id":"ITEM-1","itemData":{"DOI":"10.1016/j.amepre.2017.06.013","ISSN":"0749-3797","abstract":"Introduction: Reducing obesity and diabetes risks among women of child-bearing age is urgently needed to halt the transgenerational cycle of disease. Interventions among pregnant women have largely been ineffective and may be initiated too late to improve maternal and child health. The National Diabetes Prevention Program is a widely disseminated lifestyle intervention that may help mitigate risks before pregnancy. However, the program has targeted relatively older adults, and effectiveness among women of child-bearing age remains largely unknown.Methods: The National Diabetes Prevention Program was delivered in an urban safety net hospital. Reach and effectiveness were evaluated among 4,866 eligible women who were invited to participate in the program. The authors compared enrollment, attendance, and weight loss for women aged 18-39 years as compared to women aged ≥40 years. Data were collected between 2013 and 2016. Analyses were conducted in 2017.Results: Women of child-bearing age were nearly half as likely to enroll than older women in adjusted models (OR=0.58, 95% CI=0.49, 0.69). Subsequently, younger enrollees were less likely to attend ≥1 session(s) than older women (OR=0.77, 95% CI=0.61, 0.99). There was no significant age group difference in program completion rates or weight-loss outcomes. Both groups lost an average of 3% body weight.Conclusions: Women of child-bearing age were less likely than older women to engage in the National Diabetes Prevention Program; however, they were equally likely to benefit from weight loss when they attended. Further efforts are needed to improve engagement of women of child-bearing age.","author":[{"dropping-particle":"","family":"Ritchie","given":"Natalie D","non-dropping-particle":"","parse-names":false,"suffix":""},{"dropping-particle":"","family":"Sauder","given":"Katherine A","non-dropping-particle":"","parse-names":false,"suffix":""},{"dropping-particle":"","family":"Fabbri","given":"Stefka","non-dropping-particle":"","parse-names":false,"suffix":""}],"container-title":"American Journal of Preventive Medicine","id":"ITEM-1","issue":"5","issued":{"date-parts":[["2017","11"]]},"note":"Accession Number: 125526460. Language: English. Entry Date: 20180722. Revision Date: 20180722. Publication Type: journal article. Journal Subset: Biomedical; Health Promotion/Education; USA. Instrumentation: Maternal Confidence Questionnaire (MCQ) (Parker and Zahr). NLM UID: 8704773.","page":"714-718","publisher":"Elsevier B.V.","publisher-place":"Department of Psychiatry, University of Colorado School of Medicine, Aurora, Colorado","title":"Reach and effectiveness of the national diabetes prevention program for young women.","type":"article-journal","volume":"53"},"uris":["http://www.mendeley.com/documents/?uuid=eff8d673-f774-43d5-921c-c9d2cab22bd4"]},{"id":"ITEM-2","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Open","id":"ITEM-2","issued":{"date-parts":[["2019"]]},"page":"e028491","title":"Users ’ experiences of a pragmatic diabetes prevention intervention implemented in primary care: qualitative study","type":"article-journal","volume":"9"},"uris":["http://www.mendeley.com/documents/?uuid=883930c4-afe2-4928-a344-24e5a77c114f"]},{"id":"ITEM-3","itemData":{"DOI":"10.1177/0890117117698623","ISSN":"08901171","abstract":"&lt;bold&gt;Purpose: &lt;/bold&gt;To study the effect of the National Diabetes Prevention Program (NDPP) on weight loss in Latinos.&lt;bold&gt;Design: &lt;/bold&gt;No-control, cohort study comparing Latino and non-Hispanic white (NHW) participants.&lt;bold&gt;Setting: &lt;/bold&gt;A health-care system.&lt;bold&gt;Participants: &lt;/bold&gt;Five hundred sixty-seven Latino and 175 NHW patients who enrolled in the NDPP. A total of 45.2% of Latinos selected the Spanish-language NDPP.&lt;bold&gt;Intervention: &lt;/bold&gt;The NDPP is a nationwide translation of a clinical trial and seeks to prevent diabetes through weight loss in a yearlong group program.&lt;bold&gt;Measures: &lt;/bold&gt;Independent variables included ethnicity, class language, and number of sessions attended. Main outcomes were initial attendance, number of sessions attended, and weight loss.&lt;bold&gt;Analysis: &lt;/bold&gt;Multivariate logistic regression and analysis of covariance were used to determine differences in NDPP outcomes by ethnicity, language, and number of sessions attended.&lt;bold&gt;Results: &lt;/bold&gt;Mean attendance was 8.60 of 22 sessions. Each session was associated with 0.30% (±0.02; P &lt; .001) body weight loss. Latinos were half as likely to attend as NHWs, odds ratio 0.52 ( P &lt; .001). Latino attendees came to 2.67 ± 0.63 ( P &lt; .001) fewer sessions than NHWs. There were no weight loss differences by ethnicity after controlling for attendance. Outcomes did not differ among Latinos in the English- and Spanish-language NDPP.&lt;bold&gt;Conclusion: &lt;/bold&gt;Latinos appeared to benefit less from the NDPP compared to NHWs, likely due to lower attendance rates. Further efforts are needed to support their participation. ABSTRACT FROM AUTHOR","author":[{"dropping-particle":"","family":"Ritchie","given":"Natalie D","non-dropping-particle":"","parse-names":false,"suffix":""},{"dropping-particle":"","family":"Christoe-Frazier","given":"Liesel","non-dropping-particle":"","parse-names":false,"suffix":""},{"dropping-particle":"","family":"McFann","given":"Kim K","non-dropping-particle":"","parse-names":false,"suffix":""},{"dropping-particle":"","family":"Havranek","given":"Edward P","non-dropping-particle":"","parse-names":false,"suffix":""},{"dropping-particle":"","family":"Pereira","given":"Rocio I","non-dropping-particle":"","parse-names":false,"suffix":""}],"container-title":"American Journal of Health Promotion","id":"ITEM-3","issue":"3","issued":{"date-parts":[["2018","3"]]},"note":"Accession Number: 127969961; Author: Ritchie, Natalie D.: 1,2 email: natalie.ritchie@dhha.org. Author: Christoe-Frazier, Liesel: 3 Author: McFann, Kim K.: 4 Author: Havranek, Edward P.: 5,6 Author: Pereira, Rocio I.: 5,7 ; Author Affiliation: 1 Ambulatory Care Services, Denver Health and Hospital Authority, Denver, CO, USA: 2 Department of Psychiatry, University of Colorado School of Medicine, Aurora, CO, USA: 3 Department of Counseling Psychology, University of Northern Colorado, Greeley, CO, USA: 4 Colorado School of Public Health, University of Colorado, Aurora, CO, USA: 5 Department of Medicine, Denver Health and Hospital Authority, Denver, CO, USA: 6 Department of Medicine, University of Colorado School of Medicine, Aurora, CO, USA: 7 Department of Endocrinology, University of Colorado School of Medicine, Aurora, CO, USA; No. of Pages: 4; Language: English; Publication Type: journal article; Update Code: 20180214","page":"812-815","title":"Effect of the national diabetes prevention program on weight loss for english- and spanish-speaking Latinos.","type":"article-journal","volume":"32"},"uris":["http://www.mendeley.com/documents/?uuid=7a97fc1b-c0ce-4a0c-b957-ea4f7f197adf"]}],"mendeley":{"formattedCitation":"(Aujla et al., 2019; Ritchie et al., 2017, 2018)","plainTextFormattedCitation":"(Aujla et al., 2019; Ritchie et al., 2017, 2018)","previouslyFormattedCitation":"(Aujla et al., 2019; Ritchie et al., 2017,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(Aujla et al., 2019; Ritchie et al., 2017, 2018)</w:t>
      </w:r>
      <w:r w:rsidRPr="00103A0B">
        <w:rPr>
          <w:rFonts w:ascii="Arial" w:hAnsi="Arial" w:cs="Arial"/>
          <w:sz w:val="24"/>
          <w:szCs w:val="24"/>
        </w:rPr>
        <w:fldChar w:fldCharType="end"/>
      </w:r>
      <w:r w:rsidRPr="00103A0B">
        <w:rPr>
          <w:rFonts w:ascii="Arial" w:hAnsi="Arial" w:cs="Arial"/>
          <w:sz w:val="24"/>
          <w:szCs w:val="24"/>
        </w:rPr>
        <w:t xml:space="preserve">. </w:t>
      </w:r>
    </w:p>
    <w:p w14:paraId="5B78AF32" w14:textId="6A353A3D" w:rsidR="003F54B5" w:rsidRPr="00103A0B" w:rsidRDefault="003F54B5" w:rsidP="00CD5919">
      <w:pPr>
        <w:spacing w:line="360" w:lineRule="auto"/>
        <w:jc w:val="both"/>
        <w:rPr>
          <w:rFonts w:ascii="Arial" w:hAnsi="Arial" w:cs="Arial"/>
          <w:sz w:val="24"/>
          <w:szCs w:val="24"/>
        </w:rPr>
      </w:pPr>
      <w:r w:rsidRPr="00103A0B">
        <w:rPr>
          <w:rFonts w:ascii="Arial" w:hAnsi="Arial" w:cs="Arial"/>
          <w:sz w:val="24"/>
          <w:szCs w:val="24"/>
        </w:rPr>
        <w:t xml:space="preserve">Regarding retention, there is a clearer pattern in findings. Many DPPs have found Latinos, non-Caucasian, </w:t>
      </w:r>
      <w:r w:rsidRPr="00103A0B">
        <w:rPr>
          <w:rFonts w:ascii="Arial" w:eastAsia="Times New Roman" w:hAnsi="Arial" w:cs="Arial"/>
          <w:sz w:val="24"/>
          <w:szCs w:val="24"/>
          <w:lang w:eastAsia="en-GB"/>
        </w:rPr>
        <w:t xml:space="preserve">non-Hispanic African Americans, </w:t>
      </w:r>
      <w:r w:rsidRPr="00103A0B">
        <w:rPr>
          <w:rFonts w:ascii="Arial" w:hAnsi="Arial" w:cs="Arial"/>
          <w:sz w:val="24"/>
          <w:szCs w:val="24"/>
        </w:rPr>
        <w:t>those from Asian, Black or mixed ethnic groups to be more likely to drop</w:t>
      </w:r>
      <w:r w:rsidR="00F6449A" w:rsidRPr="00103A0B">
        <w:rPr>
          <w:rFonts w:ascii="Arial" w:hAnsi="Arial" w:cs="Arial"/>
          <w:sz w:val="24"/>
          <w:szCs w:val="24"/>
        </w:rPr>
        <w:t xml:space="preserve"> </w:t>
      </w:r>
      <w:r w:rsidRPr="00103A0B">
        <w:rPr>
          <w:rFonts w:ascii="Arial" w:hAnsi="Arial" w:cs="Arial"/>
          <w:sz w:val="24"/>
          <w:szCs w:val="24"/>
        </w:rPr>
        <w:t xml:space="preserve">out and become non-completers when compared to </w:t>
      </w:r>
      <w:r w:rsidR="007A139F" w:rsidRPr="00103A0B">
        <w:rPr>
          <w:rFonts w:ascii="Arial" w:hAnsi="Arial" w:cs="Arial"/>
          <w:sz w:val="24"/>
          <w:szCs w:val="24"/>
        </w:rPr>
        <w:t>W</w:t>
      </w:r>
      <w:r w:rsidRPr="00103A0B">
        <w:rPr>
          <w:rFonts w:ascii="Arial" w:hAnsi="Arial" w:cs="Arial"/>
          <w:sz w:val="24"/>
          <w:szCs w:val="24"/>
        </w:rPr>
        <w:t xml:space="preserve">hite ethnic groups </w:t>
      </w:r>
      <w:r w:rsidRPr="00103A0B">
        <w:rPr>
          <w:rFonts w:ascii="Arial" w:eastAsia="Times New Roman" w:hAnsi="Arial" w:cs="Arial"/>
          <w:sz w:val="24"/>
          <w:szCs w:val="24"/>
          <w:lang w:eastAsia="en-GB"/>
        </w:rPr>
        <w:t>who are more likely to become completers</w:t>
      </w:r>
      <w:r w:rsidR="00625AA7" w:rsidRPr="00103A0B">
        <w:rPr>
          <w:rFonts w:ascii="Arial" w:eastAsia="Times New Roman" w:hAnsi="Arial" w:cs="Arial"/>
          <w:sz w:val="24"/>
          <w:szCs w:val="24"/>
          <w:lang w:eastAsia="en-GB"/>
        </w:rPr>
        <w:t xml:space="preserve"> </w:t>
      </w:r>
      <w:r w:rsidR="00833C44" w:rsidRPr="00103A0B">
        <w:rPr>
          <w:rFonts w:ascii="Arial" w:eastAsia="Times New Roman" w:hAnsi="Arial" w:cs="Arial"/>
          <w:sz w:val="24"/>
          <w:szCs w:val="24"/>
          <w:lang w:eastAsia="en-GB"/>
        </w:rPr>
        <w:fldChar w:fldCharType="begin" w:fldLock="1"/>
      </w:r>
      <w:r w:rsidR="005C6715" w:rsidRPr="00103A0B">
        <w:rPr>
          <w:rFonts w:ascii="Arial" w:eastAsia="Times New Roman" w:hAnsi="Arial" w:cs="Arial"/>
          <w:sz w:val="24"/>
          <w:szCs w:val="24"/>
          <w:lang w:eastAsia="en-GB"/>
        </w:rPr>
        <w:instrText>ADDIN CSL_CITATION {"citationItems":[{"id":"ITEM-1","itemData":{"ISSN":"21665435","abstract":"Introduction: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Disease","id":"ITEM-1","issued":{"date-parts":[["2014"]]},"page":"140006","title":"Implementation and outcomes of the New York state YMCA diabetes prevention program: A multisite community-based translation, 2010-2012","type":"article-journal","volume":"11"},"uris":["http://www.mendeley.com/documents/?uuid=d5f59245-ab59-4ba0-bd1c-beec143eb24b"]},{"id":"ITEM-2","itemData":{"DOI":"10.2337/dc19-2366","ISSN":"0149-5992","abstract":"OBJECTIVE: To assess retention in the National Diabetes Prevention Program (DPP) lifestyle change program, which seeks to prevent type 2 diabetes in adults at high risk. RESEARCH DESIGN AND METHODS: We analyzed retention among 41,203 individuals who enrolled in Centers for Disease Control and Prevention (CDC)-recognized in-person lifestyle change programs at organizations that submitted data to CDC's Diabetes Prevention Recognition Program during January 2012-February 2017. RESULTS: Weekly attrition rates were typically &lt;1-2% but were between 3.5% and 5% at week 2 and at weeks 17 and 18, where session frequency typically transitions from weekly to monthly. The percent of participants retained through 18 weeks varied by age (45.9% for 18-29 year olds, 53.4% for 30-44 year olds, 60.2% for 45-54 year olds, 66.7% for 55-64 year olds, and 67.6% for ≥65 year olds), race/ethnicity (70.5% for non-Hispanic whites, 60.5% for non-Hispanic blacks, 52.6% for Hispanics, and 50.6% for other), mean weekly percentage of body weight lost (41.0% for ≤0% lost, 66.2% for &gt;0 to &lt;0.25% lost, 72.9% for 0.25 to &lt;0.5% lost, and 73.9% for ≥0.5% lost), and mean weekly physical activity minutes (12.8% for 0 min, 56.1% for &gt;0 to &lt;60 min, 74.8% for 60 to &lt;150 min, and 82.8% for ≥150 min) but not by sex (63.0% for men and 63.1% for women). CONCLUSIONS: Our results demonstrate the need to identify strategies to improve retention, especially among individuals who are younger or are members of racial/ethnic minority populations and among those who report less physical activity or less early weight loss. Strategies that address retention after the first session and during the transition from weekly to monthly sessions offer the greatest opportunity for impact.","author":[{"dropping-particle":"","family":"Cannon","given":"Michael J.","non-dropping-particle":"","parse-names":false,"suffix":""},{"dropping-particle":"","family":"Masalovich","given":"Svetlana","non-dropping-particle":"","parse-names":false,"suffix":""},{"dropping-particle":"","family":"Ng","given":"Boon Peng","non-dropping-particle":"","parse-names":false,"suffix":""},{"dropping-particle":"","family":"Soler","given":"Robin E.","non-dropping-particle":"","parse-names":false,"suffix":""},{"dropping-particle":"","family":"Jabrah","given":"Rajai","non-dropping-particle":"","parse-names":false,"suffix":""},{"dropping-particle":"","family":"Ely","given":"Elizabeth K.","non-dropping-particle":"","parse-names":false,"suffix":""},{"dropping-particle":"","family":"Smith","given":"Bryce D.","non-dropping-particle":"","parse-names":false,"suffix":""}],"container-title":"Diabetes Care","id":"ITEM-2","issue":"9","issued":{"date-parts":[["2020"]]},"page":"2042-2049","title":"Retention among participants in the national diabetes prevention program lifestyle change program, 2012–2017","type":"article-journal","volume":"43"},"uris":["http://www.mendeley.com/documents/?uuid=eed9f8c6-e26e-4c4e-b26e-930df126d002"]},{"id":"ITEM-3","itemData":{"DOI":"https://doi.org/10.1016/j.cct.2020.105960","ISSN":"15592030","PMID":"32087338","abstract":"Diabetes prevalence has risen rapidly and has become a global health challenge. The Diabetes Prevention Program (DPP) has been shown to prevent or delay the development of diabetes among individuals with prediabetes. Yet, diabetes prevention studies within the Medicaid population are limited and results are mixed. This study aimed to evaluate the impact of different financial incentive strategies on the utilization of the DPP for Medicaid managed care adults in New York State. A four-arm randomized controlled trial was conducted among Medicaid managed care adult enrollees diagnosed with prediabetes and/or obesity. Study participants were offered a 16-week DPP with various incentive strategies based on class attendance and weight loss as follows: Attendance-Only, Weight-Loss Only, and both Attendance and Weight-Loss. A control group was offered DPP with no incentives for attendance or weight loss. We evaluated the impact of incentives on achievement of the program completion and weight-loss milestone. Participants who received incentives for the Attendance-Only class were least likely to be lost to follow-up, more likely to complete the program, and had two times higher percentage of meeting the weight-loss milestone compared to the control group. Results for the other incentive cohorts were mixed. A strong positive association was observed for participants who attended 9 or more classes and weight-loss regardless of incentive strategies. Providing monetary incentives for DPP class attendance had a positive impact on program completion and achieving the weight-loss milestone. However, the results from this study indicate that participant enrollment and retention remained challenges despite the incentives.","author":[{"dropping-particle":"","family":"Chin","given":"Jo Yu","non-dropping-particle":"","parse-names":false,"suffix":""},{"dropping-particle":"","family":"Matson","given":"Jacqueline","non-dropping-particle":"","parse-names":false,"suffix":""},{"dropping-particle":"","family":"McCauley","given":"Susan","non-dropping-particle":"","parse-names":false,"suffix":""},{"dropping-particle":"","family":"Anarella","given":"Joseph","non-dropping-particle":"","parse-names":false,"suffix":""},{"dropping-particle":"","family":"Gesten","given":"Foster","non-dropping-particle":"","parse-names":false,"suffix":""},{"dropping-particle":"","family":"Roohan","given":"Patrick","non-dropping-particle":"","parse-names":false,"suffix":""}],"container-title":"Contemporary Clinical Trials","id":"ITEM-3","issued":{"date-parts":[["2020"]]},"page":"105960","publisher":"Elsevier","title":"The impact of financial incentives on utilization and outcomes of diabetes prevention programs among Medicaid managed care adults in New York state","type":"article-journal","volume":"91"},"uris":["http://www.mendeley.com/documents/?uuid=73705fca-c50d-4e34-861c-f5f59cddb6a5"]},{"id":"ITEM-4","itemData":{"DOI":"10.1177/0890117117698623","ISSN":"08901171","abstract":"&lt;bold&gt;Purpose: &lt;/bold&gt;To study the effect of the National Diabetes Prevention Program (NDPP) on weight loss in Latinos.&lt;bold&gt;Design: &lt;/bold&gt;No-control, cohort study comparing Latino and non-Hispanic white (NHW) participants.&lt;bold&gt;Setting: &lt;/bold&gt;A health-care system.&lt;bold&gt;Participants: &lt;/bold&gt;Five hundred sixty-seven Latino and 175 NHW patients who enrolled in the NDPP. A total of 45.2% of Latinos selected the Spanish-language NDPP.&lt;bold&gt;Intervention: &lt;/bold&gt;The NDPP is a nationwide translation of a clinical trial and seeks to prevent diabetes through weight loss in a yearlong group program.&lt;bold&gt;Measures: &lt;/bold&gt;Independent variables included ethnicity, class language, and number of sessions attended. Main outcomes were initial attendance, number of sessions attended, and weight loss.&lt;bold&gt;Analysis: &lt;/bold&gt;Multivariate logistic regression and analysis of covariance were used to determine differences in NDPP outcomes by ethnicity, language, and number of sessions attended.&lt;bold&gt;Results: &lt;/bold&gt;Mean attendance was 8.60 of 22 sessions. Each session was associated with 0.30% (±0.02; P &lt; .001) body weight loss. Latinos were half as likely to attend as NHWs, odds ratio 0.52 ( P &lt; .001). Latino attendees came to 2.67 ± 0.63 ( P &lt; .001) fewer sessions than NHWs. There were no weight loss differences by ethnicity after controlling for attendance. Outcomes did not differ among Latinos in the English- and Spanish-language NDPP.&lt;bold&gt;Conclusion: &lt;/bold&gt;Latinos appeared to benefit less from the NDPP compared to NHWs, likely due to lower attendance rates. Further efforts are needed to support their participation. ABSTRACT FROM AUTHOR","author":[{"dropping-particle":"","family":"Ritchie","given":"Natalie D","non-dropping-particle":"","parse-names":false,"suffix":""},{"dropping-particle":"","family":"Christoe-Frazier","given":"Liesel","non-dropping-particle":"","parse-names":false,"suffix":""},{"dropping-particle":"","family":"McFann","given":"Kim K","non-dropping-particle":"","parse-names":false,"suffix":""},{"dropping-particle":"","family":"Havranek","given":"Edward P","non-dropping-particle":"","parse-names":false,"suffix":""},{"dropping-particle":"","family":"Pereira","given":"Rocio I","non-dropping-particle":"","parse-names":false,"suffix":""}],"container-title":"American Journal of Health Promotion","id":"ITEM-4","issue":"3","issued":{"date-parts":[["2018","3"]]},"note":"Accession Number: 127969961; Author: Ritchie, Natalie D.: 1,2 email: natalie.ritchie@dhha.org. Author: Christoe-Frazier, Liesel: 3 Author: McFann, Kim K.: 4 Author: Havranek, Edward P.: 5,6 Author: Pereira, Rocio I.: 5,7 ; Author Affiliation: 1 Ambulatory Care Services, Denver Health and Hospital Authority, Denver, CO, USA: 2 Department of Psychiatry, University of Colorado School of Medicine, Aurora, CO, USA: 3 Department of Counseling Psychology, University of Northern Colorado, Greeley, CO, USA: 4 Colorado School of Public Health, University of Colorado, Aurora, CO, USA: 5 Department of Medicine, Denver Health and Hospital Authority, Denver, CO, USA: 6 Department of Medicine, University of Colorado School of Medicine, Aurora, CO, USA: 7 Department of Endocrinology, University of Colorado School of Medicine, Aurora, CO, USA; No. of Pages: 4; Language: English; Publication Type: journal article; Update Code: 20180214","page":"812-815","title":"Effect of the national diabetes prevention program on weight loss for english- and spanish-speaking Latinos.","type":"article-journal","volume":"32"},"uris":["http://www.mendeley.com/documents/?uuid=7a97fc1b-c0ce-4a0c-b957-ea4f7f197adf"]},{"id":"ITEM-5","itemData":{"DOI":"10.2337/dc07-1869","ISSN":"01495992","PMID":"18252904","abstract":"OBJECTIVE-The objective of this study was to determine if a community-based modified Diabetes Prevention Program Group Lifestyle Balance (GLB) intervention, for individuals with metabolic syndrome, was effective in decreasing risk for type 2 diabetes and cardiovascular disease (CVD) in an urban medically underserved community, and subsequently to determine if improvements in clinical outcomes could be sustained in the short term. RESEARCH DESIGN AND METHODS-This nonrandomized prospective intervention study used a one-group design to test the effectiveness of a community-based GLB intervention. Residents from 11 targeted neighborhoods were screened for metabolic syndrome (n = 573) and took part in a 12-week GLB intervention (n = 88) that addressed safe weight loss and physical activity. RESULTS-A marked decline in weight (46.4% lost ≥5% and 26.1% lost ≥7%) was observed in individuals after completion of the intervention. Of these subjects, 87.5% (n = 28) and 66.7% (n = 12) sustained the 5% and 7% reduction, respectively, at the 6-month reassessment. Over one-third of the population (43.5%, n = 30) experienced improvements in one or more component of metabolic syndrome, and 73.3% (n = 22) sustained this improvement at the 6-month reassessment. Additional improvements occurred in waist circumference (P &lt; 0.009) and blood pressure levels (P = 0.04) after adjustment for age, sex, race, mean number of GLB classes attended, and time. CONCLUSIONS-Adults in an urban medically underserved community can decrease their risk for type 2 diabetes and CVD through participation in a GLB intervention, and short-term sustainability is feasible. Future research will include long-term follow-up of these subjects. © 2008 by the American Diabetes Association.","author":[{"dropping-particle":"","family":"Seidel","given":"Miriam C.","non-dropping-particle":"","parse-names":false,"suffix":""},{"dropping-particle":"","family":"Powell","given":"Robert O.","non-dropping-particle":"","parse-names":false,"suffix":""},{"dropping-particle":"","family":"Zgibor","given":"Janice C.","non-dropping-particle":"","parse-names":false,"suffix":""},{"dropping-particle":"","family":"Siminerio","given":"Linda M.","non-dropping-particle":"","parse-names":false,"suffix":""},{"dropping-particle":"","family":"Piatt","given":"Gretchen A.","non-dropping-particle":"","parse-names":false,"suffix":""}],"container-title":"Diabetes Care","id":"ITEM-5","issue":"4","issued":{"date-parts":[["2008"]]},"page":"684-689","title":"Translating the diabetes prevention program into an urban medically underserved community","type":"article-journal","volume":"31"},"uris":["http://www.mendeley.com/documents/?uuid=d068b7a4-f154-435f-b3f1-da959b991863"]},{"id":"ITEM-6","itemData":{"DOI":"10.1186/s12966-019-0877-3","ISSN":"14795868","PMID":"31771589","abstract":"Objective: This two-site randomised trial compared the effectiveness of a voluntary sector-led, community-based diabetes prevention programme to a waiting-list control group at 6 months, and included an observational follow-up of the intervention arm to 12 months. Methods: Adults aged 18-75 years at increased risk of developing type 2 diabetes due to elevated blood glucose and being overweight were recruited from primary care practices at two UK sites, with data collected in participants' homes or community venues. Participants were randomised using an online central allocation service. The intervention, comprising the prototype \"Living Well, Taking Control\" (LWTC) programme, involved four weekly two-hour group sessions held in local community venues to promote changes in diet and physical activity, plus planned follow-up contacts at two, three, six, nine and 12 months alongside 5 hours of additional activities/classes. Waiting list controls received usual care for 6 months before accessing the programme. The primary outcome was weight loss at 6 months. Secondary outcomes included glycated haemoglobin (HbA1c), blood pressure, physical activity, diet, health status and well-being. Only researchers conducting analyses were blinded. Results: The target sample of 314 participants (157 each arm) was largely representative of local populations, including 44% men, 26% from ethnic minorities and 33% living in deprived areas. Primary outcome data were available for 285 (91%) participants (141 intervention, 144 control). Between baseline and 6 months, intervention participants on average lost more weight than controls (- 1.7 kg, 95% CI - 2.59 to - 0.85). Higher attendance was associated with greater weight loss (- 3.0 kg, 95% CI - 4.5 to - 1.5). The prototype LWTC programme more than doubled the proportion of participants losing &gt; 5% of their body weight (21% intervention vs. 8% control, OR 2.83, 95% CI 1.36 to 5.90) and improved self-reported dietary behaviour and health status. There were no impacts on HbA1c, blood pressure, physical activity and well-being at 6 months and, amongst intervention participants, few further changes from six to 12-months (e.g. average weight re-gain 0.36 kg, 95% CI - 0.20 to 0.91). There were no serious adverse events but four exercise-related injuries were reported in the intervention arm. Conclusions: This voluntary sector-led diabetes prevention programme reached a broad spectrum of the population and had modest effects on weight…","author":[{"dropping-particle":"","family":"Smith","given":"Jane R.","non-dropping-particle":"","parse-names":false,"suffix":""},{"dropping-particle":"","family":"Greaves","given":"Colin J.","non-dropping-particle":"","parse-names":false,"suffix":""},{"dropping-particle":"","family":"Thompson","given":"Janice L.","non-dropping-particle":"","parse-names":false,"suffix":""},{"dropping-particle":"","family":"Taylor","given":"Rod S.","non-dropping-particle":"","parse-names":false,"suffix":""},{"dropping-particle":"","family":"Jones","given":"Matthew","non-dropping-particle":"","parse-names":false,"suffix":""},{"dropping-particle":"","family":"Armstrong","given":"Rosy","non-dropping-particle":"","parse-names":false,"suffix":""},{"dropping-particle":"","family":"Moorlock","given":"Sarah","non-dropping-particle":"","parse-names":false,"suffix":""},{"dropping-particle":"","family":"Griffin","given":"Ann","non-dropping-particle":"","parse-names":false,"suffix":""},{"dropping-particle":"","family":"Solomon-Moore","given":"Emma","non-dropping-particle":"","parse-names":false,"suffix":""},{"dropping-particle":"","family":"Biddle","given":"Michele S.Y.","non-dropping-particle":"","parse-names":false,"suffix":""},{"dropping-particle":"","family":"Price","given":"Lisa","non-dropping-particle":"","parse-names":false,"suffix":""},{"dropping-particle":"","family":"Abraham","given":"Charles","non-dropping-particle":"","parse-names":false,"suffix":""}],"container-title":"International Journal of Behavioral Nutrition and Physical Activity","id":"ITEM-6","issued":{"date-parts":[["2019"]]},"page":"112","publisher":"International Journal of Behavioral Nutrition and Physical Activity","title":"The community-based prevention of diabetes (ComPoD) study: a randomised, waiting list controlled trial of a voluntary sector-led diabetes prevention programme","type":"article-journal","volume":"16"},"uris":["http://www.mendeley.com/documents/?uuid=ebd60753-e18e-4575-803f-dcdc56ae1d44"]},{"id":"ITEM-7","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Care","id":"ITEM-7","issued":{"date-parts":[["2020"]]},"page":"152-160","title":"Early outcomes from the English National Health Service diabetes prevention programme","type":"article-journal","volume":"43"},"uris":["http://www.mendeley.com/documents/?uuid=32a7a44a-df0b-4cde-9269-536e48e08190"]}],"mendeley":{"formattedCitation":"(Bozack et al., 2014; Cannon et al., 2020; Chin et al., 2020; Ritchie et al., 2018; M. C. Seidel et al., 2008; J. R. Smith et al., 2019; Valabhji et al., 2020)","manualFormatting":"(Bozack et al., 2014; Cannon et al., 2020; Chin et al., 2020; Ritchie et al., 2018; Seidel et al., 2008; Smith et al., 2019; Valabhji et al., 2020)","plainTextFormattedCitation":"(Bozack et al., 2014; Cannon et al., 2020; Chin et al., 2020; Ritchie et al., 2018; M. C. Seidel et al., 2008; J. R. Smith et al., 2019; Valabhji et al., 2020)","previouslyFormattedCitation":"(Bozack et al., 2014; Cannon et al., 2020; Chin et al., 2020; Ritchie et al., 2018; M. C. Seidel et al., 2008; J. R. Smith et al., 2019; Valabhji et al., 2020)"},"properties":{"noteIndex":0},"schema":"https://github.com/citation-style-language/schema/raw/master/csl-citation.json"}</w:instrText>
      </w:r>
      <w:r w:rsidR="00833C44" w:rsidRPr="00103A0B">
        <w:rPr>
          <w:rFonts w:ascii="Arial" w:eastAsia="Times New Roman" w:hAnsi="Arial" w:cs="Arial"/>
          <w:sz w:val="24"/>
          <w:szCs w:val="24"/>
          <w:lang w:eastAsia="en-GB"/>
        </w:rPr>
        <w:fldChar w:fldCharType="separate"/>
      </w:r>
      <w:r w:rsidR="002830A0" w:rsidRPr="00103A0B">
        <w:rPr>
          <w:rFonts w:ascii="Arial" w:eastAsia="Times New Roman" w:hAnsi="Arial" w:cs="Arial"/>
          <w:noProof/>
          <w:sz w:val="24"/>
          <w:szCs w:val="24"/>
          <w:lang w:eastAsia="en-GB"/>
        </w:rPr>
        <w:t>(Bozack et al., 2014; Cannon et al., 2020; Chin et al., 2020; Ritchie et al., 2018; Seidel et al., 2008; Smith et al., 2019; Valabhji et al., 2020)</w:t>
      </w:r>
      <w:r w:rsidR="00833C44"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r w:rsidRPr="00103A0B">
        <w:rPr>
          <w:rFonts w:ascii="Arial" w:hAnsi="Arial" w:cs="Arial"/>
          <w:sz w:val="24"/>
          <w:szCs w:val="24"/>
        </w:rPr>
        <w:t xml:space="preserve"> </w:t>
      </w:r>
    </w:p>
    <w:p w14:paraId="425143EC" w14:textId="2184692F" w:rsidR="003F54B5" w:rsidRPr="00103A0B" w:rsidRDefault="003F54B5" w:rsidP="009B6D84">
      <w:pPr>
        <w:spacing w:line="360" w:lineRule="auto"/>
        <w:jc w:val="both"/>
        <w:rPr>
          <w:rFonts w:ascii="Arial" w:hAnsi="Arial" w:cs="Arial"/>
          <w:sz w:val="24"/>
          <w:szCs w:val="24"/>
        </w:rPr>
      </w:pPr>
      <w:r w:rsidRPr="00103A0B">
        <w:rPr>
          <w:rFonts w:ascii="Arial" w:hAnsi="Arial" w:cs="Arial"/>
          <w:sz w:val="24"/>
          <w:szCs w:val="24"/>
        </w:rPr>
        <w:t xml:space="preserve">Overall, findings for ethnicity are mixed, particularly for uptake. It is important to note that most of these studies were conducted in the US which have different ethnic groups when compared to the UK. So, whether these findings are applicable to the ethnically diverse groups living in the UK is questionable and would need further exploration. </w:t>
      </w:r>
    </w:p>
    <w:p w14:paraId="469C32BC" w14:textId="77777777" w:rsidR="00423291" w:rsidRPr="00103A0B" w:rsidRDefault="00423291" w:rsidP="009B6D84">
      <w:pPr>
        <w:keepLines/>
        <w:spacing w:line="360" w:lineRule="auto"/>
        <w:jc w:val="both"/>
        <w:rPr>
          <w:rFonts w:ascii="Arial" w:hAnsi="Arial" w:cs="Arial"/>
          <w:i/>
          <w:iCs/>
          <w:sz w:val="24"/>
          <w:szCs w:val="24"/>
        </w:rPr>
      </w:pPr>
    </w:p>
    <w:p w14:paraId="1A9424B7" w14:textId="55B61DA5" w:rsidR="003F54B5" w:rsidRPr="00103A0B" w:rsidRDefault="00C42E5F" w:rsidP="009B6D84">
      <w:pPr>
        <w:keepLines/>
        <w:spacing w:line="360" w:lineRule="auto"/>
        <w:jc w:val="both"/>
        <w:rPr>
          <w:rFonts w:ascii="Arial" w:hAnsi="Arial" w:cs="Arial"/>
          <w:i/>
          <w:iCs/>
          <w:sz w:val="24"/>
          <w:szCs w:val="24"/>
        </w:rPr>
      </w:pPr>
      <w:r w:rsidRPr="00103A0B">
        <w:rPr>
          <w:rFonts w:ascii="Arial" w:hAnsi="Arial" w:cs="Arial"/>
          <w:i/>
          <w:iCs/>
          <w:sz w:val="24"/>
          <w:szCs w:val="24"/>
        </w:rPr>
        <w:t xml:space="preserve">1.7.4 </w:t>
      </w:r>
      <w:r w:rsidR="003F54B5" w:rsidRPr="00103A0B">
        <w:rPr>
          <w:rFonts w:ascii="Arial" w:hAnsi="Arial" w:cs="Arial"/>
          <w:i/>
          <w:iCs/>
          <w:sz w:val="24"/>
          <w:szCs w:val="24"/>
        </w:rPr>
        <w:t>Socioeconomic Status</w:t>
      </w:r>
    </w:p>
    <w:p w14:paraId="3E5EE798" w14:textId="77777777" w:rsidR="00423291" w:rsidRPr="00103A0B" w:rsidRDefault="003F54B5" w:rsidP="00423291">
      <w:pPr>
        <w:autoSpaceDE w:val="0"/>
        <w:autoSpaceDN w:val="0"/>
        <w:adjustRightInd w:val="0"/>
        <w:spacing w:line="360" w:lineRule="auto"/>
        <w:contextualSpacing/>
        <w:jc w:val="both"/>
        <w:rPr>
          <w:rFonts w:ascii="Arial" w:eastAsia="Times New Roman" w:hAnsi="Arial" w:cs="Arial"/>
          <w:sz w:val="24"/>
          <w:szCs w:val="24"/>
          <w:lang w:eastAsia="en-GB"/>
        </w:rPr>
      </w:pPr>
      <w:r w:rsidRPr="00103A0B">
        <w:rPr>
          <w:rFonts w:ascii="Arial" w:hAnsi="Arial" w:cs="Arial"/>
          <w:sz w:val="24"/>
          <w:szCs w:val="24"/>
        </w:rPr>
        <w:t xml:space="preserve">Socioeconomic status is a risk factor for T2DM. Those from more socioeconomically deprived areas are more likely to have prediabetes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Open","id":"ITEM-1","issued":{"date-parts":[["2014"]]},"page":"e005002","title":"Prevalence of prediabetes in England from 2003 to 2011: population-based, cross-sectional study","type":"article-journal","volume":"4"},"uris":["http://www.mendeley.com/documents/?uuid=3d8c06b2-c467-4cfa-b523-36fc0982e568"]}],"mendeley":{"formattedCitation":"(Mainous III et al., 2014)","plainTextFormattedCitation":"(Mainous III et al., 2014)","previouslyFormattedCitation":"(Mainous III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(Mainous III et al., 2014)</w:t>
      </w:r>
      <w:r w:rsidRPr="00103A0B">
        <w:rPr>
          <w:rFonts w:ascii="Arial" w:hAnsi="Arial" w:cs="Arial"/>
          <w:sz w:val="24"/>
          <w:szCs w:val="24"/>
        </w:rPr>
        <w:fldChar w:fldCharType="end"/>
      </w:r>
      <w:r w:rsidRPr="00103A0B">
        <w:rPr>
          <w:rFonts w:ascii="Arial" w:hAnsi="Arial" w:cs="Arial"/>
          <w:sz w:val="24"/>
          <w:szCs w:val="24"/>
        </w:rPr>
        <w:t xml:space="preserve"> and are more likely to develop T2DM regardless of whether they are from high, middle or low income countries </w:t>
      </w:r>
      <w:r w:rsidRPr="00103A0B">
        <w:rPr>
          <w:rFonts w:ascii="Arial" w:hAnsi="Arial" w:cs="Arial"/>
          <w:sz w:val="24"/>
          <w:szCs w:val="24"/>
        </w:rPr>
        <w:fldChar w:fldCharType="begin" w:fldLock="1"/>
      </w:r>
      <w:r w:rsidR="00A170E0" w:rsidRPr="00103A0B">
        <w:rPr>
          <w:rFonts w:ascii="Arial" w:hAnsi="Arial" w:cs="Arial"/>
          <w:sz w:val="24"/>
          <w:szCs w:val="24"/>
        </w:rPr>
        <w:instrText>ADDIN CSL_CITATION {"citationItems":[{"id":"ITEM-1","itemData":{"DOI":"10.1093/ije/dyr029","ISSN":"03005771","PMID":"21335614","abstract":"Background: We conducted a systematic review and meta-analysis, the first to our knowledge, summarizing and quantifying the published evidence on associations between type 2 diabetes incidence and socio-economic position (SEP) (measured by educational level, occupation and income) worldwide and when sub-divided into high-, middle- and low-income countries. Methods: Relevant case-control and cohort studies published between 1966 and January 2010 were searched in PubMed and EMBASE using the keywords: diabetes vs educational level, occupation or income. All identified citations were screened by one author, and two authors independently evaluated and extracted data from relevant publications. Risk estimates from individual studies were pooled using random-effects models quantifying the associations. Results: Out of 5120 citations, 23 studies, including 41 measures of association, were found to be relevant. Compared with high educational level, occupation and income, low levels of these determinants were associated with an overall increased risk of type 2 diabetes; [relative risk (RR)=1.41, 95% confidence interval (CI): 1.28-1.51], (RR=1.31, 95% CI: 1.09-1.57) and (RR=1.40, 95% CI: 1.04- 1.88), respectively. The increased risks were independent of the income levels of countries, although based on limited data in middle- and low-income countries. Conclusions: The risk of getting type 2 diabetes was associated with low SEP in high-, middle- and low-income countries and overall. The strength of the associations was consistent in high-income countries, whereas there is a strong need for further investigation in middle- and low-income countries. Published by Oxford University Press on behalf of the International Epidemiological Association. © The Author 2011; all rights reserved.","author":[{"dropping-particle":"","family":"Agardh","given":"Emilie","non-dropping-particle":"","parse-names":false,"suffix":""},{"dropping-particle":"","family":"Allebeck","given":"Peter","non-dropping-particle":"","parse-names":false,"suffix":""},{"dropping-particle":"","family":"Hallqvist","given":"Johan","non-dropping-particle":"","parse-names":false,"suffix":""},{"dropping-particle":"","family":"Moradi","given":"Tahereh","non-dropping-particle":"","parse-names":false,"suffix":""},{"dropping-particle":"","family":"Sidorchuk","given":"Anna","non-dropping-particle":"","parse-names":false,"suffix":""}],"container-title":"International Journal of Epidemiology","id":"ITEM-1","issue":"3","issued":{"date-parts":[["2011"]]},"page":"804-818","title":"Type 2 diabetes incidence and socio-economic position: a systematic review and meta-analysis","type":"article-journal","volume":"40"},"uris":["http://www.mendeley.com/documents/?uuid=9fc03421-04bc-4da5-b5a0-9d2058b4bf3a"]}],"mendeley":{"formattedCitation":"(Agardh et al., 2011)","plainTextFormattedCitation":"(Agardh et al., 2011)","previouslyFormattedCitation":"(Agardh et al., 2011)"},"properties":{"noteIndex":0},"schema":"https://github.com/citation-style-language/schema/raw/master/csl-citation.json"}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(Agardh et al., 2011)</w:t>
      </w:r>
      <w:r w:rsidRPr="00103A0B">
        <w:rPr>
          <w:rFonts w:ascii="Arial" w:hAnsi="Arial" w:cs="Arial"/>
          <w:sz w:val="24"/>
          <w:szCs w:val="24"/>
        </w:rPr>
        <w:fldChar w:fldCharType="end"/>
      </w:r>
      <w:r w:rsidRPr="00103A0B">
        <w:rPr>
          <w:rFonts w:ascii="Arial" w:hAnsi="Arial" w:cs="Arial"/>
          <w:sz w:val="24"/>
          <w:szCs w:val="24"/>
        </w:rPr>
        <w:t xml:space="preserve">. Although a few DPPs have found those with </w:t>
      </w:r>
      <w:r w:rsidRPr="00103A0B">
        <w:rPr>
          <w:rFonts w:ascii="Arial" w:hAnsi="Arial" w:cs="Arial"/>
          <w:sz w:val="24"/>
          <w:szCs w:val="24"/>
        </w:rPr>
        <w:lastRenderedPageBreak/>
        <w:t xml:space="preserve">lower family income or from the most deprived quintile to be more likely to start </w:t>
      </w:r>
      <w:r w:rsidRPr="00103A0B">
        <w:rPr>
          <w:rFonts w:ascii="Arial" w:hAnsi="Arial" w:cs="Arial"/>
          <w:sz w:val="24"/>
          <w:szCs w:val="24"/>
        </w:rPr>
        <w:fldChar w:fldCharType="begin" w:fldLock="1"/>
      </w:r>
      <w:r w:rsidR="00926B09" w:rsidRPr="00103A0B">
        <w:rPr>
          <w:rFonts w:ascii="Arial" w:hAnsi="Arial" w:cs="Arial"/>
          <w:sz w:val="24"/>
          <w:szCs w:val="24"/>
        </w:rPr>
        <w:instrText>ADDIN CSL_CITATION {"citationItems":[{"id":"ITEM-1","itemData":{"ISSN":"18732607","PMID":"30661888","abstract":"Introduction: As the burden of type 2 diabetes rises, there is increasing focus on improving the reach of evidence-based lifestyle interventions. Using nationally representative data, this study identifies how frequently at-risk adults are being referred to and participating in diabetes prevention programming, and explores correlates of referral, participation, and interest. Methods: Data from the 2016 National Health Interview Survey, a cross-sectional survey of U.S. households, were analyzed in 2017. The study population consisted of adults (aged ≥18 years) without a self-reported diabetes diagnosis, who were likely eligible for diabetes prevention programming based on (1) self-reported diagnosis of prediabetes or gestational diabetes, and (2) meeting BMI criteria. Prevalence of self-reported referral and participation was determined, and sociodemographic correlates of referral, participation, and interest were characterized through multivariable logistic regression analyses. Results: The study population consisted of 2,341 adults. The majority were female (63%), white (74.6%), non-Hispanic (83.4%), and aged ≥45 years (68.2%). A total of 4.2% reported ever being referred to a 12-month prevention program and only 2.4% reported ever participating. In multivariable logistic regression, race was correlated with referral (black and Asian adults more likely to report referral) and age was positively correlated with participation. More than 25% of adults who were never referred or participated reported an interest in engaging in programming. Conclusions: Although more than one quarter of adults likely eligible for diabetes prevention programming express interest in participating, few are being referred and fewer still have participated. This underscores the need for efforts to enhance program referral and access.","author":[{"dropping-particle":"","family":"Venkataramani","given":"Maya","non-dropping-particle":"","parse-names":false,"suffix":""},{"dropping-particle":"","family":"Pollack","given":"Craig Evan","non-dropping-particle":"","parse-names":false,"suffix":""},{"dropping-particle":"","family":"Yeh","given":"Hsin Chieh","non-dropping-particle":"","parse-names":false,"suffix":""},{"dropping-particle":"","family":"Maruthur","given":"Nisa M.","non-dropping-particle":"","parse-names":false,"suffix":""}],"container-title":"American Journal of Preventive Medicine","id":"ITEM-1","issue":"3","issued":{"date-parts":[["2019"]]},"page":"452-457","publisher":"Elsevier Inc.","title":"Prevalence and correlates of diabetes prevention program referral and participation","type":"article-journal","volume":"56"},"uris":["http://www.mendeley.com/documents/?uuid=4b34fdeb-95e2-4c75-a3e4-aaff4bc151e7"]},{"id":"ITEM-2","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Medicine","id":"ITEM-2","issued":{"date-parts":[["2018"]]},"page":"513-518","title":"Progress of the healthier you: NHS diabetes prevention programme: referrals, uptake and participant characteristics","type":"article-journal","volume":"35"},"uris":["http://www.mendeley.com/documents/?uuid=1f5d47f1-f2c9-41a7-af24-e63deeae9374"]}],"mendeley":{"formattedCitation":"(Barron et al., 2018; Venkataramani et al., 2019)","plainTextFormattedCitation":"(Barron et al., 2018; Venkataramani et al., 2019)","previouslyFormattedCitation":"(Barron et al., 2018; Venkataramani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(Barron et al., 2018; Venkataramani et al., 2019)</w:t>
      </w:r>
      <w:r w:rsidRPr="00103A0B">
        <w:rPr>
          <w:rFonts w:ascii="Arial" w:hAnsi="Arial" w:cs="Arial"/>
          <w:sz w:val="24"/>
          <w:szCs w:val="24"/>
        </w:rPr>
        <w:fldChar w:fldCharType="end"/>
      </w:r>
      <w:r w:rsidRPr="00103A0B">
        <w:rPr>
          <w:rFonts w:ascii="Arial" w:hAnsi="Arial" w:cs="Arial"/>
          <w:sz w:val="24"/>
          <w:szCs w:val="24"/>
        </w:rPr>
        <w:t xml:space="preserve">, other DPPs have found those </w:t>
      </w:r>
      <w:r w:rsidRPr="00103A0B">
        <w:rPr>
          <w:rFonts w:ascii="Arial" w:eastAsia="Times New Roman" w:hAnsi="Arial" w:cs="Arial"/>
          <w:sz w:val="24"/>
          <w:szCs w:val="24"/>
          <w:lang w:eastAsia="en-GB"/>
        </w:rPr>
        <w:t xml:space="preserve">from less socioeconomically deprived areas, with higher income, a higher level of education or were employed, </w:t>
      </w:r>
      <w:r w:rsidRPr="00103A0B">
        <w:rPr>
          <w:rFonts w:ascii="Arial" w:hAnsi="Arial" w:cs="Arial"/>
          <w:sz w:val="24"/>
          <w:szCs w:val="24"/>
        </w:rPr>
        <w:t xml:space="preserve">to be more likely to start and become attenders </w:t>
      </w:r>
      <w:r w:rsidRPr="00103A0B">
        <w:rPr>
          <w:rFonts w:ascii="Arial" w:eastAsia="Times New Roman" w:hAnsi="Arial" w:cs="Arial"/>
          <w:sz w:val="24"/>
          <w:szCs w:val="24"/>
          <w:lang w:eastAsia="en-GB"/>
        </w:rPr>
        <w:fldChar w:fldCharType="begin" w:fldLock="1"/>
      </w:r>
      <w:r w:rsidR="00F064BD" w:rsidRPr="00103A0B">
        <w:rPr>
          <w:rFonts w:ascii="Arial" w:eastAsia="Times New Roman" w:hAnsi="Arial" w:cs="Arial"/>
          <w:sz w:val="24"/>
          <w:szCs w:val="24"/>
          <w:lang w:eastAsia="en-GB"/>
        </w:rPr>
        <w:instrText>ADDIN CSL_CITATION {"citationItems":[{"id":"ITEM-1","itemData":{"ISBN":"1549-1277","ISSN":"15491676","PMID":"27404094","abstract":"BACKGROUND: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Medicine","id":"ITEM-1","issue":"7","issued":{"date-parts":[["2016"]]},"page":"e1002078","title":"Engagement, retention, and progression to type 2 diabetes: a retrospective analysis of the cluster-randomised \"Let's Prevent Diabetes\" trial","type":"article-journal","volume":"13"},"uris":["http://www.mendeley.com/documents/?uuid=34e3af29-349e-4120-a3cb-a3a7408ba3b4"]},{"id":"ITEM-2","itemData":{"DOI":"https://doi.org/10.1016/j.pmedr.2019.100961","author":[{"dropping-particle":"","family":"Jeffers","given":"K.S.","non-dropping-particle":"","parse-names":false,"suffix":""},{"dropping-particle":"","family":"Castellon-lopez","given":"Y.","non-dropping-particle":"","parse-names":false,"suffix":""},{"dropping-particle":"","family":"Grotts","given":"J.","non-dropping-particle":"","parse-names":false,"suffix":""},{"dropping-particle":"","family":"Mangione","given":"C.M.","non-dropping-particle":"","parse-names":false,"suffix":""},{"dropping-particle":"","family":"Moin","given":"T.","non-dropping-particle":"","parse-names":false,"suffix":""},{"dropping-particle":"","family":"Tseng","given":"C.","non-dropping-particle":"","parse-names":false,"suffix":""},{"dropping-particle":"","family":"Al.","given":"Et","non-dropping-particle":"","parse-names":false,"suffix":""}],"container-title":"Preventive Medicine Reports","id":"ITEM-2","issued":{"date-parts":[["2019"]]},"page":"1-7","title":"Diabetes prevention program attendance is associated with improved patient activation: results from the prediabetes informed decisions and education (PRIDE) study","type":"article-journal","volume":"16"},"uris":["http://www.mendeley.com/documents/?uuid=11512934-8964-4615-9b04-e45863353b74"]},{"id":"ITEM-3","itemData":{"ISSN":"08901171","abstract":"&lt;bold&gt;Purpose: &lt;/bold&gt;Our objective is to evaluate the \"reach\" component of the Reach Effectiveness Adoption Implementation Maintenance (RE-AIM) framework by comparing prediabetics who were and were not interested in enrolling in a free work site diabetes prevention program (DPP) during the first year of the program. Reach is defined as the proportion of eligible participants who enroll in a health program.&lt;bold&gt;Design: &lt;/bold&gt;A cross-sectional study design was used.&lt;bold&gt;Setting: &lt;/bold&gt;The setting was a large health system in the Midwest.&lt;bold&gt;Participants: &lt;/bold&gt;Prediabetic health plan enrollees and spouses (N = 2158).&lt;bold&gt;Measures: &lt;/bold&gt;An online health survey, annual voluntary biometric screenings delivered by a trained health-care professional using standardized protocols via point-of-care testing, and records from the DPP office were the sources of data for this study.&lt;bold&gt;Analysis: &lt;/bold&gt;Health behaviors and biometric screening results were simultaneously compared using multivariable logistic regression.&lt;bold&gt;Results: &lt;/bold&gt;The study population was 63% female, 79% white, and 16% black, and the mean age was 50.2 years (SD = 10.2). The reach of this program was 10%. Prediabetics were more likely to express interest in the DPP, if they were female (adjusted odds ratio [AOR]: 2.4; 95% confidence interval [95% CI]: 1.55-3.72; P &lt; .001), black (AOR = 2.23; 95% CI: 1.43-3.47; P &lt; .001), older in age (AOR: 1.08; 95% CI: 0.99-1.17; P = .05), or had a high-risk waist circumference (AOR = 1.44; 95% CI: 0.98-2.13; P = .07), lower self-efficacy to make healthy changes (AOR = 0.48; 95% CI: 0.26-0.91; P = .03), and 5 or more doctor visits in the last year (AOR = 2.13; 95% CI: 0.99-4.57; P = .05), after controlling for other covariates.&lt;bold&gt;Conclusion: &lt;/bold&gt;Current recruitment and implementation strategies are reaching only a small group of individuals who are not representative of the larger prediabetic population. These findings inform future engagement strategies, and we recommend that public health practitioners evaluate reach to ensure that health promotion programs are of high value. ABSTRACT FROM AUTHOR","author":[{"dropping-particle":"","family":"Zigmont","given":"Victoria A","non-dropping-particle":"","parse-names":false,"suffix":""},{"dropping-particle":"","family":"Shoben","given":"Abigail B","non-dropping-particle":"","parse-names":false,"suffix":""},{"dropping-particle":"","family":"Kaye","given":"Gail L","non-dropping-particle":"","parse-names":false,"suffix":""},{"dropping-particle":"","family":"Snow","given":"Richard J","non-dropping-particle":"","parse-names":false,"suffix":""},{"dropping-particle":"","family":"Clinton","given":"Steven K","non-dropping-particle":"","parse-names":false,"suffix":""},{"dropping-particle":"","family":"Harris","given":"Randall E","non-dropping-particle":"","parse-names":false,"suffix":""},{"dropping-particle":"","family":"Olivo-Marston","given":"Susan E","non-dropping-particle":"","parse-names":false,"suffix":""}],"container-title":"American Journal of Health Promotion","id":"ITEM-3","issue":"6","issued":{"date-parts":[["2018"]]},"note":"Accession Number: 130506972; Author: Zigmont, Victoria A.: 1 email: vzigmont42@gmail.com. Author: Shoben, Abigail B.: 2 Author: Kaye, Gail L.: 3 Author: Snow, Richard J.: 4 Author: Clinton, Steven K.: 5 Author: Harris, Randall E.: 6 Author: Olivo-Marston, Susan E.: 6 ; Author Affiliation: 1 Department of Public Health, Southern Connecticut State University, New Haven, CT, USA: 2 Division of Biostatistics, College of Public Health, The Ohio State University, Columbus, OH, USA: 3 Division of Health Promotion, College of Public Health, The Ohio State University, Columbus, OH, USA: 4 Touro College of Osteopathic Medicine, Touro University, Vallejo, CA, USA: 5 Department of Internal Medicine, The Ohio State University College of Medicine, Columbus, OH, USA: 6 Division of Epidemiology, College of Public Health, The Ohio State University, Columbus, OH, USA; No. of Pages: 8; Language: English; Publication Type: journal article; Update Code: 20180706","page":"1417-1424","title":"An evaluation of reach for a work site implementation of the national diabetes prevention program focusing on diet and exercise.","type":"article-journal","volume":"32"},"uris":["http://www.mendeley.com/documents/?uuid=eadca763-b969-4148-b924-ba4cd499e859"]},{"id":"ITEM-4","itemData":{"DOI":"10.1111/phn.12093","author":[{"dropping-particle":"","family":"Whittemore","given":"R","non-dropping-particle":"","parse-names":false,"suffix":""},{"dropping-particle":"","family":"Rosenberg","given":"A","non-dropping-particle":"","parse-names":false,"suffix":""},{"dropping-particle":"","family":"Gilmore","given":"L","non-dropping-particle":"","parse-names":false,"suffix":""},{"dropping-particle":"","family":"Withey","given":"Mary","non-dropping-particle":"","parse-names":false,"suffix":""},{"dropping-particle":"","family":"Breault","given":"Allison","non-dropping-particle":"","parse-names":false,"suffix":""}],"container-title":"Public Health Nursing","id":"ITEM-4","issue":"4","issued":{"date-parts":[["2014"]]},"page":"317-326","title":"Implementation of a diabetes prevention program in public housing communities","type":"article-journal","volume":"31"},"uris":["http://www.mendeley.com/documents/?uuid=df520635-dde4-4267-afd4-849f5c5c578e"]}],"mendeley":{"formattedCitation":"(Gray et al., 2016; Jeffers et al., 2019; Whittemore et al., 2014; Zigmont et al., 2018)","plainTextFormattedCitation":"(Gray et al., 2016; Jeffers et al., 2019; Whittemore et al., 2014; Zigmont et al., 2018)","previouslyFormattedCitation":"(Gray et al., 2016; Jeffers et al., 2019; Whittemore et al., 2014; Zigmont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(Gray et al., 2016; Jeffers et al., 2019; Whittemore et al., 2014; Zigmont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r w:rsidR="00576BA2" w:rsidRPr="00103A0B">
        <w:rPr>
          <w:rFonts w:ascii="Arial" w:hAnsi="Arial" w:cs="Arial"/>
          <w:sz w:val="24"/>
          <w:szCs w:val="24"/>
        </w:rPr>
        <w:t xml:space="preserve"> </w:t>
      </w:r>
      <w:r w:rsidRPr="00103A0B">
        <w:rPr>
          <w:rFonts w:ascii="Arial" w:hAnsi="Arial" w:cs="Arial"/>
          <w:sz w:val="24"/>
          <w:szCs w:val="24"/>
        </w:rPr>
        <w:t>Regarding retention, most</w:t>
      </w:r>
      <w:r w:rsidRPr="00103A0B">
        <w:rPr>
          <w:rFonts w:ascii="Arial" w:eastAsia="Times New Roman" w:hAnsi="Arial" w:cs="Arial"/>
          <w:sz w:val="24"/>
          <w:szCs w:val="24"/>
          <w:lang w:eastAsia="en-GB"/>
        </w:rPr>
        <w:t xml:space="preserve"> DPPs have found those from the most deprived quintile, unemployed or with lower income, or lower levels of education were more likely to drop</w:t>
      </w:r>
      <w:r w:rsidR="009B6D84" w:rsidRPr="00103A0B">
        <w:rPr>
          <w:rFonts w:ascii="Arial" w:eastAsia="Times New Roman" w:hAnsi="Arial" w:cs="Arial"/>
          <w:sz w:val="24"/>
          <w:szCs w:val="24"/>
          <w:lang w:eastAsia="en-GB"/>
        </w:rPr>
        <w:t xml:space="preserve"> </w:t>
      </w:r>
      <w:r w:rsidRPr="00103A0B">
        <w:rPr>
          <w:rFonts w:ascii="Arial" w:eastAsia="Times New Roman" w:hAnsi="Arial" w:cs="Arial"/>
          <w:sz w:val="24"/>
          <w:szCs w:val="24"/>
          <w:lang w:eastAsia="en-GB"/>
        </w:rPr>
        <w:t>out and become non-completers</w:t>
      </w:r>
      <w:r w:rsidR="005D7703" w:rsidRPr="00103A0B">
        <w:rPr>
          <w:rFonts w:ascii="Arial" w:eastAsia="Times New Roman" w:hAnsi="Arial" w:cs="Arial"/>
          <w:sz w:val="24"/>
          <w:szCs w:val="24"/>
          <w:lang w:eastAsia="en-GB"/>
        </w:rPr>
        <w:t xml:space="preserve"> </w:t>
      </w:r>
      <w:r w:rsidR="005D7703" w:rsidRPr="00103A0B">
        <w:rPr>
          <w:rFonts w:ascii="Arial" w:eastAsia="Times New Roman" w:hAnsi="Arial" w:cs="Arial"/>
          <w:sz w:val="24"/>
          <w:szCs w:val="24"/>
          <w:lang w:eastAsia="en-GB"/>
        </w:rPr>
        <w:fldChar w:fldCharType="begin" w:fldLock="1"/>
      </w:r>
      <w:r w:rsidR="005C6715" w:rsidRPr="00103A0B">
        <w:rPr>
          <w:rFonts w:ascii="Arial" w:eastAsia="Times New Roman" w:hAnsi="Arial" w:cs="Arial"/>
          <w:sz w:val="24"/>
          <w:szCs w:val="24"/>
          <w:lang w:eastAsia="en-GB"/>
        </w:rPr>
        <w:instrText>ADDIN CSL_CITATION {"citationItems":[{"id":"ITEM-1","itemData":{"ISSN":"21665435","abstract":"Introduction: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Disease","id":"ITEM-1","issued":{"date-parts":[["2014"]]},"page":"140006","title":"Implementation and outcomes of the New York state YMCA diabetes prevention program: A multisite community-based translation, 2010-2012","type":"article-journal","volume":"11"},"uris":["http://www.mendeley.com/documents/?uuid=d5f59245-ab59-4ba0-bd1c-beec143eb24b"]},{"id":"ITEM-2","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Care","id":"ITEM-2","issue":"7","issued":{"date-parts":[["2013"]]},"page":"2027-2034","title":"Translating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project","type":"article-journal","volume":"36"},"uris":["http://www.mendeley.com/documents/?uuid=6fb8d6ab-39ae-48b6-b78a-5dcf85b9cf0a"]},{"id":"ITEM-3","itemData":{"DOI":"10.1186/1471-2458-7-249","ISBN":"1471-2458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Health","id":"ITEM-3","issue":"249","issued":{"date-parts":[["2007"]]},"title":"Prevention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project","type":"article-journal","volume":"7"},"uris":["http://www.mendeley.com/documents/?uuid=ef090087-0d56-42cf-8079-ddbfceb8d350"]},{"id":"ITEM-4","itemData":{"ISSN":"0168-8227","abstract":"Aims To explore the acceptability of a telephone- or a group-delivered diabetes prevention program for women with previous gestational diabetes and to compare the characteristics associated with program engagement. Methods Postpartum women participated in a lifestyle modification program delivered by telephone (n=33) or group format (n=284). Semi-structured interviews on barriers and enablers to program engagement (defined as completing≥80% sessions) were conducted before (Group) and after (Group and Telephone) interventions. The Health Action Process Approach theory was used as the framework for inquiry. Psychological measures were compared between engagement subgroups before and after group-delivered intervention. Results In the telephone-delivered program 82% participants met the engagement criteria compared with 38% for the group-delivered program. Engaged participants (Group) had significantly higher risk perception, outcome expectancy, and activity self-efficacy at baseline (P&lt;0.05). There was a greater decrease in body weight (−1.45±3.9 vs −0.26±3.5, P=0.024) and waist circumference (−3.56±5.1 vs −1.24±5.3, P=0.002) for engaged vs non-engaged participants following group program completion. Conclusions Telephone delivery was associated with greater engagement in postpartum women. Engagement was associated with greater reduction in weight and waist circumference. Further studies are required to confirm the effectiveness of telephone-delivered program for diabetes prevention in postpartum women.","author":[{"dropping-particle":"","family":"Lim","given":"Siew","non-dropping-particle":"","parse-names":false,"suffix":""},{"dropping-particle":"","family":"Dunbar","given":"James A","non-dropping-particle":"","parse-names":false,"suffix":""},{"dropping-particle":"","family":"Versace","given":"Vincent L","non-dropping-particle":"","parse-names":false,"suffix":""},{"dropping-particle":"","family":"Janus","given":"Edward","non-dropping-particle":"","parse-names":false,"suffix":""},{"dropping-particle":"","family":"Wildey","given":"Carol","non-dropping-particle":"","parse-names":false,"suffix":""},{"dropping-particle":"","family":"Skinner","given":"Timothy","non-dropping-particle":"","parse-names":false,"suffix":""},{"dropping-particle":"","family":"O'Reilly","given":"Sharleen","non-dropping-particle":"","parse-names":false,"suffix":""}],"container-title":"Diabetes Research and Clinical Practice","id":"ITEM-4","issued":{"date-parts":[["2017"]]},"page":"254-262","title":"Comparing a telephone- and a group-delivered diabetes prevention program: characteristics of engaged and non-engaged postpartum mothers with a history of gestational diabetes","type":"article-journal","volume":"126"},"uris":["http://www.mendeley.com/documents/?uuid=1e1989aa-8480-458e-9774-bce442753e6b"]},{"id":"ITEM-5","itemData":{"DOI":"10.1186/s12966-019-0877-3","ISSN":"14795868","PMID":"31771589","abstract":"Objective: This two-site randomised trial compared the effectiveness of a voluntary sector-led, community-based diabetes prevention programme to a waiting-list control group at 6 months, and included an observational follow-up of the intervention arm to 12 months. Methods: Adults aged 18-75 years at increased risk of developing type 2 diabetes due to elevated blood glucose and being overweight were recruited from primary care practices at two UK sites, with data collected in participants' homes or community venues. Participants were randomised using an online central allocation service. The intervention, comprising the prototype \"Living Well, Taking Control\" (LWTC) programme, involved four weekly two-hour group sessions held in local community venues to promote changes in diet and physical activity, plus planned follow-up contacts at two, three, six, nine and 12 months alongside 5 hours of additional activities/classes. Waiting list controls received usual care for 6 months before accessing the programme. The primary outcome was weight loss at 6 months. Secondary outcomes included glycated haemoglobin (HbA1c), blood pressure, physical activity, diet, health status and well-being. Only researchers conducting analyses were blinded. Results: The target sample of 314 participants (157 each arm) was largely representative of local populations, including 44% men, 26% from ethnic minorities and 33% living in deprived areas. Primary outcome data were available for 285 (91%) participants (141 intervention, 144 control). Between baseline and 6 months, intervention participants on average lost more weight than controls (- 1.7 kg, 95% CI - 2.59 to - 0.85). Higher attendance was associated with greater weight loss (- 3.0 kg, 95% CI - 4.5 to - 1.5). The prototype LWTC programme more than doubled the proportion of participants losing &gt; 5% of their body weight (21% intervention vs. 8% control, OR 2.83, 95% CI 1.36 to 5.90) and improved self-reported dietary behaviour and health status. There were no impacts on HbA1c, blood pressure, physical activity and well-being at 6 months and, amongst intervention participants, few further changes from six to 12-months (e.g. average weight re-gain 0.36 kg, 95% CI - 0.20 to 0.91). There were no serious adverse events but four exercise-related injuries were reported in the intervention arm. Conclusions: This voluntary sector-led diabetes prevention programme reached a broad spectrum of the population and had modest effects on weight…","author":[{"dropping-particle":"","family":"Smith","given":"Jane R.","non-dropping-particle":"","parse-names":false,"suffix":""},{"dropping-particle":"","family":"Greaves","given":"Colin J.","non-dropping-particle":"","parse-names":false,"suffix":""},{"dropping-particle":"","family":"Thompson","given":"Janice L.","non-dropping-particle":"","parse-names":false,"suffix":""},{"dropping-particle":"","family":"Taylor","given":"Rod S.","non-dropping-particle":"","parse-names":false,"suffix":""},{"dropping-particle":"","family":"Jones","given":"Matthew","non-dropping-particle":"","parse-names":false,"suffix":""},{"dropping-particle":"","family":"Armstrong","given":"Rosy","non-dropping-particle":"","parse-names":false,"suffix":""},{"dropping-particle":"","family":"Moorlock","given":"Sarah","non-dropping-particle":"","parse-names":false,"suffix":""},{"dropping-particle":"","family":"Griffin","given":"Ann","non-dropping-particle":"","parse-names":false,"suffix":""},{"dropping-particle":"","family":"Solomon-Moore","given":"Emma","non-dropping-particle":"","parse-names":false,"suffix":""},{"dropping-particle":"","family":"Biddle","given":"Michele S.Y.","non-dropping-particle":"","parse-names":false,"suffix":""},{"dropping-particle":"","family":"Price","given":"Lisa","non-dropping-particle":"","parse-names":false,"suffix":""},{"dropping-particle":"","family":"Abraham","given":"Charles","non-dropping-particle":"","parse-names":false,"suffix":""}],"container-title":"International Journal of Behavioral Nutrition and Physical Activity","id":"ITEM-5","issued":{"date-parts":[["2019"]]},"page":"112","publisher":"International Journal of Behavioral Nutrition and Physical Activity","title":"The community-based prevention of diabetes (ComPoD) study: a randomised, waiting list controlled trial of a voluntary sector-led diabetes prevention programme","type":"article-journal","volume":"16"},"uris":["http://www.mendeley.com/documents/?uuid=ebd60753-e18e-4575-803f-dcdc56ae1d44"]},{"id":"ITEM-6","itemData":{"DOI":"10.1093/milmed/usz069","ISSN":"1930613X","PMID":"31132088","abstract":"Introduction: Effective, standardized, and easily accessible weight management programs are urgentlyneeded for military beneficiaries. Videoconference interventions have the potential for widespread scaling, and can provide both real time interaction and flexibility in delivery times regardless of location, but there is little information ontheir effectiveness and acceptability. Materials and Methods: This study as part of a larger weight loss trial describesthe videoconference adaption of Group Lifestyle Balance (GLB) program, a community group-based DiabetesPrevention Program intervention, and provides a comparison of weight loss and meeting attendance between in-personand videoconference delivery modes over 12 weeks in adult family members of military service members. Forty-threeparticipants were enrolled from two military installations and received either the videoconference-adapted or an inperson GLB program in a non-randomized trial design. Differences in program attendance and percent weight lost at12 weeks were compared by independent samples t-tests and nonparametric methods. Group differences in the percentage of weight lost over the 12-week period were analyzed using a linear mixed model. Results: All GLB interventioncomponents were successfully delivered by videoconference with minor adaptations for the different delivery mechanism. Participant retention was 70% and 96% in the in-person and videoconference groups, respectively (p = 0.04).Completing participants in both groups lost a significant percent body weight over the 12 week intervention (p &lt;0.001) and there was no difference in percent body weight after 12 weeks of intervention (6.2 ± 3.2% and 5.3 ± 3.4%for in-person and videoconference at 12 weeks, respectively; p = 0.60). Conclusion: This study describes the first videoconference adaption of the GLB program for use in military families. Attrition was lower in the videoconferencegroup, and there were a similar levels of weight loss in both groups regardless of delivery modality. Videoconferenceweight loss interventions are effective and feasible for scaling to support healthy weight management in military aswell as civilian populations.","author":[{"dropping-particle":"","family":"Taetzsch","given":"Amy","non-dropping-particle":"","parse-names":false,"suffix":""},{"dropping-particle":"","family":"Gilhooly","given":"Cheryl H.","non-dropping-particle":"","parse-names":false,"suffix":""},{"dropping-particle":"","family":"Bukhari","given":"Asma","non-dropping-particle":"","parse-names":false,"suffix":""},{"dropping-particle":"","family":"Das","given":"Sai Krupa","non-dropping-particle":"","parse-names":false,"suffix":""},{"dropping-particle":"","family":"Martin","given":"Edward","non-dropping-particle":"","parse-names":false,"suffix":""},{"dropping-particle":"","family":"Hatch","given":"Adrienne M.","non-dropping-particle":"","parse-names":false,"suffix":""},{"dropping-particle":"","family":"Silver","given":"Rachel E.","non-dropping-particle":"","parse-names":false,"suffix":""},{"dropping-particle":"","family":"Montain","given":"Scott J.","non-dropping-particle":"","parse-names":false,"suffix":""},{"dropping-particle":"","family":"Roberts","given":"Susan B.","non-dropping-particle":"","parse-names":false,"suffix":""}],"container-title":"Military Medicine","id":"ITEM-6","issue":"11-12","issued":{"date-parts":[["2019"]]},"page":"647-652","title":"Development of a videoconference-adapted version of the community diabetes prevention program, and comparison of weight loss with in-person program delivery","type":"article-journal","volume":"184"},"uris":["http://www.mendeley.com/documents/?uuid=aa45013d-5e74-4272-a15f-ec99110e710d"]},{"id":"ITEM-7","itemData":{"DOI":"10.2217/dmt.12.46","ISSN":"1758-1907","abstract":"Aims: This study aims to identify factors associated with participation in and adherence to a low-intensity diabetes prevention program. Methods: A total of 644 subjects who were at an intermediate-to-high risk for developing diabetes were enrolled in this study, aiming to acheive weight reduction, diet changes and regular physical activity. Results: Attendance at the baseline medical examination (n = 198) was associated with higher diabetes risk, being more anxious, lower fat intake and being unsatisfied more often with bodyweight compared with nonattendance. Workshops were attended by 142 individuals who were older and had lower levels of low-density lipoprotein cholesterol than nonattendees. Participants at the final medical examinations (n = 80) had a higher level of education, better self-rated fitness, fewer signs of depression and lower diastolic blood pressure than nonparticipants. Conclusion: Self-perceived diabetes risk can thus motivate people to participate in a diabetes prevention program. Adherence could be improved by adapting interventions to the education, possible depressive symptoms, fitness and health of participants. © 2012 Future Medicine Ltd.","author":[{"dropping-particle":"","family":"Teuschl","given":"Yvonne","non-dropping-particle":"","parse-names":false,"suffix":""},{"dropping-particle":"","family":"Matz","given":"Karl","non-dropping-particle":"","parse-names":false,"suffix":""},{"dropping-particle":"","family":"Dachenhausen","given":"Alexandra","non-dropping-particle":"","parse-names":false,"suffix":""},{"dropping-particle":"","family":"Tuomilehto","given":"Jaakko","non-dropping-particle":"","parse-names":false,"suffix":""},{"dropping-particle":"","family":"Brainin","given":"Michael","non-dropping-particle":"","parse-names":false,"suffix":""}],"container-title":"Diabetes Management","id":"ITEM-7","issue":"5","issued":{"date-parts":[["2012"]]},"page":"385-393","title":"Factors associated with participation in a diabetes prevention program in Austria: a prospective cohort study","type":"article-journal","volume":"2"},"uris":["http://www.mendeley.com/documents/?uuid=886bb5fb-3c3f-44f7-b53d-01c00c5a8a35"]},{"id":"ITEM-8","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Care","id":"ITEM-8","issued":{"date-parts":[["2020"]]},"page":"152-160","title":"Early outcomes from the English National Health Service diabetes prevention programme","type":"article-journal","volume":"43"},"uris":["http://www.mendeley.com/documents/?uuid=32a7a44a-df0b-4cde-9269-536e48e08190"]},{"id":"ITEM-9","itemData":{"DOI":"10.1016/j.diabres.2015.11.010","ISSN":"18728227","PMID":"26724186","abstract":"Aims/hypothesis: The Sydney Diabetes Prevention Program (SDPP) was a community-based type 2 diabetes prevention translational research study with screening and recruitment in the primary health care setting. We aimed to investigate the program's effectiveness in reducing risk factors for diabetes as well as the program's reach, adoption and implementation. Methods: 1238 participants aged 50-65 years at high-risk of developing type 2 diabetes were recruited by primary care physicians in the greater Sydney region. The intervention, delivered by trained allied health professionals, included an initial consultation, three group sessions/individual sessions, three follow-up phone calls, and a final review at 12 months. Biomarkers and behavioural goals were compared between baseline and 12 months. Results: At baseline, the mean age of those who entered the program was 58.8 ± 4.4 years, 63% female, and the mean body mass index was 31.6 ± 5.2 kg/m2. There was a significant weight reduction of 2 ± 4.3 kg (p &lt; 0.02) in the 850 participants who completed the 12-month follow-up accompanied by improvements in diet (total fat, saturated fat, and fibre intake) and physical activity. There were also significant reductions in waist circumference 2.6 ± 4.7 cm (p &lt; 0.001) and total cholesterol -0.2 ± 0.8 mmol/L (p &lt; 0.001) but not blood glucose. The diabetes risk reduction was estimated to be 30%, consistent with similar trials. Conclusions/interpretation: This study demonstrates that a community-based lifestyle modification program is effective in reducing important risk factors for diabetes in individuals at high-risk of developing type 2 diabetes.","author":[{"dropping-particle":"","family":"Vita","given":"Philip","non-dropping-particle":"","parse-names":false,"suffix":""},{"dropping-particle":"","family":"Cardona-Morrell","given":"Magnolia","non-dropping-particle":"","parse-names":false,"suffix":""},{"dropping-particle":"","family":"Bauman","given":"Adrian","non-dropping-particle":"","parse-names":false,"suffix":""},{"dropping-particle":"","family":"Singh","given":"Maria Fiatarone","non-dropping-particle":"","parse-names":false,"suffix":""},{"dropping-particle":"","family":"Moore","given":"Michael","non-dropping-particle":"","parse-names":false,"suffix":""},{"dropping-particle":"","family":"Pennock","given":"Rene","non-dropping-particle":"","parse-names":false,"suffix":""},{"dropping-particle":"","family":"Snow","given":"Jill","non-dropping-particle":"","parse-names":false,"suffix":""},{"dropping-particle":"","family":"Williams","given":"Mandy","non-dropping-particle":"","parse-names":false,"suffix":""},{"dropping-particle":"","family":"Jackson","given":"Lilian","non-dropping-particle":"","parse-names":false,"suffix":""},{"dropping-particle":"","family":"Milat","given":"Andrew","non-dropping-particle":"","parse-names":false,"suffix":""},{"dropping-particle":"","family":"Colagiuri","given":"Stephen","non-dropping-particle":"","parse-names":false,"suffix":""}],"container-title":"Diabetes Research and Clinical Practice","id":"ITEM-9","issued":{"date-parts":[["2016"]]},"page":"13-19","publisher":"Elsevier Ireland Ltd","title":"Type 2 diabetes prevention in the community: 12-month outcomes from the Sydney diabetes prevention program","type":"article-journal","volume":"112"},"uris":["http://www.mendeley.com/documents/?uuid=2a083f9e-7958-4f53-b930-1e6a977893c9"]}],"mendeley":{"formattedCitation":"(Bozack et al., 2014; Jiang et al., 2013; Laatikainen et al., 2007; Lim et al., 2017; J. R. Smith et al., 2019; Taetzsch et al., 2019; Teuschl et al., 2012; Valabhji et al., 2020; Vita et al., 2016)","manualFormatting":"(Bozack et al., 2014; Jiang et al., 2013; Laatikainen et al., 2007; Lim et al., 2017; Smith et al., 2019; Taetzsch et al., 2019; Teuschl et al., 2012; Valabhji et al., 2020; Vita et al., 2016)","plainTextFormattedCitation":"(Bozack et al., 2014; Jiang et al., 2013; Laatikainen et al., 2007; Lim et al., 2017; J. R. Smith et al., 2019; Taetzsch et al., 2019; Teuschl et al., 2012; Valabhji et al., 2020; Vita et al., 2016)","previouslyFormattedCitation":"(Bozack et al., 2014; Jiang et al., 2013; Laatikainen et al., 2007; Lim et al., 2017; J. R. Smith et al., 2019; Taetzsch et al., 2019; Teuschl et al., 2012; Valabhji et al., 2020; Vita et al., 2016)"},"properties":{"noteIndex":0},"schema":"https://github.com/citation-style-language/schema/raw/master/csl-citation.json"}</w:instrText>
      </w:r>
      <w:r w:rsidR="005D7703" w:rsidRPr="00103A0B">
        <w:rPr>
          <w:rFonts w:ascii="Arial" w:eastAsia="Times New Roman" w:hAnsi="Arial" w:cs="Arial"/>
          <w:sz w:val="24"/>
          <w:szCs w:val="24"/>
          <w:lang w:eastAsia="en-GB"/>
        </w:rPr>
        <w:fldChar w:fldCharType="separate"/>
      </w:r>
      <w:r w:rsidR="002830A0" w:rsidRPr="00103A0B">
        <w:rPr>
          <w:rFonts w:ascii="Arial" w:eastAsia="Times New Roman" w:hAnsi="Arial" w:cs="Arial"/>
          <w:noProof/>
          <w:sz w:val="24"/>
          <w:szCs w:val="24"/>
          <w:lang w:eastAsia="en-GB"/>
        </w:rPr>
        <w:t>(Bozack et al., 2014; Jiang et al., 2013; Laatikainen et al., 2007; Lim et al., 2017; Smith et al., 2019; Taetzsch et al., 2019; Teuschl et al., 2012; Valabhji et al., 2020; Vita et al., 2016)</w:t>
      </w:r>
      <w:r w:rsidR="005D7703" w:rsidRPr="00103A0B">
        <w:rPr>
          <w:rFonts w:ascii="Arial" w:eastAsia="Times New Roman" w:hAnsi="Arial" w:cs="Arial"/>
          <w:sz w:val="24"/>
          <w:szCs w:val="24"/>
          <w:lang w:eastAsia="en-GB"/>
        </w:rPr>
        <w:fldChar w:fldCharType="end"/>
      </w:r>
      <w:r w:rsidR="005D7703" w:rsidRPr="00103A0B">
        <w:rPr>
          <w:rFonts w:ascii="Arial" w:eastAsia="Times New Roman" w:hAnsi="Arial" w:cs="Arial"/>
          <w:sz w:val="24"/>
          <w:szCs w:val="24"/>
          <w:lang w:eastAsia="en-GB"/>
        </w:rPr>
        <w:t xml:space="preserve"> </w:t>
      </w:r>
      <w:r w:rsidRPr="00103A0B">
        <w:rPr>
          <w:rFonts w:ascii="Arial" w:eastAsia="Times New Roman" w:hAnsi="Arial" w:cs="Arial"/>
          <w:sz w:val="24"/>
          <w:szCs w:val="24"/>
          <w:lang w:eastAsia="en-GB"/>
        </w:rPr>
        <w:t>.</w:t>
      </w:r>
    </w:p>
    <w:p w14:paraId="2142E0A7" w14:textId="77777777" w:rsidR="00423291" w:rsidRPr="00103A0B" w:rsidRDefault="00423291" w:rsidP="00423291">
      <w:pPr>
        <w:autoSpaceDE w:val="0"/>
        <w:autoSpaceDN w:val="0"/>
        <w:adjustRightInd w:val="0"/>
        <w:spacing w:line="360" w:lineRule="auto"/>
        <w:contextualSpacing/>
        <w:jc w:val="both"/>
        <w:rPr>
          <w:rFonts w:ascii="Arial" w:eastAsia="Times New Roman" w:hAnsi="Arial" w:cs="Arial"/>
          <w:sz w:val="24"/>
          <w:szCs w:val="24"/>
          <w:lang w:eastAsia="en-GB"/>
        </w:rPr>
      </w:pPr>
    </w:p>
    <w:p w14:paraId="3E491873" w14:textId="59E780BE" w:rsidR="003F54B5" w:rsidRPr="00103A0B" w:rsidRDefault="003F54B5" w:rsidP="00423291">
      <w:pPr>
        <w:autoSpaceDE w:val="0"/>
        <w:autoSpaceDN w:val="0"/>
        <w:adjustRightInd w:val="0"/>
        <w:spacing w:line="360" w:lineRule="auto"/>
        <w:contextualSpacing/>
        <w:jc w:val="both"/>
        <w:rPr>
          <w:rFonts w:ascii="Arial" w:eastAsia="Times New Roman" w:hAnsi="Arial" w:cs="Arial"/>
          <w:sz w:val="24"/>
          <w:szCs w:val="24"/>
          <w:lang w:eastAsia="en-GB"/>
        </w:rPr>
      </w:pPr>
      <w:r w:rsidRPr="00103A0B">
        <w:rPr>
          <w:rFonts w:ascii="Arial" w:hAnsi="Arial" w:cs="Arial"/>
          <w:sz w:val="24"/>
          <w:szCs w:val="24"/>
        </w:rPr>
        <w:t xml:space="preserve">Overall, </w:t>
      </w:r>
      <w:proofErr w:type="gramStart"/>
      <w:r w:rsidRPr="00103A0B">
        <w:rPr>
          <w:rFonts w:ascii="Arial" w:hAnsi="Arial" w:cs="Arial"/>
          <w:sz w:val="24"/>
          <w:szCs w:val="24"/>
        </w:rPr>
        <w:t>the majority of</w:t>
      </w:r>
      <w:proofErr w:type="gramEnd"/>
      <w:r w:rsidRPr="00103A0B">
        <w:rPr>
          <w:rFonts w:ascii="Arial" w:hAnsi="Arial" w:cs="Arial"/>
          <w:sz w:val="24"/>
          <w:szCs w:val="24"/>
        </w:rPr>
        <w:t xml:space="preserve"> studies have found those from more socioeconomically disadvantaged backgrounds are less likely to start and complete DPPs. So, exploring participants` views and experiences including barriers and facilitators to uptake and completion of a DPP in an ethnically diverse socioeconomically disadvantaged area would be beneficial.  </w:t>
      </w:r>
      <w:r w:rsidRPr="00103A0B" w:rsidDel="00710FA8">
        <w:rPr>
          <w:rFonts w:ascii="Arial" w:hAnsi="Arial" w:cs="Arial"/>
          <w:sz w:val="24"/>
          <w:szCs w:val="24"/>
        </w:rPr>
        <w:t xml:space="preserve"> </w:t>
      </w:r>
    </w:p>
    <w:p w14:paraId="1D74ECAE" w14:textId="77777777" w:rsidR="003F54B5" w:rsidRPr="00103A0B" w:rsidRDefault="003F54B5" w:rsidP="00CD5919">
      <w:pPr>
        <w:spacing w:line="360" w:lineRule="auto"/>
        <w:jc w:val="both"/>
        <w:rPr>
          <w:rFonts w:ascii="Arial" w:hAnsi="Arial" w:cs="Arial"/>
          <w:i/>
          <w:iCs/>
          <w:sz w:val="24"/>
          <w:szCs w:val="24"/>
        </w:rPr>
      </w:pPr>
    </w:p>
    <w:p w14:paraId="2D1A9AEB" w14:textId="54EB56C1" w:rsidR="002D3F5D" w:rsidRPr="00103A0B" w:rsidRDefault="002D3F5D" w:rsidP="00CD5919">
      <w:pPr>
        <w:pStyle w:val="Heading2"/>
        <w:jc w:val="both"/>
        <w:rPr>
          <w:rFonts w:ascii="Arial" w:hAnsi="Arial" w:cs="Arial"/>
          <w:sz w:val="28"/>
        </w:rPr>
      </w:pPr>
      <w:bookmarkStart w:id="64" w:name="_Toc151548299"/>
      <w:r w:rsidRPr="00103A0B">
        <w:rPr>
          <w:rFonts w:ascii="Arial" w:hAnsi="Arial" w:cs="Arial"/>
          <w:sz w:val="28"/>
        </w:rPr>
        <w:t>Summary</w:t>
      </w:r>
      <w:bookmarkEnd w:id="64"/>
      <w:r w:rsidRPr="00103A0B">
        <w:rPr>
          <w:rFonts w:ascii="Arial" w:hAnsi="Arial" w:cs="Arial"/>
          <w:sz w:val="28"/>
        </w:rPr>
        <w:t xml:space="preserve"> </w:t>
      </w:r>
    </w:p>
    <w:p w14:paraId="4095E82F" w14:textId="41ABF6E3" w:rsidR="00576BA2" w:rsidRPr="00103A0B" w:rsidRDefault="00576BA2" w:rsidP="00CD5919">
      <w:pPr>
        <w:spacing w:line="360" w:lineRule="auto"/>
        <w:jc w:val="both"/>
        <w:rPr>
          <w:rFonts w:ascii="Arial" w:hAnsi="Arial" w:cs="Arial"/>
          <w:sz w:val="24"/>
          <w:szCs w:val="24"/>
        </w:rPr>
      </w:pPr>
      <w:bookmarkStart w:id="65" w:name="_Hlk80809656"/>
      <w:r w:rsidRPr="00103A0B">
        <w:rPr>
          <w:rFonts w:ascii="Arial" w:hAnsi="Arial" w:cs="Arial"/>
          <w:sz w:val="24"/>
          <w:szCs w:val="24"/>
        </w:rPr>
        <w:t xml:space="preserve">Improving uptake and retention in diabetes prevention programmes is important to ensure they are clinically effective and financially viable. This requires: an exploration of factors commonly associated with higher uptake and retention such as recruitment strategies and factors associated with the programmes themselves and an exploration of individual-level factors. Furthermore, there is a need to explore what influences participants from ethnically diverse backgrounds living in a socioeconomically deprived area, to start and complete DPPs such as the NHSDPP. This is particularly important considering those from ethnically diverse backgrounds and/or from more deprived areas are at increased risk of developing T2DM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Open","id":"ITEM-1","issued":{"date-parts":[["2014"]]},"page":"e005002","title":"Prevalence of prediabetes in England from 2003 to 2011: population-based, cross-sectional study","type":"article-journal","volume":"4"},"uris":["http://www.mendeley.com/documents/?uuid=3d8c06b2-c467-4cfa-b523-36fc0982e568"]},{"id":"ITEM-2","itemData":{"DOI":"10.1016/j.pcd.2010.08.002","ISSN":"1751-9918","author":[{"dropping-particle":"","family":"Gholap","given":"Nitin","non-dropping-particle":"","parse-names":false,"suffix":""},{"dropping-particle":"","family":"Davies","given":"Melanie","non-dropping-particle":"","parse-names":false,"suffix":""},{"dropping-particle":"","family":"Patel","given":"Kiran","non-dropping-particle":"","parse-names":false,"suffix":""},{"dropping-particle":"","family":"Sattar","given":"Naveed","non-dropping-particle":"","parse-names":false,"suffix":""},{"dropping-particle":"","family":"Khunti","given":"Kamlesh","non-dropping-particle":"","parse-names":false,"suffix":""}],"container-title":"Primary Care Diabetes","id":"ITEM-2","issued":{"date-parts":[["2011"]]},"page":"45-56","publisher":"Primary Care Diabetes Europe","title":"Type 2 diabetes and cardiovascular disease in South Asians","type":"article-journal","volume":"5"},"uris":["http://www.mendeley.com/documents/?uuid=9d8ffa18-1c88-49ef-8e29-4ace97571aca"]}],"mendeley":{"formattedCitation":"(Gholap et al., 2011; Mainous III et al., 2014)","plainTextFormattedCitation":"(Gholap et al., 2011; Mainous III et al., 2014)","previouslyFormattedCitation":"(Gholap et al., 2011; Mainous III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(Gholap et al., 2011; Mainous III et al., 2014)</w:t>
      </w:r>
      <w:r w:rsidRPr="00103A0B">
        <w:rPr>
          <w:rFonts w:ascii="Arial" w:hAnsi="Arial" w:cs="Arial"/>
          <w:sz w:val="24"/>
          <w:szCs w:val="24"/>
        </w:rPr>
        <w:fldChar w:fldCharType="end"/>
      </w:r>
      <w:r w:rsidRPr="00103A0B">
        <w:rPr>
          <w:rFonts w:ascii="Arial" w:hAnsi="Arial" w:cs="Arial"/>
          <w:sz w:val="24"/>
          <w:szCs w:val="24"/>
        </w:rPr>
        <w:t xml:space="preserve">. </w:t>
      </w:r>
    </w:p>
    <w:bookmarkEnd w:id="65"/>
    <w:p w14:paraId="51F93A06" w14:textId="77777777" w:rsidR="00576BA2" w:rsidRPr="00103A0B" w:rsidRDefault="00576BA2" w:rsidP="00CD5919">
      <w:pPr>
        <w:pStyle w:val="NormalWeb"/>
        <w:spacing w:before="0" w:beforeAutospacing="0" w:after="0" w:afterAutospacing="0" w:line="360" w:lineRule="auto"/>
        <w:jc w:val="both"/>
        <w:rPr>
          <w:rFonts w:ascii="Arial" w:hAnsi="Arial" w:cs="Arial"/>
        </w:rPr>
      </w:pPr>
      <w:r w:rsidRPr="00103A0B">
        <w:rPr>
          <w:rFonts w:ascii="Arial" w:hAnsi="Arial" w:cs="Arial"/>
        </w:rPr>
        <w:t xml:space="preserve">This thesis will focus on exploring what influences participants to start and complete the NHSDPP and identifying which modifiable psychological factors predict uptake and retention, independent from other possible confounders (i.e., non-modifiable factors). This research will help with filling the gap in knowledge regarding which recruitment </w:t>
      </w:r>
      <w:r w:rsidRPr="00103A0B">
        <w:rPr>
          <w:rFonts w:ascii="Arial" w:hAnsi="Arial" w:cs="Arial"/>
        </w:rPr>
        <w:lastRenderedPageBreak/>
        <w:t xml:space="preserve">strategies and behaviour change techniques are commonly associated with higher uptake and retention in Diabetes Prevention Programmes. In addition, by exploring what influences participants from ethnically diverse backgrounds living in a socioeconomically deprived area to start and complete DPPs, it will be possible to provide guidance regarding how to promote uptake and retention within this specific population, therefore improving programme viability.  </w:t>
      </w:r>
    </w:p>
    <w:p w14:paraId="282553EC" w14:textId="77777777" w:rsidR="002D3F5D" w:rsidRPr="00103A0B" w:rsidRDefault="002D3F5D" w:rsidP="00CD5919">
      <w:pPr>
        <w:spacing w:line="360" w:lineRule="auto"/>
        <w:jc w:val="both"/>
        <w:rPr>
          <w:rFonts w:ascii="Arial" w:hAnsi="Arial" w:cs="Arial"/>
          <w:sz w:val="24"/>
          <w:szCs w:val="24"/>
        </w:rPr>
      </w:pPr>
    </w:p>
    <w:p w14:paraId="3B114121" w14:textId="32E761D2" w:rsidR="002D3F5D" w:rsidRPr="00103A0B" w:rsidRDefault="00576BA2" w:rsidP="00CD5919">
      <w:pPr>
        <w:pStyle w:val="Heading2"/>
        <w:jc w:val="both"/>
        <w:rPr>
          <w:rFonts w:ascii="Arial" w:hAnsi="Arial" w:cs="Arial"/>
          <w:sz w:val="28"/>
        </w:rPr>
      </w:pPr>
      <w:bookmarkStart w:id="66" w:name="_Toc151548300"/>
      <w:r w:rsidRPr="00103A0B">
        <w:rPr>
          <w:rFonts w:ascii="Arial" w:hAnsi="Arial" w:cs="Arial"/>
          <w:sz w:val="28"/>
        </w:rPr>
        <w:t xml:space="preserve">Aims of </w:t>
      </w:r>
      <w:r w:rsidR="00324C56" w:rsidRPr="00103A0B">
        <w:rPr>
          <w:rFonts w:ascii="Arial" w:hAnsi="Arial" w:cs="Arial"/>
          <w:sz w:val="28"/>
        </w:rPr>
        <w:t>Thesis</w:t>
      </w:r>
      <w:bookmarkEnd w:id="66"/>
    </w:p>
    <w:p w14:paraId="6154C827" w14:textId="3B2111E1" w:rsidR="00F6449A" w:rsidRPr="00103A0B" w:rsidRDefault="00F6449A" w:rsidP="00F6449A">
      <w:pPr>
        <w:spacing w:line="360" w:lineRule="auto"/>
        <w:jc w:val="both"/>
        <w:rPr>
          <w:rFonts w:ascii="Arial" w:hAnsi="Arial" w:cs="Arial"/>
          <w:sz w:val="24"/>
          <w:szCs w:val="24"/>
        </w:rPr>
      </w:pPr>
      <w:r w:rsidRPr="00103A0B">
        <w:rPr>
          <w:rFonts w:ascii="Arial" w:hAnsi="Arial" w:cs="Arial"/>
          <w:sz w:val="24"/>
          <w:szCs w:val="24"/>
        </w:rPr>
        <w:t xml:space="preserve">The aims of this thesis are threefold.  Firstly, to investigate which factors associated with recruitment and the programmes themselves, are associated with higher uptake and retention of diabetes prevention programmes in general. Secondly, to focus in on a DPP in a socioeconomically deprived area and explore what influences participants to attend and complete the programme and thirdly to examine the role of modifiable psychological factors in predicting uptake and completion of the NHS diabetes prevention programme in England. </w:t>
      </w:r>
    </w:p>
    <w:p w14:paraId="2DDEC643" w14:textId="77777777" w:rsidR="002D3F5D" w:rsidRPr="00103A0B" w:rsidRDefault="002D3F5D" w:rsidP="00CD5919">
      <w:pPr>
        <w:spacing w:line="360" w:lineRule="auto"/>
        <w:jc w:val="both"/>
        <w:rPr>
          <w:rFonts w:ascii="Arial" w:hAnsi="Arial" w:cs="Arial"/>
          <w:sz w:val="24"/>
          <w:szCs w:val="24"/>
        </w:rPr>
      </w:pPr>
    </w:p>
    <w:p w14:paraId="5668CCC8" w14:textId="6FDF10C6" w:rsidR="002D3F5D" w:rsidRPr="00103A0B" w:rsidRDefault="00324C56" w:rsidP="00CD5919">
      <w:pPr>
        <w:pStyle w:val="Heading2"/>
        <w:jc w:val="both"/>
        <w:rPr>
          <w:rFonts w:ascii="Arial" w:hAnsi="Arial" w:cs="Arial"/>
          <w:sz w:val="28"/>
        </w:rPr>
      </w:pPr>
      <w:r w:rsidRPr="00103A0B">
        <w:rPr>
          <w:rFonts w:ascii="Arial" w:hAnsi="Arial" w:cs="Arial"/>
        </w:rPr>
        <w:t xml:space="preserve"> </w:t>
      </w:r>
      <w:bookmarkStart w:id="67" w:name="_Toc151548301"/>
      <w:r w:rsidR="00576BA2" w:rsidRPr="00103A0B">
        <w:rPr>
          <w:rFonts w:ascii="Arial" w:hAnsi="Arial" w:cs="Arial"/>
          <w:sz w:val="28"/>
        </w:rPr>
        <w:t>O</w:t>
      </w:r>
      <w:r w:rsidR="002D3F5D" w:rsidRPr="00103A0B">
        <w:rPr>
          <w:rFonts w:ascii="Arial" w:hAnsi="Arial" w:cs="Arial"/>
          <w:sz w:val="28"/>
        </w:rPr>
        <w:t>bjectives</w:t>
      </w:r>
      <w:bookmarkEnd w:id="67"/>
      <w:r w:rsidR="002D3F5D" w:rsidRPr="00103A0B">
        <w:rPr>
          <w:rFonts w:ascii="Arial" w:hAnsi="Arial" w:cs="Arial"/>
          <w:sz w:val="28"/>
        </w:rPr>
        <w:t xml:space="preserve"> </w:t>
      </w:r>
    </w:p>
    <w:p w14:paraId="1E34EFE8" w14:textId="7A552C82" w:rsidR="00576BA2" w:rsidRPr="00103A0B" w:rsidRDefault="00576BA2" w:rsidP="00CD5919">
      <w:pPr>
        <w:pStyle w:val="ListParagraph"/>
        <w:numPr>
          <w:ilvl w:val="0"/>
          <w:numId w:val="2"/>
        </w:numPr>
        <w:spacing w:line="360" w:lineRule="auto"/>
        <w:jc w:val="both"/>
        <w:rPr>
          <w:rFonts w:ascii="Arial" w:hAnsi="Arial" w:cs="Arial"/>
          <w:sz w:val="24"/>
          <w:szCs w:val="24"/>
        </w:rPr>
      </w:pPr>
      <w:r w:rsidRPr="00103A0B">
        <w:rPr>
          <w:rFonts w:ascii="Arial" w:hAnsi="Arial" w:cs="Arial"/>
          <w:sz w:val="24"/>
          <w:szCs w:val="24"/>
        </w:rPr>
        <w:t xml:space="preserve">To identify important recruitment and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-level factors (e.g., recruitment strategies and common </w:t>
      </w:r>
      <w:proofErr w:type="spellStart"/>
      <w:r w:rsidRPr="00103A0B">
        <w:rPr>
          <w:rFonts w:ascii="Arial" w:hAnsi="Arial" w:cs="Arial"/>
          <w:sz w:val="24"/>
          <w:szCs w:val="24"/>
        </w:rPr>
        <w:t>behaviour</w:t>
      </w:r>
      <w:proofErr w:type="spellEnd"/>
      <w:r w:rsidRPr="00103A0B">
        <w:rPr>
          <w:rFonts w:ascii="Arial" w:hAnsi="Arial" w:cs="Arial"/>
          <w:sz w:val="24"/>
          <w:szCs w:val="24"/>
        </w:rPr>
        <w:t xml:space="preserve"> change techniques) in group-based DPPs that are associated with high</w:t>
      </w:r>
      <w:r w:rsidR="00E511EE" w:rsidRPr="00103A0B">
        <w:rPr>
          <w:rFonts w:ascii="Arial" w:hAnsi="Arial" w:cs="Arial"/>
          <w:sz w:val="24"/>
          <w:szCs w:val="24"/>
        </w:rPr>
        <w:t xml:space="preserve"> response,</w:t>
      </w:r>
      <w:r w:rsidRPr="00103A0B">
        <w:rPr>
          <w:rFonts w:ascii="Arial" w:hAnsi="Arial" w:cs="Arial"/>
          <w:sz w:val="24"/>
          <w:szCs w:val="24"/>
        </w:rPr>
        <w:t xml:space="preserve"> </w:t>
      </w:r>
      <w:proofErr w:type="gramStart"/>
      <w:r w:rsidRPr="00103A0B">
        <w:rPr>
          <w:rFonts w:ascii="Arial" w:hAnsi="Arial" w:cs="Arial"/>
          <w:sz w:val="24"/>
          <w:szCs w:val="24"/>
        </w:rPr>
        <w:t>uptake</w:t>
      </w:r>
      <w:proofErr w:type="gramEnd"/>
      <w:r w:rsidRPr="00103A0B">
        <w:rPr>
          <w:rFonts w:ascii="Arial" w:hAnsi="Arial" w:cs="Arial"/>
          <w:sz w:val="24"/>
          <w:szCs w:val="24"/>
        </w:rPr>
        <w:t xml:space="preserve"> and retention in the published literature.</w:t>
      </w:r>
    </w:p>
    <w:p w14:paraId="6FE46B93" w14:textId="77777777" w:rsidR="00576BA2" w:rsidRPr="00103A0B" w:rsidRDefault="00576BA2" w:rsidP="00CD5919">
      <w:pPr>
        <w:pStyle w:val="ListParagraph"/>
        <w:numPr>
          <w:ilvl w:val="0"/>
          <w:numId w:val="2"/>
        </w:numPr>
        <w:spacing w:line="360" w:lineRule="auto"/>
        <w:jc w:val="both"/>
        <w:rPr>
          <w:rFonts w:ascii="Arial" w:hAnsi="Arial" w:cs="Arial"/>
          <w:sz w:val="24"/>
          <w:szCs w:val="24"/>
        </w:rPr>
      </w:pPr>
      <w:r w:rsidRPr="00103A0B">
        <w:rPr>
          <w:rFonts w:ascii="Arial" w:hAnsi="Arial" w:cs="Arial"/>
          <w:sz w:val="24"/>
          <w:szCs w:val="24"/>
        </w:rPr>
        <w:t xml:space="preserve">To explore key influences of participants’ decisions to start and attend a diabetes prevention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 in a socioeconomically deprived area. </w:t>
      </w:r>
    </w:p>
    <w:p w14:paraId="28FFCD81" w14:textId="0D85CEBA" w:rsidR="00576BA2" w:rsidRPr="00103A0B" w:rsidRDefault="00576BA2" w:rsidP="00CD5919">
      <w:pPr>
        <w:pStyle w:val="ListParagraph"/>
        <w:numPr>
          <w:ilvl w:val="0"/>
          <w:numId w:val="2"/>
        </w:numPr>
        <w:spacing w:line="360" w:lineRule="auto"/>
        <w:jc w:val="both"/>
        <w:rPr>
          <w:rFonts w:ascii="Arial" w:hAnsi="Arial" w:cs="Arial"/>
          <w:sz w:val="24"/>
          <w:szCs w:val="24"/>
        </w:rPr>
      </w:pPr>
      <w:r w:rsidRPr="00103A0B">
        <w:rPr>
          <w:rFonts w:ascii="Arial" w:hAnsi="Arial" w:cs="Arial"/>
          <w:sz w:val="24"/>
          <w:szCs w:val="24"/>
        </w:rPr>
        <w:t xml:space="preserve">To explore key influences on why </w:t>
      </w:r>
      <w:proofErr w:type="gramStart"/>
      <w:r w:rsidRPr="00103A0B">
        <w:rPr>
          <w:rFonts w:ascii="Arial" w:hAnsi="Arial" w:cs="Arial"/>
          <w:sz w:val="24"/>
          <w:szCs w:val="24"/>
        </w:rPr>
        <w:t>participants</w:t>
      </w:r>
      <w:proofErr w:type="gramEnd"/>
      <w:r w:rsidRPr="00103A0B">
        <w:rPr>
          <w:rFonts w:ascii="Arial" w:hAnsi="Arial" w:cs="Arial"/>
          <w:sz w:val="24"/>
          <w:szCs w:val="24"/>
        </w:rPr>
        <w:t xml:space="preserve"> complete/do not complete a diabetes prevention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 in a socioeconomically deprived area.</w:t>
      </w:r>
    </w:p>
    <w:p w14:paraId="787BA54D" w14:textId="60A9488D" w:rsidR="00576BA2" w:rsidRPr="00103A0B" w:rsidRDefault="00576BA2" w:rsidP="00CD5919">
      <w:pPr>
        <w:pStyle w:val="ListParagraph"/>
        <w:numPr>
          <w:ilvl w:val="0"/>
          <w:numId w:val="2"/>
        </w:numPr>
        <w:spacing w:line="360" w:lineRule="auto"/>
        <w:jc w:val="both"/>
        <w:rPr>
          <w:rFonts w:ascii="Arial" w:hAnsi="Arial" w:cs="Arial"/>
          <w:sz w:val="24"/>
          <w:szCs w:val="24"/>
        </w:rPr>
      </w:pPr>
      <w:r w:rsidRPr="00103A0B">
        <w:rPr>
          <w:rFonts w:ascii="Arial" w:hAnsi="Arial" w:cs="Arial"/>
          <w:sz w:val="24"/>
          <w:szCs w:val="24"/>
        </w:rPr>
        <w:t xml:space="preserve">To examine whether illness perceptions, self-efficacy, and mental wellbeing predict uptake and/or completion of a diabetes prevention </w:t>
      </w:r>
      <w:proofErr w:type="spellStart"/>
      <w:r w:rsidRPr="00103A0B">
        <w:rPr>
          <w:rFonts w:ascii="Arial" w:hAnsi="Arial" w:cs="Arial"/>
          <w:sz w:val="24"/>
          <w:szCs w:val="24"/>
        </w:rPr>
        <w:t>programme</w:t>
      </w:r>
      <w:proofErr w:type="spellEnd"/>
      <w:r w:rsidRPr="00103A0B">
        <w:rPr>
          <w:rFonts w:ascii="Arial" w:hAnsi="Arial" w:cs="Arial"/>
          <w:sz w:val="24"/>
          <w:szCs w:val="24"/>
        </w:rPr>
        <w:t>, independent from other possible confounders (i.e., non-modifiable factors).</w:t>
      </w:r>
    </w:p>
    <w:p w14:paraId="03418055" w14:textId="77777777" w:rsidR="002D3F5D" w:rsidRPr="00103A0B" w:rsidRDefault="002D3F5D" w:rsidP="00CD5919">
      <w:pPr>
        <w:spacing w:line="360" w:lineRule="auto"/>
        <w:jc w:val="both"/>
        <w:rPr>
          <w:rFonts w:ascii="Arial" w:hAnsi="Arial" w:cs="Arial"/>
          <w:b/>
          <w:bCs/>
          <w:sz w:val="24"/>
          <w:szCs w:val="24"/>
        </w:rPr>
      </w:pPr>
    </w:p>
    <w:p w14:paraId="02E4E39F" w14:textId="5B9917A6" w:rsidR="002D3F5D" w:rsidRPr="00103A0B" w:rsidRDefault="00324C56" w:rsidP="00CD5919">
      <w:pPr>
        <w:pStyle w:val="Heading2"/>
        <w:jc w:val="both"/>
        <w:rPr>
          <w:rFonts w:ascii="Arial" w:hAnsi="Arial" w:cs="Arial"/>
          <w:sz w:val="28"/>
        </w:rPr>
      </w:pPr>
      <w:r w:rsidRPr="00103A0B">
        <w:rPr>
          <w:rFonts w:ascii="Arial" w:hAnsi="Arial" w:cs="Arial"/>
        </w:rPr>
        <w:lastRenderedPageBreak/>
        <w:t xml:space="preserve"> </w:t>
      </w:r>
      <w:bookmarkStart w:id="68" w:name="_Toc151548302"/>
      <w:r w:rsidR="002D3F5D" w:rsidRPr="00103A0B">
        <w:rPr>
          <w:rFonts w:ascii="Arial" w:hAnsi="Arial" w:cs="Arial"/>
          <w:sz w:val="28"/>
        </w:rPr>
        <w:t>Outline of Thesis</w:t>
      </w:r>
      <w:bookmarkEnd w:id="68"/>
    </w:p>
    <w:p w14:paraId="30CBE04F" w14:textId="77777777" w:rsidR="00F51EE6" w:rsidRPr="00103A0B" w:rsidRDefault="00F51EE6" w:rsidP="00CD5919">
      <w:pPr>
        <w:spacing w:line="360" w:lineRule="auto"/>
        <w:jc w:val="both"/>
        <w:rPr>
          <w:rFonts w:ascii="Arial" w:hAnsi="Arial" w:cs="Arial"/>
          <w:sz w:val="24"/>
          <w:szCs w:val="24"/>
        </w:rPr>
      </w:pPr>
      <w:r w:rsidRPr="00103A0B">
        <w:rPr>
          <w:rFonts w:ascii="Arial" w:hAnsi="Arial" w:cs="Arial"/>
          <w:sz w:val="24"/>
          <w:szCs w:val="24"/>
        </w:rPr>
        <w:t>The thesis is structured as follows.</w:t>
      </w:r>
    </w:p>
    <w:p w14:paraId="1868FA96" w14:textId="77777777" w:rsidR="00F51EE6" w:rsidRPr="00103A0B" w:rsidRDefault="00F51EE6" w:rsidP="00CD5919">
      <w:pPr>
        <w:spacing w:line="360" w:lineRule="auto"/>
        <w:jc w:val="both"/>
        <w:rPr>
          <w:rFonts w:ascii="Arial" w:hAnsi="Arial" w:cs="Arial"/>
          <w:sz w:val="24"/>
          <w:szCs w:val="24"/>
        </w:rPr>
      </w:pPr>
      <w:r w:rsidRPr="00103A0B">
        <w:rPr>
          <w:rFonts w:ascii="Arial" w:hAnsi="Arial" w:cs="Arial"/>
          <w:sz w:val="24"/>
          <w:szCs w:val="24"/>
        </w:rPr>
        <w:t xml:space="preserve">Chapter 2 - Systematic Review: Provides an insight into </w:t>
      </w:r>
      <w:bookmarkStart w:id="69" w:name="_Hlk80809926"/>
      <w:r w:rsidRPr="00103A0B">
        <w:rPr>
          <w:rFonts w:ascii="Arial" w:hAnsi="Arial" w:cs="Arial"/>
          <w:sz w:val="24"/>
          <w:szCs w:val="24"/>
        </w:rPr>
        <w:t xml:space="preserve">recruitment strategies associated with high uptake and behaviour change techniques associated with high levels of retention </w:t>
      </w:r>
      <w:bookmarkEnd w:id="69"/>
      <w:r w:rsidRPr="00103A0B">
        <w:rPr>
          <w:rFonts w:ascii="Arial" w:hAnsi="Arial" w:cs="Arial"/>
          <w:sz w:val="24"/>
          <w:szCs w:val="24"/>
        </w:rPr>
        <w:t>which have not been previously explored in diabetes prevention programmes.</w:t>
      </w:r>
    </w:p>
    <w:p w14:paraId="0E6215B3" w14:textId="77777777" w:rsidR="00F51EE6" w:rsidRPr="00103A0B" w:rsidRDefault="00F51EE6" w:rsidP="00CD5919">
      <w:pPr>
        <w:spacing w:line="360" w:lineRule="auto"/>
        <w:jc w:val="both"/>
        <w:rPr>
          <w:rFonts w:ascii="Arial" w:hAnsi="Arial" w:cs="Arial"/>
          <w:sz w:val="24"/>
          <w:szCs w:val="24"/>
        </w:rPr>
      </w:pPr>
      <w:r w:rsidRPr="00103A0B">
        <w:rPr>
          <w:rFonts w:ascii="Arial" w:hAnsi="Arial" w:cs="Arial"/>
          <w:sz w:val="24"/>
          <w:szCs w:val="24"/>
        </w:rPr>
        <w:t xml:space="preserve">Chapter 3 – Methodology: Provides a rationale for each study design, including why certain data collection and analysis approaches were taken. </w:t>
      </w:r>
    </w:p>
    <w:p w14:paraId="63E73942" w14:textId="2367E078" w:rsidR="00F51EE6" w:rsidRPr="00103A0B" w:rsidRDefault="00F51EE6" w:rsidP="00CD5919">
      <w:pPr>
        <w:spacing w:line="360" w:lineRule="auto"/>
        <w:jc w:val="both"/>
        <w:rPr>
          <w:rFonts w:ascii="Arial" w:hAnsi="Arial" w:cs="Arial"/>
          <w:sz w:val="24"/>
          <w:szCs w:val="24"/>
        </w:rPr>
      </w:pPr>
      <w:r w:rsidRPr="00103A0B">
        <w:rPr>
          <w:rFonts w:ascii="Arial" w:hAnsi="Arial" w:cs="Arial"/>
          <w:sz w:val="24"/>
          <w:szCs w:val="24"/>
        </w:rPr>
        <w:t xml:space="preserve">Chapter 4 - Context and Background to Research: Provides a brief introduction to the NHS Diabetes Prevention Programme (NHSDPP), and a profile of Southwark, where the specific diabetes prevention programme explored in Chapters 5-6 is based.  </w:t>
      </w:r>
    </w:p>
    <w:p w14:paraId="388C92E3" w14:textId="77777777" w:rsidR="00F51EE6" w:rsidRPr="00103A0B" w:rsidRDefault="00F51EE6" w:rsidP="00CD5919">
      <w:pPr>
        <w:spacing w:line="360" w:lineRule="auto"/>
        <w:jc w:val="both"/>
        <w:rPr>
          <w:rFonts w:ascii="Arial" w:hAnsi="Arial" w:cs="Arial"/>
          <w:sz w:val="24"/>
          <w:szCs w:val="24"/>
        </w:rPr>
      </w:pPr>
      <w:bookmarkStart w:id="70" w:name="_Hlk80809996"/>
      <w:r w:rsidRPr="00103A0B">
        <w:rPr>
          <w:rFonts w:ascii="Arial" w:hAnsi="Arial" w:cs="Arial"/>
          <w:sz w:val="24"/>
          <w:szCs w:val="24"/>
        </w:rPr>
        <w:t>Chapter 5 – Qualitative Study with Attenders and Non-Attenders: Presents findings on the key influences of decisions in participants from ethnically diverse backgrounds to attend the NHSDPP in Southwark.</w:t>
      </w:r>
    </w:p>
    <w:p w14:paraId="03EBD640" w14:textId="77777777" w:rsidR="00F51EE6" w:rsidRPr="00103A0B" w:rsidRDefault="00F51EE6" w:rsidP="00CD5919">
      <w:pPr>
        <w:spacing w:line="360" w:lineRule="auto"/>
        <w:jc w:val="both"/>
        <w:rPr>
          <w:rFonts w:ascii="Arial" w:hAnsi="Arial" w:cs="Arial"/>
          <w:sz w:val="24"/>
          <w:szCs w:val="24"/>
        </w:rPr>
      </w:pPr>
      <w:r w:rsidRPr="00103A0B">
        <w:rPr>
          <w:rFonts w:ascii="Arial" w:hAnsi="Arial" w:cs="Arial"/>
          <w:sz w:val="24"/>
          <w:szCs w:val="24"/>
        </w:rPr>
        <w:t xml:space="preserve">Chapter 6 – Qualitative Study with Completers and Non-Completers: Presents findings on the key influences on </w:t>
      </w:r>
      <w:proofErr w:type="gramStart"/>
      <w:r w:rsidRPr="00103A0B">
        <w:rPr>
          <w:rFonts w:ascii="Arial" w:hAnsi="Arial" w:cs="Arial"/>
          <w:sz w:val="24"/>
          <w:szCs w:val="24"/>
        </w:rPr>
        <w:t>whether or not</w:t>
      </w:r>
      <w:proofErr w:type="gramEnd"/>
      <w:r w:rsidRPr="00103A0B">
        <w:rPr>
          <w:rFonts w:ascii="Arial" w:hAnsi="Arial" w:cs="Arial"/>
          <w:sz w:val="24"/>
          <w:szCs w:val="24"/>
        </w:rPr>
        <w:t xml:space="preserve"> participants complete the NHSDPP in Southwark. </w:t>
      </w:r>
    </w:p>
    <w:bookmarkEnd w:id="70"/>
    <w:p w14:paraId="0987092E" w14:textId="77777777" w:rsidR="00F51EE6" w:rsidRPr="00103A0B" w:rsidRDefault="00F51EE6" w:rsidP="00CD5919">
      <w:pPr>
        <w:spacing w:line="360" w:lineRule="auto"/>
        <w:jc w:val="both"/>
        <w:rPr>
          <w:rFonts w:ascii="Arial" w:hAnsi="Arial" w:cs="Arial"/>
          <w:sz w:val="24"/>
          <w:szCs w:val="24"/>
        </w:rPr>
      </w:pPr>
      <w:r w:rsidRPr="00103A0B">
        <w:rPr>
          <w:rFonts w:ascii="Arial" w:hAnsi="Arial" w:cs="Arial"/>
          <w:sz w:val="24"/>
          <w:szCs w:val="24"/>
        </w:rPr>
        <w:t xml:space="preserve">Chapter 7 – </w:t>
      </w:r>
      <w:bookmarkStart w:id="71" w:name="_Hlk80810159"/>
      <w:r w:rsidRPr="00103A0B">
        <w:rPr>
          <w:rFonts w:ascii="Arial" w:hAnsi="Arial" w:cs="Arial"/>
          <w:sz w:val="24"/>
          <w:szCs w:val="24"/>
        </w:rPr>
        <w:t xml:space="preserve">Quantitative Study of Illness Perceptions, Self-Efficacy and Mental Wellbeing: </w:t>
      </w:r>
      <w:r w:rsidRPr="00103A0B">
        <w:rPr>
          <w:rFonts w:ascii="Arial" w:hAnsi="Arial" w:cs="Arial"/>
          <w:sz w:val="24"/>
          <w:szCs w:val="24"/>
          <w:lang w:val="en-US"/>
        </w:rPr>
        <w:t xml:space="preserve">Presents findings on whether factors including illness perceptions, self-efficacy and mental wellbeing predict uptake and/or completion of the NHSDPP, independent from other possible non-modifiable factors (e.g., age, sex, ethnicity, deprivation). </w:t>
      </w:r>
    </w:p>
    <w:bookmarkEnd w:id="71"/>
    <w:p w14:paraId="1C77D878" w14:textId="7CFEF040" w:rsidR="00F51EE6" w:rsidRPr="00103A0B" w:rsidRDefault="00F51EE6" w:rsidP="00CD5919">
      <w:pPr>
        <w:spacing w:line="360" w:lineRule="auto"/>
        <w:jc w:val="both"/>
        <w:rPr>
          <w:rFonts w:ascii="Arial" w:hAnsi="Arial" w:cs="Arial"/>
          <w:sz w:val="24"/>
          <w:szCs w:val="24"/>
        </w:rPr>
      </w:pPr>
      <w:r w:rsidRPr="00103A0B">
        <w:rPr>
          <w:rFonts w:ascii="Arial" w:hAnsi="Arial" w:cs="Arial"/>
          <w:sz w:val="24"/>
          <w:szCs w:val="24"/>
        </w:rPr>
        <w:t xml:space="preserve">Chapter 8 - Discussion and Conclusions: </w:t>
      </w:r>
      <w:r w:rsidR="007A139F" w:rsidRPr="00103A0B">
        <w:rPr>
          <w:rFonts w:ascii="Arial" w:hAnsi="Arial" w:cs="Arial"/>
          <w:sz w:val="24"/>
          <w:szCs w:val="24"/>
        </w:rPr>
        <w:t>S</w:t>
      </w:r>
      <w:r w:rsidRPr="00103A0B">
        <w:rPr>
          <w:rFonts w:ascii="Arial" w:hAnsi="Arial" w:cs="Arial"/>
          <w:sz w:val="24"/>
          <w:szCs w:val="24"/>
        </w:rPr>
        <w:t>ummarises findings from Chapters 2, 5, 6 and 7. An evaluation of the research objectives as well as the strengths and weaknesses of this research are discussed. Future research and recommendations for practice are considered, with some researcher reflections on the PhD journey.</w:t>
      </w:r>
    </w:p>
    <w:p w14:paraId="421FF142" w14:textId="618F7B6C" w:rsidR="00A47AD5" w:rsidRPr="00103A0B" w:rsidRDefault="00A47AD5" w:rsidP="00A47AD5">
      <w:pPr>
        <w:spacing w:line="360" w:lineRule="auto"/>
        <w:jc w:val="both"/>
        <w:rPr>
          <w:rFonts w:ascii="Arial" w:hAnsi="Arial" w:cs="Arial"/>
          <w:sz w:val="24"/>
          <w:szCs w:val="24"/>
        </w:rPr>
      </w:pPr>
      <w:r w:rsidRPr="00103A0B">
        <w:rPr>
          <w:rFonts w:ascii="Arial" w:hAnsi="Arial" w:cs="Arial"/>
          <w:sz w:val="24"/>
          <w:szCs w:val="24"/>
        </w:rPr>
        <w:t xml:space="preserve">The next chapter presents a systematic review of </w:t>
      </w:r>
      <w:proofErr w:type="gramStart"/>
      <w:r w:rsidRPr="00103A0B">
        <w:rPr>
          <w:rFonts w:ascii="Arial" w:hAnsi="Arial" w:cs="Arial"/>
          <w:sz w:val="24"/>
          <w:szCs w:val="24"/>
        </w:rPr>
        <w:t>group-based</w:t>
      </w:r>
      <w:proofErr w:type="gramEnd"/>
      <w:r w:rsidRPr="00103A0B">
        <w:rPr>
          <w:rFonts w:ascii="Arial" w:hAnsi="Arial" w:cs="Arial"/>
          <w:sz w:val="24"/>
          <w:szCs w:val="24"/>
        </w:rPr>
        <w:t xml:space="preserve"> DPPs which aims to investigate which recruitment strategies and behaviour change techniques are commonly associated with higher uptake and retention.</w:t>
      </w:r>
      <w:r w:rsidR="002E7ECA" w:rsidRPr="00103A0B">
        <w:rPr>
          <w:rFonts w:ascii="Arial" w:hAnsi="Arial" w:cs="Arial"/>
          <w:sz w:val="24"/>
          <w:szCs w:val="24"/>
        </w:rPr>
        <w:t xml:space="preserve"> </w:t>
      </w:r>
      <w:r w:rsidRPr="00103A0B">
        <w:rPr>
          <w:rFonts w:ascii="Arial" w:hAnsi="Arial" w:cs="Arial"/>
          <w:sz w:val="24"/>
          <w:szCs w:val="24"/>
        </w:rPr>
        <w:t xml:space="preserve">This chapter has been written up as a paper and published in </w:t>
      </w:r>
      <w:r w:rsidRPr="00103A0B">
        <w:rPr>
          <w:rFonts w:ascii="Arial" w:hAnsi="Arial" w:cs="Arial"/>
          <w:i/>
          <w:iCs/>
          <w:sz w:val="24"/>
          <w:szCs w:val="24"/>
        </w:rPr>
        <w:t>Diabetes Research and Clinical Practice</w:t>
      </w:r>
      <w:r w:rsidRPr="00103A0B">
        <w:rPr>
          <w:rFonts w:ascii="Arial" w:hAnsi="Arial" w:cs="Arial"/>
          <w:sz w:val="24"/>
          <w:szCs w:val="24"/>
        </w:rPr>
        <w:t xml:space="preserve"> (please see </w:t>
      </w:r>
      <w:r w:rsidRPr="00103A0B">
        <w:rPr>
          <w:rFonts w:ascii="Arial" w:hAnsi="Arial" w:cs="Arial"/>
          <w:sz w:val="24"/>
          <w:szCs w:val="24"/>
        </w:rPr>
        <w:lastRenderedPageBreak/>
        <w:t>page</w:t>
      </w:r>
      <w:r w:rsidR="0031126E" w:rsidRPr="00103A0B">
        <w:rPr>
          <w:rFonts w:ascii="Arial" w:hAnsi="Arial" w:cs="Arial"/>
          <w:sz w:val="24"/>
          <w:szCs w:val="24"/>
        </w:rPr>
        <w:t>s</w:t>
      </w:r>
      <w:r w:rsidRPr="00103A0B">
        <w:rPr>
          <w:rFonts w:ascii="Arial" w:hAnsi="Arial" w:cs="Arial"/>
          <w:sz w:val="24"/>
          <w:szCs w:val="24"/>
        </w:rPr>
        <w:t xml:space="preserve"> </w:t>
      </w:r>
      <w:r w:rsidR="00F5102D" w:rsidRPr="00103A0B">
        <w:rPr>
          <w:rFonts w:ascii="Arial" w:hAnsi="Arial" w:cs="Arial"/>
          <w:sz w:val="24"/>
          <w:szCs w:val="24"/>
        </w:rPr>
        <w:t>vi</w:t>
      </w:r>
      <w:r w:rsidR="0031126E" w:rsidRPr="00103A0B">
        <w:rPr>
          <w:rFonts w:ascii="Arial" w:hAnsi="Arial" w:cs="Arial"/>
          <w:sz w:val="24"/>
          <w:szCs w:val="24"/>
        </w:rPr>
        <w:t xml:space="preserve"> </w:t>
      </w:r>
      <w:r w:rsidR="00DB2EED" w:rsidRPr="00103A0B">
        <w:rPr>
          <w:rFonts w:ascii="Arial" w:hAnsi="Arial" w:cs="Arial"/>
          <w:sz w:val="24"/>
          <w:szCs w:val="24"/>
        </w:rPr>
        <w:t>–</w:t>
      </w:r>
      <w:r w:rsidR="0031126E" w:rsidRPr="00103A0B">
        <w:rPr>
          <w:rFonts w:ascii="Arial" w:hAnsi="Arial" w:cs="Arial"/>
          <w:sz w:val="24"/>
          <w:szCs w:val="24"/>
        </w:rPr>
        <w:t xml:space="preserve"> </w:t>
      </w:r>
      <w:r w:rsidR="00F5102D" w:rsidRPr="00103A0B">
        <w:rPr>
          <w:rFonts w:ascii="Arial" w:hAnsi="Arial" w:cs="Arial"/>
          <w:sz w:val="24"/>
          <w:szCs w:val="24"/>
        </w:rPr>
        <w:t>v</w:t>
      </w:r>
      <w:r w:rsidR="0031126E" w:rsidRPr="00103A0B">
        <w:rPr>
          <w:rFonts w:ascii="Arial" w:hAnsi="Arial" w:cs="Arial"/>
          <w:sz w:val="24"/>
          <w:szCs w:val="24"/>
        </w:rPr>
        <w:t>ii</w:t>
      </w:r>
      <w:r w:rsidR="00F5102D" w:rsidRPr="00103A0B">
        <w:rPr>
          <w:rFonts w:ascii="Arial" w:hAnsi="Arial" w:cs="Arial"/>
          <w:sz w:val="24"/>
          <w:szCs w:val="24"/>
        </w:rPr>
        <w:t>i</w:t>
      </w:r>
      <w:r w:rsidR="00DB2EED" w:rsidRPr="00103A0B">
        <w:rPr>
          <w:rFonts w:ascii="Arial" w:hAnsi="Arial" w:cs="Arial"/>
          <w:sz w:val="24"/>
          <w:szCs w:val="24"/>
        </w:rPr>
        <w:t xml:space="preserve"> </w:t>
      </w:r>
      <w:r w:rsidRPr="00103A0B">
        <w:rPr>
          <w:rFonts w:ascii="Arial" w:hAnsi="Arial" w:cs="Arial"/>
          <w:sz w:val="24"/>
          <w:szCs w:val="24"/>
        </w:rPr>
        <w:t xml:space="preserve">(List of Outputs) for details). The chapter is written in the form of the accepted article. </w:t>
      </w:r>
    </w:p>
    <w:p w14:paraId="48BE7D12" w14:textId="2CFD2040" w:rsidR="00A47AD5" w:rsidRPr="00103A0B" w:rsidRDefault="00A47AD5" w:rsidP="00CD5919">
      <w:pPr>
        <w:spacing w:line="360" w:lineRule="auto"/>
        <w:jc w:val="both"/>
        <w:rPr>
          <w:rFonts w:ascii="Arial" w:hAnsi="Arial" w:cs="Arial"/>
        </w:rPr>
        <w:sectPr w:rsidR="00A47AD5" w:rsidRPr="00103A0B" w:rsidSect="00CD5919">
          <w:footerReference w:type="default" r:id="rId15"/>
          <w:footerReference w:type="first" r:id="rId16"/>
          <w:pgSz w:w="11906" w:h="16838" w:code="9"/>
          <w:pgMar w:top="1440" w:right="1440" w:bottom="1440" w:left="1440" w:header="709" w:footer="709" w:gutter="0"/>
          <w:pgNumType w:start="1"/>
          <w:cols w:space="708"/>
          <w:titlePg/>
          <w:docGrid w:linePitch="360"/>
        </w:sectPr>
      </w:pPr>
    </w:p>
    <w:p w14:paraId="711536B5" w14:textId="6D66361A" w:rsidR="00022ED5" w:rsidRPr="00103A0B" w:rsidRDefault="00324C56" w:rsidP="002E7ECA">
      <w:pPr>
        <w:pStyle w:val="Heading1"/>
        <w:keepLines/>
        <w:numPr>
          <w:ilvl w:val="0"/>
          <w:numId w:val="0"/>
        </w:numPr>
        <w:rPr>
          <w:rFonts w:ascii="Arial" w:eastAsia="Times New Roman" w:hAnsi="Arial" w:cs="Arial"/>
          <w:lang w:eastAsia="en-GB"/>
        </w:rPr>
      </w:pPr>
      <w:bookmarkStart w:id="72" w:name="_Toc151548303"/>
      <w:r w:rsidRPr="00103A0B">
        <w:rPr>
          <w:rFonts w:ascii="Arial" w:eastAsia="Times New Roman" w:hAnsi="Arial" w:cs="Arial"/>
          <w:lang w:eastAsia="en-GB"/>
        </w:rPr>
        <w:lastRenderedPageBreak/>
        <w:t xml:space="preserve">Chapter 2: A </w:t>
      </w:r>
      <w:r w:rsidR="00F51EE6" w:rsidRPr="00103A0B">
        <w:rPr>
          <w:rFonts w:ascii="Arial" w:eastAsia="Times New Roman" w:hAnsi="Arial" w:cs="Arial"/>
          <w:lang w:eastAsia="en-GB"/>
        </w:rPr>
        <w:t>S</w:t>
      </w:r>
      <w:r w:rsidRPr="00103A0B">
        <w:rPr>
          <w:rFonts w:ascii="Arial" w:eastAsia="Times New Roman" w:hAnsi="Arial" w:cs="Arial"/>
          <w:lang w:eastAsia="en-GB"/>
        </w:rPr>
        <w:t xml:space="preserve">ystematic </w:t>
      </w:r>
      <w:r w:rsidR="00F51EE6" w:rsidRPr="00103A0B">
        <w:rPr>
          <w:rFonts w:ascii="Arial" w:eastAsia="Times New Roman" w:hAnsi="Arial" w:cs="Arial"/>
          <w:lang w:eastAsia="en-GB"/>
        </w:rPr>
        <w:t>R</w:t>
      </w:r>
      <w:r w:rsidRPr="00103A0B">
        <w:rPr>
          <w:rFonts w:ascii="Arial" w:eastAsia="Times New Roman" w:hAnsi="Arial" w:cs="Arial"/>
          <w:lang w:eastAsia="en-GB"/>
        </w:rPr>
        <w:t xml:space="preserve">eview of </w:t>
      </w:r>
      <w:r w:rsidR="00F51EE6" w:rsidRPr="00103A0B">
        <w:rPr>
          <w:rFonts w:ascii="Arial" w:eastAsia="Times New Roman" w:hAnsi="Arial" w:cs="Arial"/>
          <w:lang w:eastAsia="en-GB"/>
        </w:rPr>
        <w:t>R</w:t>
      </w:r>
      <w:r w:rsidRPr="00103A0B">
        <w:rPr>
          <w:rFonts w:ascii="Arial" w:eastAsia="Times New Roman" w:hAnsi="Arial" w:cs="Arial"/>
          <w:lang w:eastAsia="en-GB"/>
        </w:rPr>
        <w:t xml:space="preserve">ecruitment </w:t>
      </w:r>
      <w:r w:rsidR="00F51EE6" w:rsidRPr="00103A0B">
        <w:rPr>
          <w:rFonts w:ascii="Arial" w:eastAsia="Times New Roman" w:hAnsi="Arial" w:cs="Arial"/>
          <w:lang w:eastAsia="en-GB"/>
        </w:rPr>
        <w:t>S</w:t>
      </w:r>
      <w:r w:rsidRPr="00103A0B">
        <w:rPr>
          <w:rFonts w:ascii="Arial" w:eastAsia="Times New Roman" w:hAnsi="Arial" w:cs="Arial"/>
          <w:lang w:eastAsia="en-GB"/>
        </w:rPr>
        <w:t xml:space="preserve">trategies and </w:t>
      </w:r>
      <w:r w:rsidR="00F51EE6" w:rsidRPr="00103A0B">
        <w:rPr>
          <w:rFonts w:ascii="Arial" w:eastAsia="Times New Roman" w:hAnsi="Arial" w:cs="Arial"/>
          <w:lang w:eastAsia="en-GB"/>
        </w:rPr>
        <w:t>B</w:t>
      </w:r>
      <w:r w:rsidRPr="00103A0B">
        <w:rPr>
          <w:rFonts w:ascii="Arial" w:eastAsia="Times New Roman" w:hAnsi="Arial" w:cs="Arial"/>
          <w:lang w:eastAsia="en-GB"/>
        </w:rPr>
        <w:t xml:space="preserve">ehaviour </w:t>
      </w:r>
      <w:r w:rsidR="00F51EE6" w:rsidRPr="00103A0B">
        <w:rPr>
          <w:rFonts w:ascii="Arial" w:eastAsia="Times New Roman" w:hAnsi="Arial" w:cs="Arial"/>
          <w:lang w:eastAsia="en-GB"/>
        </w:rPr>
        <w:t>C</w:t>
      </w:r>
      <w:r w:rsidRPr="00103A0B">
        <w:rPr>
          <w:rFonts w:ascii="Arial" w:eastAsia="Times New Roman" w:hAnsi="Arial" w:cs="Arial"/>
          <w:lang w:eastAsia="en-GB"/>
        </w:rPr>
        <w:t xml:space="preserve">hange </w:t>
      </w:r>
      <w:r w:rsidR="00F51EE6" w:rsidRPr="00103A0B">
        <w:rPr>
          <w:rFonts w:ascii="Arial" w:eastAsia="Times New Roman" w:hAnsi="Arial" w:cs="Arial"/>
          <w:lang w:eastAsia="en-GB"/>
        </w:rPr>
        <w:t>T</w:t>
      </w:r>
      <w:r w:rsidRPr="00103A0B">
        <w:rPr>
          <w:rFonts w:ascii="Arial" w:eastAsia="Times New Roman" w:hAnsi="Arial" w:cs="Arial"/>
          <w:lang w:eastAsia="en-GB"/>
        </w:rPr>
        <w:t xml:space="preserve">echniques in </w:t>
      </w:r>
      <w:r w:rsidR="00F51EE6" w:rsidRPr="00103A0B">
        <w:rPr>
          <w:rFonts w:ascii="Arial" w:eastAsia="Times New Roman" w:hAnsi="Arial" w:cs="Arial"/>
          <w:lang w:eastAsia="en-GB"/>
        </w:rPr>
        <w:t>G</w:t>
      </w:r>
      <w:r w:rsidRPr="00103A0B">
        <w:rPr>
          <w:rFonts w:ascii="Arial" w:eastAsia="Times New Roman" w:hAnsi="Arial" w:cs="Arial"/>
          <w:lang w:eastAsia="en-GB"/>
        </w:rPr>
        <w:t>roup-</w:t>
      </w:r>
      <w:r w:rsidR="00F51EE6" w:rsidRPr="00103A0B">
        <w:rPr>
          <w:rFonts w:ascii="Arial" w:eastAsia="Times New Roman" w:hAnsi="Arial" w:cs="Arial"/>
          <w:lang w:eastAsia="en-GB"/>
        </w:rPr>
        <w:t>B</w:t>
      </w:r>
      <w:r w:rsidRPr="00103A0B">
        <w:rPr>
          <w:rFonts w:ascii="Arial" w:eastAsia="Times New Roman" w:hAnsi="Arial" w:cs="Arial"/>
          <w:lang w:eastAsia="en-GB"/>
        </w:rPr>
        <w:t xml:space="preserve">ased </w:t>
      </w:r>
      <w:r w:rsidR="00F51EE6" w:rsidRPr="00103A0B">
        <w:rPr>
          <w:rFonts w:ascii="Arial" w:eastAsia="Times New Roman" w:hAnsi="Arial" w:cs="Arial"/>
          <w:lang w:eastAsia="en-GB"/>
        </w:rPr>
        <w:t>D</w:t>
      </w:r>
      <w:r w:rsidRPr="00103A0B">
        <w:rPr>
          <w:rFonts w:ascii="Arial" w:eastAsia="Times New Roman" w:hAnsi="Arial" w:cs="Arial"/>
          <w:lang w:eastAsia="en-GB"/>
        </w:rPr>
        <w:t xml:space="preserve">iabetes </w:t>
      </w:r>
      <w:r w:rsidR="00F51EE6" w:rsidRPr="00103A0B">
        <w:rPr>
          <w:rFonts w:ascii="Arial" w:eastAsia="Times New Roman" w:hAnsi="Arial" w:cs="Arial"/>
          <w:lang w:eastAsia="en-GB"/>
        </w:rPr>
        <w:t>P</w:t>
      </w:r>
      <w:r w:rsidRPr="00103A0B">
        <w:rPr>
          <w:rFonts w:ascii="Arial" w:eastAsia="Times New Roman" w:hAnsi="Arial" w:cs="Arial"/>
          <w:lang w:eastAsia="en-GB"/>
        </w:rPr>
        <w:t xml:space="preserve">revention </w:t>
      </w:r>
      <w:r w:rsidR="00F51EE6" w:rsidRPr="00103A0B">
        <w:rPr>
          <w:rFonts w:ascii="Arial" w:eastAsia="Times New Roman" w:hAnsi="Arial" w:cs="Arial"/>
          <w:lang w:eastAsia="en-GB"/>
        </w:rPr>
        <w:t>P</w:t>
      </w:r>
      <w:r w:rsidRPr="00103A0B">
        <w:rPr>
          <w:rFonts w:ascii="Arial" w:eastAsia="Times New Roman" w:hAnsi="Arial" w:cs="Arial"/>
          <w:lang w:eastAsia="en-GB"/>
        </w:rPr>
        <w:t xml:space="preserve">rogrammes </w:t>
      </w:r>
      <w:r w:rsidR="00F51EE6" w:rsidRPr="00103A0B">
        <w:rPr>
          <w:rFonts w:ascii="Arial" w:eastAsia="Times New Roman" w:hAnsi="Arial" w:cs="Arial"/>
          <w:lang w:eastAsia="en-GB"/>
        </w:rPr>
        <w:t>F</w:t>
      </w:r>
      <w:r w:rsidRPr="00103A0B">
        <w:rPr>
          <w:rFonts w:ascii="Arial" w:eastAsia="Times New Roman" w:hAnsi="Arial" w:cs="Arial"/>
          <w:lang w:eastAsia="en-GB"/>
        </w:rPr>
        <w:t xml:space="preserve">ocusing on </w:t>
      </w:r>
      <w:r w:rsidR="00F51EE6" w:rsidRPr="00103A0B">
        <w:rPr>
          <w:rFonts w:ascii="Arial" w:eastAsia="Times New Roman" w:hAnsi="Arial" w:cs="Arial"/>
          <w:lang w:eastAsia="en-GB"/>
        </w:rPr>
        <w:t>U</w:t>
      </w:r>
      <w:r w:rsidRPr="00103A0B">
        <w:rPr>
          <w:rFonts w:ascii="Arial" w:eastAsia="Times New Roman" w:hAnsi="Arial" w:cs="Arial"/>
          <w:lang w:eastAsia="en-GB"/>
        </w:rPr>
        <w:t xml:space="preserve">ptake and </w:t>
      </w:r>
      <w:r w:rsidR="00F51EE6" w:rsidRPr="00103A0B">
        <w:rPr>
          <w:rFonts w:ascii="Arial" w:eastAsia="Times New Roman" w:hAnsi="Arial" w:cs="Arial"/>
          <w:lang w:eastAsia="en-GB"/>
        </w:rPr>
        <w:t>R</w:t>
      </w:r>
      <w:r w:rsidRPr="00103A0B">
        <w:rPr>
          <w:rFonts w:ascii="Arial" w:eastAsia="Times New Roman" w:hAnsi="Arial" w:cs="Arial"/>
          <w:lang w:eastAsia="en-GB"/>
        </w:rPr>
        <w:t>etention.</w:t>
      </w:r>
      <w:bookmarkEnd w:id="72"/>
      <w:r w:rsidRPr="00103A0B">
        <w:rPr>
          <w:rFonts w:ascii="Arial" w:eastAsia="Times New Roman" w:hAnsi="Arial" w:cs="Arial"/>
          <w:lang w:eastAsia="en-GB"/>
        </w:rPr>
        <w:t xml:space="preserve"> </w:t>
      </w:r>
      <w:bookmarkStart w:id="73" w:name="_Toc41404577"/>
    </w:p>
    <w:p w14:paraId="05366ADA" w14:textId="77777777" w:rsidR="00A47AD5" w:rsidRPr="00103A0B" w:rsidRDefault="00A47AD5" w:rsidP="00A47AD5">
      <w:pPr>
        <w:rPr>
          <w:lang w:eastAsia="en-GB" w:bidi="en-US"/>
        </w:rPr>
      </w:pPr>
    </w:p>
    <w:p w14:paraId="330AB97F" w14:textId="7B7759F2" w:rsidR="00324C56" w:rsidRPr="00103A0B" w:rsidRDefault="00022ED5" w:rsidP="005D0A3A">
      <w:pPr>
        <w:pStyle w:val="Heading3"/>
        <w:numPr>
          <w:ilvl w:val="0"/>
          <w:numId w:val="0"/>
        </w:numPr>
        <w:rPr>
          <w:rFonts w:ascii="Arial" w:eastAsia="Times New Roman" w:hAnsi="Arial" w:cs="Arial"/>
          <w:lang w:eastAsia="en-GB"/>
        </w:rPr>
      </w:pPr>
      <w:bookmarkStart w:id="74" w:name="_Toc151548304"/>
      <w:r w:rsidRPr="00103A0B">
        <w:rPr>
          <w:rFonts w:ascii="Arial" w:eastAsia="Times New Roman" w:hAnsi="Arial" w:cs="Arial"/>
          <w:lang w:eastAsia="en-GB"/>
        </w:rPr>
        <w:t xml:space="preserve">2.1 </w:t>
      </w:r>
      <w:r w:rsidR="00324C56" w:rsidRPr="00103A0B">
        <w:rPr>
          <w:rFonts w:ascii="Arial" w:hAnsi="Arial" w:cs="Arial"/>
        </w:rPr>
        <w:t>Introduction</w:t>
      </w:r>
      <w:bookmarkEnd w:id="73"/>
      <w:bookmarkEnd w:id="74"/>
      <w:r w:rsidR="00324C56" w:rsidRPr="00103A0B">
        <w:rPr>
          <w:rFonts w:ascii="Arial" w:hAnsi="Arial" w:cs="Arial"/>
        </w:rPr>
        <w:t xml:space="preserve"> </w:t>
      </w:r>
    </w:p>
    <w:p w14:paraId="3D7B054B" w14:textId="4A8A3AD2" w:rsidR="00324C56" w:rsidRPr="00103A0B" w:rsidRDefault="00324C56" w:rsidP="005D0A3A">
      <w:pPr>
        <w:spacing w:before="240" w:line="360" w:lineRule="auto"/>
        <w:jc w:val="both"/>
        <w:rPr>
          <w:rFonts w:ascii="Arial" w:hAnsi="Arial" w:cs="Arial"/>
          <w:sz w:val="24"/>
          <w:szCs w:val="24"/>
        </w:rPr>
      </w:pPr>
      <w:r w:rsidRPr="00103A0B">
        <w:rPr>
          <w:rFonts w:ascii="Arial" w:hAnsi="Arial" w:cs="Arial"/>
          <w:sz w:val="24"/>
          <w:szCs w:val="24"/>
        </w:rPr>
        <w:t xml:space="preserve">Type 2 Diabetes Mellitus (T2DM) prevention is a worldwide health care priority </w:t>
      </w:r>
      <w:r w:rsidRPr="00103A0B">
        <w:rPr>
          <w:rFonts w:ascii="Arial" w:hAnsi="Arial" w:cs="Arial"/>
        </w:rPr>
        <w:fldChar w:fldCharType="begin" w:fldLock="1"/>
      </w:r>
      <w:r w:rsidR="00445FC8" w:rsidRPr="00103A0B">
        <w:rPr>
          <w:rFonts w:ascii="Arial" w:hAnsi="Arial" w:cs="Arial"/>
          <w:sz w:val="24"/>
          <w:szCs w:val="24"/>
        </w:rPr>
        <w:instrText>ADDIN CSL_CITATION {"citationItems":[{"id":"ITEM-1","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Practice","id":"ITEM-1","issued":{"date-parts":[["2019"]]},"page":"107843","publisher":"Elsevier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edition","type":"article-journal","volume":"157"},"uris":["http://www.mendeley.com/documents/?uuid=d2427967-043a-4315-9977-8c46594ef56c"]}],"mendeley":{"formattedCitation":"(Saeedi et al., 2019)","plainTextFormattedCitation":"(Saeedi et al., 2019)","previouslyFormattedCitation":"(Saeedi et al., 2019)"},"properties":{"noteIndex":0},"schema":"https://github.com/citation-style-language/schema/raw/master/csl-citation.json"}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(Saeedi et al., 2019)</w:t>
      </w:r>
      <w:r w:rsidRPr="00103A0B">
        <w:rPr>
          <w:rFonts w:ascii="Arial" w:hAnsi="Arial" w:cs="Arial"/>
        </w:rPr>
        <w:fldChar w:fldCharType="end"/>
      </w:r>
      <w:r w:rsidRPr="00103A0B">
        <w:rPr>
          <w:rFonts w:ascii="Arial" w:hAnsi="Arial" w:cs="Arial"/>
          <w:sz w:val="24"/>
          <w:szCs w:val="24"/>
        </w:rPr>
        <w:t xml:space="preserve">, with levels of prediabetes predicted to rise from 374 million in 2019 to 548 million by 2045 </w:t>
      </w:r>
      <w:r w:rsidRPr="00103A0B">
        <w:rPr>
          <w:rFonts w:ascii="Arial" w:hAnsi="Arial" w:cs="Arial"/>
          <w:sz w:val="24"/>
          <w:szCs w:val="24"/>
        </w:rPr>
        <w:fldChar w:fldCharType="begin" w:fldLock="1"/>
      </w:r>
      <w:r w:rsidR="00445FC8" w:rsidRPr="00103A0B">
        <w:rPr>
          <w:rFonts w:ascii="Arial" w:hAnsi="Arial" w:cs="Arial"/>
          <w:sz w:val="24"/>
          <w:szCs w:val="24"/>
        </w:rPr>
        <w:instrText>ADDIN CSL_CITATION {"citationItems":[{"id":"ITEM-1","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Practice","id":"ITEM-1","issued":{"date-parts":[["2019"]]},"page":"107843","publisher":"Elsevier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edition","type":"article-journal","volume":"157"},"uris":["http://www.mendeley.com/documents/?uuid=d2427967-043a-4315-9977-8c46594ef56c"]}],"mendeley":{"formattedCitation":"(Saeedi et al., 2019)","plainTextFormattedCitation":"(Saeedi et al., 2019)","previouslyFormattedCitation":"(Saeedi et al., 2019)"},"properties":{"noteIndex":0},"schema":"https://github.com/citation-style-language/schema/raw/master/csl-citation.json"}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(Saeedi et al., 2019)</w:t>
      </w:r>
      <w:r w:rsidRPr="00103A0B">
        <w:rPr>
          <w:rFonts w:ascii="Arial" w:hAnsi="Arial" w:cs="Arial"/>
          <w:sz w:val="24"/>
          <w:szCs w:val="24"/>
        </w:rPr>
        <w:fldChar w:fldCharType="end"/>
      </w:r>
      <w:r w:rsidRPr="00103A0B">
        <w:rPr>
          <w:rFonts w:ascii="Arial" w:hAnsi="Arial" w:cs="Arial"/>
          <w:sz w:val="24"/>
          <w:szCs w:val="24"/>
        </w:rPr>
        <w:t>.</w:t>
      </w:r>
      <w:r w:rsidRPr="00103A0B">
        <w:rPr>
          <w:rFonts w:ascii="Arial" w:hAnsi="Arial" w:cs="Arial"/>
        </w:rPr>
        <w:t xml:space="preserve"> </w:t>
      </w:r>
      <w:r w:rsidRPr="00103A0B">
        <w:rPr>
          <w:rFonts w:ascii="Arial" w:hAnsi="Arial" w:cs="Arial"/>
          <w:sz w:val="24"/>
          <w:szCs w:val="24"/>
        </w:rPr>
        <w:t xml:space="preserve">This is increasingly important as levels of obesity and physical inactivity being major contributory factors towards the global diabetes burden, are escalating </w:t>
      </w:r>
      <w:r w:rsidRPr="00103A0B">
        <w:rPr>
          <w:rFonts w:ascii="Arial" w:hAnsi="Arial" w:cs="Arial"/>
        </w:rPr>
        <w:fldChar w:fldCharType="begin" w:fldLock="1"/>
      </w:r>
      <w:r w:rsidR="00AF410C" w:rsidRPr="00103A0B">
        <w:rPr>
          <w:rFonts w:ascii="Arial" w:hAnsi="Arial" w:cs="Arial"/>
          <w:sz w:val="24"/>
          <w:szCs w:val="24"/>
        </w:rPr>
        <w:instrText>ADDIN CSL_CITATION {"citationItems":[{"id":"ITEM-1","itemData":{"DOI":"https://doi.org/10.1016/S0140-6736(15)00128-2","ISSN":"0140-6736","abstract":"Summary Background The Global Burden of Disease, Injuries, and Risk Factor study 2013 (GBD 2013) is the first of a series of annual updates of the GBD. Risk factor quantification, particularly of modifiable risk factors, can help to identify emerging threats to population health and opportunities for prevention. The GBD 2013 provides a timely opportunity to update the comparative risk assessment with new data for exposure, relative risks, and evidence on the appropriate counterfactual risk distribution. Methods Attributable deaths, years of life lost, years lived with disability, and disability-adjusted life-years (DALYs) have been estimated for 79 risks or clusters of risks using the GBD 2010 methods. Risk–outcome pairs meeting explicit evidence criteria were assessed for 188 countries for the period 1990–2013 by age and sex using three inputs: risk exposure, relative risks, and the theoretical minimum risk exposure level (TMREL). Risks are organised into a hierarchy with blocks of behavioural, environmental and occupational, and metabolic risks at the first level of the hierarchy. The next level in the hierarchy includes nine clusters of related risks and two individual risks, with more detail provided at levels 3 and 4 of the hierarchy. Compared with GBD 2010, six new risk factors have been added: handwashing practices, occupational exposure to trichloroethylene, childhood wasting, childhood stunting, unsafe sex, and low glomerular filtration rate. For most risks, data for exposure were synthesised with a Bayesian meta-regression method, DisMod-MR 2.0, or spatial-temporal Gaussian process regression. Relative risks were based on meta-regressions of published cohort and intervention studies. Attributable burden for clusters of risks and all risks combined took into account evidence on the mediation of some risks such as high body-mass index (BMI) through other risks such as high systolic blood pressure and high cholesterol. Findings All risks combined account for 57·2% (95% uncertainty interval [UI] 55·8–58·5) of deaths and 41·6% (40·1–43·0) of DALYs. Risks quantified account for 87·9% (86·5–89·3) of cardiovascular disease DALYs, ranging to a low of 0% for neonatal disorders and neglected tropical diseases and malaria. In terms of global DALYs in 2013, six risks or clusters of risks each caused more than 5% of DALYs: dietary risks accounting for 11·3 million deaths and 241·4 million DALYs, high systolic blood pressure for 10·4 million deaths and 208·1…","author":[{"dropping-particle":"","family":"Forouzanfar","given":"Mohammad H","non-dropping-particle":"","parse-names":false,"suffix":""},{"dropping-particle":"","family":"Alexander","given":"Lily","non-dropping-particle":"","parse-names":false,"suffix":""},{"dropping-particle":"","family":"Anderson","given":"H Ross","non-dropping-particle":"","parse-names":false,"suffix":""},{"dropping-particle":"","family":"Bachman","given":"Victoria F","non-dropping-particle":"","parse-names":false,"suffix":""},{"dropping-particle":"","family":"Biryukov","given":"Stan","non-dropping-particle":"","parse-names":false,"suffix":""},{"dropping-particle":"","family":"Brauer","given":"Michael","non-dropping-particle":"","parse-names":false,"suffix":""},{"dropping-particle":"","family":"Burnett","given":"Richard","non-dropping-particle":"","parse-names":false,"suffix":""},{"dropping-particle":"","family":"Casey","given":"Daniel","non-dropping-particle":"","parse-names":false,"suffix":""},{"dropping-particle":"","family":"Coates","given":"Matthew M","non-dropping-particle":"","parse-names":false,"suffix":""},{"dropping-particle":"","family":"Cohen","given":"Aaron","non-dropping-particle":"","parse-names":false,"suffix":""},{"dropping-particle":"","family":"Delwiche","given":"Kristen","non-dropping-particle":"","parse-names":false,"suffix":""},{"dropping-particle":"","family":"Estep","given":"Kara","non-dropping-particle":"","parse-names":false,"suffix":""},{"dropping-particle":"","family":"Frostad","given":"Joseph J","non-dropping-particle":"","parse-names":false,"suffix":""},{"dropping-particle":"","family":"KC","given":"Astha","non-dropping-particle":"","parse-names":false,"suffix":""},{"dropping-particle":"","family":"Kyu","given":"Hmwe H","non-dropping-particle":"","parse-names":false,"suffix":""},{"dropping-particle":"","family":"Moradi-Lakeh","given":"Maziar","non-dropping-particle":"","parse-names":false,"suffix":""},{"dropping-particle":"","family":"Ng","given":"Marie","non-dropping-particle":"","parse-names":false,"suffix":""},{"dropping-particle":"","family":"Slepak","given":"Erica Leigh","non-dropping-particle":"","parse-names":false,"suffix":""},{"dropping-particle":"","family":"Thomas","given":"Bernadette A","non-dropping-particle":"","parse-names":false,"suffix":""},{"dropping-particle":"","family":"Wagner","given":"Joseph","non-dropping-particle":"","parse-names":false,"suffix":""},{"dropping-particle":"","family":"Aasvang","given":"Gunn Marit","non-dropping-particle":"","parse-names":false,"suffix":""},{"dropping-particle":"","family":"Abbafati","given":"Cristiana","non-dropping-particle":"","parse-names":false,"suffix":""},{"dropping-particle":"","family":"Ozgoren","given":"Ayse Abbasoglu","non-dropping-particle":"","parse-names":false,"suffix":""},{"dropping-particle":"","family":"Abd-Allah","given":"Foad","non-dropping-particle":"","parse-names":false,"suffix":""},{"dropping-particle":"","family":"Abera","given":"Semaw F","non-dropping-particle":"","parse-names":false,"suffix":""},{"dropping-particle":"","family":"Aboyans","given":"Victor","non-dropping-particle":"","parse-names":false,"suffix":""},{"dropping-particle":"","family":"Abraham","given":"Biju","non-dropping-particle":"","parse-names":false,"suffix":""},{"dropping-particle":"","family":"Abraham","given":"Jerry Puthenpurakal","non-dropping-particle":"","parse-names":false,"suffix":""},{"dropping-particle":"","family":"Abubakar","given":"Ibrahim","non-dropping-particle":"","parse-names":false,"suffix":""},{"dropping-particle":"","family":"Abu-Rmeileh","given":"Niveen M E","non-dropping-particle":"","parse-names":false,"suffix":""},{"dropping-particle":"","family":"Aburto","given":"Tania C","non-dropping-particle":"","parse-names":false,"suffix":""},{"dropping-particle":"","family":"Achoki","given":"Tom","non-dropping-particle":"","parse-names":false,"suffix":""},{"dropping-particle":"","family":"Adelekan","given":"Ademola","non-dropping-particle":"","parse-names":false,"suffix":""},{"dropping-particle":"","family":"Adofo","given":"Koranteng","non-dropping-particle":"","parse-names":false,"suffix":""},{"dropping-particle":"","family":"Adou","given":"Arsène K","non-dropping-particle":"","parse-names":false,"suffix":""},{"dropping-particle":"","family":"Adsuar","given":"José C","non-dropping-particle":"","parse-names":false,"suffix":""},{"dropping-particle":"","family":"Afshin","given":"Ashkan","non-dropping-particle":"","parse-names":false,"suffix":""},{"dropping-particle":"","family":"Agardh","given":"Emilie E","non-dropping-particle":"","parse-names":false,"suffix":""},{"dropping-particle":"","family":"Khabouri","given":"Mazin J","non-dropping-particle":"Al","parse-names":false,"suffix":""},{"dropping-particle":"","family":"Lami","given":"Faris H","non-dropping-particle":"Al","parse-names":false,"suffix":""},{"dropping-particle":"","family":"Alam","given":"Sayed Saidul","non-dropping-particle":"","parse-names":false,"suffix":""},{"dropping-particle":"","family":"Alasfoor","given":"Deena","non-dropping-particle":"","parse-names":false,"suffix":""},{"dropping-particle":"","family":"Albittar","given":"Mohammed I","non-dropping-particle":"","parse-names":false,"suffix":""},{"dropping-particle":"","family":"Alegretti","given":"Miguel A","non-dropping-particle":"","parse-names":false,"suffix":""},{"dropping-particle":"V","family":"Aleman","given":"Alicia","non-dropping-particle":"","parse-names":false,"suffix":""},{"dropping-particle":"","family":"Alemu","given":"Zewdie A","non-dropping-particle":"","parse-names":false,"suffix":""},{"dropping-particle":"","family":"Alfonso-Cristancho","given":"Rafael","non-dropping-particle":"","parse-names":false,"suffix":""},{"dropping-particle":"","family":"Alhabib","given":"Samia","non-dropping-particle":"","parse-names":false,"suffix":""},{"dropping-particle":"","family":"Ali","given":"Raghib","non-dropping-particle":"","parse-names":false,"suffix":""},{"dropping-particle":"","family":"Ali","given":"Mohammed K","non-dropping-particle":"","parse-names":false,"suffix":""},{"dropping-particle":"","family":"Alla","given":"François","non-dropping-particle":"","parse-names":false,"suffix":""},{"dropping-particle":"","family":"Allebeck","given":"Peter","non-dropping-particle":"","parse-names":false,"suffix":""},{"dropping-particle":"","family":"Allen","given":"Peter J","non-dropping-particle":"","parse-names":false,"suffix":""},{"dropping-particle":"","family":"Alsharif","given":"Ubai","non-dropping-particle":"","parse-names":false,"suffix":""},{"dropping-particle":"","family":"Alvarez","given":"Elena","non-dropping-particle":"","parse-names":false,"suffix":""},{"dropping-particle":"","family":"Alvis-Guzman","given":"Nelson","non-dropping-particle":"","parse-names":false,"suffix":""},{"dropping-particle":"","family":"Amankwaa","given":"Adansi A","non-dropping-particle":"","parse-names":false,"suffix":""},{"dropping-particle":"","family":"Amare","given":"Azmeraw T","non-dropping-particle":"","parse-names":false,"suffix":""},{"dropping-particle":"","family":"Ameh","given":"Emmanuel A","non-dropping-particle":"","parse-names":false,"suffix":""},{"dropping-particle":"","family":"Ameli","given":"Omid","non-dropping-particle":"","parse-names":false,"suffix":""},{"dropping-particle":"","family":"Amini","given":"Heresh","non-dropping-particle":"","parse-names":false,"suffix":""},{"dropping-particle":"","family":"Ammar","given":"Walid","non-dropping-particle":"","parse-names":false,"suffix":""},{"dropping-particle":"","family":"Anderson","given":"Benjamin O","non-dropping-particle":"","parse-names":false,"suffix":""},{"dropping-particle":"","family":"Antonio","given":"Carl Abelardo T","non-dropping-particle":"","parse-names":false,"suffix":""},{"dropping-particle":"","family":"Anwari","given":"Palwasha","non-dropping-particle":"","parse-names":false,"suffix":""},{"dropping-particle":"","family":"Cunningham","given":"Solveig Argeseanu","non-dropping-particle":"","parse-names":false,"suffix":""},{"dropping-particle":"","family":"Arnlöv","given":"Johan","non-dropping-particle":"","parse-names":false,"suffix":""},{"dropping-particle":"","family":"Arsenijevic","given":"Valentina S Arsic","non-dropping-particle":"","parse-names":false,"suffix":""},{"dropping-particle":"","family":"Artaman","given":"Al","non-dropping-particle":"","parse-names":false,"suffix":""},{"dropping-particle":"","family":"Asghar","given":"Rana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S","non-dropping-particle":"","parse-names":false,"suffix":""},{"dropping-particle":"","family":"Atkinson","given":"Charles","non-dropping-particle":"","parse-names":false,"suffix":""},{"dropping-particle":"","family":"Avila","given":"Marco A","non-dropping-particle":"","parse-names":false,"suffix":""},{"dropping-particle":"","family":"Awuah","given":"Baffour","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lu","given":"Ravi Kumar","non-dropping-particle":"","parse-names":false,"suffix":""},{"dropping-particle":"","family":"Banerjee","given":"Amitava","non-dropping-particle":"","parse-names":false,"suffix":""},{"dropping-particle":"","family":"Barber","given":"Ryan M","non-dropping-particle":"","parse-names":false,"suffix":""},{"dropping-particle":"","family":"Barker-Collo","given":"Suzanne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H","non-dropping-particle":"","parse-names":false,"suffix":""},{"dropping-particle":"","family":"Barrientos-Gutierrez","given":"Tonatiuh","non-dropping-particle":"","parse-names":false,"suffix":""},{"dropping-particle":"","family":"Basto-Abreu","given":"Ana C","non-dropping-particle":"","parse-names":false,"suffix":""},{"dropping-particle":"","family":"Basu","given":"Arindam","non-dropping-particle":"","parse-names":false,"suffix":""},{"dropping-particle":"","family":"Basu","given":"Sanjay","non-dropping-particle":"","parse-names":false,"suffix":""},{"dropping-particle":"","family":"Basulaiman","given":"Mohammed O","non-dropping-particle":"","parse-names":false,"suffix":""},{"dropping-particle":"","family":"Ruvalcaba","given":"Carolina Batis","non-dropping-particle":"","parse-names":false,"suffix":""},{"dropping-particle":"","family":"Beardsley","given":"Justin","non-dropping-particle":"","parse-names":false,"suffix":""},{"dropping-particle":"","family":"Bedi","given":"Neeraj","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zian","given":"Habib","non-dropping-particle":"","parse-names":false,"suffix":""},{"dropping-particle":"","family":"Bernabé","given":"Eduardo","non-dropping-particle":"","parse-names":false,"suffix":""},{"dropping-particle":"","family":"Beyene","given":"Tariku J","non-dropping-particle":"","parse-names":false,"suffix":""},{"dropping-particle":"","family":"Bhala","given":"Neeraj","non-dropping-particle":"","parse-names":false,"suffix":""},{"dropping-particle":"","family":"Bhalla","given":"Ashish","non-dropping-particle":"","parse-names":false,"suffix":""},{"dropping-particle":"","family":"Bhutta","given":"Zulfiqar A","non-dropping-particle":"","parse-names":false,"suffix":""},{"dropping-particle":"","family":"Bikbov","given":"Boris","non-dropping-particle":"","parse-names":false,"suffix":""},{"dropping-particle":"Bin","family":"Abdulhak","given":"Aref A","non-dropping-particle":"","parse-names":false,"suffix":""},{"dropping-particle":"","family":"Blore","given":"Jed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A","non-dropping-particle":"","parse-names":false,"suffix":""},{"dropping-particle":"","family":"Başara","given":"Berrak Bora","non-dropping-particle":"","parse-names":false,"suffix":""},{"dropping-particle":"","family":"Borges","given":"Guilherme","non-dropping-particle":"","parse-names":false,"suffix":""},{"dropping-particle":"","family":"Bornstein","given":"Natan M","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rainin","given":"Michael","non-dropping-particle":"","parse-names":false,"suffix":""},{"dropping-particle":"","family":"Brazinova","given":"Alexandra","non-dropping-particle":"","parse-names":false,"suffix":""},{"dropping-particle":"","family":"Breitborde","given":"Nicholas J","non-dropping-particle":"","parse-names":false,"suffix":""},{"dropping-particle":"","family":"Brenner","given":"Hermann","non-dropping-particle":"","parse-names":false,"suffix":""},{"dropping-particle":"","family":"Briggs","given":"Adam D M","non-dropping-particle":"","parse-names":false,"suffix":""},{"dropping-particle":"","family":"Broday","given":"David M","non-dropping-particle":"","parse-names":false,"suffix":""},{"dropping-particle":"","family":"Brooks","given":"Peter M","non-dropping-particle":"","parse-names":false,"suffix":""},{"dropping-particle":"","family":"Bruce","given":"Nigel G","non-dropping-particle":"","parse-names":false,"suffix":""},{"dropping-particle":"","family":"Brugha","given":"Traolach S","non-dropping-particle":"","parse-names":false,"suffix":""},{"dropping-particle":"","family":"Brunekreef","given":"Bert","non-dropping-particle":"","parse-names":false,"suffix":""},{"dropping-particle":"","family":"Buchbinder","given":"Rachelle","non-dropping-particle":"","parse-names":false,"suffix":""},{"dropping-particle":"","family":"Bui","given":"Linh N","non-dropping-particle":"","parse-names":false,"suffix":""},{"dropping-particle":"","family":"Bukhman","given":"Gene","non-dropping-particle":"","parse-names":false,"suffix":""},{"dropping-particle":"","family":"Bulloch","given":"Andrew G","non-dropping-particle":"","parse-names":false,"suffix":""},{"dropping-particle":"","family":"Burch","given":"Michael","non-dropping-particle":"","parse-names":false,"suffix":""},{"dropping-particle":"","family":"Burney","given":"Peter G J","non-dropping-particle":"","parse-names":false,"suffix":""},{"dropping-particle":"","family":"Campos-Nonato","given":"Ismael R","non-dropping-particle":"","parse-names":false,"suffix":""},{"dropping-particle":"","family":"Campuzano","given":"Julio C","non-dropping-particle":"","parse-names":false,"suffix":""},{"dropping-particle":"","family":"Cantoral","given":"Alejandra J","non-dropping-particle":"","parse-names":false,"suffix":""},{"dropping-particle":"","family":"Caravanos","given":"Jack","non-dropping-particle":"","parse-names":false,"suffix":""},{"dropping-particle":"","family":"Cárdenas","given":"Rosario","non-dropping-particle":"","parse-names":false,"suffix":""},{"dropping-particle":"","family":"Cardis","given":"Elisabeth","non-dropping-particle":"","parse-names":false,"suffix":""},{"dropping-particle":"","family":"Carpenter","given":"David O","non-dropping-particle":"","parse-names":false,"suffix":""},{"dropping-particle":"","family":"Caso","given":"Valeria","non-dropping-particle":"","parse-names":false,"suffix":""},{"dropping-particle":"","family":"Castañeda-Orjuela","given":"Carlos A","non-dropping-particle":"","parse-names":false,"suffix":""},{"dropping-particle":"","family":"Castro","given":"Ruben E","non-dropping-particle":"","parse-names":false,"suffix":""},{"dropping-particle":"","family":"Catalá-López","given":"Ferrán","non-dropping-particle":"","parse-names":false,"suffix":""},{"dropping-particle":"","family":"Cavalleri","given":"Fiorella","non-dropping-particle":"","parse-names":false,"suffix":""},{"dropping-particle":"","family":"Çavlin","given":"Alanur","non-dropping-particle":"","parse-names":false,"suffix":""},{"dropping-particle":"","family":"Chadha","given":"Vineet K","non-dropping-particle":"","parse-names":false,"suffix":""},{"dropping-particle":"","family":"Chang","given":"Jung-chen","non-dropping-particle":"","parse-names":false,"suffix":""},{"dropping-particle":"","family":"Charlson","given":"Fiona J","non-dropping-particle":"","parse-names":false,"suffix":""},{"dropping-particle":"","family":"Chen","given":"Honglei","non-dropping-particle":"","parse-names":false,"suffix":""},{"dropping-particle":"","family":"Chen","given":"Wanqing","non-dropping-particle":"","parse-names":false,"suffix":""},{"dropping-particle":"","family":"Chen","given":"Zhengming","non-dropping-particle":"","parse-names":false,"suffix":""},{"dropping-particle":"","family":"Chiang","given":"Peggy P","non-dropping-particle":"","parse-names":false,"suffix":""},{"dropping-particle":"","family":"Chimed-Ochir","given":"Odgerel","non-dropping-particle":"","parse-names":false,"suffix":""},{"dropping-particle":"","family":"Chowdhury","given":"Rajiv","non-dropping-particle":"","parse-names":false,"suffix":""},{"dropping-particle":"","family":"Christophi","given":"Costas A","non-dropping-particle":"","parse-names":false,"suffix":""},{"dropping-particle":"","family":"Chuang","given":"Ting-Wu","non-dropping-particle":"","parse-names":false,"suffix":""},{"dropping-particle":"","family":"Chugh","given":"Sumeet S","non-dropping-particle":"","parse-names":false,"suffix":""},{"dropping-particle":"","family":"Cirillo","given":"Massimo","non-dropping-particle":"","parse-names":false,"suffix":""},{"dropping-particle":"","family":"Claßen","given":"Thomas K D","non-dropping-particle":"","parse-names":false,"suffix":""},{"dropping-particle":"","family":"Colistro","given":"Valentina","non-dropping-particle":"","parse-names":false,"suffix":""},{"dropping-particle":"","family":"Colomar","given":"Mercedes","non-dropping-particle":"","parse-names":false,"suffix":""},{"dropping-particle":"","family":"Colquhoun","given":"Samantha M","non-dropping-particle":"","parse-names":false,"suffix":""},{"dropping-particle":"","family":"Contreras","given":"Alejandra G","non-dropping-particle":"","parse-names":false,"suffix":""},{"dropping-particle":"","family":"Cooper","given":"Cyrus","non-dropping-particle":"","parse-names":false,"suffix":""},{"dropping-particle":"","family":"Cooperrider","given":"Kimberly","non-dropping-particle":"","parse-names":false,"suffix":""},{"dropping-particle":"","family":"Cooper","given":"Leslie T","non-dropping-particle":"","parse-names":false,"suffix":""},{"dropping-particle":"","family":"Coresh","given":"Josef","non-dropping-particle":"","parse-names":false,"suffix":""},{"dropping-particle":"","family":"Courville","given":"Karen J","non-dropping-particle":"","parse-names":false,"suffix":""},{"dropping-particle":"","family":"Criqui","given":"Michael H","non-dropping-particle":"","parse-names":false,"suffix":""},{"dropping-particle":"","family":"Cuevas-Nasu","given":"Lucia","non-dropping-particle":"","parse-names":false,"suffix":""},{"dropping-particle":"","family":"Damsere-Derry","given":"James","non-dropping-particle":"","parse-names":false,"suffix":""},{"dropping-particle":"","family":"Danawi","given":"Hadi","non-dropping-particle":"","parse-names":false,"suffix":""},{"dropping-particle":"","family":"Dandona","given":"Lalit","non-dropping-particle":"","parse-names":false,"suffix":""},{"dropping-particle":"","family":"Dandona","given":"Rakhi","non-dropping-particle":"","parse-names":false,"suffix":""},{"dropping-particle":"","family":"Dargan","given":"Paul I","non-dropping-particle":"","parse-names":false,"suffix":""},{"dropping-particle":"","family":"Davis","given":"Adrian","non-dropping-particle":"","parse-names":false,"suffix":""},{"dropping-particle":"V","family":"Davitoiu","given":"Dragos","non-dropping-particle":"","parse-names":false,"suffix":""},{"dropping-particle":"","family":"Dayama","given":"Anand","non-dropping-particle":"","parse-names":false,"suffix":""},{"dropping-particle":"","family":"Castro","given":"E Filipa","non-dropping-particle":"de","parse-names":false,"suffix":""},{"dropping-particle":"","family":"la Cruz-Góngora","given":"Vanessa","non-dropping-particle":"De","parse-names":false,"suffix":""},{"dropping-particle":"","family":"Leo","given":"Diego","non-dropping-particle":"De","parse-names":false,"suffix":""},{"dropping-particle":"","family":"Lima","given":"Graça","non-dropping-particle":"de","parse-names":false,"suffix":""},{"dropping-particle":"","family":"Degenhardt","given":"Louisa","non-dropping-particl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Derrett","given":"Sarah","non-dropping-particle":"","parse-names":false,"suffix":""},{"dropping-particle":"Des","family":"Jarlais","given":"Don C","non-dropping-particle":"","parse-names":false,"suffix":""},{"dropping-particle":"","family":"Dessalegn","given":"Muluken","non-dropping-particle":"","parse-names":false,"suffix":""},{"dropping-particle":"","family":"DeVeber","given":"Gabrielle A","non-dropping-particle":"","parse-names":false,"suffix":""},{"dropping-particle":"","family":"Devries","given":"Karen M","non-dropping-particle":"","parse-names":false,"suffix":""},{"dropping-particle":"","family":"Dharmaratne","given":"Samath D","non-dropping-particle":"","parse-names":false,"suffix":""},{"dropping-particle":"","family":"Dherani","given":"Mukesh K","non-dropping-particle":"","parse-names":false,"suffix":""},{"dropping-particle":"","family":"Dicker","given":"Daniel","non-dropping-particle":"","parse-names":false,"suffix":""},{"dropping-particle":"","family":"Ding","given":"Eric L","non-dropping-particle":"","parse-names":false,"suffix":""},{"dropping-particle":"","family":"Dokova","given":"Klara","non-dropping-particle":"","parse-names":false,"suffix":""},{"dropping-particle":"","family":"Dorsey","given":"E Ray","non-dropping-particle":"","parse-names":false,"suffix":""},{"dropping-particle":"","family":"Driscoll","given":"Tim R","non-dropping-particle":"","parse-names":false,"suffix":""},{"dropping-particle":"","family":"Duan","given":"Leilei","non-dropping-particle":"","parse-names":false,"suffix":""},{"dropping-particle":"","family":"Durrani","given":"Adnan M","non-dropping-particle":"","parse-names":false,"suffix":""},{"dropping-particle":"","family":"Ebel","given":"Beth E","non-dropping-particle":"","parse-names":false,"suffix":""},{"dropping-particle":"","family":"Ellenbogen","given":"Richard G","non-dropping-particle":"","parse-names":false,"suffix":""},{"dropping-particle":"","family":"Elshrek","given":"Yousef M","non-dropping-particle":"","parse-names":false,"suffix":""},{"dropping-particle":"","family":"Endres","given":"Matthias","non-dropping-particle":"","parse-names":false,"suffix":""},{"dropping-particle":"","family":"Ermakov","given":"Sergey P","non-dropping-particle":"","parse-names":false,"suffix":""},{"dropping-particle":"","family":"Erskine","given":"Holly E","non-dropping-particle":"","parse-names":false,"suffix":""},{"dropping-particle":"","family":"Eshrati","given":"Babak","non-dropping-particle":"","parse-names":false,"suffix":""},{"dropping-particle":"","family":"Esteghamati","given":"Alireza","non-dropping-particle":"","parse-names":false,"suffix":""},{"dropping-particle":"","family":"Fahimi","given":"Saman","non-dropping-particle":"","parse-names":false,"suffix":""},{"dropping-particle":"","family":"Faraon","given":"Emerito Jose A","non-dropping-particle":"","parse-names":false,"suffix":""},{"dropping-particle":"","family":"Farzadfar","given":"Farshad","non-dropping-particle":"","parse-names":false,"suffix":""},{"dropping-particle":"","family":"Fay","given":"Derek F J","non-dropping-particle":"","parse-names":false,"suffix":""},{"dropping-particle":"","family":"Feigin","given":"Valery L","non-dropping-particle":"","parse-names":false,"suffix":""},{"dropping-particle":"","family":"Feigl","given":"Andrea B","non-dropping-particle":"","parse-names":false,"suffix":""},{"dropping-particle":"","family":"Fereshtehnejad","given":"Seyed-Mohammad","non-dropping-particle":"","parse-names":false,"suffix":""},{"dropping-particle":"","family":"Ferrari","given":"Alize J","non-dropping-particle":"","parse-names":false,"suffix":""},{"dropping-particle":"","family":"Ferri","given":"Cleusa P","non-dropping-particle":"","parse-names":false,"suffix":""},{"dropping-particle":"","family":"Flaxman","given":"Abraham D","non-dropping-particle":"","parse-names":false,"suffix":""},{"dropping-particle":"","family":"Fleming","given":"Thomas D","non-dropping-particle":"","parse-names":false,"suffix":""},{"dropping-particle":"","family":"Foigt","given":"Nataliya","non-dropping-particle":"","parse-names":false,"suffix":""},{"dropping-particle":"","family":"Foreman","given":"Kyle J","non-dropping-particle":"","parse-names":false,"suffix":""},{"dropping-particle":"","family":"Paleo","given":"Urbano Fra","non-dropping-particle":"","parse-names":false,"suffix":""},{"dropping-particle":"","family":"Franklin","given":"Richard C","non-dropping-particle":"","parse-names":false,"suffix":""},{"dropping-particle":"","family":"Gabbe","given":"Belinda","non-dropping-particle":"","parse-names":false,"suffix":""},{"dropping-particle":"","family":"Gaffikin","given":"Lynne","non-dropping-particle":"","parse-names":false,"suffix":""},{"dropping-particle":"","family":"Gakidou","given":"Emmanuela","non-dropping-particle":"","parse-names":false,"suffix":""},{"dropping-particle":"","family":"Gamkrelidze","given":"Amiran","non-dropping-particle":"","parse-names":false,"suffix":""},{"dropping-particle":"","family":"Gankpé","given":"Fortuné G","non-dropping-particle":"","parse-names":false,"suffix":""},{"dropping-particle":"","family":"Gansevoort","given":"Ron T","non-dropping-particle":"","parse-names":false,"suffix":""},{"dropping-particle":"","family":"García-Guerra","given":"Francisco A","non-dropping-particle":"","parse-names":false,"suffix":""},{"dropping-particle":"","family":"Gasana","given":"Evariste","non-dropping-particle":"","parse-names":false,"suffix":""},{"dropping-particle":"","family":"Geleijnse","given":"Johanna M","non-dropping-particle":"","parse-names":false,"suffix":""},{"dropping-particle":"","family":"Gessner","given":"Bradford D","non-dropping-particle":"","parse-names":false,"suffix":""},{"dropping-particle":"","family":"Gething","given":"Pete","non-dropping-particle":"","parse-names":false,"suffix":""},{"dropping-particle":"","family":"Gibney","given":"Katherine B","non-dropping-particle":"","parse-names":false,"suffix":""},{"dropping-particle":"","family":"Gillum","given":"Richard F","non-dropping-particle":"","parse-names":false,"suffix":""},{"dropping-particle":"","family":"Ginawi","given":"Ibrahim A M","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ginashvili","given":"Ketevan","non-dropping-particle":"","parse-names":false,"suffix":""},{"dropping-particle":"","family":"Dantes","given":"Hector Gomez","non-dropping-particle":"","parse-names":false,"suffix":""},{"dropping-particle":"","family":"Gona","given":"Philimon","non-dropping-particle":"","parse-names":false,"suffix":""},{"dropping-particle":"","family":"Cosio","given":"Teresita Gonzalez","non-dropping-particle":"de","parse-names":false,"suffix":""},{"dropping-particle":"","family":"González-Castell","given":"Dinorah","non-dropping-particle":"","parse-names":false,"suffix":""},{"dropping-particle":"","family":"Gotay","given":"Carolyn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N","non-dropping-particle":"","parse-names":false,"suffix":""},{"dropping-particle":"","family":"Guerrant","given":"Richard L","non-dropping-particle":"","parse-names":false,"suffix":""},{"dropping-particle":"","family":"Gugnani","given":"Harish C","non-dropping-particle":"","parse-names":false,"suffix":""},{"dropping-particle":"","family":"Guillemin","given":"Francis","non-dropping-particle":"","parse-names":false,"suffix":""},{"dropping-particle":"","family":"Gunnell","given":"David","non-dropping-particle":"","parse-names":false,"suffix":""},{"dropping-particle":"","family":"Gupta","given":"Rahul","non-dropping-particle":"","parse-names":false,"suffix":""},{"dropping-particle":"","family":"Gupta","given":"Rajeev","non-dropping-particle":"","parse-names":false,"suffix":""},{"dropping-particle":"","family":"Gutiérrez","given":"Reyna A","non-dropping-particle":"","parse-names":false,"suffix":""},{"dropping-particle":"","family":"Hafezi-Nejad","given":"Nima","non-dropping-particle":"","parse-names":false,"suffix":""},{"dropping-particle":"","family":"Hagan","given":"Holly","non-dropping-particle":"","parse-names":false,"suffix":""},{"dropping-particle":"","family":"Hagstromer","given":"Maria","non-dropping-particle":"","parse-names":false,"suffix":""},{"dropping-particle":"","family":"Halasa","given":"Yara A","non-dropping-particle":"","parse-names":false,"suffix":""},{"dropping-particle":"","family":"Hamadeh","given":"Randah R","non-dropping-particle":"","parse-names":false,"suffix":""},{"dropping-particle":"","family":"Hammami","given":"Mouhanad","non-dropping-particle":"","parse-names":false,"suffix":""},{"dropping-particle":"","family":"Hankey","given":"Graeme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L","non-dropping-particle":"","parse-names":false,"suffix":""},{"dropping-particle":"","family":"Haregu","given":"Tilahun Nigatu","non-dropping-particle":"","parse-names":false,"suffix":""},{"dropping-particle":"","family":"Haro","given":"Josep Maria","non-dropping-particle":"","parse-names":false,"suffix":""},{"dropping-particle":"","family":"Havmoeller","given":"Rasmus","non-dropping-particle":"","parse-names":false,"suffix":""},{"dropping-particle":"","family":"Hay","given":"Simon I","non-dropping-particle":"","parse-names":false,"suffix":""},{"dropping-particle":"","family":"Hedayati","given":"Mohammad T","non-dropping-particle":"","parse-names":false,"suffix":""},{"dropping-particle":"","family":"Heredia-Pi","given":"Ileana B","non-dropping-particle":"","parse-names":false,"suffix":""},{"dropping-particle":"","family":"Hernandez","given":"Lucia","non-dropping-particle":"","parse-names":false,"suffix":""},{"dropping-particle":"","family":"Heuton","given":"Kyle R","non-dropping-particle":"","parse-names":false,"suffix":""},{"dropping-particle":"","family":"Heydarpour","given":"Pouria","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Dean","non-dropping-particle":"","parse-names":false,"suffix":""},{"dropping-particle":"","family":"Hoy","given":"Damian G","non-dropping-particle":"","parse-names":false,"suffix":""},{"dropping-particle":"","family":"Hsairi","given":"Mohamed","non-dropping-particle":"","parse-names":false,"suffix":""},{"dropping-particle":"","family":"Hu","given":"Guoqing","non-dropping-particle":"","parse-names":false,"suffix":""},{"dropping-particle":"","family":"Hu","given":"Howard","non-dropping-particle":"","parse-names":false,"suffix":""},{"dropping-particle":"","family":"Huang","given":"Cheng","non-dropping-particle":"","parse-names":false,"suffix":""},{"dropping-particle":"","family":"Huang","given":"John J","non-dropping-particle":"","parse-names":false,"suffix":""},{"dropping-particle":"","family":"Hubbell","given":"Bryan J","non-dropping-particle":"","parse-names":false,"suffix":""},{"dropping-particle":"","family":"Huiart","given":"Laetitia","non-dropping-particle":"","parse-names":false,"suffix":""},{"dropping-particle":"","family":"Husseini","given":"Abdullatif","non-dropping-particle":"","parse-names":false,"suffix":""},{"dropping-particle":"","family":"Iannarone","given":"Marissa L","non-dropping-particle":"","parse-names":false,"suffix":""},{"dropping-particle":"","family":"Iburg","given":"Kim M","non-dropping-particle":"","parse-names":false,"suffix":""},{"dropping-particle":"","family":"Idrisov","given":"Bulat T","non-dropping-particle":"","parse-names":false,"suffix":""},{"dropping-particle":"","family":"Ikeda","given":"Nayu","non-dropping-particle":"","parse-names":false,"suffix":""},{"dropping-particle":"","family":"Innos","given":"Kaire","non-dropping-particle":"","parse-names":false,"suffix":""},{"dropping-particle":"","family":"Inoue","given":"Manami","non-dropping-particle":"","parse-names":false,"suffix":""},{"dropping-particle":"","family":"Islami","given":"Farhad","non-dropping-particle":"","parse-names":false,"suffix":""},{"dropping-particle":"","family":"Ismayilova","given":"Samaya","non-dropping-particle":"","parse-names":false,"suffix":""},{"dropping-particle":"","family":"Jacobsen","given":"Kathryn H","non-dropping-particle":"","parse-names":false,"suffix":""},{"dropping-particle":"","family":"Jansen","given":"Henrica A","non-dropping-particle":"","parse-names":false,"suffix":""},{"dropping-particle":"","family":"Jarvis","given":"Deborah L","non-dropping-particle":"","parse-names":false,"suffix":""},{"dropping-particle":"","family":"Jassal","given":"Simerjot K","non-dropping-particle":"","parse-names":false,"suffix":""},{"dropping-particle":"","family":"Jauregui","given":"Alejandra","non-dropping-particle":"","parse-names":false,"suffix":""},{"dropping-particle":"","family":"Jayaraman","given":"Sudha","non-dropping-particle":"","parse-names":false,"suffix":""},{"dropping-particle":"","family":"Jeemon","given":"Panniyammakal","non-dropping-particle":"","parse-names":false,"suffix":""},{"dropping-particle":"","family":"Jensen","given":"Paul N","non-dropping-particle":"","parse-names":false,"suffix":""},{"dropping-particle":"","family":"Jha","given":"Vivekanand","non-dropping-particle":"","parse-names":false,"suffix":""},{"dropping-particle":"","family":"Jiang","given":"Fan","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uel","given":"Knud","non-dropping-particle":"","parse-names":false,"suffix":""},{"dropping-particle":"","family":"Kan","given":"Haidong","non-dropping-particle":"","parse-names":false,"suffix":""},{"dropping-particle":"","family":"Roseline","given":"Sidibe S Kany","non-dropping-particle":"","parse-names":false,"suffix":""},{"dropping-particle":"","family":"Karam","given":"Nadim E","non-dropping-particle":"","parse-names":false,"suffix":""},{"dropping-particle":"","family":"Karch","given":"André","non-dropping-particle":"","parse-names":false,"suffix":""},{"dropping-particle":"","family":"Karema","given":"Corine K","non-dropping-particle":"","parse-names":false,"suffix":""},{"dropping-particle":"","family":"Karthikeyan","given":"Ganesan","non-dropping-particle":"","parse-names":false,"suffix":""},{"dropping-particle":"","family":"Kaul","given":"Anil","non-dropping-particle":"","parse-names":false,"suffix":""},{"dropping-particle":"","family":"Kawakami","given":"Norito","non-dropping-particle":"","parse-names":false,"suffix":""},{"dropping-particle":"","family":"Kazi","given":"Dhruv S","non-dropping-particle":"","parse-names":false,"suffix":""},{"dropping-particle":"","family":"Kemp","given":"Andrew H","non-dropping-particle":"","parse-names":false,"suffix":""},{"dropping-particle":"","family":"Kengne","given":"Andre P","non-dropping-particle":"","parse-names":false,"suffix":""},{"dropping-particle":"","family":"Keren","given":"Andre","non-dropping-particle":"","parse-names":false,"suffix":""},{"dropping-particle":"","family":"Khader","given":"Yousef S","non-dropping-particle":"","parse-names":false,"suffix":""},{"dropping-particle":"","family":"Khalifa","given":"Shams Eldin Ali Hassan","non-dropping-particle":"","parse-names":false,"suffix":""},{"dropping-particle":"","family":"Khan","given":"Ejaz A","non-dropping-particle":"","parse-names":false,"suffix":""},{"dropping-particle":"","family":"Khang","given":"Young-Ho","non-dropping-particle":"","parse-names":false,"suffix":""},{"dropping-particle":"","family":"Khatibzadeh","given":"Shahab","non-dropping-particle":"","parse-names":false,"suffix":""},{"dropping-particle":"","family":"Khonelidze","given":"Irma","non-dropping-particle":"","parse-names":false,"suffix":""},{"dropping-particle":"","family":"Kieling","given":"Christian","non-dropping-particle":"","parse-names":false,"suffix":""},{"dropping-particle":"","family":"Kim","given":"Daniel","non-dropping-particle":"","parse-names":false,"suffix":""},{"dropping-particle":"","family":"Kim","given":"Sungroul","non-dropping-particle":"","parse-names":false,"suffix":""},{"dropping-particle":"","family":"Kim","given":"Yunjin","non-dropping-particle":"","parse-names":false,"suffix":""},{"dropping-particle":"","family":"Kimokoti","given":"Ruth W","non-dropping-particle":"","parse-names":false,"suffix":""},{"dropping-particle":"","family":"Kinfu","given":"Yohannes","non-dropping-particle":"","parse-names":false,"suffix":""},{"dropping-particle":"","family":"Kinge","given":"Jonas M","non-dropping-particle":"","parse-names":false,"suffix":""},{"dropping-particle":"","family":"Kissela","given":"Brett M","non-dropping-particle":"","parse-names":false,"suffix":""},{"dropping-particle":"","family":"Kivipelto","given":"Miia","non-dropping-particle":"","parse-names":false,"suffix":""},{"dropping-particle":"","family":"Knibbs","given":"Luke D","non-dropping-particle":"","parse-names":false,"suffix":""},{"dropping-particle":"","family":"Knudsen","given":"Ann Kristin","non-dropping-particle":"","parse-names":false,"suffix":""},{"dropping-particle":"","family":"Kokubo","given":"Yoshihiro","non-dropping-particle":"","parse-names":false,"suffix":""},{"dropping-particle":"","family":"Kose","given":"M Rifat","non-dropping-particle":"","parse-names":false,"suffix":""},{"dropping-particle":"","family":"Kosen","given":"Soewarta","non-dropping-particle":"","parse-names":false,"suffix":""},{"dropping-particle":"","family":"Kraemer","given":"Alexander","non-dropping-particle":"","parse-names":false,"suffix":""},{"dropping-particle":"","family":"Kravchenko","given":"Michael","non-dropping-particle":"","parse-names":false,"suffix":""},{"dropping-particle":"","family":"Krishnaswami","given":"Sanjay","non-dropping-particle":"","parse-names":false,"suffix":""},{"dropping-particle":"","family":"Kromhout","given":"Hans","non-dropping-particle":"","parse-names":false,"suffix":""},{"dropping-particle":"","family":"Ku","given":"Tiffany","non-dropping-particle":"","parse-names":false,"suffix":""},{"dropping-particle":"","family":"Defo","given":"Barthelemy Kuate","non-dropping-particle":"","parse-names":false,"suffix":""},{"dropping-particle":"","family":"Bicer","given":"Burcu Kucuk","non-dropping-particle":"","parse-names":false,"suffix":""},{"dropping-particle":"","family":"Kuipers","given":"Ernst J","non-dropping-particle":"","parse-names":false,"suffix":""},{"dropping-particle":"","family":"Kulkarni","given":"Chanda","non-dropping-particle":"","parse-names":false,"suffix":""},{"dropping-particle":"","family":"Kulkarni","given":"Veena S","non-dropping-particle":"","parse-names":false,"suffix":""},{"dropping-particle":"","family":"Kumar","given":"G Anil","non-dropping-particle":"","parse-names":false,"suffix":""},{"dropping-particle":"","family":"Kwan","given":"Gene F","non-dropping-particle":"","parse-names":false,"suffix":""},{"dropping-particle":"","family":"Lai","given":"Taavi","non-dropping-particle":"","parse-names":false,"suffix":""},{"dropping-particle":"","family":"Balaji","given":"Arjun Lakshmana","non-dropping-particle":"","parse-names":false,"suffix":""},{"dropping-particle":"","family":"Lalloo","given":"Ratilal","non-dropping-particle":"","parse-names":false,"suffix":""},{"dropping-particle":"","family":"Lallukka","given":"Tea","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 J","non-dropping-particle":"","parse-names":false,"suffix":""},{"dropping-particle":"","family":"Larsson","given":"Anders","non-dropping-particle":"","parse-names":false,"suffix":""},{"dropping-particle":"","family":"Laryea","given":"Dennis O","non-dropping-particle":"","parse-names":false,"suffix":""},{"dropping-particle":"","family":"Lavados","given":"Pablo M","non-dropping-particle":"","parse-names":false,"suffix":""},{"dropping-particle":"","family":"Lawrynowicz","given":"Alicia E","non-dropping-particle":"","parse-names":false,"suffix":""},{"dropping-particle":"","family":"Leasher","given":"Janet L","non-dropping-particle":"","parse-names":false,"suffix":""},{"dropping-particle":"","family":"Lee","given":"Jong-Tae","non-dropping-particle":"","parse-names":false,"suffix":""},{"dropping-particle":"","family":"Leigh","given":"James","non-dropping-particle":"","parse-names":false,"suffix":""},{"dropping-particle":"","family":"Leung","given":"Ricky","non-dropping-particle":"","parse-names":false,"suffix":""},{"dropping-particle":"","family":"Levi","given":"Miriam","non-dropping-particle":"","parse-names":false,"suffix":""},{"dropping-particle":"","family":"Li","given":"Yichong","non-dropping-particle":"","parse-names":false,"suffix":""},{"dropping-particle":"","family":"Li","given":"Yongmei","non-dropping-particle":"","parse-names":false,"suffix":""},{"dropping-particle":"","family":"Liang","given":"Juan","non-dropping-particle":"","parse-names":false,"suffix":""},{"dropping-particle":"","family":"Liang","given":"Xiaofeng","non-dropping-particle":"","parse-names":false,"suffix":""},{"dropping-particle":"","family":"Lim","given":"Stephen S","non-dropping-particle":"","parse-names":false,"suffix":""},{"dropping-particle":"","family":"Lindsay","given":"M Patrice","non-dropping-particle":"","parse-names":false,"suffix":""},{"dropping-particle":"","family":"Lipshultz","given":"Steven E","non-dropping-particle":"","parse-names":false,"suffix":""},{"dropping-particle":"","family":"Liu","given":"Shiwei","non-dropping-particle":"","parse-names":false,"suffix":""},{"dropping-particle":"","family":"Liu","given":"Yang","non-dropping-particle":"","parse-names":false,"suffix":""},{"dropping-particle":"","family":"Lloyd","given":"Belinda K","non-dropping-particle":"","parse-names":false,"suffix":""},{"dropping-particle":"","family":"Logroscino","given":"Giancarlo","non-dropping-particle":"","parse-names":false,"suffix":""},{"dropping-particle":"","family":"London","given":"Stephanie J","non-dropping-particle":"","parse-names":false,"suffix":""},{"dropping-particle":"","family":"Lopez","given":"Nancy","non-dropping-particle":"","parse-names":false,"suffix":""},{"dropping-particle":"","family":"Lortet-Tieulent","given":"Joannie","non-dropping-particle":"","parse-names":false,"suffix":""},{"dropping-particle":"","family":"Lotufo","given":"Paulo A","non-dropping-particle":"","parse-names":false,"suffix":""},{"dropping-particle":"","family":"Lozano","given":"Rafael","non-dropping-particle":"","parse-names":false,"suffix":""},{"dropping-particle":"","family":"Lunevicius","given":"Raimundas","non-dropping-particle":"","parse-names":false,"suffix":""},{"dropping-particle":"","family":"Ma","given":"Jixiang","non-dropping-particle":"","parse-names":false,"suffix":""},{"dropping-particle":"","family":"Ma","given":"Stefan","non-dropping-particle":"","parse-names":false,"suffix":""},{"dropping-particle":"","family":"Machado","given":"Vasco M P","non-dropping-particle":"","parse-names":false,"suffix":""},{"dropping-particle":"","family":"MacIntyre","given":"Michael F","non-dropping-particle":"","parse-names":false,"suffix":""},{"dropping-particle":"","family":"Magis-Rodriguez","given":"Carlos","non-dropping-particle":"","parse-names":false,"suffix":""},{"dropping-particle":"","family":"Mahdi","given":"Abbas A","non-dropping-particle":"","parse-names":false,"suffix":""},{"dropping-particle":"","family":"Majdan","given":"Marek","non-dropping-particle":"","parse-names":false,"suffix":""},{"dropping-particle":"","family":"Malekzadeh","given":"Reza","non-dropping-particle":"","parse-names":false,"suffix":""},{"dropping-particle":"","family":"Mangalam","given":"Srikanth","non-dropping-particle":"","parse-names":false,"suffix":""},{"dropping-particle":"","family":"Mapoma","given":"Christopher C","non-dropping-particle":"","parse-names":false,"suffix":""},{"dropping-particle":"","family":"Marape","given":"Marape","non-dropping-particle":"","parse-names":false,"suffix":""},{"dropping-particle":"","family":"Marcenes","given":"Wagner","non-dropping-particle":"","parse-names":false,"suffix":""},{"dropping-particle":"","family":"Margolis","given":"David J","non-dropping-particle":"","parse-names":false,"suffix":""},{"dropping-particle":"","family":"Margono","given":"Christopher","non-dropping-particle":"","parse-names":false,"suffix":""},{"dropping-particle":"","family":"Marks","given":"Guy B","non-dropping-particle":"","parse-names":false,"suffix":""},{"dropping-particle":"V","family":"Martin","given":"Randall","non-dropping-particle":"","parse-names":false,"suffix":""},{"dropping-particle":"","family":"Marzan","given":"Melvin B","non-dropping-particle":"","parse-names":false,"suffix":""},{"dropping-particle":"","family":"Mashal","given":"Mohammad T","non-dropping-particle":"","parse-names":false,"suffix":""},{"dropping-particle":"","family":"Masiye","given":"Felix","non-dropping-particle":"","parse-names":false,"suffix":""},{"dropping-particle":"","family":"Mason-Jones","given":"Amanda J","non-dropping-particle":"","parse-names":false,"suffix":""},{"dropping-particle":"","family":"Matsushita","given":"Kunihiro","non-dropping-particle":"","parse-names":false,"suffix":""},{"dropping-particle":"","family":"Matzopoulos","given":"Richard","non-dropping-particle":"","parse-names":false,"suffix":""},{"dropping-particle":"","family":"Mayosi","given":"Bongani M","non-dropping-particle":"","parse-names":false,"suffix":""},{"dropping-particle":"","family":"Mazorodze","given":"Tasara T","non-dropping-particle":"","parse-names":false,"suffix":""},{"dropping-particle":"","family":"McKay","given":"Abigail C","non-dropping-particle":"","parse-names":false,"suffix":""},{"dropping-particle":"","family":"McKee","given":"Martin","non-dropping-particle":"","parse-names":false,"suffix":""},{"dropping-particle":"","family":"McLain","given":"Abigail","non-dropping-particle":"","parse-names":false,"suffix":""},{"dropping-particle":"","family":"Meaney","given":"Peter A","non-dropping-particle":"","parse-names":false,"suffix":""},{"dropping-particle":"","family":"Medina","given":"Catalina","non-dropping-particle":"","parse-names":false,"suffix":""},{"dropping-particle":"","family":"Mehndiratta","given":"Man Mohan","non-dropping-particle":"","parse-names":false,"suffix":""},{"dropping-particle":"","family":"Mejia-Rodriguez","given":"Fabiola","non-dropping-particle":"","parse-names":false,"suffix":""},{"dropping-particle":"","family":"Mekonnen","given":"Wubegzier","non-dropping-particle":"","parse-names":false,"suffix":""},{"dropping-particle":"","family":"Melaku","given":"Yohannes A","non-dropping-particle":"","parse-names":false,"suffix":""},{"dropping-particle":"","family":"Meltzer","given":"Michele","non-dropping-particle":"","parse-names":false,"suffix":""},{"dropping-particle":"","family":"Memish","given":"Ziad A","non-dropping-particle":"","parse-names":false,"suffix":""},{"dropping-particle":"","family":"Mendoza","given":"Walter","non-dropping-particle":"","parse-names":false,"suffix":""},{"dropping-particle":"","family":"Mensah","given":"George A","non-dropping-particle":"","parse-names":false,"suffix":""},{"dropping-particle":"","family":"Meretoja","given":"Atte","non-dropping-particle":"","parse-names":false,"suffix":""},{"dropping-particle":"","family":"Mhimbira","given":"Francis Apolinary","non-dropping-particle":"","parse-names":false,"suffix":""},{"dropping-particle":"","family":"Micha","given":"Renata","non-dropping-particle":"","parse-names":false,"suffix":""},{"dropping-particle":"","family":"Miller","given":"Ted R","non-dropping-particle":"","parse-names":false,"suffix":""},{"dropping-particle":"","family":"Mills","given":"Edward J","non-dropping-particle":"","parse-names":false,"suffix":""},{"dropping-particle":"","family":"Misganaw","given":"Awoke","non-dropping-particle":"","parse-names":false,"suffix":""},{"dropping-particle":"","family":"Mishra","given":"Santosh","non-dropping-particle":"","parse-names":false,"suffix":""},{"dropping-particle":"","family":"Ibrahim","given":"Norlinah Mohamed","non-dropping-particle":"","parse-names":false,"suffix":""},{"dropping-particle":"","family":"Mohammad","given":"Karzan A","non-dropping-particle":"","parse-names":false,"suffix":""},{"dropping-particle":"","family":"Mokdad","given":"Ali H","non-dropping-particle":"","parse-names":false,"suffix":""},{"dropping-particle":"","family":"Mola","given":"Glen L","non-dropping-particle":"","parse-names":false,"suffix":""},{"dropping-particle":"","family":"Monasta","given":"Lorenzo","non-dropping-particle":"","parse-names":false,"suffix":""},{"dropping-particle":"","family":"Hernandez","given":"Julio C Montañez","non-dropping-particle":"","parse-names":false,"suffix":""},{"dropping-particle":"","family":"Montico","given":"Marcella","non-dropping-particle":"","parse-names":false,"suffix":""},{"dropping-particle":"","family":"Moore","given":"Ami R","non-dropping-particle":"","parse-names":false,"suffix":""},{"dropping-particle":"","family":"Morawska","given":"Lidia","non-dropping-particle":"","parse-names":false,"suffix":""},{"dropping-particle":"","family":"Mori","given":"Rintaro","non-dropping-particle":"","parse-names":false,"suffix":""},{"dropping-particle":"","family":"Moschandreas","given":"Joanna","non-dropping-particle":"","parse-names":false,"suffix":""},{"dropping-particle":"","family":"Moturi","given":"Wilkister N","non-dropping-particle":"","parse-names":false,"suffix":""},{"dropping-particle":"","family":"Mozaffarian","given":"Dariush","non-dropping-particle":"","parse-names":false,"suffix":""},{"dropping-particle":"","family":"Mueller","given":"Ulrich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O","non-dropping-particle":"","parse-names":false,"suffix":""},{"dropping-particle":"","family":"Mukaigawara","given":"Mitsuru","non-dropping-particle":"","parse-names":false,"suffix":""},{"dropping-particle":"","family":"Mullany","given":"Erin C","non-dropping-particle":"","parse-names":false,"suffix":""},{"dropping-particle":"","family":"Murthy","given":"Kinnari S","non-dropping-particle":"","parse-names":false,"suffix":""},{"dropping-particle":"","family":"Naghavi","given":"Mohsen","non-dropping-particle":"","parse-names":false,"suffix":""},{"dropping-particle":"","family":"Nahas","given":"Ziad","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 Venkat","non-dropping-particle":"","parse-names":false,"suffix":""},{"dropping-particle":"","family":"Nash","given":"Denis","non-dropping-particle":"","parse-names":false,"suffix":""},{"dropping-particle":"","family":"Neal","given":"Bruce","non-dropping-particle":"","parse-names":false,"suffix":""},{"dropping-particle":"","family":"Nejjari","given":"Chakib","non-dropping-particle":"","parse-names":false,"suffix":""},{"dropping-particle":"","family":"Neupane","given":"Sudan P","non-dropping-particle":"","parse-names":false,"suffix":""},{"dropping-particle":"","family":"Newton","given":"Charles R","non-dropping-particle":"","parse-names":false,"suffix":""},{"dropping-particle":"","family":"Ngalesoni","given":"Frida N","non-dropping-particle":"","parse-names":false,"suffix":""},{"dropping-particle":"","family":"Dieu Ngirabega","given":"Jean","non-dropping-particle":"de","parse-names":false,"suffix":""},{"dropping-particle":"","family":"Nguyen","given":"Grant","non-dropping-particle":"","parse-names":false,"suffix":""},{"dropping-particle":"","family":"Nguyen","given":"Nhung T","non-dropping-particle":"","parse-names":false,"suffix":""},{"dropping-particle":"","family":"Nieuwenhuijsen","given":"Mark J","non-dropping-particle":"","parse-names":false,"suffix":""},{"dropping-particle":"","family":"Nisar","given":"Muhammad I","non-dropping-particle":"","parse-names":false,"suffix":""},{"dropping-particle":"","family":"Nogueira","given":"José R","non-dropping-particle":"","parse-names":false,"suffix":""},{"dropping-particle":"","family":"Nolla","given":"Joan M","non-dropping-particle":"","parse-names":false,"suffix":""},{"dropping-particle":"","family":"Nolte","given":"Sandra","non-dropping-particle":"","parse-names":false,"suffix":""},{"dropping-particle":"","family":"Norheim","given":"Ole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h","given":"In-Hwan","non-dropping-particle":"","parse-names":false,"suffix":""},{"dropping-particle":"","family":"Ohkubo","given":"Takayoshi","non-dropping-particle":"","parse-names":false,"suffix":""},{"dropping-particle":"","family":"Olusanya","given":"Bolajoko O","non-dropping-particle":"","parse-names":false,"suffix":""},{"dropping-particle":"","family":"Omer","given":"Saad B","non-dropping-particle":"","parse-names":false,"suffix":""},{"dropping-particle":"","family":"Opio","given":"John Nelson","non-dropping-particle":"","parse-names":false,"suffix":""},{"dropping-particle":"","family":"Orozco","given":"Ricardo","non-dropping-particle":"","parse-names":false,"suffix":""},{"dropping-particle":"","family":"Pagcatipunan","given":"Rodolfo S","non-dropping-particle":"","parse-names":false,"suffix":""},{"dropping-particle":"","family":"Pain","given":"Amanda W","non-dropping-particle":"","parse-names":false,"suffix":""},{"dropping-particle":"","family":"Pandian","given":"Jeyaraj D","non-dropping-particle":"","parse-names":false,"suffix":""},{"dropping-particle":"","family":"Panelo","given":"Carlo Irwin A","non-dropping-particle":"","parse-names":false,"suffix":""},{"dropping-particle":"","family":"Papachristou","given":"Christina","non-dropping-particle":"","parse-names":false,"suffix":""},{"dropping-particle":"","family":"Park","given":"Eun-Kee","non-dropping-particle":"","parse-names":false,"suffix":""},{"dropping-particle":"","family":"Parry","given":"Charles D","non-dropping-particle":"","parse-names":false,"suffix":""},{"dropping-particle":"","family":"Caicedo","given":"Angel J Paternina","non-dropping-particle":"","parse-names":false,"suffix":""},{"dropping-particle":"","family":"Patten","given":"Scott B","non-dropping-particle":"","parse-names":false,"suffix":""},{"dropping-particle":"","family":"Paul","given":"Vinod K","non-dropping-particle":"","parse-names":false,"suffix":""},{"dropping-particle":"","family":"Pavlin","given":"Boris I","non-dropping-particle":"","parse-names":false,"suffix":""},{"dropping-particle":"","family":"Pearce","given":"Neil","non-dropping-particle":"","parse-names":false,"suffix":""},{"dropping-particle":"","family":"Pedraza","given":"Lilia S","non-dropping-particle":"","parse-names":false,"suffix":""},{"dropping-particle":"","family":"Pedroza","given":"Andrea","non-dropping-particle":"","parse-names":false,"suffix":""},{"dropping-particle":"","family":"Stokic","given":"Ljiljana Pejin","non-dropping-particle":"","parse-names":false,"suffix":""},{"dropping-particle":"","family":"Pekericli","given":"Ayfer","non-dropping-particle":"","parse-names":false,"suffix":""},{"dropping-particle":"","family":"Pereira","given":"David M","non-dropping-particle":"","parse-names":false,"suffix":""},{"dropping-particle":"","family":"Perez-Padilla","given":"Rogelio","non-dropping-particle":"","parse-names":false,"suffix":""},{"dropping-particle":"","family":"Perez-Ruiz","given":"Fernando","non-dropping-particle":"","parse-names":false,"suffix":""},{"dropping-particle":"","family":"Perico","given":"Norberto","non-dropping-particle":"","parse-names":false,"suffix":""},{"dropping-particle":"","family":"Perry","given":"Samuel A L","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B","non-dropping-particle":"","parse-names":false,"suffix":""},{"dropping-particle":"","family":"Petzold","given":"Max","non-dropping-particle":"","parse-names":false,"suffix":""},{"dropping-particle":"","family":"Phillips","given":"Michael R","non-dropping-particle":"","parse-names":false,"suffix":""},{"dropping-particle":"","family":"Phua","given":"Hwee Pin","non-dropping-particle":"","parse-names":false,"suffix":""},{"dropping-particle":"","family":"Plass","given":"Dietrich","non-dropping-particle":"","parse-names":false,"suffix":""},{"dropping-particle":"","family":"Poenaru","given":"Dan","non-dropping-particle":"","parse-names":false,"suffix":""},{"dropping-particle":"V","family":"Polanczyk","given":"Guilherme","non-dropping-particle":"","parse-names":false,"suffix":""},{"dropping-particle":"","family":"Polinder","given":"Suzanne","non-dropping-particle":"","parse-names":false,"suffix":""},{"dropping-particle":"","family":"Pond","given":"Constance D","non-dropping-particle":"","parse-names":false,"suffix":""},{"dropping-particle":"","family":"Pope","given":"C Arden","non-dropping-particle":"","parse-names":false,"suffix":""},{"dropping-particle":"","family":"Pope","given":"Daniel","non-dropping-particle":"","parse-names":false,"suffix":""},{"dropping-particle":"","family":"Popova","given":"Svetlana","non-dropping-particle":"","parse-names":false,"suffix":""},{"dropping-particle":"","family":"Pourmalek","given":"Farshad","non-dropping-particle":"","parse-names":false,"suffix":""},{"dropping-particle":"","family":"Powles","given":"John","non-dropping-particle":"","parse-names":false,"suffix":""},{"dropping-particle":"","family":"Prabhakaran","given":"Dorairaj","non-dropping-particle":"","parse-names":false,"suffix":""},{"dropping-particle":"","family":"Prasad","given":"Noela M","non-dropping-particle":"","parse-names":false,"suffix":""},{"dropping-particle":"","family":"Qato","given":"Dima M","non-dropping-particle":"","parse-names":false,"suffix":""},{"dropping-particle":"","family":"Quezada","given":"Amado D","non-dropping-particle":"","parse-names":false,"suffix":""},{"dropping-particle":"","family":"Quistberg","given":"D Alex A","non-dropping-particle":"","parse-names":false,"suffix":""},{"dropping-particle":"","family":"Racapé","given":"Lionel","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ao","given":"Mayuree","non-dropping-particle":"","parse-names":false,"suffix":""},{"dropping-particle":"","family":"Razavi","given":"Homie","non-dropping-particle":"","parse-names":false,"suffix":""},{"dropping-particle":"","family":"Reddy","given":"K Srinath","non-dropping-particle":"","parse-names":false,"suffix":""},{"dropping-particle":"","family":"Refaat","given":"Amany H","non-dropping-particle":"","parse-names":false,"suffix":""},{"dropping-particle":"","family":"Rehm","given":"Jürgen","non-dropping-particle":"","parse-names":false,"suffix":""},{"dropping-particle":"","family":"Remuzzi","given":"Giuseppe","non-dropping-particle":"","parse-names":false,"suffix":""},{"dropping-particle":"","family":"Ribeiro","given":"Antonio L","non-dropping-particle":"","parse-names":false,"suffix":""},{"dropping-particle":"","family":"Riccio","given":"Patricia M","non-dropping-particle":"","parse-names":false,"suffix":""},{"dropping-particle":"","family":"Richardson","given":"Lee","non-dropping-particle":"","parse-names":false,"suffix":""},{"dropping-particle":"","family":"Riederer","given":"Anne","non-dropping-particle":"","parse-names":false,"suffix":""},{"dropping-particle":"","family":"Robinson","given":"Margare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mieu","given":"Isabelle","non-dropping-particle":"","parse-names":false,"suffix":""},{"dropping-particle":"","family":"Ronfani","given":"Luca","non-dropping-particle":"","parse-names":false,"suffix":""},{"dropping-particle":"","family":"Room","given":"Robin","non-dropping-particle":"","parse-names":false,"suffix":""},{"dropping-particle":"","family":"Roy","given":"Nobhojit","non-dropping-particle":"","parse-names":false,"suffix":""},{"dropping-particle":"","family":"Ruhago","given":"George M","non-dropping-particle":"","parse-names":false,"suffix":""},{"dropping-particle":"","family":"Rushton","given":"Lesley","non-dropping-particle":"","parse-names":false,"suffix":""},{"dropping-particle":"","family":"Sabin","given":"Nsanzimana","non-dropping-particle":"","parse-names":false,"suffix":""},{"dropping-particle":"","family":"Sacco","given":"Ralph L","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Ali","non-dropping-particle":"","parse-names":false,"suffix":""},{"dropping-particle":"","family":"Salomon","given":"Joshua A","non-dropping-particle":"","parse-names":false,"suffix":""},{"dropping-particle":"","family":"Salvo","given":"Deborah","non-dropping-particle":"","parse-names":false,"suffix":""},{"dropping-particle":"","family":"Sampson","given":"Uchechukwu K","non-dropping-particle":"","parse-names":false,"suffix":""},{"dropping-particle":"","family":"Sanabria","given":"Juan R","non-dropping-particle":"","parse-names":false,"suffix":""},{"dropping-particle":"","family":"Sanchez","given":"Luz Maria","non-dropping-particle":"","parse-names":false,"suffix":""},{"dropping-particle":"","family":"Sánchez-Pimienta","given":"Tania G","non-dropping-particle":"","parse-names":false,"suffix":""},{"dropping-particle":"","family":"Sanchez-Riera","given":"Lidia","non-dropping-particle":"","parse-names":false,"suffix":""},{"dropping-particle":"","family":"Sandar","given":"Logan","non-dropping-particle":"","parse-names":false,"suffix":""},{"dropping-particle":"","family":"Santos","given":"Itamar S","non-dropping-particle":"","parse-names":false,"suffix":""},{"dropping-particle":"","family":"Sapkota","given":"Amir","non-dropping-particle":"","parse-names":false,"suffix":""},{"dropping-particle":"","family":"Satpathy","given":"Maheswar","non-dropping-particle":"","parse-names":false,"suffix":""},{"dropping-particle":"","family":"Saunders","given":"James E","non-dropping-particle":"","parse-names":false,"suffix":""},{"dropping-particle":"","family":"Sawhney","given":"Monika","non-dropping-particle":"","parse-names":false,"suffix":""},{"dropping-particle":"","family":"Saylan","given":"Mete I","non-dropping-particle":"","parse-names":false,"suffix":""},{"dropping-particle":"","family":"Scarborough","given":"Peter","non-dropping-particle":"","parse-names":false,"suffix":""},{"dropping-particle":"","family":"Schmidt","given":"Jürgen C","non-dropping-particle":"","parse-names":false,"suffix":""},{"dropping-particle":"","family":"Schneider","given":"Ione J C","non-dropping-particle":"","parse-names":false,"suffix":""},{"dropping-particle":"","family":"Schöttker","given":"Ben","non-dropping-particle":"","parse-names":false,"suffix":""},{"dropping-particle":"","family":"Schwebel","given":"David C","non-dropping-particle":"","parse-names":false,"suffix":""},{"dropping-particle":"","family":"Scott","given":"James G","non-dropping-particle":"","parse-names":false,"suffix":""},{"dropping-particle":"","family":"Seedat","given":"Soraya","non-dropping-particle":"","parse-names":false,"suffix":""},{"dropping-particle":"","family":"Sepanlou","given":"Sadaf G","non-dropping-particle":"","parse-names":false,"suffix":""},{"dropping-particle":"","family":"Serdar","given":"Berrin","non-dropping-particle":"","parse-names":false,"suffix":""},{"dropping-particle":"","family":"Servan-Mori","given":"Edson E","non-dropping-particle":"","parse-names":false,"suffix":""},{"dropping-particle":"","family":"Shaddick","given":"Gavin","non-dropping-particle":"","parse-names":false,"suffix":""},{"dropping-particle":"","family":"Shahraz","given":"Saeid","non-dropping-particle":"","parse-names":false,"suffix":""},{"dropping-particle":"","family":"Levy","given":"Teresa Shamah","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ibuya","given":"Kenji","non-dropping-particle":"","parse-names":false,"suffix":""},{"dropping-particle":"","family":"Shin","given":"Hwashin H","non-dropping-particle":"","parse-names":false,"suffix":""},{"dropping-particle":"","family":"Shinohara","given":"Yukito","non-dropping-particle":"","parse-names":false,"suffix":""},{"dropping-particle":"","family":"Shiri","given":"Rahman","non-dropping-particle":"","parse-names":false,"suffix":""},{"dropping-particle":"","family":"Shishani","given":"Kawkab","non-dropping-particle":"","parse-names":false,"suffix":""},{"dropping-particle":"","family":"Shiue","given":"Ivy","non-dropping-particle":"","parse-names":false,"suffix":""},{"dropping-particle":"","family":"Sigfusdottir","given":"Inga D","non-dropping-particle":"","parse-names":false,"suffix":""},{"dropping-particle":"","family":"Silberberg","given":"Donald H","non-dropping-particle":"","parse-names":false,"suffix":""},{"dropping-particle":"","family":"Simard","given":"Edgar P","non-dropping-particle":"","parse-names":false,"suffix":""},{"dropping-particle":"","family":"Sindi","given":"Shireen","non-dropping-particle":"","parse-names":false,"suffix":""},{"dropping-particle":"","family":"Singh","given":"Abhishek","non-dropping-particle":"","parse-names":false,"suffix":""},{"dropping-particle":"","family":"Singh","given":"Gitanjali M","non-dropping-particle":"","parse-names":false,"suffix":""},{"dropping-particle":"","family":"Singh","given":"Jasvinder A","non-dropping-particle":"","parse-names":false,"suffix":""},{"dropping-particle":"","family":"Skirbekk","given":"Vegard","non-dropping-particle":"","parse-names":false,"suffix":""},{"dropping-particle":"","family":"Sliwa","given":"Karen","non-dropping-particle":"","parse-names":false,"suffix":""},{"dropping-particle":"","family":"Soljak","given":"Michael","non-dropping-particle":"","parse-names":false,"suffix":""},{"dropping-particle":"","family":"Soneji","given":"Samir","non-dropping-particle":"","parse-names":false,"suffix":""},{"dropping-particle":"","family":"Søreide","given":"Kjetil","non-dropping-particle":"","parse-names":false,"suffix":""},{"dropping-particle":"","family":"Soshnikov","given":"Sergey","non-dropping-particle":"","parse-names":false,"suffix":""},{"dropping-particle":"","family":"Sposato","given":"Luciano A","non-dropping-particle":"","parse-names":false,"suffix":""},{"dropping-particle":"","family":"Sreeramareddy","given":"Chandrashekhar T","non-dropping-particle":"","parse-names":false,"suffix":""},{"dropping-particle":"","family":"Stapelberg","given":"Nicolas J C","non-dropping-particle":"","parse-names":false,"suffix":""},{"dropping-particle":"","family":"Stathopoulou","given":"Vasiliki","non-dropping-particle":"","parse-names":false,"suffix":""},{"dropping-particle":"","family":"Steckling","given":"Nadine","non-dropping-particle":"","parse-names":false,"suffix":""},{"dropping-particle":"","family":"Stein","given":"Dan J","non-dropping-particle":"","parse-names":false,"suffix":""},{"dropping-particle":"","family":"Stein","given":"Murray B","non-dropping-particle":"","parse-names":false,"suffix":""},{"dropping-particle":"","family":"Stephens","given":"Natalie","non-dropping-particle":"","parse-names":false,"suffix":""},{"dropping-particle":"","family":"Stöckl","given":"Heidi","non-dropping-particle":"","parse-names":false,"suffix":""},{"dropping-particle":"","family":"Straif","given":"Kurt","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minathan","given":"Soumya","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M","non-dropping-particle":"","parse-names":false,"suffix":""},{"dropping-particle":"","family":"Takahashi","given":"Ken","non-dropping-particle":"","parse-names":false,"suffix":""},{"dropping-particle":"","family":"Talongwa","given":"Roberto T","non-dropping-particle":"","parse-names":false,"suffix":""},{"dropping-particle":"","family":"Tandon","given":"Nikhil","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Ao","given":"Braden J","non-dropping-particle":"Te","parse-names":false,"suffix":""},{"dropping-particle":"","family":"Teixeira","given":"Carolina M","non-dropping-particle":"","parse-names":false,"suffix":""},{"dropping-particle":"","family":"Téllez Rojo","given":"Martha M","non-dropping-particle":"","parse-names":false,"suffix":""},{"dropping-particle":"","family":"Terkawi","given":"Abdullah S","non-dropping-particle":"","parse-names":false,"suffix":""},{"dropping-particle":"","family":"Texcalac-Sangrador","given":"José Luis","non-dropping-particle":"","parse-names":false,"suffix":""},{"dropping-particle":"V","family":"Thackway","given":"Sarah","non-dropping-particle":"","parse-names":false,"suffix":""},{"dropping-particle":"","family":"Thomson","given":"Blake","non-dropping-particle":"","parse-names":false,"suffix":""},{"dropping-particle":"","family":"Thorne-Lyman","given":"Andrew L","non-dropping-particle":"","parse-names":false,"suffix":""},{"dropping-particle":"","family":"Thrift","given":"Amanda G","non-dropping-particle":"","parse-names":false,"suffix":""},{"dropping-particle":"","family":"Thurston","given":"George D","non-dropping-particle":"","parse-names":false,"suffix":""},{"dropping-particle":"","family":"Tillmann","given":"Taavi","non-dropping-particle":"","parse-names":false,"suffix":""},{"dropping-particle":"","family":"Tobollik","given":"Myria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asande","given":"Leonardo","non-dropping-particle":"","parse-names":false,"suffix":""},{"dropping-particle":"","family":"Trillini","given":"Matias","non-dropping-particle":"","parse-names":false,"suffix":""},{"dropping-particle":"","family":"Trujillo","given":"Ulises","non-dropping-particle":"","parse-names":false,"suffix":""},{"dropping-particle":"","family":"Dimbuene","given":"Zacharie Tsala","non-dropping-particle":"","parse-names":false,"suffix":""},{"dropping-particle":"","family":"Tsilimbaris","given":"Miltiadis","non-dropping-particle":"","parse-names":false,"suffix":""},{"dropping-particle":"","family":"Tuzcu","given":"Emin Murat","non-dropping-particle":"","parse-names":false,"suffix":""},{"dropping-particle":"","family":"Uchendu","given":"Uche S","non-dropping-particle":"","parse-names":false,"suffix":""},{"dropping-particle":"","family":"Ukwaja","given":"Kingsley N","non-dropping-particle":"","parse-names":false,"suffix":""},{"dropping-particle":"","family":"Uzun","given":"Selen B","non-dropping-particle":"","parse-names":false,"suffix":""},{"dropping-particle":"","family":"Vijver","given":"Steven","non-dropping-particle":"van de","parse-names":false,"suffix":""},{"dropping-particle":"","family":"Dingenen","given":"Rita","non-dropping-particle":"Van","parse-names":false,"suffix":""},{"dropping-particle":"","family":"Gool","given":"Coen H","non-dropping-particle":"van","parse-names":false,"suffix":""},{"dropping-particle":"","family":"Os","given":"Jim","non-dropping-particle":"van","parse-names":false,"suffix":""},{"dropping-particle":"","family":"Varakin","given":"Yuri Y","non-dropping-particle":"","parse-names":false,"suffix":""},{"dropping-particle":"","family":"Vasankari","given":"Tommi J","non-dropping-particle":"","parse-names":false,"suffix":""},{"dropping-particle":"","family":"Vasconcelos","given":"Ana Maria N","non-dropping-particle":"","parse-names":false,"suffix":""},{"dropping-particle":"","family":"Vavilala","given":"Monica S","non-dropping-particle":"","parse-names":false,"suffix":""},{"dropping-particle":"","family":"Veerman","given":"Lennert J","non-dropping-particle":"","parse-names":false,"suffix":""},{"dropping-particle":"","family":"Velasquez-Melendez","given":"Gustavo","non-dropping-particle":"","parse-names":false,"suffix":""},{"dropping-particle":"","family":"Venketasubramanian","given":"N","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S","non-dropping-particle":"","parse-names":false,"suffix":""},{"dropping-particle":"","family":"Vlassov","given":"Vasiliy Victorovich","non-dropping-particle":"","parse-names":false,"suffix":""},{"dropping-particle":"","family":"Vollset","given":"Stein Emil","non-dropping-particle":"","parse-names":false,"suffix":""},{"dropping-particle":"","family":"Wagner","given":"Gregory R","non-dropping-particle":"","parse-names":false,"suffix":""},{"dropping-particle":"","family":"Waller","given":"Stephen G","non-dropping-particle":"","parse-names":false,"suffix":""},{"dropping-particle":"","family":"Wallin","given":"Mitchell T","non-dropping-particle":"","parse-names":false,"suffix":""},{"dropping-particle":"","family":"Wan","given":"Xia","non-dropping-particle":"","parse-names":false,"suffix":""},{"dropping-particle":"","family":"Wang","given":"Haidong","non-dropping-particle":"","parse-names":false,"suffix":""},{"dropping-particle":"","family":"Wang","given":"JianLi","non-dropping-particle":"","parse-names":false,"suffix":""},{"dropping-particle":"","family":"Wang","given":"Linhong","non-dropping-particle":"","parse-names":false,"suffix":""},{"dropping-particle":"","family":"Wang","given":"Wenzhi","non-dropping-particle":"","parse-names":false,"suffix":""},{"dropping-particle":"","family":"Wang","given":"Yanping","non-dropping-particle":"","parse-names":false,"suffix":""},{"dropping-particle":"","family":"Warouw","given":"Tati S","non-dropping-particle":"","parse-names":false,"suffix":""},{"dropping-particle":"","family":"Watts","given":"Charlotte H","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G","non-dropping-particle":"","parse-names":false,"suffix":""},{"dropping-particle":"","family":"Werdecker","given":"Andrea","non-dropping-particle":"","parse-names":false,"suffix":""},{"dropping-particle":"","family":"Wessells","given":"K Ryan","non-dropping-particle":"","parse-names":false,"suffix":""},{"dropping-particle":"","family":"Westerman","given":"Ronny","non-dropping-particle":"","parse-names":false,"suffix":""},{"dropping-particle":"","family":"Whiteford","given":"Harvey A","non-dropping-particle":"","parse-names":false,"suffix":""},{"dropping-particle":"","family":"Wilkinson","given":"James D","non-dropping-particle":"","parse-names":false,"suffix":""},{"dropping-particle":"","family":"Williams","given":"Hywel C","non-dropping-particle":"","parse-names":false,"suffix":""},{"dropping-particle":"","family":"Williams","given":"Thomas N","non-dropping-particle":"","parse-names":false,"suffix":""},{"dropping-particle":"","family":"Woldeyohannes","given":"Solomon M","non-dropping-particle":"","parse-names":false,"suffix":""},{"dropping-particle":"","family":"Wolfe","given":"Charles D A","non-dropping-particle":"","parse-names":false,"suffix":""},{"dropping-particle":"","family":"Wong","given":"John Q","non-dropping-particle":"","parse-names":false,"suffix":""},{"dropping-particle":"","family":"Woolf","given":"Anthony D","non-dropping-particle":"","parse-names":false,"suffix":""},{"dropping-particle":"","family":"Wright","given":"Jonathan L","non-dropping-particle":"","parse-names":false,"suffix":""},{"dropping-particle":"","family":"Wurtz","given":"Brittany","non-dropping-particle":"","parse-names":false,"suffix":""},{"dropping-particle":"","family":"Xu","given":"Gelin","non-dropping-particle":"","parse-names":false,"suffix":""},{"dropping-particle":"","family":"Yan","given":"Lijing L","non-dropping-particle":"","parse-names":false,"suffix":""},{"dropping-particle":"","family":"Yang","given":"Gonghuan","non-dropping-particle":"","parse-names":false,"suffix":""},{"dropping-particle":"","family":"Yano","given":"Yuichiro","non-dropping-particle":"","parse-names":false,"suffix":""},{"dropping-particle":"","family":"Ye","given":"Pengpeng","non-dropping-particle":"","parse-names":false,"suffix":""},{"dropping-particle":"","family":"Yenesew","given":"Muluken","non-dropping-particle":"","parse-names":false,"suffix":""},{"dropping-particle":"","family":"Yentür","given":"Gökalp K","non-dropping-particle":"","parse-names":false,"suffix":""},{"dropping-particle":"","family":"Yip","given":"Paul","non-dropping-particle":"","parse-names":false,"suffix":""},{"dropping-particle":"","family":"Yonemoto","given":"Naohiro","non-dropping-particle":"","parse-names":false,"suffix":""},{"dropping-particle":"","family":"Yoon","given":"Seok-Jun","non-dropping-particle":"","parse-names":false,"suffix":""},{"dropping-particle":"","family":"Younis","given":"Mustafa Z","non-dropping-particle":"","parse-names":false,"suffix":""},{"dropping-particle":"","family":"Younoussi","given":"Zourkaleini","non-dropping-particle":"","parse-names":false,"suffix":""},{"dropping-particle":"","family":"Yu","given":"Chuanhua","non-dropping-particle":"","parse-names":false,"suffix":""},{"dropping-particle":"","family":"Zaki","given":"Maysaa E","non-dropping-particle":"","parse-names":false,"suffix":""},{"dropping-particle":"","family":"Zhao","given":"Yong","non-dropping-particle":"","parse-names":false,"suffix":""},{"dropping-particle":"","family":"Zheng","given":"Yingfeng","non-dropping-particle":"","parse-names":false,"suffix":""},{"dropping-particle":"","family":"Zhou","given":"Maigeng","non-dropping-particle":"","parse-names":false,"suffix":""},{"dropping-particle":"","family":"Zhu","given":"Jun","non-dropping-particle":"","parse-names":false,"suffix":""},{"dropping-particle":"","family":"Zhu","given":"Shankuan","non-dropping-particle":"","parse-names":false,"suffix":""},{"dropping-particle":"","family":"Zou","given":"Xiaonong","non-dropping-particle":"","parse-names":false,"suffix":""},{"dropping-particle":"","family":"Zunt","given":"Joseph R","non-dropping-particle":"","parse-names":false,"suffix":""},{"dropping-particle":"","family":"Lopez","given":"Alan D","non-dropping-particle":"","parse-names":false,"suffix":""},{"dropping-particle":"","family":"Vos","given":"Theo","non-dropping-particle":"","parse-names":false,"suffix":""},{"dropping-particle":"","family":"Murray","given":"Christopher J","non-dropping-particle":"","parse-names":false,"suffix":""}],"container-title":"The Lancet","id":"ITEM-1","issue":"10010","issued":{"date-parts":[["2015"]]},"page":"2287-2323","title":"Global, regional, and national comparative risk assessment of 79 behavioural, environmental and occupational, and metabolic risks or clusters of risks in 188 countries, 1990–2013: a systematic analysis for the global burden of disease study 2013","type":"article-journal","volume":"386"},"uris":["http://www.mendeley.com/documents/?uuid=8fd7baaa-482f-4cfb-ba2a-2acaa1985a4f"]},{"id":"ITEM-2","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Practice","id":"ITEM-2","issued":{"date-parts":[["2019"]]},"page":"107843","publisher":"Elsevier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edition","type":"article-journal","volume":"157"},"uris":["http://www.mendeley.com/documents/?uuid=d2427967-043a-4315-9977-8c46594ef56c"]}],"mendeley":{"formattedCitation":"(Forouzanfar et al., 2015; Saeedi et al., 2019)","plainTextFormattedCitation":"(Forouzanfar et al., 2015; Saeedi et al., 2019)","previouslyFormattedCitation":"(Forouzanfar et al., 2015; Saeedi et al., 2019)"},"properties":{"noteIndex":0},"schema":"https://github.com/citation-style-language/schema/raw/master/csl-citation.json"}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(Forouzanfar et al., 2015; Saeedi et al., 2019)</w:t>
      </w:r>
      <w:r w:rsidRPr="00103A0B">
        <w:rPr>
          <w:rFonts w:ascii="Arial" w:hAnsi="Arial" w:cs="Arial"/>
        </w:rPr>
        <w:fldChar w:fldCharType="end"/>
      </w:r>
      <w:r w:rsidRPr="00103A0B">
        <w:rPr>
          <w:rFonts w:ascii="Arial" w:hAnsi="Arial" w:cs="Arial"/>
          <w:sz w:val="24"/>
          <w:szCs w:val="24"/>
        </w:rPr>
        <w:t xml:space="preserve">. Although T2DM directly leads to approximately 1.3 million deaths annually (worldwide), it is a major risk factor for other causes of death and conditions such as cardiovascular disease, kidney diseases and blindness </w:t>
      </w:r>
      <w:r w:rsidRPr="00103A0B">
        <w:rPr>
          <w:rFonts w:ascii="Arial" w:hAnsi="Arial" w:cs="Arial"/>
          <w:sz w:val="24"/>
          <w:szCs w:val="24"/>
        </w:rPr>
        <w:fldChar w:fldCharType="begin" w:fldLock="1"/>
      </w:r>
      <w:r w:rsidR="008D109C" w:rsidRPr="00103A0B">
        <w:rPr>
          <w:rFonts w:ascii="Arial" w:hAnsi="Arial" w:cs="Arial"/>
          <w:sz w:val="24"/>
          <w:szCs w:val="24"/>
        </w:rPr>
        <w:instrText>ADDIN CSL_CITATION {"citationItems":[{"id":"ITEM-1","itemData":{"ISBN":"1698379323","author":[{"dropping-particle":"","family":"Bloom","given":"D.E.","non-dropping-particle":"","parse-names":false,"suffix":""},{"dropping-particle":"","family":"Cafiero","given":"E.T.","non-dropping-particle":"","parse-names":false,"suffix":""},{"dropping-particle":"","family":"Jane-Llopis","given":"E.","non-dropping-particle":"","parse-names":false,"suffix":""},{"dropping-particle":"","family":"Abrahams-Gessel","given":"S.","non-dropping-particle":"","parse-names":false,"suffix":""},{"dropping-particle":"","family":"Bloom","given":"L.R.","non-dropping-particle":"","parse-names":false,"suffix":""},{"dropping-particle":"","family":"Fathima","given":"S.","non-dropping-particle":"","parse-names":false,"suffix":""},{"dropping-particle":"","family":"Feigl","given":"A.B.","non-dropping-particle":"","parse-names":false,"suffix":""},{"dropping-particle":"","family":"Gaziano","given":"T.","non-dropping-particle":"","parse-names":false,"suffix":""},{"dropping-particle":"","family":"Mowafi","given":"M.","non-dropping-particle":"","parse-names":false,"suffix":""},{"dropping-particle":"","family":"Pandya","given":"A.","non-dropping-particle":"","parse-names":false,"suffix":""},{"dropping-particle":"","family":"Prettner","given":"K.","non-dropping-particle":"","parse-names":false,"suffix":""},{"dropping-particle":"","family":"Rosenbert","given":"L.","non-dropping-particle":"","parse-names":false,"suffix":""},{"dropping-particle":"","family":"Seligman","given":"B.","non-dropping-particle":"","parse-names":false,"suffix":""},{"dropping-particle":"","family":"Stein","given":"A.Z.","non-dropping-particle":"","parse-names":false,"suffix":""},{"dropping-particle":"","family":"Weinstien","given":"C.","non-dropping-particle":"","parse-names":false,"suffix":""}],"container-title":"Harvard School of Public Health and World Economic Forum","id":"ITEM-1","issued":{"date-parts":[["2011"]]},"number-of-pages":"1-45","title":"The global economic burden of non-communicable diseases","type":"report"},"uris":["http://www.mendeley.com/documents/?uuid=773c9244-2b95-4522-95d3-847da259ffd3"]}],"mendeley":{"formattedCitation":"(Bloom et al., 2011)","plainTextFormattedCitation":"(Bloom et al., 2011)","previouslyFormattedCitation":"(Bloom et al., 2011)"},"properties":{"noteIndex":0},"schema":"https://github.com/citation-style-language/schema/raw/master/csl-citation.json"}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(Bloom et al., 2011)</w:t>
      </w:r>
      <w:r w:rsidRPr="00103A0B">
        <w:rPr>
          <w:rFonts w:ascii="Arial" w:hAnsi="Arial" w:cs="Arial"/>
          <w:sz w:val="24"/>
          <w:szCs w:val="24"/>
        </w:rPr>
        <w:fldChar w:fldCharType="end"/>
      </w:r>
      <w:r w:rsidRPr="00103A0B">
        <w:rPr>
          <w:rFonts w:ascii="Arial" w:hAnsi="Arial" w:cs="Arial"/>
          <w:sz w:val="24"/>
          <w:szCs w:val="24"/>
        </w:rPr>
        <w:t>.</w:t>
      </w:r>
    </w:p>
    <w:p w14:paraId="3386E504" w14:textId="6B853C30" w:rsidR="00324C56" w:rsidRPr="00103A0B" w:rsidRDefault="00324C56" w:rsidP="005D0A3A">
      <w:pPr>
        <w:spacing w:before="240" w:line="360" w:lineRule="auto"/>
        <w:jc w:val="both"/>
        <w:rPr>
          <w:rFonts w:ascii="Arial" w:hAnsi="Arial" w:cs="Arial"/>
          <w:sz w:val="19"/>
          <w:szCs w:val="19"/>
        </w:rPr>
      </w:pPr>
      <w:r w:rsidRPr="00103A0B">
        <w:rPr>
          <w:rFonts w:ascii="Arial" w:hAnsi="Arial" w:cs="Arial"/>
          <w:sz w:val="24"/>
          <w:szCs w:val="24"/>
        </w:rPr>
        <w:t xml:space="preserve">To delay or prevent the onset of T2DM, many countries like Finland, USA, Australia, China and the UK have implemented diabetes prevention programmes (DPPs) that involve lifestyle modification through physical activity and diet </w:t>
      </w:r>
      <w:r w:rsidRPr="00103A0B">
        <w:rPr>
          <w:rFonts w:ascii="Arial" w:hAnsi="Arial" w:cs="Arial"/>
        </w:rPr>
        <w:fldChar w:fldCharType="begin" w:fldLock="1"/>
      </w:r>
      <w:r w:rsidR="007E0EE7" w:rsidRPr="00103A0B">
        <w:rPr>
          <w:rFonts w:ascii="Arial" w:hAnsi="Arial" w:cs="Arial"/>
          <w:sz w:val="24"/>
          <w:szCs w:val="24"/>
        </w:rPr>
        <w:instrText xml:space="preserve">ADDIN CSL_CITATION {"citationItems":[{"id":"ITEM-1","itemData":{"DOI":"10.1016/S0140- 6736(09)61457-4","ISBN":"1474-547X (Electronic)\\n0140-6736 (Linking)","ISSN":"01406736","PMID":"19878986","abstract":"Background: In the 2·8 years of the Diabetes Prevention Program (DPP) randomised clinical trial, diabetes incidence in high-risk adults was reduced by 58% with intensive lifestyle intervention and by 31% with metformin, compared with placebo. We investigated the persistence of these effects in the long term. Methods: All active DPP participants were eligible for continued follow-up. 2766 of 3150 (88%) enrolled for a median additional follow-up of 5·7 years (IQR 5·5-5·8). 910 participants were from the lifestyle, 924 from the metformin, and 932 were from the original placebo groups. On the basis of the benefits from the intensive lifestyle intervention in the DPP, all three groups were offered group-implemented lifestyle intervention. Metformin treatment was continued in the original metformin group (850 mg twice daily as tolerated), with participants unmasked to assignment, and the original lifestyle intervention group was offered additional lifestyle support. The primary outcome was development of diabetes according to American Diabetes Association criteria. Analysis was by intention-to-treat. This study is registered with ClinicalTrials.gov, number NCT00038727. Findings: During the 10·0-year (IQR 9·0-10·5) follow-up since randomisation to DPP, the original lifestyle group lost, then partly regained weight. The modest weight loss with metformin was maintained. Diabetes incidence rates during the DPP were 4·8 cases per 100 person-years (95% CI 4·1-5·7) in the intensive lifestyle intervention group, 7·8 (6·8-8·8) in the metformin group, and 11·0 (9·8-12·3) in the placebo group. Diabetes incidence rates in this follow-up study were similar between treatment groups: 5·9 per 100 person-years (5·1-6·8) for lifestyle, 4·9 (4·2-5·7) for metformin, and 5·6 (4·8-6·5) for placebo. Diabetes incidence in the 10 years since DPP randomisation was reduced by 34% (24-42) in the lifestyle group and 18% (7-28) in the metformin group compared with placebo. Interpretation: During follow-up after DPP, incidences in the former placebo and metformin groups fell to equal those in the former lifestyle group, but the cumulative incidence of diabetes remained lowest in the lifestyle group. Prevention or delay of diabetes with lifestyle intervention or metformin can persist for at least 10 years. Funding: National Institute of Diabetes and Digestive and Kidney Diseases (NIDDK). © 2009 Elsevier Ltd. All rights reserved.","author":[{"dropping-particle":"","family":"Diabetes Prevention Program Research Group","given":"","non-dropping-particle":"","parse-names":false,"suffix":""}],"container-title":"The Lancet","id":"ITEM-1","issued":{"date-parts":[["2009"]]},"page":"1677-1686","publisher":"Elsevier Ltd","title":"10-year follow-up of diabetes incidence and weight loss in the diabetes prevention program outcomes study","type":"article-journal","volume":"374"},"uris":["http://www.mendeley.com/documents/?uuid=5beeceec-4d29-4c17-b528-7b647c5a8b77"]},{"id":"ITEM-2","itemData":{"DOI":"10.4093/dmj.2017.41.3.160","ISSN":"22336087","abstract":"Clinical trials have demonstrated the efficacy of lifestyle modification for the prevention of type 2 diabetes mellitus but it was achieved at higher cost than can be sustained in routine health services. The first clinical trial to report was the Finnish Diabetes Prevention Study. This paper describes how Australia worked with Finnish colleagues to adapt the findings of that study to achieve a statewide diabetes prevention program. Small evaluative, effectiveness trials have been conducted in a number of countries to see if the results of the clinical trials can be replicated in routine health services. The Australian evaluative trial, Greater Green Triangle Diabetes Prevention Program is described in detail to demonstrate the ingredients for success in moving a program from one country to another. Few countries have managed to scale up from evaluative trials to statewide or national programs. The Australian experience is described in detail including lessons learned about what reduced the effectiveness, particularly the need for policy makers in government, people from the implementing organisation and researchers to work together from the start of the evaluative trial and throughout the first 5 years of a national program.Copyright © 2017 Korean Diabetes Association.","author":[{"dropping-particle":"","family":"Dunbar","given":"James A.","non-dropping-particle":"","parse-names":false,"suffix":""}],"container-title":"Diabetes and Metabolism Journal","id":"ITEM-2","issue":"3","issued":{"date-parts":[["2017"]]},"page":"160-167","title":"Diabetes prevention in Australia: 10 years results and experience","type":"article-journal","volume":"41"},"uris":["http://www.mendeley.com/documents/?uuid=6a7dbe64-1d2a-433a-9323-e04dff75c7ef"]},{"id":"ITEM-3","itemData":{"DOI":"10.1186/1471-2458-7-249","ISBN":"1471-2458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Health","id":"ITEM-3","issue":"249","issued":{"date-parts":[["2007"]]},"title":"Prevention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project","type":"article-journal","volume":"7"},"uris":["http://www.mendeley.com/documents/?uuid=ef090087-0d56-42cf-8079-ddbfceb8d350"]},{"id":"ITEM-4","itemData":{"DOI":"10.2337/dc07-0171","ISBN":"0149-5992","ISSN":"0149-5992","PMID":"17586741","abstract":"OBJECTIVE— “Real-world” implementation of lifestyle interventions is a challenge. The Good Ageing in Lahti Region (GOAL) Lifestyle Implementation Trial was designed for the primary health care setting, with lifestyle and risk reduction objectives derived from the major diabetes prevention efficacy trials. We report on the program’s effectiveness as well as findings related to the program’s reach, adoption, and implementation. RESEARCHDESIGNANDMETHODS— A total of 352 middle-aged participants with elevated type 2 diabetes risk were recruited from the health care centers in Pa¨ija¨t-Ha¨me Province in Finland. The intervention included six group counseling sessions, delivered by trained public health nurses. Measurement was conducted at baseline and 12 months. Clinical risk factors were measured by study nurses, and lifestyle outcomes were analyzed from self-reports. Lifestyle outcomes were compared with the outcomes achieved in relevant efficacy trials, and within- subject changes were tested for risk reduction. RESULTS— At baseline, mean BMI was </w:instrText>
      </w:r>
      <w:r w:rsidR="007E0EE7" w:rsidRPr="00103A0B">
        <w:rPr>
          <w:rFonts w:ascii="Arial" w:hAnsi="Arial" w:cs="Arial" w:hint="eastAsia"/>
          <w:sz w:val="24"/>
          <w:szCs w:val="24"/>
        </w:rPr>
        <w:instrText></w:instrText>
      </w:r>
      <w:r w:rsidR="007E0EE7" w:rsidRPr="00103A0B">
        <w:rPr>
          <w:rFonts w:ascii="Arial" w:hAnsi="Arial" w:cs="Arial"/>
          <w:sz w:val="24"/>
          <w:szCs w:val="24"/>
        </w:rPr>
        <w:instrText>32 kg/m2 , and 25% of the participants had im- paired glucose tolerance. At 12 months, 20% of participants achieved at least four of five key lifestyle outcomes, with these results being comparable with the reference trials. However, physical activity and weight loss goals were achieved significantly less frequently (65 vs.86%and 12 vs. 43%, respectively). Several clinical risk factors decreased, more so among men than women. CONCLUSIONS— This trial demonstrates that lifestyle counseling can be effective and is feasible in real-world settings for individuals with elevated risk of type 2 diabetes. To increase program impact, program exposure and treatment intensity need to be increased","author":[{"dropping-particle":"","family":"Absetz","given":"P.","non-dropping-particle":"","parse-names":false,"suffix":""},{"dropping-particle":"","family":"Valve","given":"R.","non-dropping-particle":"","parse-names":false,"suffix":""},{"dropping-particle":"","family":"Oldenburg","given":"B.","non-dropping-particle":"","parse-names":false,"suffix":""},{"dropping-particle":"","family":"Heinonen","given":"H.","non-dropping-particle":"","parse-names":false,"suffix":""},{"dropping-particle":"","family":"Nissinen","given":"A.","non-dropping-particle":"","parse-names":false,"suffix":""},{"dropping-particle":"","family":"Fogelholm","given":"M.","non-dropping-particle":"","parse-names":false,"suffix":""},{"dropping-particle":"","family":"Ilvesmaki","given":"V.","non-dropping-particle":"","parse-names":false,"suffix":""},{"dropping-particle":"","family":"Talja","given":"M.","non-dropping-particle":"","parse-names":false,"suffix":""},{"dropping-particle":"","family":"Uutela","given":"A.","non-dropping-particle":"","parse-names":false,"suffix":""}],"container-title":"Diabetes Care","id":"ITEM-4","issue":"10","issued":{"date-parts":[["2007"]]},"page":"2465-2470","title":"Type 2 diabetes prevention in the “real world”","type":"article-journal","volume":"30"},"uris":["http://www.mendeley.com/documents/?uuid=14151607-3873-4b0d-b0a6-ed2d7911e6d4"]},{"id":"ITEM-5","itemData":{"ISBN":"0140-6736","ISSN":"1474-547X","PMID":"17098085","abstract":"SummaryBackground Lifestyle interventions can prevent the deterioration of impaired glucose tolerance to manifest type 2 diabetes, at least as long as the intervention continues. In the extended follow-up of the Finnish Diabetes Prevention Study, we assessed the extent to which the originally-achieved lifestyle changes and risk reduction remain after discontinuation of active counselling. Methods Overweight, middle-aged men (n=172) and women (n=350) with impaired glucose tolerance were randomly assigned to intensive lifestyle intervention or control group. After a median of 4 years of active intervention period, participants who were still free of diabetes were further followed up for a median of 3 years, with median total follow-up of 7 years. Diabetes incidence, bodyweight, physical activity, and dietary intakes of fat, saturated fat, and fibre were measured. Findings During the total follow-up, the incidence of type 2 diabetes was 4·3 and 7·4 per 100 person-years in the intervention and control group, respectively (log-rank test p=0·0001), indicating 43% reduction in relative risk. The risk reduction was related to the success in achieving the intervention goals of weight loss, reduced intake of total and saturated fat and increased intake of dietary fibre, and increased physical activity. Beneficial lifestyle changes achieved by participants in the intervention group were maintained after the discontinuation of the intervention, and the corresponding incidence rates during the post-intervention follow-up were 4·6 and 7·2 (p=0·0401), indicating 36% reduction in relative risk. Interpretation Lifestyle intervention in people at high risk for type 2 diabetes resulted in sustained lifestyle changes and a reduction in diabetes incidence, which remained after the individual lifestyle counselling was stopped.","author":[{"dropping-particle":"","family":"Lindstrom","given":"J","non-dropping-particle":"","parse-names":false,"suffix":""},{"dropping-particle":"","family":"Ilanne-Parikka","given":"Pirjo","non-dropping-particle":"","parse-names":false,"suffix":""},{"dropping-particle":"","family":"Peltonen","given":"Markku","non-dropping-particle":"","parse-names":false,"suffix":""},{"dropping-particle":"","family":"Aunola","given":"Sirkka","non-dropping-particle":"","parse-names":false,"suffix":""},{"dropping-particle":"","family":"Eriksson","given":"Johan G","non-dropping-particle":"","parse-names":false,"suffix":""},{"dropping-particle":"","family":"Hemio","given":"K","non-dropping-particle":"","parse-names":false,"suffix":""},{"dropping-particle":"","family":"Hamalainen","given":"H","non-dropping-particle":"","parse-names":false,"suffix":""},{"dropping-particle":"","family":"Harkonen","given":"P","non-dropping-particle":"","parse-names":false,"suffix":""},{"dropping-particle":"","family":"Keinanen-Kiukaanniemi","given":"S","non-dropping-particle":"","parse-names":false,"suffix":""},{"dropping-particle":"","family":"Laakso","given":"Mauri","non-dropping-particle":"","parse-names":false,"suffix":""},{"dropping-particle":"","family":"Louheranta","given":"Anne","non-dropping-particle":"","parse-names":false,"suffix":""},{"dropping-particle":"","family":"Mannelin","given":"Marjo","non-dropping-particle":"","parse-names":false,"suffix":""},{"dropping-particle":"","family":"Paturi","given":"Merja","non-dropping-particle":"","parse-names":false,"suffix":""},{"dropping-particle":"","family":"Sundvall","given":"Jouko","non-dropping-particle":"","parse-names":false,"suffix":""},{"dropping-particle":"","family":"Valle","given":"Timo T","non-dropping-particle":"","parse-names":false,"suffix":""},{"dropping-particle":"","family":"Uusitupa","given":"Matti","non-dropping-particle":"","parse-names":false,"suffix":""},{"dropping-particle":"","family":"Tuomilehto","given":"Jaakko","non-dropping-particle":"","parse-names":false,"suffix":""}],"container-title":"The Lancet","id":"ITEM-5","issued":{"date-parts":[["2006"]]},"page":"1673-1679","title":"Sustained reduction in the incidence of type 2 diabetes by lifestyle intervention: follow-up of the Finnish diabetes prevention study","type":"article-journal","volume":"368"},"uris":["http://www.mendeley.com/documents/?uuid=d27c96c5-e2fc-4ac6-8909-642dbf236daf"]},{"id":"ITEM-6","itemData":{"DOI":"10.2337/diacare.20.4.537","ISBN":"0149-5992 (Print)\\r0149-5992 (Linking)","ISSN":"0149-5992","PMID":"9096977","abstract":"See, stats, and : https : / / www . researchgate . net / publication / 14120015 Effects NIDDM Tolerance : The . . . ArticleDOI:10.2337/diacare.20.4.537:PubMedCITATIONS2,508READS4,59118,including:ZhiweiMax503,016SEEJianzhongTsinghua73,235SEEJianlongIcahn309,412SEEHuiPublic5,413SEEAll.The.All-textand,letting.OBJECTIVE—Individualswithimpairedglucosetolerance(IGT)haveahighriskofdevelopingNIDDM.ThepurposeofthisstudywastodeterminewhetherdietandexerciseinterventionsinthosewithIGTmaydelaythedevelopmentofNIDDM,i.e.,reducetheinci-denceofNIDDM,andtherebyreducetheoverallincidenceofdiabeticcomplications,suchascardiovascular,renal,andretinaldisease,andtheexcessmortalityattributabletothesecom-plications.RESEARCHDESIGNANDMETHODS—In1986,110,660menandwomenfrom33healthcareclinicsinthecityofDaQing,China,werescreenedforIGTandNIDDM.Oftheseindividuals,577wereclassified(usingWorldHealthOrganizationcriteria)ashavingIGT.Sub-jectswererandomizedbyclinicintoaclinicaltrial,eithertoacontrolgrouportooneofthreeactivetreatmentgroups:dietonly,exerciseonly,ordietplusexercise.Follow-upevaluationexaminationswereconductedat2-yearintervalsovera6-yearperiodtoidentifysubjectswhodevelopedNIDDM.Cox'sproportionalhazardanalysiswasusedtodetermineiftheincidenceofNIDDMvariedbytreatmentassignment.RESULTS—Thecumulativeincidenceofdiabetesat6yearswas67.7%(95%CI,59.8-75.2)inthecontrolgroupcomparedwith43.8%(95%CI,35.5-52.3)inthedietgroup,41.1%(95%CI,33.4-49.4)intheexercisegroup,and46.0%(95%CI,37.3-54.7)inthediet-plus-exercisegroup(P&lt;0.05).Whenanalyzedbyclinic,eachoftheactiveinterventiongroupsdifferedsignificantlyfromthecontrolclinics(P&lt;0.05).Therelativedecreaseinrateofdevelopmentofdiabetesintheactivetreatmentgroupswassimilarwhensubjectswerestratifiedasleanoroverweight(BMI&lt;or&gt;25kg/m2).InaproportionalhazardsanalysisadjustedfordifferencesinbaselineBMIandfastingglucose,thediet,exercise,anddiet-plus-exerciseinterventionswereassociatedwith31%(P&lt;0.03),46%(P&lt;0.0005),and42%(P&lt;0.005)reductionsinriskofdevelopingdiabetes,respectively.","author":[{"dropping-particle":"","family":"Pan","given":"X-R.","non-dropping-particle":"","parse-names":false,"suffix":""},{"dropping-particle":"","family":"Li","given":"G-W.","non-dropping-particle":"","parse-names":false,"suffix":""},{"dropping-particle":"","family":"Hu","given":"Y-H.","non-dropping-particle":"","parse-names":false,"suffix":""},{"dropping-particle":"","family":"Wang","given":"J-X.","non-dropping-particle":"","parse-names":false,"suffix":""},{"dropping-particle":"","family":"Yang","given":"W-Y.","non-dropping-particle":"","parse-names":false,"suffix":""},{"dropping-particle":"","family":"An","given":"Z-X.","non-dropping-particle":"","parse-names":false,"suffix":""},{"dropping-particle":"al","family":"Hu, Z-X.","given":"et","non-dropping-particle":"","parse-names":false,"suffix":""}],"container-title":"Diabetes Care","id":"ITEM-6","issue":"4","issued":{"date-parts":[["1997"]]},"page":"537-44","title":"Effects of diet and exercise in preventing NIDDM in people with impaired glucose tolerance","type":"article-journal","volume":"20"},"uris":["http://www.mendeley.com/documents/?uuid=0f5d3e9c-189a-44dc-b4e1-852897dab408"]},{"id":"ITEM-7","itemData":{"ISSN":"2044-6055","abstract":"Objectives: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Open","id":"ITEM-7","issued":{"date-parts":[["2018"]]},"note":"Accession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implementation.","type":"article-journal","volume":"8"},"uris":["http://www.mendeley.com/documents/?uuid=0a421108-0e51-4039-8549-33e6c08f2b12"]}],"mendeley":{"formattedCitation":"(Absetz et al., 2007; Diabetes Prevention Program Research Group, 2009; Dunbar, 2017; Laatikainen et al., 2007; Lindstrom et al., 2006; Pan et al., 1997; Penn et al., 2018)","plainTextFormattedCitation":"(Absetz et al., 2007; Diabetes Prevention Program Research Group, 2009; Dunbar, 2017; Laatikainen et al., 2007; Lindstrom et al., 2006; Pan et al., 1997; Penn et al., 2018)","previouslyFormattedCitation":"(Absetz et al., 2007; Diabetes Prevention Program Research Group, 2009; Dunbar, 2017; Laatikainen et al., 2007; Lindstrom et al., 2006; Pan et al., 1997; Penn et al., 2018)"},"properties":{"noteIndex":0},"schema":"https://github.com/citation-style-language/schema/raw/master/csl-citation.json"}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(Absetz et al., 2007; Diabetes Prevention Program Research Group, 2009; Dunbar, 2017; Laatikainen et al., 2007; Lindstrom et al., 2006; Pan et al., 1997; Penn et al., 2018)</w:t>
      </w:r>
      <w:r w:rsidRPr="00103A0B">
        <w:rPr>
          <w:rFonts w:ascii="Arial" w:hAnsi="Arial" w:cs="Arial"/>
        </w:rPr>
        <w:fldChar w:fldCharType="end"/>
      </w:r>
      <w:r w:rsidRPr="00103A0B">
        <w:rPr>
          <w:rFonts w:ascii="Arial" w:hAnsi="Arial" w:cs="Arial"/>
          <w:sz w:val="24"/>
          <w:szCs w:val="24"/>
        </w:rPr>
        <w:t>.</w:t>
      </w:r>
      <w:r w:rsidRPr="00103A0B">
        <w:rPr>
          <w:rFonts w:ascii="Arial" w:hAnsi="Arial" w:cs="Arial"/>
          <w:sz w:val="19"/>
          <w:szCs w:val="19"/>
        </w:rPr>
        <w:t xml:space="preserve"> </w:t>
      </w:r>
      <w:r w:rsidRPr="00103A0B">
        <w:rPr>
          <w:rFonts w:ascii="Arial" w:eastAsia="Times New Roman" w:hAnsi="Arial" w:cs="Arial"/>
          <w:sz w:val="24"/>
          <w:szCs w:val="24"/>
          <w:lang w:eastAsia="en-GB"/>
        </w:rPr>
        <w:t xml:space="preserve">A primary objective of DPPs is to support those with prediabetes (i.e., at high risk of T2DM) to lower their risk of developing T2DM through weight loss or management </w:t>
      </w:r>
      <w:r w:rsidRPr="00103A0B">
        <w:rPr>
          <w:rFonts w:ascii="Arial" w:hAnsi="Arial" w:cs="Arial"/>
        </w:rPr>
        <w:fldChar w:fldCharType="begin" w:fldLock="1"/>
      </w:r>
      <w:r w:rsidR="00AF410C" w:rsidRPr="00103A0B">
        <w:rPr>
          <w:rFonts w:ascii="Arial" w:eastAsia="Times New Roman" w:hAnsi="Arial" w:cs="Arial"/>
          <w:sz w:val="24"/>
          <w:szCs w:val="24"/>
          <w:lang w:eastAsia="en-GB"/>
        </w:rPr>
        <w:instrText xml:space="preserve">ADDIN CSL_CITATION {"citationItems":[{"id":"ITEM-1","itemData":{"DOI":"10.1016/S0140- 6736(09)61457-4","ISBN":"1474-547X (Electronic)\\n0140-6736 (Linking)","ISSN":"01406736","PMID":"19878986","abstract":"Background: In the 2·8 years of the Diabetes Prevention Program (DPP) randomised clinical trial, diabetes incidence in high-risk adults was reduced by 58% with intensive lifestyle intervention and by 31% with metformin, compared with placebo. We investigated the persistence of these effects in the long term. Methods: All active DPP participants were eligible for continued follow-up. 2766 of 3150 (88%) enrolled for a median additional follow-up of 5·7 years (IQR 5·5-5·8). 910 participants were from the lifestyle, 924 from the metformin, and 932 were from the original placebo groups. On the basis of the benefits from the intensive lifestyle intervention in the DPP, all three groups were offered group-implemented lifestyle intervention. Metformin treatment was continued in the original metformin group (850 mg twice daily as tolerated), with participants unmasked to assignment, and the original lifestyle intervention group was offered additional lifestyle support. The primary outcome was development of diabetes according to American Diabetes Association criteria. Analysis was by intention-to-treat. This study is registered with ClinicalTrials.gov, number NCT00038727. Findings: During the 10·0-year (IQR 9·0-10·5) follow-up since randomisation to DPP, the original lifestyle group lost, then partly regained weight. The modest weight loss with metformin was maintained. Diabetes incidence rates during the DPP were 4·8 cases per 100 person-years (95% CI 4·1-5·7) in the intensive lifestyle intervention group, 7·8 (6·8-8·8) in the metformin group, and 11·0 (9·8-12·3) in the placebo group. Diabetes incidence rates in this follow-up study were similar between treatment groups: 5·9 per 100 person-years (5·1-6·8) for lifestyle, 4·9 (4·2-5·7) for metformin, and 5·6 (4·8-6·5) for placebo. Diabetes incidence in the 10 years since DPP randomisation was reduced by 34% (24-42) in the lifestyle group and 18% (7-28) in the metformin group compared with placebo. Interpretation: During follow-up after DPP, incidences in the former placebo and metformin groups fell to equal those in the former lifestyle group, but the cumulative incidence of diabetes remained lowest in the lifestyle group. Prevention or delay of diabetes with lifestyle intervention or metformin can persist for at least 10 years. Funding: National Institute of Diabetes and Digestive and Kidney Diseases (NIDDK). © 2009 Elsevier Ltd. All rights reserved.","author":[{"dropping-particle":"","family":"Diabetes Prevention Program Research Group","given":"","non-dropping-particle":"","parse-names":false,"suffix":""}],"container-title":"The Lancet","id":"ITEM-1","issued":{"date-parts":[["2009"]]},"page":"1677-1686","publisher":"Elsevier Ltd","title":"10-year follow-up of diabetes incidence and weight loss in the diabetes prevention program outcomes study","type":"article-journal","volume":"374"},"uris":["http://www.mendeley.com/documents/?uuid=5beeceec-4d29-4c17-b528-7b647c5a8b77"]},{"id":"ITEM-2","itemData":{"DOI":"10.2337/dc07-0171","ISBN":"0149-5992","ISSN":"0149-5992","PMID":"17586741","abstract":"OBJECTIVE— “Real-world” implementation of lifestyle interventions is a challenge. The Good Ageing in Lahti Region (GOAL) Lifestyle Implementation Trial was designed for the primary health care setting, with lifestyle and risk reduction objectives derived from the major diabetes prevention efficacy trials. We report on the program’s effectiveness as well as findings related to the program’s reach, adoption, and implementation. RESEARCHDESIGNANDMETHODS— A total of 352 middle-aged participants with elevated type 2 diabetes risk were recruited from the health care centers in Pa¨ija¨t-Ha¨me Province in Finland. The intervention included six group counseling sessions, delivered by trained public health nurses. Measurement was conducted at baseline and 12 months. Clinical risk factors were measured by study nurses, and lifestyle outcomes were analyzed from self-reports. Lifestyle outcomes were compared with the outcomes achieved in relevant efficacy trials, and within- subject changes were tested for risk reduction. RESULTS— At baseline, mean BMI was </w:instrText>
      </w:r>
      <w:r w:rsidR="00AF410C" w:rsidRPr="00103A0B">
        <w:rPr>
          <w:rFonts w:ascii="Arial" w:eastAsia="Times New Roman" w:hAnsi="Arial" w:cs="Arial" w:hint="eastAsia"/>
          <w:sz w:val="24"/>
          <w:szCs w:val="24"/>
          <w:lang w:eastAsia="en-GB"/>
        </w:rPr>
        <w:instrText></w:instrText>
      </w:r>
      <w:r w:rsidR="00AF410C" w:rsidRPr="00103A0B">
        <w:rPr>
          <w:rFonts w:ascii="Arial" w:eastAsia="Times New Roman" w:hAnsi="Arial" w:cs="Arial"/>
          <w:sz w:val="24"/>
          <w:szCs w:val="24"/>
          <w:lang w:eastAsia="en-GB"/>
        </w:rPr>
        <w:instrText>32 kg/m2 , and 25% of the participants had im- paired glucose tolerance. At 12 months, 20% of participants achieved at least four of five key lifestyle outcomes, with these results being comparable with the reference trials. However, physical activity and weight loss goals were achieved significantly less frequently (65 vs.86%and 12 vs. 43%, respectively). Several clinical risk factors decreased, more so among men than women. CONCLUSIONS— This trial demonstrates that lifestyle counseling can be effective and is feasible in real-world settings for individuals with elevated risk of type 2 diabetes. To increase program impact, program exposure and treatment intensity need to be increased","author":[{"dropping-particle":"","family":"Absetz","given":"P.","non-dropping-particle":"","parse-names":false,"suffix":""},{"dropping-particle":"","family":"Valve","given":"R.","non-dropping-particle":"","parse-names":false,"suffix":""},{"dropping-particle":"","family":"Oldenburg","given":"B.","non-dropping-particle":"","parse-names":false,"suffix":""},{"dropping-particle":"","family":"Heinonen","given":"H.","non-dropping-particle":"","parse-names":false,"suffix":""},{"dropping-particle":"","family":"Nissinen","given":"A.","non-dropping-particle":"","parse-names":false,"suffix":""},{"dropping-particle":"","family":"Fogelholm","given":"M.","non-dropping-particle":"","parse-names":false,"suffix":""},{"dropping-particle":"","family":"Ilvesmaki","given":"V.","non-dropping-particle":"","parse-names":false,"suffix":""},{"dropping-particle":"","family":"Talja","given":"M.","non-dropping-particle":"","parse-names":false,"suffix":""},{"dropping-particle":"","family":"Uutela","given":"A.","non-dropping-particle":"","parse-names":false,"suffix":""}],"container-title":"Diabetes Care","id":"ITEM-2","issue":"10","issued":{"date-parts":[["2007"]]},"page":"2465-2470","title":"Type 2 diabetes prevention in the “real world”","type":"article-journal","volume":"30"},"uris":["http://www.mendeley.com/documents/?uuid=14151607-3873-4b0d-b0a6-ed2d7911e6d4"]},{"id":"ITEM-3","itemData":{"author":[{"dropping-particle":"","family":"Diabetes Prevention Team","given":"","non-dropping-particle":"","parse-names":false,"suffix":""}],"id":"ITEM-3","issued":{"date-parts":[["2015"]]},"number-of-pages":"1-32","title":"Consultation guide: national procurement for the provision of behavioural interventions for people with non-diabetic hyperglycaemia","type":"report"},"uris":["http://www.mendeley.com/documents/?uuid=00fe88c7-ca9b-4ae1-8051-3f6463f5ce57"]}],"mendeley":{"formattedCitation":"(Absetz et al., 2007; Diabetes Prevention Program Research Group, 2009; Diabetes Prevention Team, 2015)","plainTextFormattedCitation":"(Absetz et al., 2007; Diabetes Prevention Program Research Group, 2009; Diabetes Prevention Team, 2015)","previouslyFormattedCitation":"(Absetz et al., 2007; Diabetes Prevention Program Research Group, 2009; Diabetes Prevention Team, 2015)"},"properties":{"noteIndex":0},"schema":"https://github.com/citation-style-language/schema/raw/master/csl-citation.json"}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(Absetz et al., 2007; Diabetes Prevention Program Research Group, 2009; Diabetes Prevention Team, 2015)</w:t>
      </w:r>
      <w:r w:rsidRPr="00103A0B">
        <w:rPr>
          <w:rFonts w:ascii="Arial" w:hAnsi="Arial" w:cs="Arial"/>
        </w:rPr>
        <w:fldChar w:fldCharType="end"/>
      </w:r>
      <w:r w:rsidRPr="00103A0B">
        <w:rPr>
          <w:rFonts w:ascii="Arial" w:eastAsia="Times New Roman" w:hAnsi="Arial" w:cs="Arial"/>
          <w:sz w:val="24"/>
          <w:szCs w:val="24"/>
          <w:lang w:eastAsia="en-GB"/>
        </w:rPr>
        <w:t xml:space="preserve">. </w:t>
      </w:r>
    </w:p>
    <w:p w14:paraId="590C8AF7" w14:textId="11DDD34D" w:rsidR="00324C56" w:rsidRPr="00103A0B" w:rsidRDefault="00324C56" w:rsidP="005D0A3A">
      <w:pPr>
        <w:spacing w:before="100"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It has been recommended that national DPPs incorporate group-based elements or a social dimension </w:t>
      </w:r>
      <w:r w:rsidRPr="00103A0B">
        <w:rPr>
          <w:rFonts w:ascii="Arial" w:eastAsia="Times New Roman" w:hAnsi="Arial" w:cs="Arial"/>
          <w:sz w:val="24"/>
          <w:szCs w:val="24"/>
          <w:lang w:eastAsia="en-GB"/>
        </w:rPr>
        <w:fldChar w:fldCharType="begin" w:fldLock="1"/>
      </w:r>
      <w:r w:rsidR="000D70A8" w:rsidRPr="00103A0B">
        <w:rPr>
          <w:rFonts w:ascii="Arial" w:eastAsia="Times New Roman" w:hAnsi="Arial" w:cs="Arial"/>
          <w:sz w:val="24"/>
          <w:szCs w:val="24"/>
          <w:lang w:eastAsia="en-GB"/>
        </w:rPr>
        <w:instrText>ADDIN CSL_CITATION {"citationItems":[{"id":"ITEM-1","itemData":{"author":[{"dropping-particle":"","family":"Public Health England","given":"","non-dropping-particle":"","parse-names":false,"suffix":""}],"id":"ITEM-1","issued":{"date-parts":[["2016"]]},"number-of-pages":"1-20","title":"NHS diabetes prevention programme: an opportunity to partner with the behavioural insight team to improve outcomes","type":"report"},"uris":["http://www.mendeley.com/documents/?uuid=6f0e8253-27d4-40ef-bf26-4af34232fd90"]}],"mendeley":{"formattedCitation":"(Public Health England, 2016)","plainTextFormattedCitation":"(Public Health England, 2016)","previouslyFormattedCitation":"(Public Health England,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D70A8" w:rsidRPr="00103A0B">
        <w:rPr>
          <w:rFonts w:ascii="Arial" w:eastAsia="Times New Roman" w:hAnsi="Arial" w:cs="Arial"/>
          <w:noProof/>
          <w:sz w:val="24"/>
          <w:szCs w:val="24"/>
          <w:lang w:eastAsia="en-GB"/>
        </w:rPr>
        <w:t>(Public Health England,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Group-based delivery can reduce programme costs as it requires less staff time than individual-based interventions</w:t>
      </w:r>
      <w:r w:rsidRPr="00103A0B">
        <w:rPr>
          <w:rFonts w:ascii="Arial" w:hAnsi="Arial" w:cs="Arial"/>
          <w:sz w:val="24"/>
          <w:szCs w:val="24"/>
        </w:rPr>
        <w:t xml:space="preserve"> </w:t>
      </w:r>
      <w:r w:rsidRPr="00103A0B">
        <w:rPr>
          <w:rFonts w:ascii="Arial" w:hAnsi="Arial" w:cs="Arial"/>
        </w:rPr>
        <w:fldChar w:fldCharType="begin" w:fldLock="1"/>
      </w:r>
      <w:r w:rsidR="008D109C" w:rsidRPr="00103A0B">
        <w:rPr>
          <w:rFonts w:ascii="Arial" w:hAnsi="Arial" w:cs="Arial"/>
          <w:sz w:val="24"/>
          <w:szCs w:val="24"/>
        </w:rPr>
        <w:instrText>ADDIN CSL_CITATION {"citationItems":[{"id":"ITEM-1","itemData":{"DOI":"10.2337/diacare.26.1.36","ISSN":"0149-5992","abstract":"OBJECTIVE--To describe the costs of the Diabetes Prevention Program (DPP) interventions to prevent or delay type 2 diabetes. RESEARCH DESIGN AND METHODS--We describe the direct medical costs, direct nonmedical costs, and indirect costs of the placebo, metformin, and intensive lifestyle interventions over the 3-year study period of the DPP. Resource use and cost are summarized from the perspective of a large health system and society. Research costs are excluded. RESULTS--The direct medical cost of laboratory tests to identify one subject with impaired glucose tolerance (IGT) was $139. Over 3 years, the direct medical costs of the interventions were $79 per participant in the placebo group, $2,542 in the metformin group, and $2,780 in the lifestyle group. The direct medical costs of care outside the DPP were $272 less per participant in the metformin group and $432 less in the lifestyle group compared with the placebo group. Direct nonmedical costs were $9 less per participant in the metformin group and $1,445 greater in the lifestyle group compared with the placebo group. Indirect costs were $230 greater per participant in the metformin group and $174 less in the lifestyle group compared with the placebo group. From the perspective of a health system, the cost of the metformin intervention relative to the placebo intervention was $2,191 per participant and the cost of the lifestyle intervention was $2,269 per participant over 3 years. From the perspective of society, the cost of the metformin intervention relative to the placebo intervention was $2,412 per participant and the cost of the lifestyle intervention was $3,540 per participant over 3 years. CONCLUSIONS--The metformin and lifestyle interventions are associated with modest incremental costs compared with the placebo intervention. The evaluation of costs relative to health benefits will determine the value of these interventions to health systems and society.","author":[{"dropping-particle":"","family":"The Diabetes Prevention Program Research Group","given":"","non-dropping-particle":"","parse-names":false,"suffix":""}],"container-title":"Diabetes Care","id":"ITEM-1","issue":"1","issued":{"date-parts":[["2003"]]},"page":"36-47","title":"Costs associated with the primary prevention of type 2 diabetes mellitus in the diabetes prevention program","type":"article-journal","volume":"26"},"uris":["http://www.mendeley.com/documents/?uuid=733ce6ea-5eef-435a-b2dc-978728c761f0"]}],"mendeley":{"formattedCitation":"(The Diabetes Prevention Program Research Group, 2003)","plainTextFormattedCitation":"(The Diabetes Prevention Program Research Group, 2003)","previouslyFormattedCitation":"(The Diabetes Prevention Program Research Group, 2003)"},"properties":{"noteIndex":0},"schema":"https://github.com/citation-style-language/schema/raw/master/csl-citation.json"}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(The Diabetes Prevention Program Research Group, 2003)</w:t>
      </w:r>
      <w:r w:rsidRPr="00103A0B">
        <w:rPr>
          <w:rFonts w:ascii="Arial" w:hAnsi="Arial" w:cs="Arial"/>
        </w:rPr>
        <w:fldChar w:fldCharType="end"/>
      </w:r>
      <w:r w:rsidRPr="00103A0B">
        <w:rPr>
          <w:rFonts w:ascii="Arial" w:eastAsia="Times New Roman" w:hAnsi="Arial" w:cs="Arial"/>
          <w:sz w:val="24"/>
          <w:szCs w:val="24"/>
          <w:lang w:eastAsia="en-GB"/>
        </w:rPr>
        <w:t xml:space="preserve">. It is important that DPPs are clinically effective and financially viable </w:t>
      </w:r>
      <w:r w:rsidRPr="00103A0B">
        <w:rPr>
          <w:rFonts w:ascii="Arial" w:hAnsi="Arial" w:cs="Arial"/>
        </w:rPr>
        <w:fldChar w:fldCharType="begin" w:fldLock="1"/>
      </w:r>
      <w:r w:rsidR="008D109C" w:rsidRPr="00103A0B">
        <w:rPr>
          <w:rFonts w:ascii="Arial" w:eastAsia="Times New Roman" w:hAnsi="Arial" w:cs="Arial"/>
          <w:sz w:val="24"/>
          <w:szCs w:val="24"/>
          <w:lang w:eastAsia="en-GB"/>
        </w:rPr>
        <w:instrText>ADDIN CSL_CITATION {"citationItems":[{"id":"ITEM-1","itemData":{"abstract":"The significant rise and projected trends in the incidence of type 2 diabetes argue for a concerted effort on prevention. The strongest currently available evidence for diabetes prevention involves people at high risk for type 2 diabetes (i.e., those with prediabetes). Randomized, controlled trials and translation studies have demonstrated that type 2 diabetes can be prevented or delayed through a structured lifestyle intervention that can be delivered cost-effectively in a variety of settings. For the first time in the United States, a coordinated, focused effort is underway to bring this effective and cost-conscious lifestyle intervention to communities across the country to ultimately reduce the incidence of type 2 diabetes.","author":[{"dropping-particle":"","family":"Albright","given":"Ann","non-dropping-particle":"","parse-names":false,"suffix":""}],"container-title":"Diabetes care Educ Newsl.","id":"ITEM-1","issue":"4","issued":{"date-parts":[["2012"]]},"page":"4-7","title":"The national diabetes prevention program: from research to reality","type":"article-journal","volume":"33"},"uris":["http://www.mendeley.com/documents/?uuid=36427db8-9c7a-4530-b370-c8e7d9de3abb"]}],"mendeley":{"formattedCitation":"(Albright, 2012)","plainTextFormattedCitation":"(Albright, 2012)","previouslyFormattedCitation":"(Albright, 2012)"},"properties":{"noteIndex":0},"schema":"https://github.com/citation-style-language/schema/raw/master/csl-citation.json"}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(Albright, 2012)</w:t>
      </w:r>
      <w:r w:rsidRPr="00103A0B">
        <w:rPr>
          <w:rFonts w:ascii="Arial" w:hAnsi="Arial" w:cs="Arial"/>
        </w:rPr>
        <w:fldChar w:fldCharType="end"/>
      </w:r>
      <w:r w:rsidRPr="00103A0B">
        <w:rPr>
          <w:rFonts w:ascii="Arial" w:eastAsia="Times New Roman" w:hAnsi="Arial" w:cs="Arial"/>
          <w:sz w:val="24"/>
          <w:szCs w:val="24"/>
          <w:lang w:eastAsia="en-GB"/>
        </w:rPr>
        <w:t>. Programme viability is dependent on reaching and supporting sufficient numbers of the target population; i.e., uptake and retention</w:t>
      </w:r>
      <w:r w:rsidR="00451DE2" w:rsidRPr="00103A0B">
        <w:rPr>
          <w:rFonts w:ascii="Arial" w:eastAsia="Times New Roman" w:hAnsi="Arial" w:cs="Arial"/>
          <w:sz w:val="24"/>
          <w:szCs w:val="24"/>
          <w:lang w:eastAsia="en-GB"/>
        </w:rPr>
        <w:t xml:space="preserve"> </w:t>
      </w:r>
      <w:r w:rsidRPr="00103A0B">
        <w:rPr>
          <w:rFonts w:ascii="Arial" w:hAnsi="Arial" w:cs="Arial"/>
        </w:rPr>
        <w:fldChar w:fldCharType="begin" w:fldLock="1"/>
      </w:r>
      <w:r w:rsidR="004E0154" w:rsidRPr="00103A0B">
        <w:rPr>
          <w:rFonts w:ascii="Arial" w:eastAsia="Times New Roman" w:hAnsi="Arial" w:cs="Arial"/>
          <w:sz w:val="24"/>
          <w:szCs w:val="24"/>
          <w:lang w:eastAsia="en-GB"/>
        </w:rPr>
        <w:instrText>ADDIN CSL_CITATION {"citationItems":[{"id":"ITEM-1","itemData":{"DOI":"10.2337/diaclin.28.2.53","ISBN":"0891-8929","ISSN":"0891-8929","abstract":"This review offers a discussion of various strategies for the prevention of type 2 diabetes. It includes results from recent clinical trials targeting patients who are at highest risk for the development of diabetes, with a particular emphasis on lifestyle modification strategies and the implementation of such programs in community-based settings.","author":[{"dropping-particle":"","family":"Ahmad","given":"L. A.","non-dropping-particle":"","parse-names":false,"suffix":""},{"dropping-particle":"","family":"Crandall","given":"J. P.","non-dropping-particle":"","parse-names":false,"suffix":""}],"container-title":"Clinical Diabetes","id":"ITEM-1","issue":"2","issued":{"date-parts":[["2010"]]},"page":"53-59","title":"Type 2 diabetes prevention: a review","type":"article-journal","volume":"28"},"uris":["http://www.mendeley.com/documents/?uuid=da9e04b3-871f-4bfa-ac60-8126d6ee51f1"]},{"id":"ITEM-2","itemData":{"DOI":"https://doi.org/10.1177/0890117119848985","author":[{"dropping-particle":"","family":"Alva","given":"M.L.","non-dropping-particle":"","parse-names":false,"suffix":""}],"container-title":"American Journal of Health Promotion","id":"ITEM-2","issue":"7","issued":{"date-parts":[["2019"]]},"page":"1067-72","title":"How much does attendance impact weight loss and health care spending in a diabetes prevention program serving older adults?","type":"article-journal","volume":"33"},"uris":["http://www.mendeley.com/documents/?uuid=ab27f0b0-3076-419f-87af-9f779434d81e"]}],"mendeley":{"formattedCitation":"(Ahmad &amp; Crandall, 2010; Alva, 2019a)","plainTextFormattedCitation":"(Ahmad &amp; Crandall, 2010; Alva, 2019a)","previouslyFormattedCitation":"(Ahmad &amp; Crandall, 2010; Alva, 2019a)"},"properties":{"noteIndex":0},"schema":"https://github.com/citation-style-language/schema/raw/master/csl-citation.json"}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4E0154" w:rsidRPr="00103A0B">
        <w:rPr>
          <w:rFonts w:ascii="Arial" w:eastAsia="Times New Roman" w:hAnsi="Arial" w:cs="Arial"/>
          <w:noProof/>
          <w:sz w:val="24"/>
          <w:szCs w:val="24"/>
          <w:lang w:eastAsia="en-GB"/>
        </w:rPr>
        <w:t>(Ahmad &amp; Crandall, 2010; Alva, 2019a)</w:t>
      </w:r>
      <w:r w:rsidRPr="00103A0B">
        <w:rPr>
          <w:rFonts w:ascii="Arial" w:hAnsi="Arial" w:cs="Arial"/>
        </w:rPr>
        <w:fldChar w:fldCharType="end"/>
      </w:r>
      <w:r w:rsidRPr="00103A0B">
        <w:rPr>
          <w:rFonts w:ascii="Arial" w:eastAsia="Times New Roman" w:hAnsi="Arial" w:cs="Arial"/>
          <w:sz w:val="24"/>
          <w:szCs w:val="24"/>
          <w:lang w:eastAsia="en-GB"/>
        </w:rPr>
        <w:t xml:space="preserve">.  </w:t>
      </w:r>
    </w:p>
    <w:p w14:paraId="513C0EA1" w14:textId="73D22F3F" w:rsidR="00324C56" w:rsidRPr="00103A0B" w:rsidRDefault="00324C56" w:rsidP="005D0A3A">
      <w:pPr>
        <w:spacing w:before="100" w:after="100" w:line="360" w:lineRule="auto"/>
        <w:jc w:val="both"/>
        <w:rPr>
          <w:rFonts w:ascii="Arial" w:hAnsi="Arial" w:cs="Arial"/>
          <w:sz w:val="24"/>
          <w:szCs w:val="24"/>
        </w:rPr>
      </w:pPr>
      <w:r w:rsidRPr="00103A0B">
        <w:rPr>
          <w:rFonts w:ascii="Arial" w:eastAsia="Times New Roman" w:hAnsi="Arial" w:cs="Arial"/>
          <w:sz w:val="24"/>
          <w:szCs w:val="24"/>
          <w:lang w:eastAsia="en-GB"/>
        </w:rPr>
        <w:lastRenderedPageBreak/>
        <w:t xml:space="preserve">Uptake relies on effective recruitment strategies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{"citationItems":[{"id":"ITEM-1","itemData":{"author":[{"dropping-particle":"","family":"McCann","given":"Jennifer","non-dropping-particle":"","parse-names":false,"suffix":""},{"dropping-particle":"","family":"Ridgers","given":"Nicola D","non-dropping-particle":"","parse-names":false,"suffix":""},{"dropping-particle":"","family":"Carver","given":"Alison","non-dropping-particle":"","parse-names":false,"suffix":""},{"dropping-particle":"","family":"Thornton","given":"Lukar E","non-dropping-particle":"","parse-names":false,"suffix":""},{"dropping-particle":"","family":"Teychenne","given":"Megan","non-dropping-particle":"","parse-names":false,"suffix":""}],"container-title":"Health Promotion Journal of Australia","id":"ITEM-1","issued":{"date-parts":[["2013"]]},"page":"104-10","title":"Effective recruitment and retention strategies in community health programs","type":"article-journal","volume":"24"},"uris":["http://www.mendeley.com/documents/?uuid=e354c3e0-0452-4b26-8e0b-2fdc24d400dc"]}],"mendeley":{"formattedCitation":"(McCann et al., 2013)","plainTextFormattedCitation":"(McCann et al., 2013)","previouslyFormattedCitation":"(McCann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7E0EE7" w:rsidRPr="00103A0B">
        <w:rPr>
          <w:rFonts w:ascii="Arial" w:eastAsia="Times New Roman" w:hAnsi="Arial" w:cs="Arial"/>
          <w:noProof/>
          <w:sz w:val="24"/>
          <w:szCs w:val="24"/>
          <w:lang w:eastAsia="en-GB"/>
        </w:rPr>
        <w:t>(McCann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r w:rsidR="002D3F97" w:rsidRPr="00103A0B">
        <w:rPr>
          <w:rFonts w:ascii="Arial" w:eastAsia="Times New Roman" w:hAnsi="Arial" w:cs="Arial"/>
          <w:sz w:val="24"/>
          <w:szCs w:val="24"/>
          <w:lang w:eastAsia="en-GB"/>
        </w:rPr>
        <w:t xml:space="preserve"> </w:t>
      </w:r>
      <w:r w:rsidRPr="00103A0B">
        <w:rPr>
          <w:rFonts w:ascii="Arial" w:eastAsia="Times New Roman" w:hAnsi="Arial" w:cs="Arial"/>
          <w:sz w:val="24"/>
          <w:szCs w:val="24"/>
          <w:lang w:eastAsia="en-GB"/>
        </w:rPr>
        <w:t xml:space="preserve">Understanding which recruitment strategies are most likely to elicit a response from potential participants (response rate) and lead to them starting a programme (uptake) is important to maximise response and uptake rates, and minimise the risk and financial costs related to insufficient recruitment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{"citationItems":[{"id":"ITEM-1","itemData":{"author":[{"dropping-particle":"","family":"McCann","given":"Jennifer","non-dropping-particle":"","parse-names":false,"suffix":""},{"dropping-particle":"","family":"Ridgers","given":"Nicola D","non-dropping-particle":"","parse-names":false,"suffix":""},{"dropping-particle":"","family":"Carver","given":"Alison","non-dropping-particle":"","parse-names":false,"suffix":""},{"dropping-particle":"","family":"Thornton","given":"Lukar E","non-dropping-particle":"","parse-names":false,"suffix":""},{"dropping-particle":"","family":"Teychenne","given":"Megan","non-dropping-particle":"","parse-names":false,"suffix":""}],"container-title":"Health Promotion Journal of Australia","id":"ITEM-1","issued":{"date-parts":[["2013"]]},"page":"104-10","title":"Effective recruitment and retention strategies in community health programs","type":"article-journal","volume":"24"},"uris":["http://www.mendeley.com/documents/?uuid=e354c3e0-0452-4b26-8e0b-2fdc24d400dc"]},{"id":"ITEM-2","itemData":{"DOI":"10.1186/s13012-015-0354-6","author":[{"dropping-particle":"","family":"Aziz","given":"Zahra","non-dropping-particle":"","parse-names":false,"suffix":""},{"dropping-particle":"","family":"Absetz","given":"Pilvikki","non-dropping-particle":"","parse-names":false,"suffix":""},{"dropping-particle":"","family":"Oldroyd","given":"John","non-dropping-particle":"","parse-names":false,"suffix":""},{"dropping-particle":"","family":"Pronk","given":"Nicolaas P","non-dropping-particle":"","parse-names":false,"suffix":""},{"dropping-particle":"","family":"Oldenburg","given":"Brian","non-dropping-particle":"","parse-names":false,"suffix":""}],"container-title":"Implementation Science","id":"ITEM-2","issue":"172","issued":{"date-parts":[["2015"]]},"page":"1-17","publisher":"Implementation Science","title":"A systematic review of real-world diabetes prevention programs : learnings from the last 15 years","type":"article-journal","volume":"10"},"uris":["http://www.mendeley.com/documents/?uuid=1cf51005-c143-49f1-97fc-6ad81fc1944a"]}],"mendeley":{"formattedCitation":"(Aziz et al., 2015; McCann et al., 2013)","plainTextFormattedCitation":"(Aziz et al., 2015; McCann et al., 2013)","previouslyFormattedCitation":"(Aziz et al., 2015; McCann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7E0EE7" w:rsidRPr="00103A0B">
        <w:rPr>
          <w:rFonts w:ascii="Arial" w:eastAsia="Times New Roman" w:hAnsi="Arial" w:cs="Arial"/>
          <w:noProof/>
          <w:sz w:val="24"/>
          <w:szCs w:val="24"/>
          <w:lang w:eastAsia="en-GB"/>
        </w:rPr>
        <w:t>(Aziz et al., 2015; McCann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080A1BB8" w14:textId="6D9670AB" w:rsidR="00324C56" w:rsidRPr="00103A0B" w:rsidRDefault="00324C56" w:rsidP="005D0A3A">
      <w:pPr>
        <w:spacing w:before="100"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Retention refers to sustaining participant involvement in the programme for as long as possible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{"citationItems":[{"id":"ITEM-1","itemData":{"author":[{"dropping-particle":"","family":"McCann","given":"Jennifer","non-dropping-particle":"","parse-names":false,"suffix":""},{"dropping-particle":"","family":"Ridgers","given":"Nicola D","non-dropping-particle":"","parse-names":false,"suffix":""},{"dropping-particle":"","family":"Carver","given":"Alison","non-dropping-particle":"","parse-names":false,"suffix":""},{"dropping-particle":"","family":"Thornton","given":"Lukar E","non-dropping-particle":"","parse-names":false,"suffix":""},{"dropping-particle":"","family":"Teychenne","given":"Megan","non-dropping-particle":"","parse-names":false,"suffix":""}],"container-title":"Health Promotion Journal of Australia","id":"ITEM-1","issued":{"date-parts":[["2013"]]},"page":"104-10","title":"Effective recruitment and retention strategies in community health programs","type":"article-journal","volume":"24"},"uris":["http://www.mendeley.com/documents/?uuid=e354c3e0-0452-4b26-8e0b-2fdc24d400dc"]}],"mendeley":{"formattedCitation":"(McCann et al., 2013)","plainTextFormattedCitation":"(McCann et al., 2013)","previouslyFormattedCitation":"(McCann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7E0EE7" w:rsidRPr="00103A0B">
        <w:rPr>
          <w:rFonts w:ascii="Arial" w:eastAsia="Times New Roman" w:hAnsi="Arial" w:cs="Arial"/>
          <w:noProof/>
          <w:sz w:val="24"/>
          <w:szCs w:val="24"/>
          <w:lang w:eastAsia="en-GB"/>
        </w:rPr>
        <w:t>(McCann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To ensure high retention, it is important that DPPs and the lifestyle change (behaviour change) in question are attractive, social and timely </w:t>
      </w:r>
      <w:r w:rsidRPr="00103A0B">
        <w:rPr>
          <w:rFonts w:ascii="Arial" w:hAnsi="Arial" w:cs="Arial"/>
        </w:rPr>
        <w:fldChar w:fldCharType="begin" w:fldLock="1"/>
      </w:r>
      <w:r w:rsidR="000D70A8" w:rsidRPr="00103A0B">
        <w:rPr>
          <w:rFonts w:ascii="Arial" w:eastAsia="Times New Roman" w:hAnsi="Arial" w:cs="Arial"/>
          <w:sz w:val="24"/>
          <w:szCs w:val="24"/>
          <w:lang w:eastAsia="en-GB"/>
        </w:rPr>
        <w:instrText>ADDIN CSL_CITATION {"citationItems":[{"id":"ITEM-1","itemData":{"author":[{"dropping-particle":"","family":"Public Health England","given":"","non-dropping-particle":"","parse-names":false,"suffix":""}],"id":"ITEM-1","issued":{"date-parts":[["2016"]]},"number-of-pages":"1-20","title":"NHS diabetes prevention programme: an opportunity to partner with the behavioural insight team to improve outcomes","type":"report"},"uris":["http://www.mendeley.com/documents/?uuid=6f0e8253-27d4-40ef-bf26-4af34232fd90"]}],"mendeley":{"formattedCitation":"(Public Health England, 2016)","plainTextFormattedCitation":"(Public Health England, 2016)","previouslyFormattedCitation":"(Public Health England,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D70A8" w:rsidRPr="00103A0B">
        <w:rPr>
          <w:rFonts w:ascii="Arial" w:eastAsia="Times New Roman" w:hAnsi="Arial" w:cs="Arial"/>
          <w:noProof/>
          <w:sz w:val="24"/>
          <w:szCs w:val="24"/>
          <w:lang w:eastAsia="en-GB"/>
        </w:rPr>
        <w:t>(Public Health England, 2016)</w:t>
      </w:r>
      <w:r w:rsidRPr="00103A0B">
        <w:rPr>
          <w:rFonts w:ascii="Arial" w:hAnsi="Arial" w:cs="Arial"/>
        </w:rPr>
        <w:fldChar w:fldCharType="end"/>
      </w:r>
      <w:r w:rsidRPr="00103A0B">
        <w:rPr>
          <w:rFonts w:ascii="Arial" w:eastAsia="Times New Roman" w:hAnsi="Arial" w:cs="Arial"/>
          <w:sz w:val="24"/>
          <w:szCs w:val="24"/>
          <w:lang w:eastAsia="en-GB"/>
        </w:rPr>
        <w:t xml:space="preserve">. Therefore, interventions need to be examined to explore common characteristics of those with high rates of retention. One way of systematically examining interventions is to identify which Behaviour Change Techniques (BCTs) are used </w:t>
      </w:r>
      <w:r w:rsidRPr="00103A0B">
        <w:rPr>
          <w:rFonts w:ascii="Arial" w:eastAsia="Times New Roman" w:hAnsi="Arial" w:cs="Arial"/>
          <w:sz w:val="24"/>
          <w:szCs w:val="24"/>
          <w:lang w:eastAsia="en-GB"/>
        </w:rPr>
        <w:fldChar w:fldCharType="begin" w:fldLock="1"/>
      </w:r>
      <w:r w:rsidR="00AD1D6B" w:rsidRPr="00103A0B">
        <w:rPr>
          <w:rFonts w:ascii="Arial" w:eastAsia="Times New Roman" w:hAnsi="Arial" w:cs="Arial"/>
          <w:sz w:val="24"/>
          <w:szCs w:val="24"/>
          <w:lang w:eastAsia="en-GB"/>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id":"ITEM-2","itemData":{"DOI":"10.1080/08870446.2017.1336240","ISSN":"0887-0446","author":[{"dropping-particle":"","family":"Conner","given":"Mark","non-dropping-particle":"","parse-names":false,"suffix":""},{"dropping-particle":"","family":"Norman","given":"Paul","non-dropping-particle":"","parse-names":false,"suffix":""}],"container-title":"Psychology &amp; Health","id":"ITEM-2","issue":"8","issued":{"date-parts":[["2017"]]},"page":"895-906","publisher":"Routledge","title":"Health behaviour : current issues and challenges","type":"article-journal","volume":"32"},"uris":["http://www.mendeley.com/documents/?uuid=bfccae5f-f910-4fa2-ba07-a67828f54b1c"]}],"mendeley":{"formattedCitation":"(Conner &amp; Norman, 2017; Susan Michie et al., 2013)","manualFormatting":"(Conner &amp; Norman, 2017; Michie et al., 2013)","plainTextFormattedCitation":"(Conner &amp; Norman, 2017; Susan Michie et al., 2013)","previouslyFormattedCitation":"(Conner &amp; Norman, 2017; Susan Michie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62570" w:rsidRPr="00103A0B">
        <w:rPr>
          <w:rFonts w:ascii="Arial" w:eastAsia="Times New Roman" w:hAnsi="Arial" w:cs="Arial"/>
          <w:noProof/>
          <w:sz w:val="24"/>
          <w:szCs w:val="24"/>
          <w:lang w:eastAsia="en-GB"/>
        </w:rPr>
        <w:t>(Conner &amp; Norman, 2017; Michie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BCTs are described as the “active ingredients” of behaviour change and are increasingly considered when designing interventions as they are building blocks of interventions </w:t>
      </w:r>
      <w:r w:rsidRPr="00103A0B">
        <w:rPr>
          <w:rFonts w:ascii="Arial" w:hAnsi="Arial" w:cs="Arial"/>
        </w:rPr>
        <w:fldChar w:fldCharType="begin" w:fldLock="1"/>
      </w:r>
      <w:r w:rsidR="00F11C4C" w:rsidRPr="00103A0B">
        <w:rPr>
          <w:rFonts w:ascii="Arial" w:eastAsia="Times New Roman" w:hAnsi="Arial" w:cs="Arial"/>
          <w:sz w:val="24"/>
          <w:szCs w:val="24"/>
          <w:lang w:eastAsia="en-GB"/>
        </w:rPr>
        <w:instrText>ADDIN CSL_CITATION {"citationItems":[{"id":"ITEM-1","itemData":{"DOI":"10.1037/0278-6133.27.3.379","ISBN":"0278-6133 (Print)","ISSN":"02786133","PMID":"18624603","abstract":"OBJECTIVE: Without standardized definitions of the techniques included in behavior change interventions, it is difficult to faithfully replicate effective interventions and challenging to identify techniques contributing to effectiveness across interventions. This research aimed to develop and test a theory-linked taxonomy of generally applicable behavior change techniques (BCTs). DESIGN: Twenty-six BCTs were defined. Two psychologists used a 5-page coding manual to independently judge the presence or absence of each technique in published intervention descriptions and in intervention manuals. RESULTS: Three systematic reviews yielded 195 published descriptions. Across 78 reliability tests (i.e., 26 techniques applied to 3 reviews), the average kappa per technique was 0.79, with 93% of judgments being agreements. Interventions were found to vary widely in the range and type of techniques used, even when targeting the same behavior among similar participants. The average agreement for intervention manuals was 85%, and a comparison of BCTs identified in 13 manuals and 13 published articles describing the same interventions generated a technique correspondence rate of 74%, with most mismatches (73%) arising from identification of a technique in the manual but not in the article. CONCLUSIONS: These findings demonstrate the feasibility of developing standardized definitions of BCTs included in behavioral interventions and highlight problematic variability in the reporting of intervention content.","author":[{"dropping-particle":"","family":"Abraham","given":"Charles","non-dropping-particle":"","parse-names":false,"suffix":""},{"dropping-particle":"","family":"Michie","given":"Susan","non-dropping-particle":"","parse-names":false,"suffix":""}],"container-title":"Health Psychology","id":"ITEM-1","issue":"3","issued":{"date-parts":[["2008"]]},"page":"379-387","title":"A taxonomy of behavior change techniques used in interventions","type":"article-journal","volume":"27"},"uris":["http://www.mendeley.com/documents/?uuid=747d1ee4-9921-4f2d-9483-e6f4ee858e70"]},{"id":"ITEM-2","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Medicine","id":"ITEM-2","issue":"1","issued":{"date-parts":[["2013"]]},"page":"81-95","title":"The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interventions","type":"article-journal","volume":"46"},"uris":["http://www.mendeley.com/documents/?uuid=68bb257f-2ddf-4a99-bd79-a2640572189d"]}],"mendeley":{"formattedCitation":"(Abraham &amp; Michie, 2008; Susan Michie et al., 2013)","plainTextFormattedCitation":"(Abraham &amp; Michie, 2008; Susan Michie et al., 2013)","previouslyFormattedCitation":"(Abraham &amp; Michie, 2008; Susan Michie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62570" w:rsidRPr="00103A0B">
        <w:rPr>
          <w:rFonts w:ascii="Arial" w:eastAsia="Times New Roman" w:hAnsi="Arial" w:cs="Arial"/>
          <w:noProof/>
          <w:sz w:val="24"/>
          <w:szCs w:val="24"/>
          <w:lang w:eastAsia="en-GB"/>
        </w:rPr>
        <w:t>(Abraham &amp; Michie, 2008; Susan Michie et al., 2013)</w:t>
      </w:r>
      <w:r w:rsidRPr="00103A0B">
        <w:rPr>
          <w:rFonts w:ascii="Arial" w:hAnsi="Arial" w:cs="Arial"/>
        </w:rPr>
        <w:fldChar w:fldCharType="end"/>
      </w:r>
      <w:r w:rsidRPr="00103A0B">
        <w:rPr>
          <w:rFonts w:ascii="Arial" w:eastAsia="Times New Roman" w:hAnsi="Arial" w:cs="Arial"/>
          <w:sz w:val="24"/>
          <w:szCs w:val="24"/>
          <w:lang w:eastAsia="en-GB"/>
        </w:rPr>
        <w:t xml:space="preserve">. By identifying BCTs common among DPPs with high rates of retention, programme designers can ensure that these are incorporated to optimise retention. </w:t>
      </w:r>
    </w:p>
    <w:p w14:paraId="06D62489" w14:textId="722C1794" w:rsidR="00324C56" w:rsidRPr="00103A0B" w:rsidRDefault="00324C56" w:rsidP="005D0A3A">
      <w:pPr>
        <w:spacing w:before="100"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To summarise, DPPs are an important part of the global response to</w:t>
      </w:r>
      <w:r w:rsidR="001B657A" w:rsidRPr="00103A0B">
        <w:rPr>
          <w:rFonts w:ascii="Arial" w:eastAsia="Times New Roman" w:hAnsi="Arial" w:cs="Arial"/>
          <w:sz w:val="24"/>
          <w:szCs w:val="24"/>
          <w:lang w:eastAsia="en-GB"/>
        </w:rPr>
        <w:t xml:space="preserve"> the</w:t>
      </w:r>
      <w:r w:rsidRPr="00103A0B">
        <w:rPr>
          <w:rFonts w:ascii="Arial" w:eastAsia="Times New Roman" w:hAnsi="Arial" w:cs="Arial"/>
          <w:sz w:val="24"/>
          <w:szCs w:val="24"/>
          <w:lang w:eastAsia="en-GB"/>
        </w:rPr>
        <w:t xml:space="preserve"> rising prevalence of T2DM and are recommended to use group-based elements. Uptake and retention are important for DPP viability. By exploring recruitment strategies and BCTs they employ, factors to promote uptake and retention can be identified. To date, there has been no published review on uptake and retention in </w:t>
      </w:r>
      <w:proofErr w:type="gramStart"/>
      <w:r w:rsidRPr="00103A0B">
        <w:rPr>
          <w:rFonts w:ascii="Arial" w:eastAsia="Times New Roman" w:hAnsi="Arial" w:cs="Arial"/>
          <w:sz w:val="24"/>
          <w:szCs w:val="24"/>
          <w:lang w:eastAsia="en-GB"/>
        </w:rPr>
        <w:t>group-based</w:t>
      </w:r>
      <w:proofErr w:type="gramEnd"/>
      <w:r w:rsidRPr="00103A0B">
        <w:rPr>
          <w:rFonts w:ascii="Arial" w:eastAsia="Times New Roman" w:hAnsi="Arial" w:cs="Arial"/>
          <w:sz w:val="24"/>
          <w:szCs w:val="24"/>
          <w:lang w:eastAsia="en-GB"/>
        </w:rPr>
        <w:t xml:space="preserve"> DPPs where recruitment strategies and BCTs are extracted. This systematic review of the published literature on </w:t>
      </w:r>
      <w:proofErr w:type="gramStart"/>
      <w:r w:rsidRPr="00103A0B">
        <w:rPr>
          <w:rFonts w:ascii="Arial" w:eastAsia="Times New Roman" w:hAnsi="Arial" w:cs="Arial"/>
          <w:sz w:val="24"/>
          <w:szCs w:val="24"/>
          <w:lang w:eastAsia="en-GB"/>
        </w:rPr>
        <w:t>group-based</w:t>
      </w:r>
      <w:proofErr w:type="gramEnd"/>
      <w:r w:rsidRPr="00103A0B">
        <w:rPr>
          <w:rFonts w:ascii="Arial" w:eastAsia="Times New Roman" w:hAnsi="Arial" w:cs="Arial"/>
          <w:sz w:val="24"/>
          <w:szCs w:val="24"/>
          <w:lang w:eastAsia="en-GB"/>
        </w:rPr>
        <w:t xml:space="preserve"> DPPs aimed to:</w:t>
      </w:r>
    </w:p>
    <w:p w14:paraId="60444235" w14:textId="77777777" w:rsidR="00324C56" w:rsidRPr="00103A0B" w:rsidRDefault="00324C56" w:rsidP="005D0A3A">
      <w:pPr>
        <w:pStyle w:val="ListParagraph"/>
        <w:numPr>
          <w:ilvl w:val="0"/>
          <w:numId w:val="4"/>
        </w:numPr>
        <w:spacing w:after="100" w:line="360" w:lineRule="auto"/>
        <w:jc w:val="both"/>
        <w:rPr>
          <w:rFonts w:ascii="Arial" w:hAnsi="Arial" w:cs="Arial"/>
          <w:sz w:val="24"/>
          <w:szCs w:val="24"/>
        </w:rPr>
      </w:pPr>
      <w:r w:rsidRPr="00103A0B">
        <w:rPr>
          <w:rFonts w:ascii="Arial" w:eastAsia="Times New Roman" w:hAnsi="Arial" w:cs="Arial"/>
          <w:sz w:val="24"/>
          <w:szCs w:val="24"/>
          <w:lang w:eastAsia="en-GB"/>
        </w:rPr>
        <w:t xml:space="preserve">Identify recruitment strategies associated with high response rate and uptake in Diabetes Prevention </w:t>
      </w:r>
      <w:proofErr w:type="spellStart"/>
      <w:r w:rsidRPr="00103A0B">
        <w:rPr>
          <w:rFonts w:ascii="Arial" w:hAnsi="Arial" w:cs="Arial"/>
          <w:sz w:val="24"/>
          <w:szCs w:val="24"/>
        </w:rPr>
        <w:t>Programmes</w:t>
      </w:r>
      <w:proofErr w:type="spellEnd"/>
      <w:r w:rsidRPr="00103A0B">
        <w:rPr>
          <w:rFonts w:ascii="Arial" w:hAnsi="Arial" w:cs="Arial"/>
          <w:sz w:val="24"/>
          <w:szCs w:val="24"/>
        </w:rPr>
        <w:t xml:space="preserve"> that were predominantly group-based and involved lifestyle modification (e.g., diet, physical activity). </w:t>
      </w:r>
    </w:p>
    <w:p w14:paraId="65C3CE4F" w14:textId="6525BF1A" w:rsidR="00324C56" w:rsidRPr="00103A0B" w:rsidRDefault="00324C56" w:rsidP="005D0A3A">
      <w:pPr>
        <w:pStyle w:val="ListParagraph"/>
        <w:numPr>
          <w:ilvl w:val="0"/>
          <w:numId w:val="4"/>
        </w:numPr>
        <w:spacing w:before="100"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Identify BCTs that are common in Diabetes Prevention </w:t>
      </w:r>
      <w:proofErr w:type="spellStart"/>
      <w:r w:rsidRPr="00103A0B">
        <w:rPr>
          <w:rFonts w:ascii="Arial" w:hAnsi="Arial" w:cs="Arial"/>
          <w:sz w:val="24"/>
          <w:szCs w:val="24"/>
        </w:rPr>
        <w:t>Programmes</w:t>
      </w:r>
      <w:proofErr w:type="spellEnd"/>
      <w:r w:rsidRPr="00103A0B">
        <w:rPr>
          <w:rFonts w:ascii="Arial" w:hAnsi="Arial" w:cs="Arial"/>
          <w:sz w:val="24"/>
          <w:szCs w:val="24"/>
        </w:rPr>
        <w:t xml:space="preserve"> that were predominantly group-based and involved lifestyle modification</w:t>
      </w:r>
      <w:r w:rsidRPr="00103A0B">
        <w:rPr>
          <w:rFonts w:ascii="Arial" w:eastAsia="Times New Roman" w:hAnsi="Arial" w:cs="Arial"/>
          <w:sz w:val="24"/>
          <w:szCs w:val="24"/>
          <w:lang w:eastAsia="en-GB"/>
        </w:rPr>
        <w:t xml:space="preserve"> with high levels of retention. </w:t>
      </w:r>
    </w:p>
    <w:p w14:paraId="211205FC" w14:textId="77777777" w:rsidR="005D0A3A" w:rsidRPr="00103A0B" w:rsidRDefault="005D0A3A" w:rsidP="005D0A3A">
      <w:pPr>
        <w:pStyle w:val="Heading3"/>
        <w:numPr>
          <w:ilvl w:val="0"/>
          <w:numId w:val="0"/>
        </w:numPr>
        <w:rPr>
          <w:rFonts w:ascii="Arial" w:hAnsi="Arial" w:cs="Arial"/>
        </w:rPr>
        <w:sectPr w:rsidR="005D0A3A" w:rsidRPr="00103A0B">
          <w:footerReference w:type="default" r:id="rId17"/>
          <w:pgSz w:w="11906" w:h="16838"/>
          <w:pgMar w:top="1440" w:right="1440" w:bottom="1440" w:left="1440" w:header="708" w:footer="708" w:gutter="0"/>
          <w:cols w:space="708"/>
          <w:docGrid w:linePitch="360"/>
        </w:sectPr>
      </w:pPr>
      <w:bookmarkStart w:id="75" w:name="_Toc41404578"/>
    </w:p>
    <w:p w14:paraId="23CE8C4F" w14:textId="0570165C" w:rsidR="00324C56" w:rsidRPr="00103A0B" w:rsidRDefault="00022ED5" w:rsidP="00DB2EED">
      <w:pPr>
        <w:pStyle w:val="Heading3"/>
        <w:numPr>
          <w:ilvl w:val="0"/>
          <w:numId w:val="0"/>
        </w:numPr>
        <w:spacing w:before="240"/>
        <w:rPr>
          <w:rFonts w:ascii="Arial" w:hAnsi="Arial" w:cs="Arial"/>
        </w:rPr>
      </w:pPr>
      <w:bookmarkStart w:id="76" w:name="_Toc151548305"/>
      <w:r w:rsidRPr="00103A0B">
        <w:rPr>
          <w:rFonts w:ascii="Arial" w:hAnsi="Arial" w:cs="Arial"/>
        </w:rPr>
        <w:lastRenderedPageBreak/>
        <w:t xml:space="preserve">2.2 </w:t>
      </w:r>
      <w:r w:rsidR="00324C56" w:rsidRPr="00103A0B">
        <w:rPr>
          <w:rFonts w:ascii="Arial" w:hAnsi="Arial" w:cs="Arial"/>
        </w:rPr>
        <w:t>Methods</w:t>
      </w:r>
      <w:bookmarkEnd w:id="75"/>
      <w:bookmarkEnd w:id="76"/>
      <w:r w:rsidR="00324C56" w:rsidRPr="00103A0B">
        <w:rPr>
          <w:rFonts w:ascii="Arial" w:hAnsi="Arial" w:cs="Arial"/>
        </w:rPr>
        <w:t xml:space="preserve"> </w:t>
      </w:r>
    </w:p>
    <w:p w14:paraId="20A8CB36" w14:textId="77777777" w:rsidR="005D0A3A" w:rsidRPr="00103A0B" w:rsidRDefault="00324C56" w:rsidP="00DB2EED">
      <w:pPr>
        <w:spacing w:before="240" w:line="360" w:lineRule="auto"/>
        <w:jc w:val="both"/>
        <w:rPr>
          <w:rFonts w:ascii="Arial" w:hAnsi="Arial" w:cs="Arial"/>
          <w:sz w:val="24"/>
          <w:szCs w:val="24"/>
        </w:rPr>
      </w:pPr>
      <w:r w:rsidRPr="00103A0B">
        <w:rPr>
          <w:rFonts w:ascii="Arial" w:hAnsi="Arial" w:cs="Arial"/>
          <w:sz w:val="24"/>
          <w:szCs w:val="24"/>
        </w:rPr>
        <w:t xml:space="preserve">This systematic review is reported in accordance with the Preferred Reporting Items for Systematic Reviews and Meta-analysis (PRISMA) guidelines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DOI":"10.1371/journal.pmed.1000097","ISBN":"0031-9023","ISSN":"1549-1676","PMID":"19621072","abstract":"Registry","author":[{"dropping-particle":"","family":"Moher","given":"D","non-dropping-particle":"","parse-names":false,"suffix":""},{"dropping-particle":"","family":"Liberati","given":"A","non-dropping-particle":"","parse-names":false,"suffix":""},{"dropping-particle":"","family":"Tetzlaff","given":"J","non-dropping-particle":"","parse-names":false,"suffix":""},{"dropping-particle":"","family":"Altman","given":"D G et al.","non-dropping-particle":"","parse-names":false,"suffix":""}],"container-title":"Annals of Internal Medicine","id":"ITEM-1","issue":"4","issued":{"date-parts":[["2009"]]},"page":"264-270","title":"Preferred reporting items for systematic reviews and meta-analyses: the PRISMA statement","type":"article-journal","volume":"151"},"uris":["http://www.mendeley.com/documents/?uuid=1e606f5e-619f-4150-adac-e9111607e671"]},{"id":"ITEM-2","itemData":{"URL":"http://www.prisma-statement.org/","author":[{"dropping-particle":"","family":"PRISMA","given":"","non-dropping-particle":"","parse-names":false,"suffix":""}],"id":"ITEM-2","issued":{"date-parts":[["2015"]]},"title":"The preferred reporting items for systematic reviews and meta-analyses (PRISMA)","type":"webpage"},"uris":["http://www.mendeley.com/documents/?uuid=51e1f978-991a-4d42-8cab-7817ee8c5fa4"]}],"mendeley":{"formattedCitation":"(Moher et al., 2009; PRISMA, 2015)","plainTextFormattedCitation":"(Moher et al., 2009; PRISMA, 2015)","previouslyFormattedCitation":"(Moher et al., 2009; PRISMA, 2015)"},"properties":{"noteIndex":0},"schema":"https://github.com/citation-style-language/schema/raw/master/csl-citation.json"}</w:instrText>
      </w:r>
      <w:r w:rsidRPr="00103A0B">
        <w:rPr>
          <w:rFonts w:ascii="Arial" w:hAnsi="Arial" w:cs="Arial"/>
          <w:sz w:val="24"/>
          <w:szCs w:val="24"/>
        </w:rPr>
        <w:fldChar w:fldCharType="separate"/>
      </w:r>
      <w:r w:rsidR="00445FC8" w:rsidRPr="00103A0B">
        <w:rPr>
          <w:rFonts w:ascii="Arial" w:hAnsi="Arial" w:cs="Arial"/>
          <w:noProof/>
          <w:sz w:val="24"/>
          <w:szCs w:val="24"/>
        </w:rPr>
        <w:t>(Moher et al., 2009; PRISMA, 2015)</w:t>
      </w:r>
      <w:r w:rsidRPr="00103A0B">
        <w:rPr>
          <w:rFonts w:ascii="Arial" w:hAnsi="Arial" w:cs="Arial"/>
          <w:sz w:val="24"/>
          <w:szCs w:val="24"/>
        </w:rPr>
        <w:fldChar w:fldCharType="end"/>
      </w:r>
      <w:bookmarkStart w:id="77" w:name="_Toc41404579"/>
      <w:r w:rsidR="001A70E7" w:rsidRPr="00103A0B">
        <w:rPr>
          <w:rFonts w:ascii="Arial" w:hAnsi="Arial" w:cs="Arial"/>
          <w:sz w:val="24"/>
          <w:szCs w:val="24"/>
        </w:rPr>
        <w:t xml:space="preserve"> (see Appendix 1: PRISMA checklist)</w:t>
      </w:r>
      <w:r w:rsidR="004B3096" w:rsidRPr="00103A0B">
        <w:rPr>
          <w:rFonts w:ascii="Arial" w:hAnsi="Arial" w:cs="Arial"/>
          <w:sz w:val="24"/>
          <w:szCs w:val="24"/>
        </w:rPr>
        <w:t xml:space="preserve">. </w:t>
      </w:r>
      <w:bookmarkStart w:id="78" w:name="_Toc81338965"/>
      <w:bookmarkStart w:id="79" w:name="_Toc81394851"/>
      <w:bookmarkStart w:id="80" w:name="_Toc81936012"/>
    </w:p>
    <w:p w14:paraId="66DD21F9" w14:textId="3E355FCB" w:rsidR="00575835" w:rsidRPr="00103A0B" w:rsidRDefault="004B3096" w:rsidP="005D0A3A">
      <w:pPr>
        <w:rPr>
          <w:rFonts w:ascii="Arial" w:hAnsi="Arial" w:cs="Arial"/>
          <w:sz w:val="24"/>
          <w:szCs w:val="24"/>
        </w:rPr>
      </w:pPr>
      <w:bookmarkStart w:id="81" w:name="_Toc151548306"/>
      <w:r w:rsidRPr="00103A0B">
        <w:rPr>
          <w:rStyle w:val="Heading2Char"/>
          <w:rFonts w:ascii="Arial" w:hAnsi="Arial" w:cs="Arial"/>
          <w:sz w:val="24"/>
          <w:szCs w:val="24"/>
        </w:rPr>
        <w:t xml:space="preserve">2.2.1 </w:t>
      </w:r>
      <w:r w:rsidR="00324C56" w:rsidRPr="00103A0B">
        <w:rPr>
          <w:rStyle w:val="Heading2Char"/>
          <w:rFonts w:ascii="Arial" w:hAnsi="Arial" w:cs="Arial"/>
          <w:sz w:val="24"/>
          <w:szCs w:val="24"/>
        </w:rPr>
        <w:t xml:space="preserve">Criteria for </w:t>
      </w:r>
      <w:r w:rsidR="00181EB6" w:rsidRPr="00103A0B">
        <w:rPr>
          <w:rStyle w:val="Heading2Char"/>
          <w:rFonts w:ascii="Arial" w:hAnsi="Arial" w:cs="Arial"/>
          <w:sz w:val="24"/>
          <w:szCs w:val="24"/>
        </w:rPr>
        <w:t>I</w:t>
      </w:r>
      <w:r w:rsidR="00324C56" w:rsidRPr="00103A0B">
        <w:rPr>
          <w:rStyle w:val="Heading2Char"/>
          <w:rFonts w:ascii="Arial" w:hAnsi="Arial" w:cs="Arial"/>
          <w:sz w:val="24"/>
          <w:szCs w:val="24"/>
        </w:rPr>
        <w:t>nclusion/</w:t>
      </w:r>
      <w:r w:rsidR="00181EB6" w:rsidRPr="00103A0B">
        <w:rPr>
          <w:rStyle w:val="Heading2Char"/>
          <w:rFonts w:ascii="Arial" w:hAnsi="Arial" w:cs="Arial"/>
          <w:sz w:val="24"/>
          <w:szCs w:val="24"/>
        </w:rPr>
        <w:t>E</w:t>
      </w:r>
      <w:r w:rsidR="00324C56" w:rsidRPr="00103A0B">
        <w:rPr>
          <w:rStyle w:val="Heading2Char"/>
          <w:rFonts w:ascii="Arial" w:hAnsi="Arial" w:cs="Arial"/>
          <w:sz w:val="24"/>
          <w:szCs w:val="24"/>
        </w:rPr>
        <w:t>xclusion (Table 1)</w:t>
      </w:r>
      <w:bookmarkEnd w:id="77"/>
      <w:bookmarkEnd w:id="78"/>
      <w:bookmarkEnd w:id="79"/>
      <w:bookmarkEnd w:id="80"/>
      <w:bookmarkEnd w:id="81"/>
      <w:r w:rsidR="00324C56" w:rsidRPr="00103A0B">
        <w:rPr>
          <w:rFonts w:eastAsia="Times New Roman"/>
          <w:lang w:eastAsia="en-GB"/>
        </w:rPr>
        <w:t xml:space="preserve"> </w:t>
      </w:r>
      <w:bookmarkStart w:id="82" w:name="_Toc41404580"/>
    </w:p>
    <w:p w14:paraId="5B90D49B" w14:textId="77777777" w:rsidR="00423291" w:rsidRPr="00103A0B" w:rsidRDefault="00423291" w:rsidP="005D0A3A">
      <w:pPr>
        <w:keepLines/>
        <w:spacing w:after="0"/>
      </w:pPr>
    </w:p>
    <w:p w14:paraId="5B3E17B0" w14:textId="738FE691" w:rsidR="00324C56" w:rsidRPr="00103A0B" w:rsidRDefault="004B3096" w:rsidP="005D0A3A">
      <w:pPr>
        <w:spacing w:after="0"/>
        <w:jc w:val="both"/>
        <w:rPr>
          <w:rFonts w:ascii="Arial" w:hAnsi="Arial" w:cs="Arial"/>
          <w:i/>
          <w:iCs/>
          <w:sz w:val="24"/>
          <w:szCs w:val="24"/>
        </w:rPr>
      </w:pPr>
      <w:r w:rsidRPr="00103A0B">
        <w:rPr>
          <w:rFonts w:ascii="Arial" w:hAnsi="Arial" w:cs="Arial"/>
          <w:i/>
          <w:iCs/>
          <w:sz w:val="24"/>
          <w:szCs w:val="24"/>
        </w:rPr>
        <w:t xml:space="preserve">2.2.1.1 </w:t>
      </w:r>
      <w:r w:rsidR="00324C56" w:rsidRPr="00103A0B">
        <w:rPr>
          <w:rFonts w:ascii="Arial" w:hAnsi="Arial" w:cs="Arial"/>
          <w:i/>
          <w:iCs/>
          <w:sz w:val="24"/>
          <w:szCs w:val="24"/>
        </w:rPr>
        <w:t>Design</w:t>
      </w:r>
      <w:bookmarkEnd w:id="82"/>
    </w:p>
    <w:p w14:paraId="75C49E79" w14:textId="05EE124D" w:rsidR="00A47AD5" w:rsidRPr="00103A0B" w:rsidRDefault="00324C56" w:rsidP="005D0A3A">
      <w:pPr>
        <w:spacing w:after="100" w:line="360" w:lineRule="auto"/>
        <w:jc w:val="both"/>
        <w:rPr>
          <w:rFonts w:ascii="Arial" w:hAnsi="Arial" w:cs="Arial"/>
          <w:sz w:val="24"/>
          <w:szCs w:val="24"/>
        </w:rPr>
      </w:pPr>
      <w:r w:rsidRPr="00103A0B">
        <w:rPr>
          <w:rFonts w:ascii="Arial" w:hAnsi="Arial" w:cs="Arial"/>
          <w:sz w:val="24"/>
          <w:szCs w:val="24"/>
        </w:rPr>
        <w:t xml:space="preserve">This was a systematic, critical review of randomised control trials (RCTs), prospective, cohort, </w:t>
      </w:r>
      <w:proofErr w:type="gramStart"/>
      <w:r w:rsidRPr="00103A0B">
        <w:rPr>
          <w:rFonts w:ascii="Arial" w:hAnsi="Arial" w:cs="Arial"/>
          <w:sz w:val="24"/>
          <w:szCs w:val="24"/>
        </w:rPr>
        <w:t>pilot</w:t>
      </w:r>
      <w:proofErr w:type="gramEnd"/>
      <w:r w:rsidRPr="00103A0B">
        <w:rPr>
          <w:rFonts w:ascii="Arial" w:hAnsi="Arial" w:cs="Arial"/>
          <w:sz w:val="24"/>
          <w:szCs w:val="24"/>
        </w:rPr>
        <w:t xml:space="preserve"> and feasibility programmes.</w:t>
      </w:r>
    </w:p>
    <w:p w14:paraId="6DF530E8" w14:textId="350FEC67" w:rsidR="00324C56" w:rsidRPr="00103A0B" w:rsidRDefault="004B3096" w:rsidP="005D0A3A">
      <w:pPr>
        <w:jc w:val="both"/>
        <w:rPr>
          <w:rFonts w:ascii="Arial" w:hAnsi="Arial" w:cs="Arial"/>
          <w:i/>
          <w:iCs/>
          <w:sz w:val="24"/>
          <w:szCs w:val="24"/>
        </w:rPr>
      </w:pPr>
      <w:bookmarkStart w:id="83" w:name="_Toc41404581"/>
      <w:r w:rsidRPr="00103A0B">
        <w:rPr>
          <w:rFonts w:ascii="Arial" w:hAnsi="Arial" w:cs="Arial"/>
          <w:i/>
          <w:iCs/>
          <w:sz w:val="24"/>
          <w:szCs w:val="24"/>
        </w:rPr>
        <w:t xml:space="preserve">2.2.1.2 </w:t>
      </w:r>
      <w:r w:rsidR="00324C56" w:rsidRPr="00103A0B">
        <w:rPr>
          <w:rFonts w:ascii="Arial" w:hAnsi="Arial" w:cs="Arial"/>
          <w:i/>
          <w:iCs/>
          <w:sz w:val="24"/>
          <w:szCs w:val="24"/>
        </w:rPr>
        <w:t>Participants</w:t>
      </w:r>
      <w:bookmarkEnd w:id="83"/>
      <w:r w:rsidR="00324C56" w:rsidRPr="00103A0B">
        <w:rPr>
          <w:rFonts w:ascii="Arial" w:hAnsi="Arial" w:cs="Arial"/>
          <w:i/>
          <w:iCs/>
          <w:sz w:val="24"/>
          <w:szCs w:val="24"/>
        </w:rPr>
        <w:t xml:space="preserve"> </w:t>
      </w:r>
    </w:p>
    <w:p w14:paraId="67971F0E" w14:textId="1940C581" w:rsidR="00A47AD5" w:rsidRPr="00103A0B" w:rsidRDefault="00324C56" w:rsidP="005D0A3A">
      <w:pPr>
        <w:spacing w:after="100" w:line="360" w:lineRule="auto"/>
        <w:jc w:val="both"/>
        <w:rPr>
          <w:rFonts w:ascii="Arial" w:hAnsi="Arial" w:cs="Arial"/>
          <w:sz w:val="24"/>
          <w:szCs w:val="24"/>
        </w:rPr>
      </w:pPr>
      <w:r w:rsidRPr="00103A0B">
        <w:rPr>
          <w:rFonts w:ascii="Arial" w:hAnsi="Arial" w:cs="Arial"/>
          <w:sz w:val="24"/>
          <w:szCs w:val="24"/>
        </w:rPr>
        <w:t xml:space="preserve">Programmes targeting adults aged 18 years and over, with prediabetes or non-diabetic hyperglycaemia, impaired glucose tolerance or impaired fasting glucose were included. </w:t>
      </w:r>
    </w:p>
    <w:p w14:paraId="0332BFFD" w14:textId="35D22584" w:rsidR="00324C56" w:rsidRPr="00103A0B" w:rsidRDefault="004B3096" w:rsidP="005D0A3A">
      <w:pPr>
        <w:jc w:val="both"/>
        <w:rPr>
          <w:rFonts w:ascii="Arial" w:hAnsi="Arial" w:cs="Arial"/>
          <w:i/>
          <w:iCs/>
          <w:sz w:val="24"/>
          <w:szCs w:val="24"/>
        </w:rPr>
      </w:pPr>
      <w:bookmarkStart w:id="84" w:name="_Toc41404582"/>
      <w:r w:rsidRPr="00103A0B">
        <w:rPr>
          <w:rFonts w:ascii="Arial" w:hAnsi="Arial" w:cs="Arial"/>
          <w:i/>
          <w:iCs/>
          <w:sz w:val="24"/>
          <w:szCs w:val="24"/>
        </w:rPr>
        <w:t xml:space="preserve">2.2.1.3 </w:t>
      </w:r>
      <w:r w:rsidR="00324C56" w:rsidRPr="00103A0B">
        <w:rPr>
          <w:rFonts w:ascii="Arial" w:hAnsi="Arial" w:cs="Arial"/>
          <w:i/>
          <w:iCs/>
          <w:sz w:val="24"/>
          <w:szCs w:val="24"/>
        </w:rPr>
        <w:t>Interventions</w:t>
      </w:r>
      <w:bookmarkEnd w:id="84"/>
      <w:r w:rsidR="00324C56" w:rsidRPr="00103A0B">
        <w:rPr>
          <w:rFonts w:ascii="Arial" w:hAnsi="Arial" w:cs="Arial"/>
          <w:i/>
          <w:iCs/>
          <w:sz w:val="24"/>
          <w:szCs w:val="24"/>
        </w:rPr>
        <w:t xml:space="preserve"> </w:t>
      </w:r>
    </w:p>
    <w:p w14:paraId="2BFFF846" w14:textId="64E59BCF" w:rsidR="00324C56" w:rsidRPr="00103A0B" w:rsidRDefault="00324C56" w:rsidP="005D0A3A">
      <w:pPr>
        <w:spacing w:after="100" w:line="360" w:lineRule="auto"/>
        <w:jc w:val="both"/>
        <w:rPr>
          <w:rFonts w:ascii="Arial" w:hAnsi="Arial" w:cs="Arial"/>
          <w:sz w:val="24"/>
          <w:szCs w:val="24"/>
        </w:rPr>
      </w:pPr>
      <w:r w:rsidRPr="00103A0B">
        <w:rPr>
          <w:rFonts w:ascii="Arial" w:hAnsi="Arial" w:cs="Arial"/>
          <w:sz w:val="24"/>
          <w:szCs w:val="24"/>
        </w:rPr>
        <w:t xml:space="preserve">Programmes that were predominantly group-based and involved lifestyle modification (e.g., diet, physical activity) and in which uptake and/or retention could be determined, were included. </w:t>
      </w:r>
    </w:p>
    <w:p w14:paraId="15E453B3" w14:textId="37992BC5" w:rsidR="00324C56" w:rsidRPr="00103A0B" w:rsidRDefault="004B3096" w:rsidP="005D0A3A">
      <w:pPr>
        <w:jc w:val="both"/>
        <w:rPr>
          <w:rFonts w:ascii="Arial" w:hAnsi="Arial" w:cs="Arial"/>
          <w:i/>
          <w:iCs/>
          <w:sz w:val="24"/>
          <w:szCs w:val="24"/>
        </w:rPr>
      </w:pPr>
      <w:bookmarkStart w:id="85" w:name="_Toc41404583"/>
      <w:r w:rsidRPr="00103A0B">
        <w:rPr>
          <w:rFonts w:ascii="Arial" w:hAnsi="Arial" w:cs="Arial"/>
          <w:i/>
          <w:iCs/>
          <w:sz w:val="24"/>
          <w:szCs w:val="24"/>
        </w:rPr>
        <w:t xml:space="preserve">2.2.1.4 </w:t>
      </w:r>
      <w:r w:rsidR="00324C56" w:rsidRPr="00103A0B">
        <w:rPr>
          <w:rFonts w:ascii="Arial" w:hAnsi="Arial" w:cs="Arial"/>
          <w:i/>
          <w:iCs/>
          <w:sz w:val="24"/>
          <w:szCs w:val="24"/>
        </w:rPr>
        <w:t>Outcomes</w:t>
      </w:r>
      <w:bookmarkEnd w:id="85"/>
    </w:p>
    <w:p w14:paraId="0498A34A" w14:textId="77777777" w:rsidR="00324C56" w:rsidRPr="00103A0B" w:rsidRDefault="00324C56" w:rsidP="005D0A3A">
      <w:pPr>
        <w:spacing w:after="100" w:line="360" w:lineRule="auto"/>
        <w:jc w:val="both"/>
        <w:rPr>
          <w:rFonts w:ascii="Arial" w:hAnsi="Arial" w:cs="Arial"/>
          <w:sz w:val="24"/>
          <w:szCs w:val="24"/>
        </w:rPr>
      </w:pPr>
      <w:r w:rsidRPr="00103A0B">
        <w:rPr>
          <w:rFonts w:ascii="Arial" w:hAnsi="Arial" w:cs="Arial"/>
          <w:sz w:val="24"/>
          <w:szCs w:val="24"/>
        </w:rPr>
        <w:t xml:space="preserve">Programmes that had primary outcomes of weight loss or reduction in T2DM risk (reduced glucose levels, calorie intake and/or increased physical activity) were included. </w:t>
      </w:r>
    </w:p>
    <w:p w14:paraId="6EBD0567" w14:textId="77777777" w:rsidR="00324C56" w:rsidRPr="00103A0B" w:rsidRDefault="00324C56" w:rsidP="005D0A3A">
      <w:pPr>
        <w:spacing w:after="100" w:line="360" w:lineRule="auto"/>
        <w:jc w:val="both"/>
        <w:rPr>
          <w:rFonts w:ascii="Arial" w:hAnsi="Arial" w:cs="Arial"/>
          <w:sz w:val="24"/>
          <w:szCs w:val="24"/>
        </w:rPr>
      </w:pPr>
    </w:p>
    <w:p w14:paraId="1174FD43" w14:textId="77777777" w:rsidR="004B3096" w:rsidRPr="00103A0B" w:rsidRDefault="004B3096" w:rsidP="005D0A3A">
      <w:pPr>
        <w:tabs>
          <w:tab w:val="left" w:pos="1470"/>
        </w:tabs>
        <w:spacing w:line="360" w:lineRule="auto"/>
        <w:jc w:val="both"/>
        <w:rPr>
          <w:rFonts w:ascii="Arial" w:hAnsi="Arial" w:cs="Arial"/>
          <w:i/>
          <w:sz w:val="24"/>
          <w:szCs w:val="24"/>
        </w:rPr>
      </w:pPr>
      <w:bookmarkStart w:id="86" w:name="_Hlk75193982"/>
    </w:p>
    <w:p w14:paraId="28ECB3ED" w14:textId="77777777" w:rsidR="004B3096" w:rsidRPr="00103A0B" w:rsidRDefault="004B3096" w:rsidP="005D0A3A">
      <w:pPr>
        <w:tabs>
          <w:tab w:val="left" w:pos="1470"/>
        </w:tabs>
        <w:spacing w:line="360" w:lineRule="auto"/>
        <w:jc w:val="both"/>
        <w:rPr>
          <w:rFonts w:ascii="Arial" w:hAnsi="Arial" w:cs="Arial"/>
          <w:i/>
          <w:sz w:val="24"/>
          <w:szCs w:val="24"/>
        </w:rPr>
      </w:pPr>
    </w:p>
    <w:p w14:paraId="181D2209" w14:textId="47AD5CE0" w:rsidR="004B3096" w:rsidRPr="00103A0B" w:rsidRDefault="004B3096" w:rsidP="005D0A3A">
      <w:pPr>
        <w:tabs>
          <w:tab w:val="left" w:pos="1470"/>
        </w:tabs>
        <w:spacing w:line="360" w:lineRule="auto"/>
        <w:jc w:val="both"/>
        <w:rPr>
          <w:rFonts w:ascii="Arial" w:hAnsi="Arial" w:cs="Arial"/>
          <w:i/>
          <w:sz w:val="24"/>
          <w:szCs w:val="24"/>
        </w:rPr>
      </w:pPr>
    </w:p>
    <w:p w14:paraId="60D0D424" w14:textId="57974C02" w:rsidR="00A47AD5" w:rsidRPr="00103A0B" w:rsidRDefault="00A47AD5" w:rsidP="005D0A3A">
      <w:pPr>
        <w:tabs>
          <w:tab w:val="left" w:pos="1470"/>
        </w:tabs>
        <w:spacing w:line="360" w:lineRule="auto"/>
        <w:jc w:val="both"/>
        <w:rPr>
          <w:rFonts w:ascii="Arial" w:hAnsi="Arial" w:cs="Arial"/>
          <w:i/>
          <w:sz w:val="24"/>
          <w:szCs w:val="24"/>
        </w:rPr>
      </w:pPr>
    </w:p>
    <w:p w14:paraId="624BD393" w14:textId="120088FE" w:rsidR="002E7ECA" w:rsidRPr="00103A0B" w:rsidRDefault="002E7ECA" w:rsidP="005D0A3A">
      <w:pPr>
        <w:tabs>
          <w:tab w:val="left" w:pos="1470"/>
        </w:tabs>
        <w:spacing w:line="360" w:lineRule="auto"/>
        <w:jc w:val="both"/>
        <w:rPr>
          <w:rFonts w:ascii="Arial" w:hAnsi="Arial" w:cs="Arial"/>
          <w:i/>
          <w:sz w:val="24"/>
          <w:szCs w:val="24"/>
        </w:rPr>
      </w:pPr>
    </w:p>
    <w:p w14:paraId="399442E7" w14:textId="30211003" w:rsidR="002E7ECA" w:rsidRPr="00103A0B" w:rsidRDefault="002E7ECA" w:rsidP="005D0A3A">
      <w:pPr>
        <w:tabs>
          <w:tab w:val="left" w:pos="1470"/>
        </w:tabs>
        <w:spacing w:line="360" w:lineRule="auto"/>
        <w:jc w:val="both"/>
        <w:rPr>
          <w:rFonts w:ascii="Arial" w:hAnsi="Arial" w:cs="Arial"/>
          <w:i/>
          <w:sz w:val="24"/>
          <w:szCs w:val="24"/>
        </w:rPr>
      </w:pPr>
    </w:p>
    <w:p w14:paraId="55BCD31D" w14:textId="30AF71B0" w:rsidR="001868D9" w:rsidRPr="00103A0B" w:rsidRDefault="001868D9" w:rsidP="005D0A3A">
      <w:pPr>
        <w:keepLines/>
        <w:tabs>
          <w:tab w:val="left" w:pos="1470"/>
        </w:tabs>
        <w:spacing w:line="360" w:lineRule="auto"/>
        <w:jc w:val="both"/>
        <w:rPr>
          <w:rFonts w:ascii="Arial" w:hAnsi="Arial" w:cs="Arial"/>
          <w:i/>
          <w:sz w:val="24"/>
          <w:szCs w:val="24"/>
        </w:rPr>
      </w:pPr>
      <w:r w:rsidRPr="00103A0B">
        <w:rPr>
          <w:rFonts w:ascii="Arial" w:hAnsi="Arial" w:cs="Arial"/>
          <w:i/>
          <w:sz w:val="24"/>
          <w:szCs w:val="24"/>
        </w:rPr>
        <w:lastRenderedPageBreak/>
        <w:t>Table 1: Inclusion/exclusion criteria</w:t>
      </w:r>
      <w:bookmarkEnd w:id="86"/>
    </w:p>
    <w:tbl>
      <w:tblPr>
        <w:tblStyle w:val="TableGrid"/>
        <w:tblpPr w:leftFromText="180" w:rightFromText="180" w:vertAnchor="page" w:horzAnchor="margin" w:tblpY="2161"/>
        <w:tblW w:w="9776" w:type="dxa"/>
        <w:tblLayout w:type="fixed"/>
        <w:tblLook w:val="04A0" w:firstRow="1" w:lastRow="0" w:firstColumn="1" w:lastColumn="0" w:noHBand="0" w:noVBand="1"/>
      </w:tblPr>
      <w:tblGrid>
        <w:gridCol w:w="4531"/>
        <w:gridCol w:w="5245"/>
      </w:tblGrid>
      <w:tr w:rsidR="004B3096" w:rsidRPr="00103A0B" w14:paraId="41C431E9" w14:textId="77777777" w:rsidTr="004B3096">
        <w:trPr>
          <w:trHeight w:val="416"/>
        </w:trPr>
        <w:tc>
          <w:tcPr>
            <w:tcW w:w="4531" w:type="dxa"/>
          </w:tcPr>
          <w:p w14:paraId="47524936" w14:textId="77777777" w:rsidR="004B3096" w:rsidRPr="00103A0B" w:rsidRDefault="004B3096" w:rsidP="005D0A3A">
            <w:pPr>
              <w:spacing w:line="360" w:lineRule="auto"/>
              <w:jc w:val="both"/>
              <w:rPr>
                <w:rFonts w:ascii="Arial" w:hAnsi="Arial" w:cs="Arial"/>
                <w:b/>
              </w:rPr>
            </w:pPr>
            <w:r w:rsidRPr="00103A0B">
              <w:rPr>
                <w:rFonts w:ascii="Arial" w:hAnsi="Arial" w:cs="Arial"/>
                <w:b/>
              </w:rPr>
              <w:t>Inclusion</w:t>
            </w:r>
          </w:p>
        </w:tc>
        <w:tc>
          <w:tcPr>
            <w:tcW w:w="5245" w:type="dxa"/>
          </w:tcPr>
          <w:p w14:paraId="3ACF678C" w14:textId="77777777" w:rsidR="004B3096" w:rsidRPr="00103A0B" w:rsidRDefault="004B3096" w:rsidP="005D0A3A">
            <w:pPr>
              <w:spacing w:line="360" w:lineRule="auto"/>
              <w:jc w:val="both"/>
              <w:rPr>
                <w:rFonts w:ascii="Arial" w:hAnsi="Arial" w:cs="Arial"/>
                <w:b/>
              </w:rPr>
            </w:pPr>
            <w:r w:rsidRPr="00103A0B">
              <w:rPr>
                <w:rFonts w:ascii="Arial" w:hAnsi="Arial" w:cs="Arial"/>
                <w:b/>
              </w:rPr>
              <w:t xml:space="preserve">Exclusion </w:t>
            </w:r>
          </w:p>
        </w:tc>
      </w:tr>
      <w:tr w:rsidR="004B3096" w:rsidRPr="00103A0B" w14:paraId="13FC4B03" w14:textId="77777777" w:rsidTr="004B3096">
        <w:trPr>
          <w:trHeight w:val="1358"/>
        </w:trPr>
        <w:tc>
          <w:tcPr>
            <w:tcW w:w="4531" w:type="dxa"/>
          </w:tcPr>
          <w:p w14:paraId="1EBB9F7F" w14:textId="77777777" w:rsidR="004B3096" w:rsidRPr="00103A0B" w:rsidRDefault="004B3096" w:rsidP="005D0A3A">
            <w:pPr>
              <w:spacing w:line="360" w:lineRule="auto"/>
              <w:jc w:val="both"/>
              <w:rPr>
                <w:rFonts w:ascii="Arial" w:hAnsi="Arial" w:cs="Arial"/>
              </w:rPr>
            </w:pPr>
            <w:r w:rsidRPr="00103A0B">
              <w:rPr>
                <w:rFonts w:ascii="Arial" w:hAnsi="Arial" w:cs="Arial"/>
              </w:rPr>
              <w:t xml:space="preserve">Group-based (necessary component; ≥50% sessions are group-based) </w:t>
            </w:r>
          </w:p>
        </w:tc>
        <w:tc>
          <w:tcPr>
            <w:tcW w:w="5245" w:type="dxa"/>
          </w:tcPr>
          <w:p w14:paraId="1EE29B8A" w14:textId="77777777" w:rsidR="004B3096" w:rsidRPr="00103A0B" w:rsidRDefault="004B3096" w:rsidP="005D0A3A">
            <w:pPr>
              <w:spacing w:line="360" w:lineRule="auto"/>
              <w:jc w:val="both"/>
              <w:rPr>
                <w:rFonts w:ascii="Arial" w:hAnsi="Arial" w:cs="Arial"/>
              </w:rPr>
            </w:pPr>
            <w:r w:rsidRPr="00103A0B">
              <w:rPr>
                <w:rFonts w:ascii="Arial" w:hAnsi="Arial" w:cs="Arial"/>
              </w:rPr>
              <w:t>Mostly individual sessions</w:t>
            </w:r>
          </w:p>
          <w:p w14:paraId="7675ACC9" w14:textId="77777777" w:rsidR="004B3096" w:rsidRPr="00103A0B" w:rsidRDefault="004B3096" w:rsidP="005D0A3A">
            <w:pPr>
              <w:spacing w:line="360" w:lineRule="auto"/>
              <w:jc w:val="both"/>
              <w:rPr>
                <w:rFonts w:ascii="Arial" w:hAnsi="Arial" w:cs="Arial"/>
              </w:rPr>
            </w:pPr>
            <w:r w:rsidRPr="00103A0B">
              <w:rPr>
                <w:rFonts w:ascii="Arial" w:hAnsi="Arial" w:cs="Arial"/>
              </w:rPr>
              <w:t xml:space="preserve">Optional group sessions/unclear if group-based </w:t>
            </w:r>
          </w:p>
          <w:p w14:paraId="1B7288F1" w14:textId="77777777" w:rsidR="004B3096" w:rsidRPr="00103A0B" w:rsidRDefault="004B3096" w:rsidP="005D0A3A">
            <w:pPr>
              <w:spacing w:line="360" w:lineRule="auto"/>
              <w:jc w:val="both"/>
              <w:rPr>
                <w:rFonts w:ascii="Arial" w:hAnsi="Arial" w:cs="Arial"/>
              </w:rPr>
            </w:pPr>
            <w:r w:rsidRPr="00103A0B">
              <w:rPr>
                <w:rFonts w:ascii="Arial" w:hAnsi="Arial" w:cs="Arial"/>
              </w:rPr>
              <w:t xml:space="preserve">Unable to determine both uptake and retention </w:t>
            </w:r>
          </w:p>
        </w:tc>
      </w:tr>
      <w:tr w:rsidR="004B3096" w:rsidRPr="00103A0B" w14:paraId="2010E3C9" w14:textId="77777777" w:rsidTr="004B3096">
        <w:trPr>
          <w:trHeight w:val="386"/>
        </w:trPr>
        <w:tc>
          <w:tcPr>
            <w:tcW w:w="4531" w:type="dxa"/>
          </w:tcPr>
          <w:p w14:paraId="50D6742D" w14:textId="77777777" w:rsidR="004B3096" w:rsidRPr="00103A0B" w:rsidRDefault="004B3096" w:rsidP="005D0A3A">
            <w:pPr>
              <w:spacing w:line="360" w:lineRule="auto"/>
              <w:jc w:val="both"/>
              <w:rPr>
                <w:rFonts w:ascii="Arial" w:hAnsi="Arial" w:cs="Arial"/>
              </w:rPr>
            </w:pPr>
            <w:r w:rsidRPr="00103A0B">
              <w:rPr>
                <w:rFonts w:ascii="Arial" w:hAnsi="Arial" w:cs="Arial"/>
              </w:rPr>
              <w:t xml:space="preserve">Prediabetes </w:t>
            </w:r>
          </w:p>
          <w:p w14:paraId="4E33C421" w14:textId="77777777" w:rsidR="004B3096" w:rsidRPr="00103A0B" w:rsidRDefault="004B3096" w:rsidP="005D0A3A">
            <w:pPr>
              <w:spacing w:line="360" w:lineRule="auto"/>
              <w:jc w:val="both"/>
              <w:rPr>
                <w:rFonts w:ascii="Arial" w:hAnsi="Arial" w:cs="Arial"/>
              </w:rPr>
            </w:pPr>
            <w:r w:rsidRPr="00103A0B">
              <w:rPr>
                <w:rFonts w:ascii="Arial" w:hAnsi="Arial" w:cs="Arial"/>
              </w:rPr>
              <w:t xml:space="preserve">Non-diabetic hyperglycaemia (determined by glucose testing) </w:t>
            </w:r>
          </w:p>
          <w:p w14:paraId="32F80167" w14:textId="77777777" w:rsidR="004B3096" w:rsidRPr="00103A0B" w:rsidRDefault="004B3096" w:rsidP="005D0A3A">
            <w:pPr>
              <w:spacing w:line="360" w:lineRule="auto"/>
              <w:jc w:val="both"/>
              <w:rPr>
                <w:rFonts w:ascii="Arial" w:hAnsi="Arial" w:cs="Arial"/>
              </w:rPr>
            </w:pPr>
            <w:r w:rsidRPr="00103A0B">
              <w:rPr>
                <w:rFonts w:ascii="Arial" w:hAnsi="Arial" w:cs="Arial"/>
              </w:rPr>
              <w:t>Impaired glucose tolerance/Impaired fasting glucose</w:t>
            </w:r>
          </w:p>
        </w:tc>
        <w:tc>
          <w:tcPr>
            <w:tcW w:w="5245" w:type="dxa"/>
          </w:tcPr>
          <w:p w14:paraId="6F5A96F8" w14:textId="77777777" w:rsidR="004B3096" w:rsidRPr="00103A0B" w:rsidRDefault="004B3096" w:rsidP="005D0A3A">
            <w:pPr>
              <w:spacing w:line="360" w:lineRule="auto"/>
              <w:jc w:val="both"/>
              <w:rPr>
                <w:rFonts w:ascii="Arial" w:hAnsi="Arial" w:cs="Arial"/>
              </w:rPr>
            </w:pPr>
            <w:r w:rsidRPr="00103A0B">
              <w:rPr>
                <w:rFonts w:ascii="Arial" w:hAnsi="Arial" w:cs="Arial"/>
              </w:rPr>
              <w:t>Confirmed T2DM</w:t>
            </w:r>
          </w:p>
          <w:p w14:paraId="015E9E09" w14:textId="77777777" w:rsidR="004B3096" w:rsidRPr="00103A0B" w:rsidRDefault="004B3096" w:rsidP="005D0A3A">
            <w:pPr>
              <w:spacing w:line="360" w:lineRule="auto"/>
              <w:jc w:val="both"/>
              <w:rPr>
                <w:rFonts w:ascii="Arial" w:hAnsi="Arial" w:cs="Arial"/>
              </w:rPr>
            </w:pPr>
            <w:r w:rsidRPr="00103A0B">
              <w:rPr>
                <w:rFonts w:ascii="Arial" w:hAnsi="Arial" w:cs="Arial"/>
              </w:rPr>
              <w:t>Combination of T2DM and prediabetes</w:t>
            </w:r>
          </w:p>
          <w:p w14:paraId="25E16F27" w14:textId="77777777" w:rsidR="004B3096" w:rsidRPr="00103A0B" w:rsidRDefault="004B3096" w:rsidP="005D0A3A">
            <w:pPr>
              <w:spacing w:line="360" w:lineRule="auto"/>
              <w:jc w:val="both"/>
              <w:rPr>
                <w:rFonts w:ascii="Arial" w:hAnsi="Arial" w:cs="Arial"/>
              </w:rPr>
            </w:pPr>
            <w:r w:rsidRPr="00103A0B">
              <w:rPr>
                <w:rFonts w:ascii="Arial" w:hAnsi="Arial" w:cs="Arial"/>
              </w:rPr>
              <w:t>T1DM</w:t>
            </w:r>
          </w:p>
          <w:p w14:paraId="5471E144" w14:textId="77777777" w:rsidR="004B3096" w:rsidRPr="00103A0B" w:rsidRDefault="004B3096" w:rsidP="005D0A3A">
            <w:pPr>
              <w:spacing w:line="360" w:lineRule="auto"/>
              <w:jc w:val="both"/>
              <w:rPr>
                <w:rFonts w:ascii="Arial" w:hAnsi="Arial" w:cs="Arial"/>
              </w:rPr>
            </w:pPr>
            <w:r w:rsidRPr="00103A0B">
              <w:rPr>
                <w:rFonts w:ascii="Arial" w:hAnsi="Arial" w:cs="Arial"/>
              </w:rPr>
              <w:t>Gestational diabetes/post-partum</w:t>
            </w:r>
          </w:p>
          <w:p w14:paraId="2FDBD897" w14:textId="77777777" w:rsidR="004B3096" w:rsidRPr="00103A0B" w:rsidRDefault="004B3096" w:rsidP="005D0A3A">
            <w:pPr>
              <w:spacing w:line="360" w:lineRule="auto"/>
              <w:jc w:val="both"/>
              <w:rPr>
                <w:rFonts w:ascii="Arial" w:hAnsi="Arial" w:cs="Arial"/>
              </w:rPr>
            </w:pPr>
            <w:r w:rsidRPr="00103A0B">
              <w:rPr>
                <w:rFonts w:ascii="Arial" w:hAnsi="Arial" w:cs="Arial"/>
              </w:rPr>
              <w:t>Normal glucose levels/metabolic syndrome</w:t>
            </w:r>
            <w:r w:rsidRPr="00103A0B">
              <w:rPr>
                <w:rFonts w:ascii="Arial" w:hAnsi="Arial" w:cs="Arial"/>
                <w:b/>
                <w:bCs/>
              </w:rPr>
              <w:t xml:space="preserve">. </w:t>
            </w:r>
          </w:p>
        </w:tc>
      </w:tr>
      <w:tr w:rsidR="004B3096" w:rsidRPr="00103A0B" w14:paraId="0480B0BB" w14:textId="77777777" w:rsidTr="004B3096">
        <w:trPr>
          <w:trHeight w:val="386"/>
        </w:trPr>
        <w:tc>
          <w:tcPr>
            <w:tcW w:w="4531" w:type="dxa"/>
          </w:tcPr>
          <w:p w14:paraId="42FF6212" w14:textId="77777777" w:rsidR="004B3096" w:rsidRPr="00103A0B" w:rsidRDefault="004B3096" w:rsidP="005D0A3A">
            <w:pPr>
              <w:spacing w:line="360" w:lineRule="auto"/>
              <w:jc w:val="both"/>
              <w:rPr>
                <w:rFonts w:ascii="Arial" w:hAnsi="Arial" w:cs="Arial"/>
              </w:rPr>
            </w:pPr>
            <w:r w:rsidRPr="00103A0B">
              <w:rPr>
                <w:rFonts w:ascii="Arial" w:hAnsi="Arial" w:cs="Arial"/>
              </w:rPr>
              <w:t>Adults ≥18yrs</w:t>
            </w:r>
          </w:p>
        </w:tc>
        <w:tc>
          <w:tcPr>
            <w:tcW w:w="5245" w:type="dxa"/>
          </w:tcPr>
          <w:p w14:paraId="5A623463" w14:textId="77777777" w:rsidR="004B3096" w:rsidRPr="00103A0B" w:rsidRDefault="004B3096" w:rsidP="005D0A3A">
            <w:pPr>
              <w:spacing w:line="360" w:lineRule="auto"/>
              <w:jc w:val="both"/>
              <w:rPr>
                <w:rFonts w:ascii="Arial" w:hAnsi="Arial" w:cs="Arial"/>
                <w:strike/>
              </w:rPr>
            </w:pPr>
          </w:p>
        </w:tc>
      </w:tr>
      <w:tr w:rsidR="004B3096" w:rsidRPr="00103A0B" w14:paraId="5403FCE4" w14:textId="77777777" w:rsidTr="004B3096">
        <w:trPr>
          <w:trHeight w:val="318"/>
        </w:trPr>
        <w:tc>
          <w:tcPr>
            <w:tcW w:w="4531" w:type="dxa"/>
          </w:tcPr>
          <w:p w14:paraId="5808A596" w14:textId="77777777" w:rsidR="004B3096" w:rsidRPr="00103A0B" w:rsidRDefault="004B3096" w:rsidP="005D0A3A">
            <w:pPr>
              <w:spacing w:line="360" w:lineRule="auto"/>
              <w:jc w:val="both"/>
              <w:rPr>
                <w:rFonts w:ascii="Arial" w:hAnsi="Arial" w:cs="Arial"/>
              </w:rPr>
            </w:pPr>
            <w:r w:rsidRPr="00103A0B">
              <w:rPr>
                <w:rFonts w:ascii="Arial" w:hAnsi="Arial" w:cs="Arial"/>
              </w:rPr>
              <w:t xml:space="preserve">English language </w:t>
            </w:r>
          </w:p>
        </w:tc>
        <w:tc>
          <w:tcPr>
            <w:tcW w:w="5245" w:type="dxa"/>
          </w:tcPr>
          <w:p w14:paraId="5EC55969" w14:textId="77777777" w:rsidR="004B3096" w:rsidRPr="00103A0B" w:rsidRDefault="004B3096" w:rsidP="005D0A3A">
            <w:pPr>
              <w:spacing w:line="360" w:lineRule="auto"/>
              <w:jc w:val="both"/>
              <w:rPr>
                <w:rFonts w:ascii="Arial" w:hAnsi="Arial" w:cs="Arial"/>
                <w:strike/>
              </w:rPr>
            </w:pPr>
            <w:r w:rsidRPr="00103A0B">
              <w:rPr>
                <w:rFonts w:ascii="Arial" w:hAnsi="Arial" w:cs="Arial"/>
                <w:strike/>
              </w:rPr>
              <w:t xml:space="preserve"> </w:t>
            </w:r>
          </w:p>
        </w:tc>
      </w:tr>
      <w:tr w:rsidR="004B3096" w:rsidRPr="00103A0B" w14:paraId="504E06F1" w14:textId="77777777" w:rsidTr="004B3096">
        <w:trPr>
          <w:trHeight w:val="386"/>
        </w:trPr>
        <w:tc>
          <w:tcPr>
            <w:tcW w:w="4531" w:type="dxa"/>
          </w:tcPr>
          <w:p w14:paraId="38099850" w14:textId="77777777" w:rsidR="004B3096" w:rsidRPr="00103A0B" w:rsidRDefault="004B3096" w:rsidP="005D0A3A">
            <w:pPr>
              <w:spacing w:line="360" w:lineRule="auto"/>
              <w:jc w:val="both"/>
              <w:rPr>
                <w:rFonts w:ascii="Arial" w:hAnsi="Arial" w:cs="Arial"/>
              </w:rPr>
            </w:pPr>
            <w:r w:rsidRPr="00103A0B">
              <w:rPr>
                <w:rFonts w:ascii="Arial" w:hAnsi="Arial" w:cs="Arial"/>
              </w:rPr>
              <w:t>RCTs/prospective/cohort/relevant studies within reviews/pilot studies/feasibility studies</w:t>
            </w:r>
          </w:p>
        </w:tc>
        <w:tc>
          <w:tcPr>
            <w:tcW w:w="5245" w:type="dxa"/>
          </w:tcPr>
          <w:p w14:paraId="6324F49A" w14:textId="77777777" w:rsidR="004B3096" w:rsidRPr="00103A0B" w:rsidRDefault="004B3096" w:rsidP="005D0A3A">
            <w:pPr>
              <w:spacing w:line="360" w:lineRule="auto"/>
              <w:jc w:val="both"/>
              <w:rPr>
                <w:rFonts w:ascii="Arial" w:hAnsi="Arial" w:cs="Arial"/>
              </w:rPr>
            </w:pPr>
            <w:r w:rsidRPr="00103A0B">
              <w:rPr>
                <w:rFonts w:ascii="Arial" w:hAnsi="Arial" w:cs="Arial"/>
              </w:rPr>
              <w:t>Qualitative studies (methodology and/or analysis)</w:t>
            </w:r>
          </w:p>
          <w:p w14:paraId="1BC892FC" w14:textId="77777777" w:rsidR="004B3096" w:rsidRPr="00103A0B" w:rsidRDefault="004B3096" w:rsidP="005D0A3A">
            <w:pPr>
              <w:spacing w:line="360" w:lineRule="auto"/>
              <w:jc w:val="both"/>
              <w:rPr>
                <w:rFonts w:ascii="Arial" w:hAnsi="Arial" w:cs="Arial"/>
              </w:rPr>
            </w:pPr>
            <w:r w:rsidRPr="00103A0B">
              <w:rPr>
                <w:rFonts w:ascii="Arial" w:hAnsi="Arial" w:cs="Arial"/>
              </w:rPr>
              <w:t>Case studies</w:t>
            </w:r>
          </w:p>
          <w:p w14:paraId="78BB9B9E" w14:textId="77777777" w:rsidR="004B3096" w:rsidRPr="00103A0B" w:rsidRDefault="004B3096" w:rsidP="005D0A3A">
            <w:pPr>
              <w:spacing w:line="360" w:lineRule="auto"/>
              <w:jc w:val="both"/>
              <w:rPr>
                <w:rFonts w:ascii="Arial" w:hAnsi="Arial" w:cs="Arial"/>
              </w:rPr>
            </w:pPr>
            <w:r w:rsidRPr="00103A0B">
              <w:rPr>
                <w:rFonts w:ascii="Arial" w:hAnsi="Arial" w:cs="Arial"/>
              </w:rPr>
              <w:t>Mixed methods, process evaluation, reviews, protocols (with no data)/observational only</w:t>
            </w:r>
          </w:p>
        </w:tc>
      </w:tr>
      <w:tr w:rsidR="004B3096" w:rsidRPr="00103A0B" w14:paraId="537CD02F" w14:textId="77777777" w:rsidTr="004B3096">
        <w:trPr>
          <w:trHeight w:val="386"/>
        </w:trPr>
        <w:tc>
          <w:tcPr>
            <w:tcW w:w="4531" w:type="dxa"/>
          </w:tcPr>
          <w:p w14:paraId="5C6D1FD8" w14:textId="77777777" w:rsidR="004B3096" w:rsidRPr="00103A0B" w:rsidRDefault="004B3096" w:rsidP="005D0A3A">
            <w:pPr>
              <w:spacing w:line="360" w:lineRule="auto"/>
              <w:jc w:val="both"/>
              <w:rPr>
                <w:rFonts w:ascii="Arial" w:hAnsi="Arial" w:cs="Arial"/>
              </w:rPr>
            </w:pPr>
            <w:r w:rsidRPr="00103A0B">
              <w:rPr>
                <w:rFonts w:ascii="Arial" w:hAnsi="Arial" w:cs="Arial"/>
              </w:rPr>
              <w:t>Face-to-face</w:t>
            </w:r>
          </w:p>
          <w:p w14:paraId="616B8892" w14:textId="77777777" w:rsidR="004B3096" w:rsidRPr="00103A0B" w:rsidRDefault="004B3096" w:rsidP="005D0A3A">
            <w:pPr>
              <w:spacing w:line="360" w:lineRule="auto"/>
              <w:jc w:val="both"/>
              <w:rPr>
                <w:rFonts w:ascii="Arial" w:hAnsi="Arial" w:cs="Arial"/>
              </w:rPr>
            </w:pPr>
            <w:r w:rsidRPr="00103A0B">
              <w:rPr>
                <w:rFonts w:ascii="Arial" w:hAnsi="Arial" w:cs="Arial"/>
              </w:rPr>
              <w:t xml:space="preserve">Intensive lifestyle modification </w:t>
            </w:r>
          </w:p>
        </w:tc>
        <w:tc>
          <w:tcPr>
            <w:tcW w:w="5245" w:type="dxa"/>
          </w:tcPr>
          <w:p w14:paraId="7563207A" w14:textId="77777777" w:rsidR="004B3096" w:rsidRPr="00103A0B" w:rsidRDefault="004B3096" w:rsidP="005D0A3A">
            <w:pPr>
              <w:spacing w:line="360" w:lineRule="auto"/>
              <w:jc w:val="both"/>
              <w:rPr>
                <w:rFonts w:ascii="Arial" w:hAnsi="Arial" w:cs="Arial"/>
              </w:rPr>
            </w:pPr>
            <w:r w:rsidRPr="00103A0B">
              <w:rPr>
                <w:rFonts w:ascii="Arial" w:hAnsi="Arial" w:cs="Arial"/>
              </w:rPr>
              <w:t>Intervention included: metformin/drugs/medication.</w:t>
            </w:r>
          </w:p>
          <w:p w14:paraId="76E1E78C" w14:textId="77777777" w:rsidR="004B3096" w:rsidRPr="00103A0B" w:rsidRDefault="004B3096" w:rsidP="005D0A3A">
            <w:pPr>
              <w:spacing w:line="360" w:lineRule="auto"/>
              <w:jc w:val="both"/>
              <w:rPr>
                <w:rFonts w:ascii="Arial" w:hAnsi="Arial" w:cs="Arial"/>
              </w:rPr>
            </w:pPr>
            <w:r w:rsidRPr="00103A0B">
              <w:rPr>
                <w:rFonts w:ascii="Arial" w:hAnsi="Arial" w:cs="Arial"/>
              </w:rPr>
              <w:t>Intervention only used cable television/digital platforms/handheld device/video/mobile app/web-based/e-learning/video conferencing</w:t>
            </w:r>
          </w:p>
        </w:tc>
      </w:tr>
      <w:tr w:rsidR="004B3096" w:rsidRPr="00103A0B" w14:paraId="15C528C0" w14:textId="77777777" w:rsidTr="004B3096">
        <w:trPr>
          <w:trHeight w:val="386"/>
        </w:trPr>
        <w:tc>
          <w:tcPr>
            <w:tcW w:w="4531" w:type="dxa"/>
          </w:tcPr>
          <w:p w14:paraId="764B6B52" w14:textId="77777777" w:rsidR="004B3096" w:rsidRPr="00103A0B" w:rsidRDefault="004B3096" w:rsidP="005D0A3A">
            <w:pPr>
              <w:spacing w:line="360" w:lineRule="auto"/>
              <w:jc w:val="both"/>
              <w:rPr>
                <w:rFonts w:ascii="Arial" w:hAnsi="Arial" w:cs="Arial"/>
              </w:rPr>
            </w:pPr>
            <w:r w:rsidRPr="00103A0B">
              <w:rPr>
                <w:rFonts w:ascii="Arial" w:hAnsi="Arial" w:cs="Arial"/>
              </w:rPr>
              <w:t xml:space="preserve">Primary outcomes: weight loss/T2DM risk reduction </w:t>
            </w:r>
          </w:p>
        </w:tc>
        <w:tc>
          <w:tcPr>
            <w:tcW w:w="5245" w:type="dxa"/>
          </w:tcPr>
          <w:p w14:paraId="4661173C" w14:textId="77777777" w:rsidR="004B3096" w:rsidRPr="00103A0B" w:rsidRDefault="004B3096" w:rsidP="005D0A3A">
            <w:pPr>
              <w:spacing w:line="360" w:lineRule="auto"/>
              <w:jc w:val="both"/>
              <w:rPr>
                <w:rFonts w:ascii="Arial" w:hAnsi="Arial" w:cs="Arial"/>
              </w:rPr>
            </w:pPr>
          </w:p>
        </w:tc>
      </w:tr>
    </w:tbl>
    <w:p w14:paraId="5B07DD85" w14:textId="77777777" w:rsidR="001868D9" w:rsidRPr="00103A0B" w:rsidRDefault="001868D9" w:rsidP="005D0A3A">
      <w:pPr>
        <w:tabs>
          <w:tab w:val="left" w:pos="1470"/>
        </w:tabs>
        <w:spacing w:line="360" w:lineRule="auto"/>
        <w:jc w:val="both"/>
        <w:rPr>
          <w:rFonts w:ascii="Arial" w:hAnsi="Arial" w:cs="Arial"/>
          <w:i/>
          <w:sz w:val="24"/>
          <w:szCs w:val="24"/>
        </w:rPr>
      </w:pPr>
    </w:p>
    <w:p w14:paraId="26AB8A5B" w14:textId="77777777" w:rsidR="001868D9" w:rsidRPr="00103A0B" w:rsidRDefault="001868D9" w:rsidP="005D0A3A">
      <w:pPr>
        <w:tabs>
          <w:tab w:val="left" w:pos="1470"/>
        </w:tabs>
        <w:spacing w:line="360" w:lineRule="auto"/>
        <w:jc w:val="both"/>
        <w:rPr>
          <w:rFonts w:ascii="Arial" w:eastAsia="Times New Roman" w:hAnsi="Arial" w:cs="Arial"/>
          <w:sz w:val="24"/>
          <w:szCs w:val="24"/>
          <w:lang w:eastAsia="en-GB"/>
        </w:rPr>
      </w:pPr>
    </w:p>
    <w:p w14:paraId="1DE78AD2" w14:textId="77777777" w:rsidR="001868D9" w:rsidRPr="00103A0B" w:rsidRDefault="001868D9" w:rsidP="005D0A3A">
      <w:pPr>
        <w:spacing w:after="100" w:line="360" w:lineRule="auto"/>
        <w:jc w:val="both"/>
        <w:rPr>
          <w:rFonts w:ascii="Arial" w:eastAsia="Times New Roman" w:hAnsi="Arial" w:cs="Arial"/>
          <w:sz w:val="24"/>
          <w:szCs w:val="24"/>
          <w:lang w:eastAsia="en-GB"/>
        </w:rPr>
      </w:pPr>
    </w:p>
    <w:p w14:paraId="3D6FE420" w14:textId="47B8F9F5" w:rsidR="00324C56" w:rsidRPr="00103A0B" w:rsidRDefault="00324C56" w:rsidP="005D0A3A">
      <w:pPr>
        <w:spacing w:after="100" w:line="360" w:lineRule="auto"/>
        <w:jc w:val="both"/>
        <w:rPr>
          <w:rFonts w:ascii="Arial" w:hAnsi="Arial" w:cs="Arial"/>
          <w:sz w:val="24"/>
          <w:szCs w:val="24"/>
        </w:rPr>
      </w:pPr>
    </w:p>
    <w:p w14:paraId="1E5A0C4A" w14:textId="7F963604" w:rsidR="004B3096" w:rsidRPr="00103A0B" w:rsidRDefault="004B3096" w:rsidP="005D0A3A">
      <w:pPr>
        <w:spacing w:after="100" w:line="360" w:lineRule="auto"/>
        <w:jc w:val="both"/>
        <w:rPr>
          <w:rFonts w:ascii="Arial" w:hAnsi="Arial" w:cs="Arial"/>
          <w:sz w:val="24"/>
          <w:szCs w:val="24"/>
        </w:rPr>
      </w:pPr>
    </w:p>
    <w:p w14:paraId="40A32E11" w14:textId="246EE1D2" w:rsidR="004B3096" w:rsidRPr="00103A0B" w:rsidRDefault="004B3096" w:rsidP="005D0A3A">
      <w:pPr>
        <w:spacing w:after="100" w:line="360" w:lineRule="auto"/>
        <w:jc w:val="both"/>
        <w:rPr>
          <w:rFonts w:ascii="Arial" w:hAnsi="Arial" w:cs="Arial"/>
          <w:sz w:val="24"/>
          <w:szCs w:val="24"/>
        </w:rPr>
      </w:pPr>
    </w:p>
    <w:p w14:paraId="4CD9F7D3" w14:textId="34BEE02F" w:rsidR="004B3096" w:rsidRPr="00103A0B" w:rsidRDefault="004B3096" w:rsidP="005D0A3A">
      <w:pPr>
        <w:spacing w:after="100" w:line="360" w:lineRule="auto"/>
        <w:jc w:val="both"/>
        <w:rPr>
          <w:rFonts w:ascii="Arial" w:hAnsi="Arial" w:cs="Arial"/>
          <w:sz w:val="24"/>
          <w:szCs w:val="24"/>
        </w:rPr>
      </w:pPr>
    </w:p>
    <w:p w14:paraId="19AB4BE2" w14:textId="1BF38708" w:rsidR="004B3096" w:rsidRPr="00103A0B" w:rsidRDefault="004B3096" w:rsidP="005D0A3A">
      <w:pPr>
        <w:spacing w:after="100" w:line="360" w:lineRule="auto"/>
        <w:jc w:val="both"/>
        <w:rPr>
          <w:rFonts w:ascii="Arial" w:hAnsi="Arial" w:cs="Arial"/>
          <w:sz w:val="24"/>
          <w:szCs w:val="24"/>
        </w:rPr>
      </w:pPr>
    </w:p>
    <w:p w14:paraId="688FF520" w14:textId="77777777" w:rsidR="004B3096" w:rsidRPr="00103A0B" w:rsidRDefault="004B3096" w:rsidP="005D0A3A">
      <w:pPr>
        <w:spacing w:after="100" w:line="360" w:lineRule="auto"/>
        <w:jc w:val="both"/>
        <w:rPr>
          <w:rFonts w:ascii="Arial" w:hAnsi="Arial" w:cs="Arial"/>
          <w:sz w:val="24"/>
          <w:szCs w:val="24"/>
        </w:rPr>
      </w:pPr>
    </w:p>
    <w:p w14:paraId="088F7293" w14:textId="16B909B8" w:rsidR="00324C56" w:rsidRPr="00103A0B" w:rsidRDefault="004B3096" w:rsidP="005D0A3A">
      <w:pPr>
        <w:jc w:val="both"/>
        <w:rPr>
          <w:rFonts w:ascii="Arial" w:hAnsi="Arial" w:cs="Arial"/>
          <w:b/>
          <w:bCs/>
          <w:sz w:val="24"/>
          <w:szCs w:val="24"/>
        </w:rPr>
      </w:pPr>
      <w:bookmarkStart w:id="87" w:name="_Toc41404584"/>
      <w:r w:rsidRPr="00103A0B">
        <w:rPr>
          <w:rFonts w:ascii="Arial" w:hAnsi="Arial" w:cs="Arial"/>
          <w:b/>
          <w:bCs/>
          <w:sz w:val="24"/>
          <w:szCs w:val="24"/>
        </w:rPr>
        <w:lastRenderedPageBreak/>
        <w:t xml:space="preserve">2.2.2 </w:t>
      </w:r>
      <w:r w:rsidR="00324C56" w:rsidRPr="00103A0B">
        <w:rPr>
          <w:rFonts w:ascii="Arial" w:hAnsi="Arial" w:cs="Arial"/>
          <w:b/>
          <w:bCs/>
          <w:sz w:val="24"/>
          <w:szCs w:val="24"/>
        </w:rPr>
        <w:t xml:space="preserve">Search </w:t>
      </w:r>
      <w:r w:rsidR="00181EB6" w:rsidRPr="00103A0B">
        <w:rPr>
          <w:rFonts w:ascii="Arial" w:hAnsi="Arial" w:cs="Arial"/>
          <w:b/>
          <w:bCs/>
          <w:sz w:val="24"/>
          <w:szCs w:val="24"/>
        </w:rPr>
        <w:t>S</w:t>
      </w:r>
      <w:r w:rsidR="00324C56" w:rsidRPr="00103A0B">
        <w:rPr>
          <w:rFonts w:ascii="Arial" w:hAnsi="Arial" w:cs="Arial"/>
          <w:b/>
          <w:bCs/>
          <w:sz w:val="24"/>
          <w:szCs w:val="24"/>
        </w:rPr>
        <w:t>trategy</w:t>
      </w:r>
      <w:bookmarkEnd w:id="87"/>
      <w:r w:rsidR="00324C56" w:rsidRPr="00103A0B">
        <w:rPr>
          <w:rFonts w:ascii="Arial" w:hAnsi="Arial" w:cs="Arial"/>
          <w:b/>
          <w:bCs/>
          <w:sz w:val="24"/>
          <w:szCs w:val="24"/>
        </w:rPr>
        <w:t xml:space="preserve"> </w:t>
      </w:r>
    </w:p>
    <w:p w14:paraId="4CA2B85E" w14:textId="0AB4E7C7" w:rsidR="00324C56" w:rsidRPr="00103A0B" w:rsidRDefault="00324C56" w:rsidP="005D0A3A">
      <w:pPr>
        <w:spacing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A comprehensive database search for relevant papers published prior to the </w:t>
      </w:r>
      <w:bookmarkStart w:id="88" w:name="_Hlk38898239"/>
      <w:r w:rsidRPr="00103A0B">
        <w:rPr>
          <w:rFonts w:ascii="Arial" w:eastAsia="Times New Roman" w:hAnsi="Arial" w:cs="Arial"/>
          <w:sz w:val="24"/>
          <w:szCs w:val="24"/>
          <w:lang w:eastAsia="en-GB"/>
        </w:rPr>
        <w:t>8</w:t>
      </w:r>
      <w:r w:rsidRPr="00103A0B">
        <w:rPr>
          <w:rFonts w:ascii="Arial" w:eastAsia="Times New Roman" w:hAnsi="Arial" w:cs="Arial"/>
          <w:sz w:val="24"/>
          <w:szCs w:val="24"/>
          <w:vertAlign w:val="superscript"/>
          <w:lang w:eastAsia="en-GB"/>
        </w:rPr>
        <w:t>th</w:t>
      </w:r>
      <w:r w:rsidRPr="00103A0B">
        <w:rPr>
          <w:rFonts w:ascii="Arial" w:eastAsia="Times New Roman" w:hAnsi="Arial" w:cs="Arial"/>
          <w:sz w:val="24"/>
          <w:szCs w:val="24"/>
          <w:lang w:eastAsia="en-GB"/>
        </w:rPr>
        <w:t xml:space="preserve"> of March 2017 was conducted (searching for papers from when the database started to current day). Top-up searches were conducted on the 10</w:t>
      </w:r>
      <w:r w:rsidRPr="00103A0B">
        <w:rPr>
          <w:rFonts w:ascii="Arial" w:eastAsia="Times New Roman" w:hAnsi="Arial" w:cs="Arial"/>
          <w:sz w:val="24"/>
          <w:szCs w:val="24"/>
          <w:vertAlign w:val="superscript"/>
          <w:lang w:eastAsia="en-GB"/>
        </w:rPr>
        <w:t>th</w:t>
      </w:r>
      <w:r w:rsidRPr="00103A0B">
        <w:rPr>
          <w:rFonts w:ascii="Arial" w:eastAsia="Times New Roman" w:hAnsi="Arial" w:cs="Arial"/>
          <w:sz w:val="24"/>
          <w:szCs w:val="24"/>
          <w:lang w:eastAsia="en-GB"/>
        </w:rPr>
        <w:t xml:space="preserve"> </w:t>
      </w:r>
      <w:r w:rsidR="00587808" w:rsidRPr="00103A0B">
        <w:rPr>
          <w:rFonts w:ascii="Arial" w:eastAsia="Times New Roman" w:hAnsi="Arial" w:cs="Arial"/>
          <w:sz w:val="24"/>
          <w:szCs w:val="24"/>
          <w:lang w:eastAsia="en-GB"/>
        </w:rPr>
        <w:t xml:space="preserve">of </w:t>
      </w:r>
      <w:r w:rsidRPr="00103A0B">
        <w:rPr>
          <w:rFonts w:ascii="Arial" w:eastAsia="Times New Roman" w:hAnsi="Arial" w:cs="Arial"/>
          <w:sz w:val="24"/>
          <w:szCs w:val="24"/>
          <w:lang w:eastAsia="en-GB"/>
        </w:rPr>
        <w:t>December 2018 and 21</w:t>
      </w:r>
      <w:r w:rsidRPr="00103A0B">
        <w:rPr>
          <w:rFonts w:ascii="Arial" w:eastAsia="Times New Roman" w:hAnsi="Arial" w:cs="Arial"/>
          <w:sz w:val="24"/>
          <w:szCs w:val="24"/>
          <w:vertAlign w:val="superscript"/>
          <w:lang w:eastAsia="en-GB"/>
        </w:rPr>
        <w:t>st</w:t>
      </w:r>
      <w:r w:rsidRPr="00103A0B">
        <w:rPr>
          <w:rFonts w:ascii="Arial" w:eastAsia="Times New Roman" w:hAnsi="Arial" w:cs="Arial"/>
          <w:sz w:val="24"/>
          <w:szCs w:val="24"/>
          <w:lang w:eastAsia="en-GB"/>
        </w:rPr>
        <w:t xml:space="preserve"> </w:t>
      </w:r>
      <w:r w:rsidR="00587808" w:rsidRPr="00103A0B">
        <w:rPr>
          <w:rFonts w:ascii="Arial" w:eastAsia="Times New Roman" w:hAnsi="Arial" w:cs="Arial"/>
          <w:sz w:val="24"/>
          <w:szCs w:val="24"/>
          <w:lang w:eastAsia="en-GB"/>
        </w:rPr>
        <w:t xml:space="preserve">of </w:t>
      </w:r>
      <w:r w:rsidRPr="00103A0B">
        <w:rPr>
          <w:rFonts w:ascii="Arial" w:eastAsia="Times New Roman" w:hAnsi="Arial" w:cs="Arial"/>
          <w:sz w:val="24"/>
          <w:szCs w:val="24"/>
          <w:lang w:eastAsia="en-GB"/>
        </w:rPr>
        <w:t xml:space="preserve">October 2019 (to identify relevant papers published </w:t>
      </w:r>
      <w:proofErr w:type="gramStart"/>
      <w:r w:rsidRPr="00103A0B">
        <w:rPr>
          <w:rFonts w:ascii="Arial" w:eastAsia="Times New Roman" w:hAnsi="Arial" w:cs="Arial"/>
          <w:sz w:val="24"/>
          <w:szCs w:val="24"/>
          <w:lang w:eastAsia="en-GB"/>
        </w:rPr>
        <w:t>subsequent to</w:t>
      </w:r>
      <w:proofErr w:type="gramEnd"/>
      <w:r w:rsidRPr="00103A0B">
        <w:rPr>
          <w:rFonts w:ascii="Arial" w:eastAsia="Times New Roman" w:hAnsi="Arial" w:cs="Arial"/>
          <w:sz w:val="24"/>
          <w:szCs w:val="24"/>
          <w:lang w:eastAsia="en-GB"/>
        </w:rPr>
        <w:t xml:space="preserve"> the initial search (March 2017-October 2019). </w:t>
      </w:r>
      <w:bookmarkEnd w:id="88"/>
      <w:r w:rsidRPr="00103A0B">
        <w:rPr>
          <w:rFonts w:ascii="Arial" w:eastAsia="Times New Roman" w:hAnsi="Arial" w:cs="Arial"/>
          <w:sz w:val="24"/>
          <w:szCs w:val="24"/>
          <w:lang w:eastAsia="en-GB"/>
        </w:rPr>
        <w:t xml:space="preserve">Databases included EBSCO (MEDLINE, CINAHL Plus with Full Text, </w:t>
      </w:r>
      <w:proofErr w:type="spellStart"/>
      <w:r w:rsidRPr="00103A0B">
        <w:rPr>
          <w:rFonts w:ascii="Arial" w:eastAsia="Times New Roman" w:hAnsi="Arial" w:cs="Arial"/>
          <w:sz w:val="24"/>
          <w:szCs w:val="24"/>
          <w:lang w:eastAsia="en-GB"/>
        </w:rPr>
        <w:t>SPORTDiscus</w:t>
      </w:r>
      <w:proofErr w:type="spellEnd"/>
      <w:r w:rsidRPr="00103A0B">
        <w:rPr>
          <w:rFonts w:ascii="Arial" w:eastAsia="Times New Roman" w:hAnsi="Arial" w:cs="Arial"/>
          <w:sz w:val="24"/>
          <w:szCs w:val="24"/>
          <w:lang w:eastAsia="en-GB"/>
        </w:rPr>
        <w:t xml:space="preserve"> with Full Text, PsycINFO, </w:t>
      </w:r>
      <w:proofErr w:type="spellStart"/>
      <w:r w:rsidRPr="00103A0B">
        <w:rPr>
          <w:rFonts w:ascii="Arial" w:eastAsia="Times New Roman" w:hAnsi="Arial" w:cs="Arial"/>
          <w:sz w:val="24"/>
          <w:szCs w:val="24"/>
          <w:lang w:eastAsia="en-GB"/>
        </w:rPr>
        <w:t>PsycARTICLES</w:t>
      </w:r>
      <w:proofErr w:type="spellEnd"/>
      <w:r w:rsidRPr="00103A0B">
        <w:rPr>
          <w:rFonts w:ascii="Arial" w:eastAsia="Times New Roman" w:hAnsi="Arial" w:cs="Arial"/>
          <w:sz w:val="24"/>
          <w:szCs w:val="24"/>
          <w:lang w:eastAsia="en-GB"/>
        </w:rPr>
        <w:t xml:space="preserve">); Science Direct; Web of Science, PubMed, ProQuest Nursing &amp; Allied Health Database, Staffordshire University Summon tool and </w:t>
      </w:r>
      <w:proofErr w:type="spellStart"/>
      <w:r w:rsidRPr="00103A0B">
        <w:rPr>
          <w:rFonts w:ascii="Arial" w:eastAsia="Times New Roman" w:hAnsi="Arial" w:cs="Arial"/>
          <w:sz w:val="24"/>
          <w:szCs w:val="24"/>
          <w:lang w:eastAsia="en-GB"/>
        </w:rPr>
        <w:t>Opengrey</w:t>
      </w:r>
      <w:proofErr w:type="spellEnd"/>
      <w:r w:rsidRPr="00103A0B">
        <w:rPr>
          <w:rFonts w:ascii="Arial" w:eastAsia="Times New Roman" w:hAnsi="Arial" w:cs="Arial"/>
          <w:sz w:val="24"/>
          <w:szCs w:val="24"/>
          <w:lang w:eastAsia="en-GB"/>
        </w:rPr>
        <w:t xml:space="preserve">. Key search terms </w:t>
      </w:r>
      <w:proofErr w:type="gramStart"/>
      <w:r w:rsidRPr="00103A0B">
        <w:rPr>
          <w:rFonts w:ascii="Arial" w:eastAsia="Times New Roman" w:hAnsi="Arial" w:cs="Arial"/>
          <w:sz w:val="24"/>
          <w:szCs w:val="24"/>
          <w:lang w:eastAsia="en-GB"/>
        </w:rPr>
        <w:t>were:</w:t>
      </w:r>
      <w:proofErr w:type="gramEnd"/>
      <w:r w:rsidRPr="00103A0B">
        <w:rPr>
          <w:rFonts w:ascii="Arial" w:eastAsia="Times New Roman" w:hAnsi="Arial" w:cs="Arial"/>
          <w:sz w:val="24"/>
          <w:szCs w:val="24"/>
          <w:lang w:eastAsia="en-GB"/>
        </w:rPr>
        <w:t xml:space="preserve"> prediabetes intervention* OR prediabetes program* OR diabetes prevention intervention* OR diabetes prevention program* AND group*. Filters were then applied to restrict the search to papers written in English, participants who are adults, papers where the key search terms appeared in the title only.</w:t>
      </w:r>
      <w:r w:rsidR="00587808" w:rsidRPr="00103A0B">
        <w:rPr>
          <w:rFonts w:ascii="Arial" w:eastAsia="Times New Roman" w:hAnsi="Arial" w:cs="Arial"/>
          <w:sz w:val="24"/>
          <w:szCs w:val="24"/>
          <w:lang w:eastAsia="en-GB"/>
        </w:rPr>
        <w:t xml:space="preserve"> </w:t>
      </w:r>
      <w:r w:rsidRPr="00103A0B">
        <w:rPr>
          <w:rFonts w:ascii="Arial" w:eastAsia="Times New Roman" w:hAnsi="Arial" w:cs="Arial"/>
          <w:sz w:val="24"/>
          <w:szCs w:val="24"/>
          <w:lang w:eastAsia="en-GB"/>
        </w:rPr>
        <w:t xml:space="preserve">Publication titles and abstracts were screened followed by full text of the selected papers. Reference lists of included papers and relevant reviews were examined for additional papers. Authors were contacted if full text of relevant papers could not be retrieved or to provide additional detail (Figure </w:t>
      </w:r>
      <w:r w:rsidR="00575835" w:rsidRPr="00103A0B">
        <w:rPr>
          <w:rFonts w:ascii="Arial" w:eastAsia="Times New Roman" w:hAnsi="Arial" w:cs="Arial"/>
          <w:sz w:val="24"/>
          <w:szCs w:val="24"/>
          <w:lang w:eastAsia="en-GB"/>
        </w:rPr>
        <w:t>1</w:t>
      </w:r>
      <w:r w:rsidRPr="00103A0B">
        <w:rPr>
          <w:rFonts w:ascii="Arial" w:eastAsia="Times New Roman" w:hAnsi="Arial" w:cs="Arial"/>
          <w:sz w:val="24"/>
          <w:szCs w:val="24"/>
          <w:lang w:eastAsia="en-GB"/>
        </w:rPr>
        <w:t xml:space="preserve">). </w:t>
      </w:r>
    </w:p>
    <w:p w14:paraId="6DC4FE45" w14:textId="395B9447" w:rsidR="001868D9" w:rsidRPr="00103A0B" w:rsidRDefault="001868D9" w:rsidP="005D0A3A">
      <w:pPr>
        <w:spacing w:after="100" w:line="360" w:lineRule="auto"/>
        <w:jc w:val="both"/>
        <w:rPr>
          <w:rFonts w:ascii="Arial" w:eastAsia="Times New Roman" w:hAnsi="Arial" w:cs="Arial"/>
          <w:sz w:val="24"/>
          <w:szCs w:val="24"/>
          <w:lang w:eastAsia="en-GB"/>
        </w:rPr>
      </w:pPr>
    </w:p>
    <w:p w14:paraId="09544156" w14:textId="005B360B" w:rsidR="001868D9" w:rsidRPr="00103A0B" w:rsidRDefault="001868D9" w:rsidP="005D0A3A">
      <w:pPr>
        <w:spacing w:after="100" w:line="360" w:lineRule="auto"/>
        <w:jc w:val="both"/>
        <w:rPr>
          <w:rFonts w:ascii="Arial" w:eastAsia="Times New Roman" w:hAnsi="Arial" w:cs="Arial"/>
          <w:sz w:val="24"/>
          <w:szCs w:val="24"/>
          <w:lang w:eastAsia="en-GB"/>
        </w:rPr>
      </w:pPr>
    </w:p>
    <w:p w14:paraId="46350782" w14:textId="7B6DD2F4" w:rsidR="001868D9" w:rsidRPr="00103A0B" w:rsidRDefault="001868D9" w:rsidP="005D0A3A">
      <w:pPr>
        <w:spacing w:after="100" w:line="360" w:lineRule="auto"/>
        <w:jc w:val="both"/>
        <w:rPr>
          <w:rFonts w:ascii="Arial" w:eastAsia="Times New Roman" w:hAnsi="Arial" w:cs="Arial"/>
          <w:sz w:val="24"/>
          <w:szCs w:val="24"/>
          <w:lang w:eastAsia="en-GB"/>
        </w:rPr>
      </w:pPr>
    </w:p>
    <w:p w14:paraId="3F42C2DE" w14:textId="7F3A8B99" w:rsidR="001868D9" w:rsidRPr="00103A0B" w:rsidRDefault="001868D9" w:rsidP="005D0A3A">
      <w:pPr>
        <w:spacing w:after="100" w:line="360" w:lineRule="auto"/>
        <w:jc w:val="both"/>
        <w:rPr>
          <w:rFonts w:ascii="Arial" w:eastAsia="Times New Roman" w:hAnsi="Arial" w:cs="Arial"/>
          <w:sz w:val="24"/>
          <w:szCs w:val="24"/>
          <w:lang w:eastAsia="en-GB"/>
        </w:rPr>
      </w:pPr>
    </w:p>
    <w:p w14:paraId="040A5B54" w14:textId="1C5E6AFA" w:rsidR="001868D9" w:rsidRPr="00103A0B" w:rsidRDefault="001868D9" w:rsidP="005D0A3A">
      <w:pPr>
        <w:spacing w:after="100" w:line="360" w:lineRule="auto"/>
        <w:jc w:val="both"/>
        <w:rPr>
          <w:rFonts w:ascii="Arial" w:eastAsia="Times New Roman" w:hAnsi="Arial" w:cs="Arial"/>
          <w:sz w:val="24"/>
          <w:szCs w:val="24"/>
          <w:lang w:eastAsia="en-GB"/>
        </w:rPr>
      </w:pPr>
    </w:p>
    <w:p w14:paraId="6D3ABAE8" w14:textId="01213811" w:rsidR="001868D9" w:rsidRPr="00103A0B" w:rsidRDefault="001868D9" w:rsidP="005D0A3A">
      <w:pPr>
        <w:spacing w:after="100" w:line="360" w:lineRule="auto"/>
        <w:jc w:val="both"/>
        <w:rPr>
          <w:rFonts w:ascii="Arial" w:eastAsia="Times New Roman" w:hAnsi="Arial" w:cs="Arial"/>
          <w:sz w:val="24"/>
          <w:szCs w:val="24"/>
          <w:lang w:eastAsia="en-GB"/>
        </w:rPr>
      </w:pPr>
    </w:p>
    <w:p w14:paraId="7270994C" w14:textId="64EEF16C" w:rsidR="001868D9" w:rsidRPr="00103A0B" w:rsidRDefault="001868D9" w:rsidP="005D0A3A">
      <w:pPr>
        <w:spacing w:after="100" w:line="360" w:lineRule="auto"/>
        <w:jc w:val="both"/>
        <w:rPr>
          <w:rFonts w:ascii="Arial" w:eastAsia="Times New Roman" w:hAnsi="Arial" w:cs="Arial"/>
          <w:sz w:val="24"/>
          <w:szCs w:val="24"/>
          <w:lang w:eastAsia="en-GB"/>
        </w:rPr>
      </w:pPr>
    </w:p>
    <w:p w14:paraId="3DB095ED" w14:textId="3A7468D5" w:rsidR="001868D9" w:rsidRPr="00103A0B" w:rsidRDefault="001868D9" w:rsidP="005D0A3A">
      <w:pPr>
        <w:spacing w:after="100" w:line="360" w:lineRule="auto"/>
        <w:jc w:val="both"/>
        <w:rPr>
          <w:rFonts w:ascii="Arial" w:eastAsia="Times New Roman" w:hAnsi="Arial" w:cs="Arial"/>
          <w:sz w:val="24"/>
          <w:szCs w:val="24"/>
          <w:lang w:eastAsia="en-GB"/>
        </w:rPr>
      </w:pPr>
    </w:p>
    <w:p w14:paraId="1EE69503" w14:textId="0EEF6192" w:rsidR="001868D9" w:rsidRPr="00103A0B" w:rsidRDefault="001868D9" w:rsidP="005D0A3A">
      <w:pPr>
        <w:spacing w:after="100" w:line="360" w:lineRule="auto"/>
        <w:jc w:val="both"/>
        <w:rPr>
          <w:rFonts w:ascii="Arial" w:eastAsia="Times New Roman" w:hAnsi="Arial" w:cs="Arial"/>
          <w:sz w:val="24"/>
          <w:szCs w:val="24"/>
          <w:lang w:eastAsia="en-GB"/>
        </w:rPr>
      </w:pPr>
    </w:p>
    <w:p w14:paraId="019D42A7" w14:textId="77777777" w:rsidR="001868D9" w:rsidRPr="00103A0B" w:rsidRDefault="001868D9" w:rsidP="005D0A3A">
      <w:pPr>
        <w:spacing w:after="100" w:line="360" w:lineRule="auto"/>
        <w:jc w:val="both"/>
        <w:rPr>
          <w:rFonts w:ascii="Arial" w:eastAsia="Times New Roman" w:hAnsi="Arial" w:cs="Arial"/>
          <w:sz w:val="24"/>
          <w:szCs w:val="24"/>
          <w:lang w:eastAsia="en-GB"/>
        </w:rPr>
      </w:pPr>
    </w:p>
    <w:p w14:paraId="1987C046" w14:textId="77777777" w:rsidR="00324C56" w:rsidRPr="00103A0B" w:rsidRDefault="00324C56" w:rsidP="005D0A3A">
      <w:pPr>
        <w:spacing w:after="100" w:line="360" w:lineRule="auto"/>
        <w:jc w:val="both"/>
        <w:rPr>
          <w:rFonts w:ascii="Arial" w:hAnsi="Arial" w:cs="Arial"/>
          <w:sz w:val="16"/>
          <w:szCs w:val="16"/>
        </w:rPr>
      </w:pPr>
    </w:p>
    <w:p w14:paraId="5C3618B0" w14:textId="77777777" w:rsidR="004B3096" w:rsidRPr="00103A0B" w:rsidRDefault="004B3096" w:rsidP="005D0A3A">
      <w:pPr>
        <w:spacing w:after="100" w:line="360" w:lineRule="auto"/>
        <w:jc w:val="both"/>
        <w:rPr>
          <w:rFonts w:ascii="Arial" w:eastAsia="Times New Roman" w:hAnsi="Arial" w:cs="Arial"/>
          <w:i/>
          <w:sz w:val="24"/>
          <w:szCs w:val="24"/>
          <w:lang w:eastAsia="en-GB"/>
        </w:rPr>
      </w:pPr>
      <w:bookmarkStart w:id="89" w:name="_Hlk75194060"/>
    </w:p>
    <w:p w14:paraId="0AA95E9B" w14:textId="77777777" w:rsidR="004B3096" w:rsidRPr="00103A0B" w:rsidRDefault="004B3096" w:rsidP="005D0A3A">
      <w:pPr>
        <w:spacing w:after="100" w:line="360" w:lineRule="auto"/>
        <w:jc w:val="both"/>
        <w:rPr>
          <w:rFonts w:ascii="Arial" w:eastAsia="Times New Roman" w:hAnsi="Arial" w:cs="Arial"/>
          <w:i/>
          <w:sz w:val="24"/>
          <w:szCs w:val="24"/>
          <w:lang w:eastAsia="en-GB"/>
        </w:rPr>
      </w:pPr>
    </w:p>
    <w:p w14:paraId="45081AA5" w14:textId="44524F19" w:rsidR="001868D9" w:rsidRPr="00103A0B" w:rsidRDefault="00C84E3F" w:rsidP="005D0A3A">
      <w:pPr>
        <w:keepLines/>
        <w:spacing w:after="100" w:line="360" w:lineRule="auto"/>
        <w:jc w:val="both"/>
        <w:rPr>
          <w:rFonts w:ascii="Arial" w:eastAsia="Times New Roman" w:hAnsi="Arial" w:cs="Arial"/>
          <w:sz w:val="24"/>
          <w:szCs w:val="24"/>
          <w:lang w:eastAsia="en-GB"/>
        </w:rPr>
      </w:pPr>
      <w:r w:rsidRPr="00103A0B">
        <w:rPr>
          <w:noProof/>
        </w:rPr>
        <w:lastRenderedPageBreak/>
        <mc:AlternateContent>
          <mc:Choice Requires="wpg">
            <w:drawing>
              <wp:anchor distT="0" distB="0" distL="114300" distR="114300" simplePos="0" relativeHeight="251661312" behindDoc="0" locked="0" layoutInCell="1" allowOverlap="1" wp14:anchorId="68076B42" wp14:editId="60DAC8B2">
                <wp:simplePos x="0" y="0"/>
                <wp:positionH relativeFrom="margin">
                  <wp:posOffset>-142875</wp:posOffset>
                </wp:positionH>
                <wp:positionV relativeFrom="paragraph">
                  <wp:posOffset>346710</wp:posOffset>
                </wp:positionV>
                <wp:extent cx="6281420" cy="9254490"/>
                <wp:effectExtent l="9525" t="13335" r="5080" b="9525"/>
                <wp:wrapNone/>
                <wp:docPr id="20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9254490"/>
                          <a:chOff x="0" y="0"/>
                          <a:chExt cx="65722" cy="85919"/>
                        </a:xfrm>
                      </wpg:grpSpPr>
                      <wpg:grpSp>
                        <wpg:cNvPr id="202" name="Group 8"/>
                        <wpg:cNvGrpSpPr>
                          <a:grpSpLocks/>
                        </wpg:cNvGrpSpPr>
                        <wpg:grpSpPr bwMode="auto">
                          <a:xfrm>
                            <a:off x="0" y="0"/>
                            <a:ext cx="65722" cy="85919"/>
                            <a:chOff x="0" y="0"/>
                            <a:chExt cx="65722" cy="85919"/>
                          </a:xfrm>
                        </wpg:grpSpPr>
                        <wps:wsp>
                          <wps:cNvPr id="203" name="Text Box 2"/>
                          <wps:cNvSpPr txBox="1">
                            <a:spLocks noChangeArrowheads="1"/>
                          </wps:cNvSpPr>
                          <wps:spPr bwMode="auto">
                            <a:xfrm>
                              <a:off x="20669" y="0"/>
                              <a:ext cx="20574" cy="9906"/>
                            </a:xfrm>
                            <a:prstGeom prst="rect">
                              <a:avLst/>
                            </a:prstGeom>
                            <a:solidFill>
                              <a:srgbClr val="FFFFFF"/>
                            </a:solidFill>
                            <a:ln w="9525">
                              <a:solidFill>
                                <a:srgbClr val="000000"/>
                              </a:solidFill>
                              <a:miter lim="800000"/>
                              <a:headEnd/>
                              <a:tailEnd/>
                            </a:ln>
                          </wps:spPr>
                          <wps:txbx>
                            <w:txbxContent>
                              <w:p w14:paraId="4E9177F2" w14:textId="77777777" w:rsidR="00F47203" w:rsidRDefault="00F47203" w:rsidP="001868D9">
                                <w:r w:rsidRPr="001868D9">
                                  <w:t>Records identified through database searching:</w:t>
                                </w:r>
                                <w:r>
                                  <w:t xml:space="preserve"> (initial search-before filters): </w:t>
                                </w:r>
                                <w:r w:rsidRPr="008A5D1A">
                                  <w:rPr>
                                    <w:b/>
                                  </w:rPr>
                                  <w:t>n=2</w:t>
                                </w:r>
                                <w:r>
                                  <w:rPr>
                                    <w:b/>
                                  </w:rPr>
                                  <w:t>7</w:t>
                                </w:r>
                                <w:r w:rsidRPr="008A5D1A">
                                  <w:rPr>
                                    <w:b/>
                                  </w:rPr>
                                  <w:t>,</w:t>
                                </w:r>
                                <w:r>
                                  <w:rPr>
                                    <w:b/>
                                  </w:rPr>
                                  <w:t>137</w:t>
                                </w:r>
                                <w:r>
                                  <w:t xml:space="preserve"> (14,265 from 1</w:t>
                                </w:r>
                                <w:r w:rsidRPr="008A5D1A">
                                  <w:rPr>
                                    <w:vertAlign w:val="superscript"/>
                                  </w:rPr>
                                  <w:t>st</w:t>
                                </w:r>
                                <w:r>
                                  <w:t xml:space="preserve"> top-up search, 6,373 from 2</w:t>
                                </w:r>
                                <w:r w:rsidRPr="008A5D1A">
                                  <w:rPr>
                                    <w:vertAlign w:val="superscript"/>
                                  </w:rPr>
                                  <w:t>nd</w:t>
                                </w:r>
                                <w:r>
                                  <w:t>)</w:t>
                                </w:r>
                              </w:p>
                            </w:txbxContent>
                          </wps:txbx>
                          <wps:bodyPr rot="0" vert="horz" wrap="square" lIns="91440" tIns="45720" rIns="91440" bIns="45720" anchor="t" anchorCtr="0" upright="1">
                            <a:noAutofit/>
                          </wps:bodyPr>
                        </wps:wsp>
                        <wps:wsp>
                          <wps:cNvPr id="204" name="Text Box 2"/>
                          <wps:cNvSpPr txBox="1">
                            <a:spLocks noChangeArrowheads="1"/>
                          </wps:cNvSpPr>
                          <wps:spPr bwMode="auto">
                            <a:xfrm>
                              <a:off x="20669" y="19990"/>
                              <a:ext cx="19907" cy="11228"/>
                            </a:xfrm>
                            <a:prstGeom prst="rect">
                              <a:avLst/>
                            </a:prstGeom>
                            <a:solidFill>
                              <a:srgbClr val="FFFFFF"/>
                            </a:solidFill>
                            <a:ln w="9525">
                              <a:solidFill>
                                <a:srgbClr val="000000"/>
                              </a:solidFill>
                              <a:miter lim="800000"/>
                              <a:headEnd/>
                              <a:tailEnd/>
                            </a:ln>
                          </wps:spPr>
                          <wps:txbx>
                            <w:txbxContent>
                              <w:p w14:paraId="26A83B89" w14:textId="77777777" w:rsidR="00F47203" w:rsidRDefault="00F47203" w:rsidP="001868D9">
                                <w:r w:rsidRPr="001868D9">
                                  <w:t>Records identified through database searching: Initial search (after filters applied</w:t>
                                </w:r>
                                <w:r>
                                  <w:t xml:space="preserve">): </w:t>
                                </w:r>
                                <w:r w:rsidRPr="008A5D1A">
                                  <w:rPr>
                                    <w:b/>
                                  </w:rPr>
                                  <w:t>n=</w:t>
                                </w:r>
                                <w:r>
                                  <w:rPr>
                                    <w:b/>
                                  </w:rPr>
                                  <w:t>1,198</w:t>
                                </w:r>
                                <w:r>
                                  <w:t xml:space="preserve"> (including 101 from 1st top-up search, 85 from 2</w:t>
                                </w:r>
                                <w:r w:rsidRPr="008A5D1A">
                                  <w:rPr>
                                    <w:vertAlign w:val="superscript"/>
                                  </w:rPr>
                                  <w:t>nd</w:t>
                                </w:r>
                                <w:r>
                                  <w:t xml:space="preserve">) </w:t>
                                </w:r>
                              </w:p>
                            </w:txbxContent>
                          </wps:txbx>
                          <wps:bodyPr rot="0" vert="horz" wrap="square" lIns="91440" tIns="45720" rIns="91440" bIns="45720" anchor="t" anchorCtr="0" upright="1">
                            <a:noAutofit/>
                          </wps:bodyPr>
                        </wps:wsp>
                        <wps:wsp>
                          <wps:cNvPr id="205" name="Text Box 11"/>
                          <wps:cNvSpPr txBox="1">
                            <a:spLocks noChangeArrowheads="1"/>
                          </wps:cNvSpPr>
                          <wps:spPr bwMode="auto">
                            <a:xfrm>
                              <a:off x="20859" y="43910"/>
                              <a:ext cx="19622" cy="12022"/>
                            </a:xfrm>
                            <a:prstGeom prst="rect">
                              <a:avLst/>
                            </a:prstGeom>
                            <a:solidFill>
                              <a:srgbClr val="FFFFFF"/>
                            </a:solidFill>
                            <a:ln w="9525">
                              <a:solidFill>
                                <a:srgbClr val="000000"/>
                              </a:solidFill>
                              <a:miter lim="800000"/>
                              <a:headEnd/>
                              <a:tailEnd/>
                            </a:ln>
                          </wps:spPr>
                          <wps:txbx>
                            <w:txbxContent>
                              <w:p w14:paraId="789B5887" w14:textId="77777777" w:rsidR="00F47203" w:rsidRDefault="00F47203" w:rsidP="001868D9">
                                <w:r w:rsidRPr="001868D9">
                                  <w:t>After screening by</w:t>
                                </w:r>
                                <w:r>
                                  <w:t xml:space="preserve"> title and/or abstract: </w:t>
                                </w:r>
                                <w:r w:rsidRPr="00790806">
                                  <w:rPr>
                                    <w:b/>
                                  </w:rPr>
                                  <w:t>n</w:t>
                                </w:r>
                                <w:r w:rsidRPr="00122CC8">
                                  <w:rPr>
                                    <w:b/>
                                  </w:rPr>
                                  <w:t>=146</w:t>
                                </w:r>
                                <w:r>
                                  <w:t xml:space="preserve"> (including 7 from 1</w:t>
                                </w:r>
                                <w:r w:rsidRPr="00790806">
                                  <w:rPr>
                                    <w:vertAlign w:val="superscript"/>
                                  </w:rPr>
                                  <w:t>st</w:t>
                                </w:r>
                                <w:r>
                                  <w:t xml:space="preserve"> top-up search, 11 from 2</w:t>
                                </w:r>
                                <w:r w:rsidRPr="00790806">
                                  <w:rPr>
                                    <w:vertAlign w:val="superscript"/>
                                  </w:rPr>
                                  <w:t>nd</w:t>
                                </w:r>
                                <w:r>
                                  <w:t xml:space="preserve">) </w:t>
                                </w:r>
                              </w:p>
                            </w:txbxContent>
                          </wps:txbx>
                          <wps:bodyPr rot="0" vert="horz" wrap="square" lIns="91440" tIns="45720" rIns="91440" bIns="45720" anchor="t" anchorCtr="0" upright="1">
                            <a:noAutofit/>
                          </wps:bodyPr>
                        </wps:wsp>
                        <wps:wsp>
                          <wps:cNvPr id="206" name="Text Box 2"/>
                          <wps:cNvSpPr txBox="1">
                            <a:spLocks noChangeArrowheads="1"/>
                          </wps:cNvSpPr>
                          <wps:spPr bwMode="auto">
                            <a:xfrm>
                              <a:off x="20669" y="67529"/>
                              <a:ext cx="19907" cy="12100"/>
                            </a:xfrm>
                            <a:prstGeom prst="rect">
                              <a:avLst/>
                            </a:prstGeom>
                            <a:solidFill>
                              <a:srgbClr val="FFFFFF"/>
                            </a:solidFill>
                            <a:ln w="9525">
                              <a:solidFill>
                                <a:srgbClr val="000000"/>
                              </a:solidFill>
                              <a:miter lim="800000"/>
                              <a:headEnd/>
                              <a:tailEnd/>
                            </a:ln>
                          </wps:spPr>
                          <wps:txbx>
                            <w:txbxContent>
                              <w:p w14:paraId="6ED7E9D6" w14:textId="77777777" w:rsidR="00F47203" w:rsidRDefault="00F47203" w:rsidP="001868D9">
                                <w:r w:rsidRPr="001868D9">
                                  <w:t>After screening full-text</w:t>
                                </w:r>
                                <w:r>
                                  <w:t xml:space="preserve"> articles, final inclusion of papers: </w:t>
                                </w:r>
                                <w:r w:rsidRPr="00790806">
                                  <w:rPr>
                                    <w:b/>
                                  </w:rPr>
                                  <w:t>n=33</w:t>
                                </w:r>
                                <w:r>
                                  <w:t xml:space="preserve"> (including 7 from 1</w:t>
                                </w:r>
                                <w:r w:rsidRPr="00790806">
                                  <w:rPr>
                                    <w:vertAlign w:val="superscript"/>
                                  </w:rPr>
                                  <w:t>st</w:t>
                                </w:r>
                                <w:r>
                                  <w:t xml:space="preserve"> top-up search, 2 from 2</w:t>
                                </w:r>
                                <w:r w:rsidRPr="00790806">
                                  <w:rPr>
                                    <w:vertAlign w:val="superscript"/>
                                  </w:rPr>
                                  <w:t>nd</w:t>
                                </w:r>
                                <w:r>
                                  <w:t xml:space="preserve">) </w:t>
                                </w:r>
                              </w:p>
                              <w:p w14:paraId="6C32A243" w14:textId="77777777" w:rsidR="00F47203" w:rsidRDefault="00F47203" w:rsidP="001868D9"/>
                            </w:txbxContent>
                          </wps:txbx>
                          <wps:bodyPr rot="0" vert="horz" wrap="square" lIns="91440" tIns="45720" rIns="91440" bIns="45720" anchor="t" anchorCtr="0" upright="1">
                            <a:noAutofit/>
                          </wps:bodyPr>
                        </wps:wsp>
                        <wps:wsp>
                          <wps:cNvPr id="207" name="Text Box 2"/>
                          <wps:cNvSpPr txBox="1">
                            <a:spLocks noChangeArrowheads="1"/>
                          </wps:cNvSpPr>
                          <wps:spPr bwMode="auto">
                            <a:xfrm>
                              <a:off x="0" y="0"/>
                              <a:ext cx="15335" cy="22193"/>
                            </a:xfrm>
                            <a:prstGeom prst="rect">
                              <a:avLst/>
                            </a:prstGeom>
                            <a:solidFill>
                              <a:srgbClr val="FFFFFF"/>
                            </a:solidFill>
                            <a:ln w="9525">
                              <a:solidFill>
                                <a:srgbClr val="000000"/>
                              </a:solidFill>
                              <a:miter lim="800000"/>
                              <a:headEnd/>
                              <a:tailEnd/>
                            </a:ln>
                          </wps:spPr>
                          <wps:txbx>
                            <w:txbxContent>
                              <w:p w14:paraId="0F5D9102" w14:textId="77777777" w:rsidR="00F47203" w:rsidRDefault="00F47203" w:rsidP="001868D9">
                                <w:r>
                                  <w:t>Papers identified through:</w:t>
                                </w:r>
                              </w:p>
                              <w:p w14:paraId="1390B034" w14:textId="77777777" w:rsidR="00F47203" w:rsidRDefault="00F47203" w:rsidP="001868D9">
                                <w:pPr>
                                  <w:spacing w:after="0"/>
                                </w:pPr>
                                <w:r>
                                  <w:t>EBSCO: n=1,776</w:t>
                                </w:r>
                              </w:p>
                              <w:p w14:paraId="30C47064" w14:textId="77777777" w:rsidR="00F47203" w:rsidRDefault="00F47203" w:rsidP="001868D9">
                                <w:pPr>
                                  <w:spacing w:after="0"/>
                                </w:pPr>
                                <w:r>
                                  <w:t>Science Direct: n=1,257</w:t>
                                </w:r>
                              </w:p>
                              <w:p w14:paraId="7B187A53" w14:textId="77777777" w:rsidR="00F47203" w:rsidRDefault="00F47203" w:rsidP="001868D9">
                                <w:pPr>
                                  <w:spacing w:after="0"/>
                                </w:pPr>
                                <w:r>
                                  <w:t>Web of Science: n=3,661</w:t>
                                </w:r>
                              </w:p>
                              <w:p w14:paraId="7519C5B9" w14:textId="77777777" w:rsidR="00F47203" w:rsidRDefault="00F47203" w:rsidP="001868D9">
                                <w:pPr>
                                  <w:spacing w:after="0"/>
                                </w:pPr>
                                <w:r>
                                  <w:t>PubMed: n=3,207</w:t>
                                </w:r>
                              </w:p>
                              <w:p w14:paraId="78C348E8" w14:textId="77777777" w:rsidR="00F47203" w:rsidRDefault="00F47203" w:rsidP="001868D9">
                                <w:pPr>
                                  <w:spacing w:after="0"/>
                                </w:pPr>
                                <w:r>
                                  <w:t>ProQuest Nursing and Allied Health: n=15,434</w:t>
                                </w:r>
                              </w:p>
                              <w:p w14:paraId="76D0F27A" w14:textId="77777777" w:rsidR="00F47203" w:rsidRDefault="00F47203" w:rsidP="001868D9">
                                <w:pPr>
                                  <w:spacing w:after="0"/>
                                </w:pPr>
                                <w:r>
                                  <w:t>Summon: n=1,787</w:t>
                                </w:r>
                              </w:p>
                              <w:p w14:paraId="48F31873" w14:textId="77777777" w:rsidR="00F47203" w:rsidRDefault="00F47203" w:rsidP="001868D9">
                                <w:pPr>
                                  <w:spacing w:after="0"/>
                                </w:pPr>
                                <w:r>
                                  <w:t>Open Grey: n=15</w:t>
                                </w:r>
                              </w:p>
                            </w:txbxContent>
                          </wps:txbx>
                          <wps:bodyPr rot="0" vert="horz" wrap="square" lIns="91440" tIns="45720" rIns="91440" bIns="45720" anchor="t" anchorCtr="0" upright="1">
                            <a:noAutofit/>
                          </wps:bodyPr>
                        </wps:wsp>
                        <wps:wsp>
                          <wps:cNvPr id="208" name="Text Box 2"/>
                          <wps:cNvSpPr txBox="1">
                            <a:spLocks noChangeArrowheads="1"/>
                          </wps:cNvSpPr>
                          <wps:spPr bwMode="auto">
                            <a:xfrm>
                              <a:off x="190" y="25241"/>
                              <a:ext cx="15145" cy="38100"/>
                            </a:xfrm>
                            <a:prstGeom prst="rect">
                              <a:avLst/>
                            </a:prstGeom>
                            <a:solidFill>
                              <a:srgbClr val="FFFFFF"/>
                            </a:solidFill>
                            <a:ln w="9525">
                              <a:solidFill>
                                <a:srgbClr val="000000"/>
                              </a:solidFill>
                              <a:miter lim="800000"/>
                              <a:headEnd/>
                              <a:tailEnd/>
                            </a:ln>
                          </wps:spPr>
                          <wps:txbx>
                            <w:txbxContent>
                              <w:p w14:paraId="11591402" w14:textId="77777777" w:rsidR="00F47203" w:rsidRDefault="00F47203" w:rsidP="001868D9">
                                <w:r>
                                  <w:t>Papers identified through:</w:t>
                                </w:r>
                              </w:p>
                              <w:p w14:paraId="21614B8C" w14:textId="77777777" w:rsidR="00F47203" w:rsidRDefault="00F47203" w:rsidP="001868D9">
                                <w:pPr>
                                  <w:spacing w:after="0"/>
                                </w:pPr>
                                <w:r>
                                  <w:t>EBSCO: n=587</w:t>
                                </w:r>
                              </w:p>
                              <w:p w14:paraId="2C9C03E4" w14:textId="77777777" w:rsidR="00F47203" w:rsidRDefault="00F47203" w:rsidP="001868D9">
                                <w:pPr>
                                  <w:spacing w:after="0"/>
                                </w:pPr>
                                <w:r>
                                  <w:t>Science Direct: n=33</w:t>
                                </w:r>
                              </w:p>
                              <w:p w14:paraId="784E06FC" w14:textId="77777777" w:rsidR="00F47203" w:rsidRDefault="00F47203" w:rsidP="001868D9">
                                <w:pPr>
                                  <w:spacing w:after="0"/>
                                </w:pPr>
                                <w:r>
                                  <w:t>Web of Science: n=240</w:t>
                                </w:r>
                              </w:p>
                              <w:p w14:paraId="646EE47C" w14:textId="77777777" w:rsidR="00F47203" w:rsidRDefault="00F47203" w:rsidP="001868D9">
                                <w:pPr>
                                  <w:spacing w:after="0"/>
                                </w:pPr>
                                <w:r>
                                  <w:t>PubMed: n=52</w:t>
                                </w:r>
                              </w:p>
                              <w:p w14:paraId="0D405B77" w14:textId="77777777" w:rsidR="00F47203" w:rsidRDefault="00F47203" w:rsidP="001868D9">
                                <w:pPr>
                                  <w:spacing w:after="0"/>
                                </w:pPr>
                                <w:r>
                                  <w:t>ProQuest Nursing and Allied Health: n=24</w:t>
                                </w:r>
                              </w:p>
                              <w:p w14:paraId="7901A5B7" w14:textId="77777777" w:rsidR="00F47203" w:rsidRDefault="00F47203" w:rsidP="001868D9">
                                <w:pPr>
                                  <w:spacing w:after="0"/>
                                </w:pPr>
                                <w:r>
                                  <w:t>Summon: n=43</w:t>
                                </w:r>
                              </w:p>
                              <w:p w14:paraId="4F3F543E" w14:textId="77777777" w:rsidR="00F47203" w:rsidRDefault="00F47203" w:rsidP="001868D9">
                                <w:pPr>
                                  <w:spacing w:after="0" w:line="240" w:lineRule="auto"/>
                                </w:pPr>
                                <w:r>
                                  <w:t>Open Grey: n=55</w:t>
                                </w:r>
                              </w:p>
                              <w:p w14:paraId="4B8FA49E" w14:textId="77777777" w:rsidR="00F47203" w:rsidRDefault="00F47203" w:rsidP="001868D9">
                                <w:pPr>
                                  <w:spacing w:line="240" w:lineRule="auto"/>
                                </w:pPr>
                              </w:p>
                              <w:p w14:paraId="60AB0FEC" w14:textId="77777777" w:rsidR="00F47203" w:rsidRDefault="00F47203" w:rsidP="001868D9">
                                <w:pPr>
                                  <w:spacing w:after="0" w:line="240" w:lineRule="auto"/>
                                </w:pPr>
                                <w:r>
                                  <w:t>Other sources:</w:t>
                                </w:r>
                              </w:p>
                              <w:p w14:paraId="1D8EB85D" w14:textId="77777777" w:rsidR="00F47203" w:rsidRDefault="00F47203" w:rsidP="001868D9">
                                <w:pPr>
                                  <w:spacing w:after="0"/>
                                </w:pPr>
                                <w:r>
                                  <w:t>Reviews identified: n=11 (164 papers checked by title/abstract and included n=24)</w:t>
                                </w:r>
                              </w:p>
                              <w:p w14:paraId="07438348" w14:textId="77777777" w:rsidR="00F47203" w:rsidRDefault="00F47203" w:rsidP="001868D9"/>
                            </w:txbxContent>
                          </wps:txbx>
                          <wps:bodyPr rot="0" vert="horz" wrap="square" lIns="91440" tIns="45720" rIns="91440" bIns="45720" anchor="t" anchorCtr="0" upright="1">
                            <a:noAutofit/>
                          </wps:bodyPr>
                        </wps:wsp>
                        <wps:wsp>
                          <wps:cNvPr id="209" name="Text Box 2"/>
                          <wps:cNvSpPr txBox="1">
                            <a:spLocks noChangeArrowheads="1"/>
                          </wps:cNvSpPr>
                          <wps:spPr bwMode="auto">
                            <a:xfrm>
                              <a:off x="46482" y="1428"/>
                              <a:ext cx="18383" cy="34101"/>
                            </a:xfrm>
                            <a:prstGeom prst="rect">
                              <a:avLst/>
                            </a:prstGeom>
                            <a:solidFill>
                              <a:srgbClr val="FFFFFF"/>
                            </a:solidFill>
                            <a:ln w="9525">
                              <a:solidFill>
                                <a:srgbClr val="000000"/>
                              </a:solidFill>
                              <a:miter lim="800000"/>
                              <a:headEnd/>
                              <a:tailEnd/>
                            </a:ln>
                          </wps:spPr>
                          <wps:txbx>
                            <w:txbxContent>
                              <w:p w14:paraId="393C0DC8" w14:textId="77777777" w:rsidR="00F47203" w:rsidRDefault="00F47203" w:rsidP="001868D9">
                                <w:r w:rsidRPr="001868D9">
                                  <w:t>Records excluded based on title and/or abstract: n=1,052</w:t>
                                </w:r>
                              </w:p>
                              <w:p w14:paraId="4FE9819B" w14:textId="77777777" w:rsidR="00F47203" w:rsidRDefault="00F47203" w:rsidP="001868D9">
                                <w:pPr>
                                  <w:spacing w:after="0"/>
                                </w:pPr>
                                <w:r>
                                  <w:t>Reasons:</w:t>
                                </w:r>
                              </w:p>
                              <w:p w14:paraId="4C1DE9E1" w14:textId="77777777" w:rsidR="00F47203" w:rsidRDefault="00F47203" w:rsidP="001868D9">
                                <w:pPr>
                                  <w:pStyle w:val="ListParagraph"/>
                                  <w:numPr>
                                    <w:ilvl w:val="0"/>
                                    <w:numId w:val="11"/>
                                  </w:numPr>
                                  <w:spacing w:after="0"/>
                                </w:pPr>
                                <w:r>
                                  <w:t>Duplicates (n=234)</w:t>
                                </w:r>
                              </w:p>
                              <w:p w14:paraId="32A23D06" w14:textId="77777777" w:rsidR="00F47203" w:rsidRDefault="00F47203" w:rsidP="001868D9">
                                <w:pPr>
                                  <w:pStyle w:val="ListParagraph"/>
                                  <w:numPr>
                                    <w:ilvl w:val="0"/>
                                    <w:numId w:val="11"/>
                                  </w:numPr>
                                  <w:spacing w:after="0"/>
                                </w:pPr>
                                <w:r>
                                  <w:t>Design (qualitative/ process evaluation/ clinical drug trials/not DPP) (n=305)</w:t>
                                </w:r>
                              </w:p>
                              <w:p w14:paraId="150BD252" w14:textId="77777777" w:rsidR="00F47203" w:rsidRDefault="00F47203" w:rsidP="001868D9">
                                <w:pPr>
                                  <w:pStyle w:val="ListParagraph"/>
                                  <w:numPr>
                                    <w:ilvl w:val="0"/>
                                    <w:numId w:val="11"/>
                                  </w:numPr>
                                  <w:spacing w:after="0"/>
                                </w:pPr>
                                <w:r>
                                  <w:t>Sample (not prediabetes only/not adults) (n=183)</w:t>
                                </w:r>
                              </w:p>
                              <w:p w14:paraId="01903DAE" w14:textId="77777777" w:rsidR="00F47203" w:rsidRDefault="00F47203" w:rsidP="001868D9">
                                <w:pPr>
                                  <w:pStyle w:val="ListParagraph"/>
                                  <w:numPr>
                                    <w:ilvl w:val="0"/>
                                    <w:numId w:val="11"/>
                                  </w:numPr>
                                  <w:spacing w:after="0"/>
                                </w:pPr>
                                <w:r w:rsidRPr="00790806">
                                  <w:t xml:space="preserve">Primary outcomes (not weight loss and/or T2DM risk reduction) </w:t>
                                </w:r>
                                <w:r>
                                  <w:t>(n=251)</w:t>
                                </w:r>
                              </w:p>
                              <w:p w14:paraId="159ADDEE" w14:textId="2A9267DF" w:rsidR="00F47203" w:rsidRDefault="00F47203" w:rsidP="001868D9">
                                <w:pPr>
                                  <w:pStyle w:val="ListParagraph"/>
                                  <w:numPr>
                                    <w:ilvl w:val="0"/>
                                    <w:numId w:val="11"/>
                                  </w:numPr>
                                  <w:spacing w:after="0"/>
                                </w:pPr>
                                <w:r>
                                  <w:t>Not face-to-face group-based (n=79)</w:t>
                                </w:r>
                              </w:p>
                              <w:p w14:paraId="4DA7A07D" w14:textId="77777777" w:rsidR="00F47203" w:rsidRDefault="00F47203" w:rsidP="001868D9">
                                <w:pPr>
                                  <w:pStyle w:val="ListParagraph"/>
                                  <w:numPr>
                                    <w:ilvl w:val="0"/>
                                    <w:numId w:val="11"/>
                                  </w:numPr>
                                  <w:spacing w:after="0"/>
                                </w:pPr>
                              </w:p>
                            </w:txbxContent>
                          </wps:txbx>
                          <wps:bodyPr rot="0" vert="horz" wrap="square" lIns="91440" tIns="45720" rIns="91440" bIns="45720" anchor="t" anchorCtr="0" upright="1">
                            <a:noAutofit/>
                          </wps:bodyPr>
                        </wps:wsp>
                        <wps:wsp>
                          <wps:cNvPr id="210" name="Text Box 2"/>
                          <wps:cNvSpPr txBox="1">
                            <a:spLocks noChangeArrowheads="1"/>
                          </wps:cNvSpPr>
                          <wps:spPr bwMode="auto">
                            <a:xfrm>
                              <a:off x="45808" y="43713"/>
                              <a:ext cx="19914" cy="42206"/>
                            </a:xfrm>
                            <a:prstGeom prst="rect">
                              <a:avLst/>
                            </a:prstGeom>
                            <a:solidFill>
                              <a:srgbClr val="FFFFFF"/>
                            </a:solidFill>
                            <a:ln w="9525">
                              <a:solidFill>
                                <a:srgbClr val="000000"/>
                              </a:solidFill>
                              <a:miter lim="800000"/>
                              <a:headEnd/>
                              <a:tailEnd/>
                            </a:ln>
                          </wps:spPr>
                          <wps:txbx>
                            <w:txbxContent>
                              <w:p w14:paraId="5C8FB179" w14:textId="77777777" w:rsidR="00F47203" w:rsidRDefault="00F47203" w:rsidP="001868D9">
                                <w:r w:rsidRPr="001868D9">
                                  <w:t>Full-text articles excluded:</w:t>
                                </w:r>
                                <w:r>
                                  <w:t xml:space="preserve"> n</w:t>
                                </w:r>
                                <w:r w:rsidRPr="00755FE1">
                                  <w:t>=</w:t>
                                </w:r>
                                <w:r>
                                  <w:t>113</w:t>
                                </w:r>
                              </w:p>
                              <w:p w14:paraId="0F98662C" w14:textId="77777777" w:rsidR="00F47203" w:rsidRDefault="00F47203" w:rsidP="001868D9">
                                <w:pPr>
                                  <w:spacing w:after="0"/>
                                </w:pPr>
                                <w:r>
                                  <w:t xml:space="preserve">Reasons: </w:t>
                                </w:r>
                              </w:p>
                              <w:p w14:paraId="64945915" w14:textId="77777777" w:rsidR="00F47203" w:rsidRDefault="00F47203" w:rsidP="001868D9">
                                <w:pPr>
                                  <w:pStyle w:val="ListParagraph"/>
                                  <w:numPr>
                                    <w:ilvl w:val="0"/>
                                    <w:numId w:val="12"/>
                                  </w:numPr>
                                  <w:spacing w:after="0"/>
                                </w:pPr>
                                <w:r>
                                  <w:t>Not mainly group-based (n=39)</w:t>
                                </w:r>
                              </w:p>
                              <w:p w14:paraId="2A2A7630" w14:textId="77777777" w:rsidR="00F47203" w:rsidRDefault="00F47203" w:rsidP="001868D9">
                                <w:pPr>
                                  <w:pStyle w:val="ListParagraph"/>
                                  <w:numPr>
                                    <w:ilvl w:val="0"/>
                                    <w:numId w:val="12"/>
                                  </w:numPr>
                                  <w:spacing w:after="0"/>
                                </w:pPr>
                                <w:r w:rsidRPr="00790806">
                                  <w:t>Primary outcomes (not weight loss and/or T2DM risk reduction) (</w:t>
                                </w:r>
                                <w:r>
                                  <w:t>n=9)</w:t>
                                </w:r>
                              </w:p>
                              <w:p w14:paraId="3A04D712" w14:textId="77777777" w:rsidR="00F47203" w:rsidRDefault="00F47203" w:rsidP="001868D9">
                                <w:pPr>
                                  <w:pStyle w:val="ListParagraph"/>
                                  <w:numPr>
                                    <w:ilvl w:val="0"/>
                                    <w:numId w:val="12"/>
                                  </w:numPr>
                                  <w:spacing w:after="0"/>
                                </w:pPr>
                                <w:r>
                                  <w:t>Sample not prediabetes only (via glucose testing) (n=21)</w:t>
                                </w:r>
                              </w:p>
                              <w:p w14:paraId="66BB99E4" w14:textId="77777777" w:rsidR="00F47203" w:rsidRDefault="00F47203" w:rsidP="001868D9">
                                <w:pPr>
                                  <w:pStyle w:val="ListParagraph"/>
                                  <w:numPr>
                                    <w:ilvl w:val="0"/>
                                    <w:numId w:val="12"/>
                                  </w:numPr>
                                  <w:spacing w:after="0"/>
                                </w:pPr>
                                <w:r>
                                  <w:t>Uptake and retention cannot be determined (n=4)</w:t>
                                </w:r>
                              </w:p>
                              <w:p w14:paraId="460B9D30" w14:textId="77777777" w:rsidR="00F47203" w:rsidRDefault="00F47203" w:rsidP="001868D9">
                                <w:pPr>
                                  <w:pStyle w:val="ListParagraph"/>
                                  <w:numPr>
                                    <w:ilvl w:val="0"/>
                                    <w:numId w:val="12"/>
                                  </w:numPr>
                                  <w:spacing w:after="0"/>
                                </w:pPr>
                                <w:r>
                                  <w:t>Design (qualitative/ process evaluation/protocols/ clinical drug trials) (n=13)</w:t>
                                </w:r>
                              </w:p>
                              <w:p w14:paraId="469A20B7" w14:textId="77777777" w:rsidR="00F47203" w:rsidRDefault="00F47203" w:rsidP="001868D9">
                                <w:pPr>
                                  <w:pStyle w:val="ListParagraph"/>
                                  <w:numPr>
                                    <w:ilvl w:val="0"/>
                                    <w:numId w:val="12"/>
                                  </w:numPr>
                                  <w:spacing w:after="0"/>
                                </w:pPr>
                                <w:r>
                                  <w:t>DPP already excluded (n=16)</w:t>
                                </w:r>
                              </w:p>
                              <w:p w14:paraId="21E5E400" w14:textId="77777777" w:rsidR="00F47203" w:rsidRDefault="00F47203" w:rsidP="001868D9">
                                <w:pPr>
                                  <w:pStyle w:val="ListParagraph"/>
                                  <w:numPr>
                                    <w:ilvl w:val="0"/>
                                    <w:numId w:val="12"/>
                                  </w:numPr>
                                  <w:spacing w:after="0"/>
                                </w:pPr>
                                <w:r>
                                  <w:t>DPP already included (n=11)</w:t>
                                </w:r>
                              </w:p>
                            </w:txbxContent>
                          </wps:txbx>
                          <wps:bodyPr rot="0" vert="horz" wrap="square" lIns="91440" tIns="45720" rIns="91440" bIns="45720" anchor="t" anchorCtr="0" upright="1">
                            <a:noAutofit/>
                          </wps:bodyPr>
                        </wps:wsp>
                        <wps:wsp>
                          <wps:cNvPr id="211" name="Straight Arrow Connector 17"/>
                          <wps:cNvCnPr>
                            <a:cxnSpLocks noChangeShapeType="1"/>
                          </wps:cNvCnPr>
                          <wps:spPr bwMode="auto">
                            <a:xfrm>
                              <a:off x="30575" y="9906"/>
                              <a:ext cx="0" cy="963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Straight Arrow Connector 18"/>
                          <wps:cNvCnPr>
                            <a:cxnSpLocks noChangeShapeType="1"/>
                          </wps:cNvCnPr>
                          <wps:spPr bwMode="auto">
                            <a:xfrm flipH="1">
                              <a:off x="30137" y="31224"/>
                              <a:ext cx="0" cy="1267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Straight Arrow Connector 19"/>
                          <wps:cNvCnPr>
                            <a:cxnSpLocks noChangeShapeType="1"/>
                          </wps:cNvCnPr>
                          <wps:spPr bwMode="auto">
                            <a:xfrm flipH="1">
                              <a:off x="30289" y="55932"/>
                              <a:ext cx="0" cy="1083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Straight Arrow Connector 20"/>
                          <wps:cNvCnPr>
                            <a:cxnSpLocks noChangeShapeType="1"/>
                          </wps:cNvCnPr>
                          <wps:spPr bwMode="auto">
                            <a:xfrm flipH="1">
                              <a:off x="16002" y="3048"/>
                              <a:ext cx="4572"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5" name="Connector: Elbow 21"/>
                          <wps:cNvCnPr>
                            <a:cxnSpLocks noChangeShapeType="1"/>
                          </wps:cNvCnPr>
                          <wps:spPr bwMode="auto">
                            <a:xfrm flipH="1">
                              <a:off x="16192" y="24574"/>
                              <a:ext cx="4382" cy="6096"/>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6" name="Straight Arrow Connector 22"/>
                          <wps:cNvCnPr>
                            <a:cxnSpLocks noChangeShapeType="1"/>
                          </wps:cNvCnPr>
                          <wps:spPr bwMode="auto">
                            <a:xfrm flipV="1">
                              <a:off x="30575" y="59245"/>
                              <a:ext cx="144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217" name="Connector: Elbow 23"/>
                        <wps:cNvCnPr>
                          <a:cxnSpLocks noChangeShapeType="1"/>
                        </wps:cNvCnPr>
                        <wps:spPr bwMode="auto">
                          <a:xfrm flipV="1">
                            <a:off x="29980" y="15231"/>
                            <a:ext cx="15430" cy="22377"/>
                          </a:xfrm>
                          <a:prstGeom prst="bentConnector3">
                            <a:avLst>
                              <a:gd name="adj1" fmla="val 85185"/>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68076B42" id="Group 7" o:spid="_x0000_s1026" style="position:absolute;left:0;text-align:left;margin-left:-11.25pt;margin-top:27.3pt;width:494.6pt;height:728.7pt;z-index:251661312;mso-position-horizontal-relative:margin;mso-height-relative:margin" coordsize="65722,8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x96QUAAEoqAAAOAAAAZHJzL2Uyb0RvYy54bWzsWm1vo0YQ/l6p/2HF98bs8mJAIadrLkkr&#10;XduTkvb7mhebFli64Njpr+/sLGDiF+WUi32RjD9YYGC9O/vwzMwzc/lhXeTkMZF1JsrQoBemQZIy&#10;EnFWzkPjz4fbnzyD1A0vY56LMgmNp6Q2Plz9+MPlqgoSJhYijxNJYJCyDlZVaCyapgomkzpaJAWv&#10;L0SVlHAxFbLgDZzK+SSWfAWjF/mEmaY7WQkZV1JESV3Dr5/0ReMKx0/TJGr+SNM6aUgeGjC3Br8l&#10;fs/U9+TqkgdzyatFFrXT4K+YRcGzEv60H+oTbzhZymxnqCKLpKhF2lxEopiINM2iBNcAq6Hm1mru&#10;pFhWuJZ5sJpXvZnAtFt2evWw0e+Pd7K6r75IPXs4/Cyif2qwy2RVzYPhdXU+1zeT2eo3EcN+8mUj&#10;cOHrVBZqCFgSWaN9n3r7JuuGRPCjyzxqM9iGCK75zLFtv92BaAHbtPNctLjpnnSmjOnnPMenvtq3&#10;CQ/0n+JE24mpjW9nqQ9hAV8kyeLQYCaMUPICZo2GJZ4aZXuRaguPa4Q9S+HBmxoAXqV6g5b629By&#10;v+BVgiCsFRp6Y1qdMR/U9v4s1oRpe+JtClGkWcPPwAoIkFoDi5TiesHLefJRSrFaJDyG+VHcz1XV&#10;P6r2pQ5qNchLSGOm6/oG2UUbM52p3WLNN91nkOFBJevmLhEFUQehIYEpcJr88XPdaHR1tyhY1yLP&#10;4tssz/FEzmfXuSSPHFjlFj/t6M9uy0uyApw7zNEGODiEiZ99QxRZA/SYZ0VoeP1NPFBmuyljmCYP&#10;Gp7l+hheiLzE91abThuxWc/WiPM6mIn4CSwqhaZBoG04WAj5n0FWQIGhUf+75DIxSP5rCbviU9tW&#10;nIknNsAWTuTwymx4hZcRDBUajUH04XWjeXZZyWy+gH/SOCjFR+CMNEMjq13Ws2rnDcDV0z4BggEc&#10;mg7eDYKp73eM2HEm/GRONYopZQw5q2e+M4Mx0jhyxQY3I5pb5+bsoJn2pgLePiUhg4tGQrYtn7YO&#10;fgNnt3PkFBwyuoyzhnPvNEdyfhZeuDtw7i11YjR34YU7dRgGnjzYoHlDzoyaiPWzRrOlgpiRnNEE&#10;w2AZPPi7CDUggtsNlKljWeA9VFLGGPVxD88axfaI4r0pH2g57wLFFIJkhWPmMBtjnAEjO9RusWx5&#10;IyOHhjNieS+WIUJ9F1i2XdsDXQrQDNIYZncDMHuWBzKLImbLpqZWSTrV6xxzPxRxxvBiO7yAJOud&#10;gNnxTHASgFfbmlIMJAZo9kFQ0mi2Gah2rd7VCced2nYWghzm7NORmvdRM8gWLZrvG8mVdEhQKybX&#10;oixBphWS0N50EGRfl7p4Ea3LtnjRa8yoXT88VSD5a/JU3NE/ok6+SmK2QEmGoAJgDWIc4naDanj1&#10;sJrhWi9oGXW7mH4VWg49oDeXQonNKPBqGdm1HPMEMjJp0FqNzECjzxMQhkOjSGKQhBOo76kjmBMk&#10;B3uEZi1gqMvKsCcUcmlf1zkMmLbWM9h9qLm8LWBImmfVL53M3dbBLJNakPwpDw7qLSYWO9ihzJ2O&#10;4FGlie8Bnr6OdRg8qPo8o45TgYd5Wkl1HF/zyy54TM96wZWOzAN7d5QiqIpndBZxEDxQNANUfwfw&#10;UNdUBW/FPKa9lVioYp72Wy9IliN0jgYdCCg0dPqAICA3+UysCBvWbY4U3ex1VtSlvoYMA4RsOSvb&#10;UnmqinVc03+BcWZJ2fTLsjZ1dVWvnsftunn8N0R6aZFDww1U0omjCtxteIFREQYaXVqgHh2Doj1N&#10;Qgf6M2hfQDlMTcOKyjFx9tdOUNTF044PSFN7vvFrqumgDao7NBxIEc+RnDa9Tqdqk4Bc6yBR9eWe&#10;Pqc6TmC0DSDm+56WgKnDrB0J2LZaADFmTTFVPFzOeBVVeQ71ELYw7rdRlepzTPpeomatk8J8WUB7&#10;ne4vAhG75UXIupaF6pPDvqPu5cBWSTUE0uWzBqSv7x5627QPQQoNizijtrlSdUQOz+F42AJ69T8A&#10;AAD//wMAUEsDBBQABgAIAAAAIQCrk9fh4QAAAAsBAAAPAAAAZHJzL2Rvd25yZXYueG1sTI9BS8NA&#10;EIXvgv9hGcFbu0k0UWM2pRT1VARbQbxNs9MkNLsbstsk/feOJz0O7+O9b4rVbDox0uBbZxXEywgE&#10;2crp1tYKPvevi0cQPqDV2DlLCi7kYVVeXxWYazfZDxp3oRZcYn2OCpoQ+lxKXzVk0C9dT5azoxsM&#10;Bj6HWuoBJy43nUyiKJMGW8sLDfa0aag67c5GwduE0/oufhm3p+Pm8r1P37+2MSl1ezOvn0EEmsMf&#10;DL/6rA4lOx3c2WovOgWLJEkZVZDeZyAYeMqyBxAHJtM4iUCWhfz/Q/kDAAD//wMAUEsBAi0AFAAG&#10;AAgAAAAhALaDOJL+AAAA4QEAABMAAAAAAAAAAAAAAAAAAAAAAFtDb250ZW50X1R5cGVzXS54bWxQ&#10;SwECLQAUAAYACAAAACEAOP0h/9YAAACUAQAACwAAAAAAAAAAAAAAAAAvAQAAX3JlbHMvLnJlbHNQ&#10;SwECLQAUAAYACAAAACEAOhFcfekFAABKKgAADgAAAAAAAAAAAAAAAAAuAgAAZHJzL2Uyb0RvYy54&#10;bWxQSwECLQAUAAYACAAAACEAq5PX4eEAAAALAQAADwAAAAAAAAAAAAAAAABDCAAAZHJzL2Rvd25y&#10;ZXYueG1sUEsFBgAAAAAEAAQA8wAAAFEJAAAAAA==&#10;">
                <v:group id="Group 8" o:spid="_x0000_s1027" style="position:absolute;width:65722;height:85919" coordsize="65722,8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202" coordsize="21600,21600" o:spt="202" path="m,l,21600r21600,l21600,xe">
                    <v:stroke joinstyle="miter"/>
                    <v:path gradientshapeok="t" o:connecttype="rect"/>
                  </v:shapetype>
                  <v:shape id="Text Box 2" o:spid="_x0000_s1028" type="#_x0000_t202" style="position:absolute;left:20669;width:20574;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4E9177F2" w14:textId="77777777" w:rsidR="00F47203" w:rsidRDefault="00F47203" w:rsidP="001868D9">
                          <w:r w:rsidRPr="001868D9">
                            <w:t>Records identified through database searching:</w:t>
                          </w:r>
                          <w:r>
                            <w:t xml:space="preserve"> (initial search-before filters): </w:t>
                          </w:r>
                          <w:r w:rsidRPr="008A5D1A">
                            <w:rPr>
                              <w:b/>
                            </w:rPr>
                            <w:t>n=2</w:t>
                          </w:r>
                          <w:r>
                            <w:rPr>
                              <w:b/>
                            </w:rPr>
                            <w:t>7</w:t>
                          </w:r>
                          <w:r w:rsidRPr="008A5D1A">
                            <w:rPr>
                              <w:b/>
                            </w:rPr>
                            <w:t>,</w:t>
                          </w:r>
                          <w:r>
                            <w:rPr>
                              <w:b/>
                            </w:rPr>
                            <w:t>137</w:t>
                          </w:r>
                          <w:r>
                            <w:t xml:space="preserve"> (14,265 from 1</w:t>
                          </w:r>
                          <w:r w:rsidRPr="008A5D1A">
                            <w:rPr>
                              <w:vertAlign w:val="superscript"/>
                            </w:rPr>
                            <w:t>st</w:t>
                          </w:r>
                          <w:r>
                            <w:t xml:space="preserve"> top-up search, 6,373 from 2</w:t>
                          </w:r>
                          <w:r w:rsidRPr="008A5D1A">
                            <w:rPr>
                              <w:vertAlign w:val="superscript"/>
                            </w:rPr>
                            <w:t>nd</w:t>
                          </w:r>
                          <w:r>
                            <w:t>)</w:t>
                          </w:r>
                        </w:p>
                      </w:txbxContent>
                    </v:textbox>
                  </v:shape>
                  <v:shape id="Text Box 2" o:spid="_x0000_s1029" type="#_x0000_t202" style="position:absolute;left:20669;top:19990;width:19907;height:1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26A83B89" w14:textId="77777777" w:rsidR="00F47203" w:rsidRDefault="00F47203" w:rsidP="001868D9">
                          <w:r w:rsidRPr="001868D9">
                            <w:t>Records identified through database searching: Initial search (after filters applied</w:t>
                          </w:r>
                          <w:r>
                            <w:t xml:space="preserve">): </w:t>
                          </w:r>
                          <w:r w:rsidRPr="008A5D1A">
                            <w:rPr>
                              <w:b/>
                            </w:rPr>
                            <w:t>n=</w:t>
                          </w:r>
                          <w:r>
                            <w:rPr>
                              <w:b/>
                            </w:rPr>
                            <w:t>1,198</w:t>
                          </w:r>
                          <w:r>
                            <w:t xml:space="preserve"> (including 101 from 1st top-up search, 85 from 2</w:t>
                          </w:r>
                          <w:r w:rsidRPr="008A5D1A">
                            <w:rPr>
                              <w:vertAlign w:val="superscript"/>
                            </w:rPr>
                            <w:t>nd</w:t>
                          </w:r>
                          <w:r>
                            <w:t xml:space="preserve">) </w:t>
                          </w:r>
                        </w:p>
                      </w:txbxContent>
                    </v:textbox>
                  </v:shape>
                  <v:shape id="Text Box 11" o:spid="_x0000_s1030" type="#_x0000_t202" style="position:absolute;left:20859;top:43910;width:19622;height:1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789B5887" w14:textId="77777777" w:rsidR="00F47203" w:rsidRDefault="00F47203" w:rsidP="001868D9">
                          <w:r w:rsidRPr="001868D9">
                            <w:t>After screening by</w:t>
                          </w:r>
                          <w:r>
                            <w:t xml:space="preserve"> title and/or abstract: </w:t>
                          </w:r>
                          <w:r w:rsidRPr="00790806">
                            <w:rPr>
                              <w:b/>
                            </w:rPr>
                            <w:t>n</w:t>
                          </w:r>
                          <w:r w:rsidRPr="00122CC8">
                            <w:rPr>
                              <w:b/>
                            </w:rPr>
                            <w:t>=146</w:t>
                          </w:r>
                          <w:r>
                            <w:t xml:space="preserve"> (including 7 from 1</w:t>
                          </w:r>
                          <w:r w:rsidRPr="00790806">
                            <w:rPr>
                              <w:vertAlign w:val="superscript"/>
                            </w:rPr>
                            <w:t>st</w:t>
                          </w:r>
                          <w:r>
                            <w:t xml:space="preserve"> top-up search, 11 from 2</w:t>
                          </w:r>
                          <w:r w:rsidRPr="00790806">
                            <w:rPr>
                              <w:vertAlign w:val="superscript"/>
                            </w:rPr>
                            <w:t>nd</w:t>
                          </w:r>
                          <w:r>
                            <w:t xml:space="preserve">) </w:t>
                          </w:r>
                        </w:p>
                      </w:txbxContent>
                    </v:textbox>
                  </v:shape>
                  <v:shape id="Text Box 2" o:spid="_x0000_s1031" type="#_x0000_t202" style="position:absolute;left:20669;top:67529;width:19907;height:1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14:paraId="6ED7E9D6" w14:textId="77777777" w:rsidR="00F47203" w:rsidRDefault="00F47203" w:rsidP="001868D9">
                          <w:r w:rsidRPr="001868D9">
                            <w:t>After screening full-text</w:t>
                          </w:r>
                          <w:r>
                            <w:t xml:space="preserve"> articles, final inclusion of papers: </w:t>
                          </w:r>
                          <w:r w:rsidRPr="00790806">
                            <w:rPr>
                              <w:b/>
                            </w:rPr>
                            <w:t>n=33</w:t>
                          </w:r>
                          <w:r>
                            <w:t xml:space="preserve"> (including 7 from 1</w:t>
                          </w:r>
                          <w:r w:rsidRPr="00790806">
                            <w:rPr>
                              <w:vertAlign w:val="superscript"/>
                            </w:rPr>
                            <w:t>st</w:t>
                          </w:r>
                          <w:r>
                            <w:t xml:space="preserve"> top-up search, 2 from 2</w:t>
                          </w:r>
                          <w:r w:rsidRPr="00790806">
                            <w:rPr>
                              <w:vertAlign w:val="superscript"/>
                            </w:rPr>
                            <w:t>nd</w:t>
                          </w:r>
                          <w:r>
                            <w:t xml:space="preserve">) </w:t>
                          </w:r>
                        </w:p>
                        <w:p w14:paraId="6C32A243" w14:textId="77777777" w:rsidR="00F47203" w:rsidRDefault="00F47203" w:rsidP="001868D9"/>
                      </w:txbxContent>
                    </v:textbox>
                  </v:shape>
                  <v:shape id="Text Box 2" o:spid="_x0000_s1032" type="#_x0000_t202" style="position:absolute;width:15335;height:2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0F5D9102" w14:textId="77777777" w:rsidR="00F47203" w:rsidRDefault="00F47203" w:rsidP="001868D9">
                          <w:r>
                            <w:t>Papers identified through:</w:t>
                          </w:r>
                        </w:p>
                        <w:p w14:paraId="1390B034" w14:textId="77777777" w:rsidR="00F47203" w:rsidRDefault="00F47203" w:rsidP="001868D9">
                          <w:pPr>
                            <w:spacing w:after="0"/>
                          </w:pPr>
                          <w:r>
                            <w:t>EBSCO: n=1,776</w:t>
                          </w:r>
                        </w:p>
                        <w:p w14:paraId="30C47064" w14:textId="77777777" w:rsidR="00F47203" w:rsidRDefault="00F47203" w:rsidP="001868D9">
                          <w:pPr>
                            <w:spacing w:after="0"/>
                          </w:pPr>
                          <w:r>
                            <w:t>Science Direct: n=1,257</w:t>
                          </w:r>
                        </w:p>
                        <w:p w14:paraId="7B187A53" w14:textId="77777777" w:rsidR="00F47203" w:rsidRDefault="00F47203" w:rsidP="001868D9">
                          <w:pPr>
                            <w:spacing w:after="0"/>
                          </w:pPr>
                          <w:r>
                            <w:t>Web of Science: n=3,661</w:t>
                          </w:r>
                        </w:p>
                        <w:p w14:paraId="7519C5B9" w14:textId="77777777" w:rsidR="00F47203" w:rsidRDefault="00F47203" w:rsidP="001868D9">
                          <w:pPr>
                            <w:spacing w:after="0"/>
                          </w:pPr>
                          <w:r>
                            <w:t>PubMed: n=3,207</w:t>
                          </w:r>
                        </w:p>
                        <w:p w14:paraId="78C348E8" w14:textId="77777777" w:rsidR="00F47203" w:rsidRDefault="00F47203" w:rsidP="001868D9">
                          <w:pPr>
                            <w:spacing w:after="0"/>
                          </w:pPr>
                          <w:r>
                            <w:t>ProQuest Nursing and Allied Health: n=15,434</w:t>
                          </w:r>
                        </w:p>
                        <w:p w14:paraId="76D0F27A" w14:textId="77777777" w:rsidR="00F47203" w:rsidRDefault="00F47203" w:rsidP="001868D9">
                          <w:pPr>
                            <w:spacing w:after="0"/>
                          </w:pPr>
                          <w:r>
                            <w:t>Summon: n=1,787</w:t>
                          </w:r>
                        </w:p>
                        <w:p w14:paraId="48F31873" w14:textId="77777777" w:rsidR="00F47203" w:rsidRDefault="00F47203" w:rsidP="001868D9">
                          <w:pPr>
                            <w:spacing w:after="0"/>
                          </w:pPr>
                          <w:r>
                            <w:t>Open Grey: n=15</w:t>
                          </w:r>
                        </w:p>
                      </w:txbxContent>
                    </v:textbox>
                  </v:shape>
                  <v:shape id="Text Box 2" o:spid="_x0000_s1033" type="#_x0000_t202" style="position:absolute;left:190;top:25241;width:15145;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11591402" w14:textId="77777777" w:rsidR="00F47203" w:rsidRDefault="00F47203" w:rsidP="001868D9">
                          <w:r>
                            <w:t>Papers identified through:</w:t>
                          </w:r>
                        </w:p>
                        <w:p w14:paraId="21614B8C" w14:textId="77777777" w:rsidR="00F47203" w:rsidRDefault="00F47203" w:rsidP="001868D9">
                          <w:pPr>
                            <w:spacing w:after="0"/>
                          </w:pPr>
                          <w:r>
                            <w:t>EBSCO: n=587</w:t>
                          </w:r>
                        </w:p>
                        <w:p w14:paraId="2C9C03E4" w14:textId="77777777" w:rsidR="00F47203" w:rsidRDefault="00F47203" w:rsidP="001868D9">
                          <w:pPr>
                            <w:spacing w:after="0"/>
                          </w:pPr>
                          <w:r>
                            <w:t>Science Direct: n=33</w:t>
                          </w:r>
                        </w:p>
                        <w:p w14:paraId="784E06FC" w14:textId="77777777" w:rsidR="00F47203" w:rsidRDefault="00F47203" w:rsidP="001868D9">
                          <w:pPr>
                            <w:spacing w:after="0"/>
                          </w:pPr>
                          <w:r>
                            <w:t>Web of Science: n=240</w:t>
                          </w:r>
                        </w:p>
                        <w:p w14:paraId="646EE47C" w14:textId="77777777" w:rsidR="00F47203" w:rsidRDefault="00F47203" w:rsidP="001868D9">
                          <w:pPr>
                            <w:spacing w:after="0"/>
                          </w:pPr>
                          <w:r>
                            <w:t>PubMed: n=52</w:t>
                          </w:r>
                        </w:p>
                        <w:p w14:paraId="0D405B77" w14:textId="77777777" w:rsidR="00F47203" w:rsidRDefault="00F47203" w:rsidP="001868D9">
                          <w:pPr>
                            <w:spacing w:after="0"/>
                          </w:pPr>
                          <w:r>
                            <w:t>ProQuest Nursing and Allied Health: n=24</w:t>
                          </w:r>
                        </w:p>
                        <w:p w14:paraId="7901A5B7" w14:textId="77777777" w:rsidR="00F47203" w:rsidRDefault="00F47203" w:rsidP="001868D9">
                          <w:pPr>
                            <w:spacing w:after="0"/>
                          </w:pPr>
                          <w:r>
                            <w:t>Summon: n=43</w:t>
                          </w:r>
                        </w:p>
                        <w:p w14:paraId="4F3F543E" w14:textId="77777777" w:rsidR="00F47203" w:rsidRDefault="00F47203" w:rsidP="001868D9">
                          <w:pPr>
                            <w:spacing w:after="0" w:line="240" w:lineRule="auto"/>
                          </w:pPr>
                          <w:r>
                            <w:t>Open Grey: n=55</w:t>
                          </w:r>
                        </w:p>
                        <w:p w14:paraId="4B8FA49E" w14:textId="77777777" w:rsidR="00F47203" w:rsidRDefault="00F47203" w:rsidP="001868D9">
                          <w:pPr>
                            <w:spacing w:line="240" w:lineRule="auto"/>
                          </w:pPr>
                        </w:p>
                        <w:p w14:paraId="60AB0FEC" w14:textId="77777777" w:rsidR="00F47203" w:rsidRDefault="00F47203" w:rsidP="001868D9">
                          <w:pPr>
                            <w:spacing w:after="0" w:line="240" w:lineRule="auto"/>
                          </w:pPr>
                          <w:r>
                            <w:t>Other sources:</w:t>
                          </w:r>
                        </w:p>
                        <w:p w14:paraId="1D8EB85D" w14:textId="77777777" w:rsidR="00F47203" w:rsidRDefault="00F47203" w:rsidP="001868D9">
                          <w:pPr>
                            <w:spacing w:after="0"/>
                          </w:pPr>
                          <w:r>
                            <w:t>Reviews identified: n=11 (164 papers checked by title/abstract and included n=24)</w:t>
                          </w:r>
                        </w:p>
                        <w:p w14:paraId="07438348" w14:textId="77777777" w:rsidR="00F47203" w:rsidRDefault="00F47203" w:rsidP="001868D9"/>
                      </w:txbxContent>
                    </v:textbox>
                  </v:shape>
                  <v:shape id="Text Box 2" o:spid="_x0000_s1034" type="#_x0000_t202" style="position:absolute;left:46482;top:1428;width:18383;height:3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393C0DC8" w14:textId="77777777" w:rsidR="00F47203" w:rsidRDefault="00F47203" w:rsidP="001868D9">
                          <w:r w:rsidRPr="001868D9">
                            <w:t>Records excluded based on title and/or abstract: n=1,052</w:t>
                          </w:r>
                        </w:p>
                        <w:p w14:paraId="4FE9819B" w14:textId="77777777" w:rsidR="00F47203" w:rsidRDefault="00F47203" w:rsidP="001868D9">
                          <w:pPr>
                            <w:spacing w:after="0"/>
                          </w:pPr>
                          <w:r>
                            <w:t>Reasons:</w:t>
                          </w:r>
                        </w:p>
                        <w:p w14:paraId="4C1DE9E1" w14:textId="77777777" w:rsidR="00F47203" w:rsidRDefault="00F47203" w:rsidP="001868D9">
                          <w:pPr>
                            <w:pStyle w:val="ListParagraph"/>
                            <w:numPr>
                              <w:ilvl w:val="0"/>
                              <w:numId w:val="11"/>
                            </w:numPr>
                            <w:spacing w:after="0"/>
                          </w:pPr>
                          <w:r>
                            <w:t>Duplicates (n=234)</w:t>
                          </w:r>
                        </w:p>
                        <w:p w14:paraId="32A23D06" w14:textId="77777777" w:rsidR="00F47203" w:rsidRDefault="00F47203" w:rsidP="001868D9">
                          <w:pPr>
                            <w:pStyle w:val="ListParagraph"/>
                            <w:numPr>
                              <w:ilvl w:val="0"/>
                              <w:numId w:val="11"/>
                            </w:numPr>
                            <w:spacing w:after="0"/>
                          </w:pPr>
                          <w:r>
                            <w:t>Design (qualitative/ process evaluation/ clinical drug trials/not DPP) (n=305)</w:t>
                          </w:r>
                        </w:p>
                        <w:p w14:paraId="150BD252" w14:textId="77777777" w:rsidR="00F47203" w:rsidRDefault="00F47203" w:rsidP="001868D9">
                          <w:pPr>
                            <w:pStyle w:val="ListParagraph"/>
                            <w:numPr>
                              <w:ilvl w:val="0"/>
                              <w:numId w:val="11"/>
                            </w:numPr>
                            <w:spacing w:after="0"/>
                          </w:pPr>
                          <w:r>
                            <w:t>Sample (not prediabetes only/not adults) (n=183)</w:t>
                          </w:r>
                        </w:p>
                        <w:p w14:paraId="01903DAE" w14:textId="77777777" w:rsidR="00F47203" w:rsidRDefault="00F47203" w:rsidP="001868D9">
                          <w:pPr>
                            <w:pStyle w:val="ListParagraph"/>
                            <w:numPr>
                              <w:ilvl w:val="0"/>
                              <w:numId w:val="11"/>
                            </w:numPr>
                            <w:spacing w:after="0"/>
                          </w:pPr>
                          <w:r w:rsidRPr="00790806">
                            <w:t xml:space="preserve">Primary outcomes (not weight loss and/or T2DM risk reduction) </w:t>
                          </w:r>
                          <w:r>
                            <w:t>(n=251)</w:t>
                          </w:r>
                        </w:p>
                        <w:p w14:paraId="159ADDEE" w14:textId="2A9267DF" w:rsidR="00F47203" w:rsidRDefault="00F47203" w:rsidP="001868D9">
                          <w:pPr>
                            <w:pStyle w:val="ListParagraph"/>
                            <w:numPr>
                              <w:ilvl w:val="0"/>
                              <w:numId w:val="11"/>
                            </w:numPr>
                            <w:spacing w:after="0"/>
                          </w:pPr>
                          <w:r>
                            <w:t>Not face-to-face group-based (n=79)</w:t>
                          </w:r>
                        </w:p>
                        <w:p w14:paraId="4DA7A07D" w14:textId="77777777" w:rsidR="00F47203" w:rsidRDefault="00F47203" w:rsidP="001868D9">
                          <w:pPr>
                            <w:pStyle w:val="ListParagraph"/>
                            <w:numPr>
                              <w:ilvl w:val="0"/>
                              <w:numId w:val="11"/>
                            </w:numPr>
                            <w:spacing w:after="0"/>
                          </w:pPr>
                        </w:p>
                      </w:txbxContent>
                    </v:textbox>
                  </v:shape>
                  <v:shape id="Text Box 2" o:spid="_x0000_s1035" type="#_x0000_t202" style="position:absolute;left:45808;top:43713;width:19914;height:4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5C8FB179" w14:textId="77777777" w:rsidR="00F47203" w:rsidRDefault="00F47203" w:rsidP="001868D9">
                          <w:r w:rsidRPr="001868D9">
                            <w:t>Full-text articles excluded:</w:t>
                          </w:r>
                          <w:r>
                            <w:t xml:space="preserve"> n</w:t>
                          </w:r>
                          <w:r w:rsidRPr="00755FE1">
                            <w:t>=</w:t>
                          </w:r>
                          <w:r>
                            <w:t>113</w:t>
                          </w:r>
                        </w:p>
                        <w:p w14:paraId="0F98662C" w14:textId="77777777" w:rsidR="00F47203" w:rsidRDefault="00F47203" w:rsidP="001868D9">
                          <w:pPr>
                            <w:spacing w:after="0"/>
                          </w:pPr>
                          <w:r>
                            <w:t xml:space="preserve">Reasons: </w:t>
                          </w:r>
                        </w:p>
                        <w:p w14:paraId="64945915" w14:textId="77777777" w:rsidR="00F47203" w:rsidRDefault="00F47203" w:rsidP="001868D9">
                          <w:pPr>
                            <w:pStyle w:val="ListParagraph"/>
                            <w:numPr>
                              <w:ilvl w:val="0"/>
                              <w:numId w:val="12"/>
                            </w:numPr>
                            <w:spacing w:after="0"/>
                          </w:pPr>
                          <w:r>
                            <w:t>Not mainly group-based (n=39)</w:t>
                          </w:r>
                        </w:p>
                        <w:p w14:paraId="2A2A7630" w14:textId="77777777" w:rsidR="00F47203" w:rsidRDefault="00F47203" w:rsidP="001868D9">
                          <w:pPr>
                            <w:pStyle w:val="ListParagraph"/>
                            <w:numPr>
                              <w:ilvl w:val="0"/>
                              <w:numId w:val="12"/>
                            </w:numPr>
                            <w:spacing w:after="0"/>
                          </w:pPr>
                          <w:r w:rsidRPr="00790806">
                            <w:t>Primary outcomes (not weight loss and/or T2DM risk reduction) (</w:t>
                          </w:r>
                          <w:r>
                            <w:t>n=9)</w:t>
                          </w:r>
                        </w:p>
                        <w:p w14:paraId="3A04D712" w14:textId="77777777" w:rsidR="00F47203" w:rsidRDefault="00F47203" w:rsidP="001868D9">
                          <w:pPr>
                            <w:pStyle w:val="ListParagraph"/>
                            <w:numPr>
                              <w:ilvl w:val="0"/>
                              <w:numId w:val="12"/>
                            </w:numPr>
                            <w:spacing w:after="0"/>
                          </w:pPr>
                          <w:r>
                            <w:t>Sample not prediabetes only (via glucose testing) (n=21)</w:t>
                          </w:r>
                        </w:p>
                        <w:p w14:paraId="66BB99E4" w14:textId="77777777" w:rsidR="00F47203" w:rsidRDefault="00F47203" w:rsidP="001868D9">
                          <w:pPr>
                            <w:pStyle w:val="ListParagraph"/>
                            <w:numPr>
                              <w:ilvl w:val="0"/>
                              <w:numId w:val="12"/>
                            </w:numPr>
                            <w:spacing w:after="0"/>
                          </w:pPr>
                          <w:r>
                            <w:t>Uptake and retention cannot be determined (n=4)</w:t>
                          </w:r>
                        </w:p>
                        <w:p w14:paraId="460B9D30" w14:textId="77777777" w:rsidR="00F47203" w:rsidRDefault="00F47203" w:rsidP="001868D9">
                          <w:pPr>
                            <w:pStyle w:val="ListParagraph"/>
                            <w:numPr>
                              <w:ilvl w:val="0"/>
                              <w:numId w:val="12"/>
                            </w:numPr>
                            <w:spacing w:after="0"/>
                          </w:pPr>
                          <w:r>
                            <w:t>Design (qualitative/ process evaluation/protocols/ clinical drug trials) (n=13)</w:t>
                          </w:r>
                        </w:p>
                        <w:p w14:paraId="469A20B7" w14:textId="77777777" w:rsidR="00F47203" w:rsidRDefault="00F47203" w:rsidP="001868D9">
                          <w:pPr>
                            <w:pStyle w:val="ListParagraph"/>
                            <w:numPr>
                              <w:ilvl w:val="0"/>
                              <w:numId w:val="12"/>
                            </w:numPr>
                            <w:spacing w:after="0"/>
                          </w:pPr>
                          <w:r>
                            <w:t>DPP already excluded (n=16)</w:t>
                          </w:r>
                        </w:p>
                        <w:p w14:paraId="21E5E400" w14:textId="77777777" w:rsidR="00F47203" w:rsidRDefault="00F47203" w:rsidP="001868D9">
                          <w:pPr>
                            <w:pStyle w:val="ListParagraph"/>
                            <w:numPr>
                              <w:ilvl w:val="0"/>
                              <w:numId w:val="12"/>
                            </w:numPr>
                            <w:spacing w:after="0"/>
                          </w:pPr>
                          <w:r>
                            <w:t>DPP already included (n=11)</w:t>
                          </w:r>
                        </w:p>
                      </w:txbxContent>
                    </v:textbox>
                  </v:shape>
                  <v:shapetype id="_x0000_t32" coordsize="21600,21600" o:spt="32" o:oned="t" path="m,l21600,21600e" filled="f">
                    <v:path arrowok="t" fillok="f" o:connecttype="none"/>
                    <o:lock v:ext="edit" shapetype="t"/>
                  </v:shapetype>
                  <v:shape id="Straight Arrow Connector 17" o:spid="_x0000_s1036" type="#_x0000_t32" style="position:absolute;left:30575;top:9906;width:0;height:9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8swgAAANwAAAAPAAAAZHJzL2Rvd25yZXYueG1sRI/NqsIw&#10;FIT3gu8QjuBGNK0LkWoUEUS3/nBxeWyObbU5qU2s9e2NINzlMDPfMPNla0rRUO0KywriUQSCOLW6&#10;4EzB6bgZTkE4j6yxtEwK3uRgueh25pho++I9NQefiQBhl6CC3PsqkdKlORl0I1sRB+9qa4M+yDqT&#10;usZXgJtSjqNoIg0WHBZyrGidU3o/PI2Cx/VWnPebCv+2l3t2eZ4HTbkbKNXvtasZCE+t/w//2jut&#10;YBzH8D0TjoBcfAAAAP//AwBQSwECLQAUAAYACAAAACEA2+H2y+4AAACFAQAAEwAAAAAAAAAAAAAA&#10;AAAAAAAAW0NvbnRlbnRfVHlwZXNdLnhtbFBLAQItABQABgAIAAAAIQBa9CxbvwAAABUBAAALAAAA&#10;AAAAAAAAAAAAAB8BAABfcmVscy8ucmVsc1BLAQItABQABgAIAAAAIQAmmO8swgAAANwAAAAPAAAA&#10;AAAAAAAAAAAAAAcCAABkcnMvZG93bnJldi54bWxQSwUGAAAAAAMAAwC3AAAA9gIAAAAA&#10;" strokeweight=".5pt">
                    <v:stroke endarrow="block" joinstyle="miter"/>
                  </v:shape>
                  <v:shape id="Straight Arrow Connector 18" o:spid="_x0000_s1037" type="#_x0000_t32" style="position:absolute;left:30137;top:31224;width:0;height:126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4dxgAAANwAAAAPAAAAZHJzL2Rvd25yZXYueG1sRI9Ba8JA&#10;FITvhf6H5RV6qxsDlTa6SimIqQdB68XbI/vMBrNvQ3bdxP56t1DocZiZb5jFarStiNT7xrGC6SQD&#10;QVw53XCt4Pi9fnkD4QOyxtYxKbiRh9Xy8WGBhXYD7ykeQi0ShH2BCkwIXSGlrwxZ9BPXESfv7HqL&#10;Icm+lrrHIcFtK/Msm0mLDacFgx19Gqouh6tVsCvfN6ft7ivEn9fbZrtvMhPbo1LPT+PHHESgMfyH&#10;/9qlVpBPc/g9k46AXN4BAAD//wMAUEsBAi0AFAAGAAgAAAAhANvh9svuAAAAhQEAABMAAAAAAAAA&#10;AAAAAAAAAAAAAFtDb250ZW50X1R5cGVzXS54bWxQSwECLQAUAAYACAAAACEAWvQsW78AAAAVAQAA&#10;CwAAAAAAAAAAAAAAAAAfAQAAX3JlbHMvLnJlbHNQSwECLQAUAAYACAAAACEA9o5uHcYAAADcAAAA&#10;DwAAAAAAAAAAAAAAAAAHAgAAZHJzL2Rvd25yZXYueG1sUEsFBgAAAAADAAMAtwAAAPoCAAAAAA==&#10;" strokeweight=".5pt">
                    <v:stroke endarrow="block" joinstyle="miter"/>
                  </v:shape>
                  <v:shape id="Straight Arrow Connector 19" o:spid="_x0000_s1038" type="#_x0000_t32" style="position:absolute;left:30289;top:55932;width:0;height:108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uGxQAAANwAAAAPAAAAZHJzL2Rvd25yZXYueG1sRI9Pi8Iw&#10;FMTvwn6H8Ba8aarislajLIL45yDoevH2aJ5N2ealNLFWP70RFjwOM/MbZrZobSkaqn3hWMGgn4Ag&#10;zpwuOFdw+l31vkH4gKyxdEwK7uRhMf/ozDDV7sYHao4hFxHCPkUFJoQqldJnhiz6vquIo3dxtcUQ&#10;ZZ1LXeMtwm0ph0nyJS0WHBcMVrQ0lP0dr1bBfjNZn3f7bWge4/t6dygS05Qnpbqf7c8URKA2vMP/&#10;7Y1WMByM4HUmHgE5fwIAAP//AwBQSwECLQAUAAYACAAAACEA2+H2y+4AAACFAQAAEwAAAAAAAAAA&#10;AAAAAAAAAAAAW0NvbnRlbnRfVHlwZXNdLnhtbFBLAQItABQABgAIAAAAIQBa9CxbvwAAABUBAAAL&#10;AAAAAAAAAAAAAAAAAB8BAABfcmVscy8ucmVsc1BLAQItABQABgAIAAAAIQCZwsuGxQAAANwAAAAP&#10;AAAAAAAAAAAAAAAAAAcCAABkcnMvZG93bnJldi54bWxQSwUGAAAAAAMAAwC3AAAA+QIAAAAA&#10;" strokeweight=".5pt">
                    <v:stroke endarrow="block" joinstyle="miter"/>
                  </v:shape>
                  <v:shape id="Straight Arrow Connector 20" o:spid="_x0000_s1039" type="#_x0000_t32" style="position:absolute;left:16002;top:3048;width:4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1PyxQAAANwAAAAPAAAAZHJzL2Rvd25yZXYueG1sRI9Pi8Iw&#10;FMTvwn6H8Ba8aaroslajLIL45yDoevH2aJ5N2ealNLFWP70RFjwOM/MbZrZobSkaqn3hWMGgn4Ag&#10;zpwuOFdw+l31vkH4gKyxdEwK7uRhMf/ozDDV7sYHao4hFxHCPkUFJoQqldJnhiz6vquIo3dxtcUQ&#10;ZZ1LXeMtwm0ph0nyJS0WHBcMVrQ0lP0dr1bBfjNZn3f7bWge4/t6dygS05Qnpbqf7c8URKA2vMP/&#10;7Y1WMByM4HUmHgE5fwIAAP//AwBQSwECLQAUAAYACAAAACEA2+H2y+4AAACFAQAAEwAAAAAAAAAA&#10;AAAAAAAAAAAAW0NvbnRlbnRfVHlwZXNdLnhtbFBLAQItABQABgAIAAAAIQBa9CxbvwAAABUBAAAL&#10;AAAAAAAAAAAAAAAAAB8BAABfcmVscy8ucmVsc1BLAQItABQABgAIAAAAIQAWK1PyxQAAANwAAAAP&#10;AAAAAAAAAAAAAAAAAAcCAABkcnMvZG93bnJldi54bWxQSwUGAAAAAAMAAwC3AAAA+QI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40" type="#_x0000_t34" style="position:absolute;left:16192;top:24574;width:4382;height:609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3xgAAANwAAAAPAAAAZHJzL2Rvd25yZXYueG1sRI9Pa8JA&#10;FMTvQr/D8gq96ca0NTZ1FbUIRb3459DjI/uaRLNvQ3Y1aT+9Wyh4HGbmN8xk1plKXKlxpWUFw0EE&#10;gjizuuRcwfGw6o9BOI+ssbJMCn7IwWz60Jtgqm3LO7rufS4ChF2KCgrv61RKlxVk0A1sTRy8b9sY&#10;9EE2udQNtgFuKhlH0UgaLDksFFjTsqDsvL8YBb+tfd7Gp8TyevNC/ivRh4/Fm1JPj938HYSnzt/D&#10;/+1PrSAevsLfmXAE5PQGAAD//wMAUEsBAi0AFAAGAAgAAAAhANvh9svuAAAAhQEAABMAAAAAAAAA&#10;AAAAAAAAAAAAAFtDb250ZW50X1R5cGVzXS54bWxQSwECLQAUAAYACAAAACEAWvQsW78AAAAVAQAA&#10;CwAAAAAAAAAAAAAAAAAfAQAAX3JlbHMvLnJlbHNQSwECLQAUAAYACAAAACEA7L/mN8YAAADcAAAA&#10;DwAAAAAAAAAAAAAAAAAHAgAAZHJzL2Rvd25yZXYueG1sUEsFBgAAAAADAAMAtwAAAPoCAAAAAA==&#10;" strokeweight=".5pt">
                    <v:stroke endarrow="block"/>
                  </v:shape>
                  <v:shape id="Straight Arrow Connector 22" o:spid="_x0000_s1041" type="#_x0000_t32" style="position:absolute;left:30575;top:59245;width:14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gexQAAANwAAAAPAAAAZHJzL2Rvd25yZXYueG1sRI9Pi8Iw&#10;FMTvgt8hPMGbpgor2jXKIoh/DoLVi7dH87Yp27yUJlurn94sLHgcZuY3zHLd2Uq01PjSsYLJOAFB&#10;nDtdcqHgetmO5iB8QNZYOSYFD/KwXvV7S0y1u/OZ2iwUIkLYp6jAhFCnUvrckEU/djVx9L5dYzFE&#10;2RRSN3iPcFvJaZLMpMWS44LBmjaG8p/s1yo47Re72/F0CO3z47E7nsvEtNVVqeGg+/oEEagL7/B/&#10;e68VTCcz+DsTj4BcvQAAAP//AwBQSwECLQAUAAYACAAAACEA2+H2y+4AAACFAQAAEwAAAAAAAAAA&#10;AAAAAAAAAAAAW0NvbnRlbnRfVHlwZXNdLnhtbFBLAQItABQABgAIAAAAIQBa9CxbvwAAABUBAAAL&#10;AAAAAAAAAAAAAAAAAB8BAABfcmVscy8ucmVsc1BLAQItABQABgAIAAAAIQCJtWgexQAAANwAAAAP&#10;AAAAAAAAAAAAAAAAAAcCAABkcnMvZG93bnJldi54bWxQSwUGAAAAAAMAAwC3AAAA+QIAAAAA&#10;" strokeweight=".5pt">
                    <v:stroke endarrow="block" joinstyle="miter"/>
                  </v:shape>
                </v:group>
                <v:shape id="Connector: Elbow 23" o:spid="_x0000_s1042" type="#_x0000_t34" style="position:absolute;left:29980;top:15231;width:15430;height:223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Q8xQAAANwAAAAPAAAAZHJzL2Rvd25yZXYueG1sRI9La8JA&#10;FIX3gv9huIVuipk8bCvRUaRQkG7EtEKXl8zNw2buhMxU4793CgWXh/P4OKvNaDpxpsG1lhUkUQyC&#10;uLS65VrB1+f7bAHCeWSNnWVScCUHm/V0ssJc2wsf6Fz4WoQRdjkqaLzvcyld2ZBBF9meOHiVHQz6&#10;IIda6gEvYdx0Mo3jF2mw5UBosKe3hsqf4tcE7vH0FH+kc3pus1NWf+93XLFV6vFh3C5BeBr9Pfzf&#10;3mkFafIKf2fCEZDrGwAAAP//AwBQSwECLQAUAAYACAAAACEA2+H2y+4AAACFAQAAEwAAAAAAAAAA&#10;AAAAAAAAAAAAW0NvbnRlbnRfVHlwZXNdLnhtbFBLAQItABQABgAIAAAAIQBa9CxbvwAAABUBAAAL&#10;AAAAAAAAAAAAAAAAAB8BAABfcmVscy8ucmVsc1BLAQItABQABgAIAAAAIQDyH3Q8xQAAANwAAAAP&#10;AAAAAAAAAAAAAAAAAAcCAABkcnMvZG93bnJldi54bWxQSwUGAAAAAAMAAwC3AAAA+QIAAAAA&#10;" adj="18400" strokecolor="black [3213]" strokeweight=".5pt">
                  <v:stroke endarrow="block"/>
                </v:shape>
                <w10:wrap anchorx="margin"/>
              </v:group>
            </w:pict>
          </mc:Fallback>
        </mc:AlternateContent>
      </w:r>
      <w:r w:rsidR="001868D9" w:rsidRPr="00103A0B">
        <w:rPr>
          <w:rFonts w:ascii="Arial" w:eastAsia="Times New Roman" w:hAnsi="Arial" w:cs="Arial"/>
          <w:i/>
          <w:sz w:val="24"/>
          <w:szCs w:val="24"/>
          <w:lang w:eastAsia="en-GB"/>
        </w:rPr>
        <w:t xml:space="preserve">Figure </w:t>
      </w:r>
      <w:r w:rsidR="000119C7" w:rsidRPr="00103A0B">
        <w:rPr>
          <w:rFonts w:ascii="Arial" w:eastAsia="Times New Roman" w:hAnsi="Arial" w:cs="Arial"/>
          <w:i/>
          <w:sz w:val="24"/>
          <w:szCs w:val="24"/>
          <w:lang w:eastAsia="en-GB"/>
        </w:rPr>
        <w:t>1</w:t>
      </w:r>
      <w:r w:rsidR="001868D9" w:rsidRPr="00103A0B">
        <w:rPr>
          <w:rFonts w:ascii="Arial" w:eastAsia="Times New Roman" w:hAnsi="Arial" w:cs="Arial"/>
          <w:i/>
          <w:sz w:val="24"/>
          <w:szCs w:val="24"/>
          <w:lang w:eastAsia="en-GB"/>
        </w:rPr>
        <w:t>: PRISMA diagram of papers included/excluded for review.</w:t>
      </w:r>
    </w:p>
    <w:bookmarkEnd w:id="89"/>
    <w:p w14:paraId="62F314EA" w14:textId="076F1F09" w:rsidR="001868D9" w:rsidRPr="00103A0B" w:rsidRDefault="001868D9" w:rsidP="005D0A3A">
      <w:pPr>
        <w:keepLines/>
        <w:jc w:val="both"/>
        <w:rPr>
          <w:rFonts w:ascii="Arial" w:eastAsia="Times New Roman" w:hAnsi="Arial" w:cs="Arial"/>
          <w:sz w:val="24"/>
          <w:szCs w:val="24"/>
          <w:lang w:eastAsia="en-GB"/>
        </w:rPr>
      </w:pPr>
    </w:p>
    <w:p w14:paraId="22764135" w14:textId="77777777" w:rsidR="001868D9" w:rsidRPr="00103A0B" w:rsidRDefault="001868D9" w:rsidP="005D0A3A">
      <w:pPr>
        <w:keepLines/>
        <w:jc w:val="both"/>
        <w:rPr>
          <w:rFonts w:ascii="Arial" w:eastAsia="Times New Roman" w:hAnsi="Arial" w:cs="Arial"/>
          <w:sz w:val="24"/>
          <w:szCs w:val="24"/>
          <w:lang w:eastAsia="en-GB"/>
        </w:rPr>
      </w:pPr>
    </w:p>
    <w:p w14:paraId="2DB04CD2" w14:textId="77777777" w:rsidR="001868D9" w:rsidRPr="00103A0B" w:rsidRDefault="001868D9" w:rsidP="005D0A3A">
      <w:pPr>
        <w:keepLines/>
        <w:jc w:val="both"/>
        <w:rPr>
          <w:rFonts w:ascii="Arial" w:eastAsia="Times New Roman" w:hAnsi="Arial" w:cs="Arial"/>
          <w:sz w:val="24"/>
          <w:szCs w:val="24"/>
          <w:lang w:eastAsia="en-GB"/>
        </w:rPr>
      </w:pPr>
    </w:p>
    <w:p w14:paraId="5F7FE177" w14:textId="77777777" w:rsidR="001868D9" w:rsidRPr="00103A0B" w:rsidRDefault="001868D9" w:rsidP="005D0A3A">
      <w:pPr>
        <w:keepLines/>
        <w:jc w:val="both"/>
        <w:rPr>
          <w:rFonts w:ascii="Arial" w:eastAsia="Times New Roman" w:hAnsi="Arial" w:cs="Arial"/>
          <w:sz w:val="24"/>
          <w:szCs w:val="24"/>
          <w:lang w:eastAsia="en-GB"/>
        </w:rPr>
      </w:pPr>
    </w:p>
    <w:p w14:paraId="47F96F84" w14:textId="77777777" w:rsidR="001868D9" w:rsidRPr="00103A0B" w:rsidRDefault="001868D9" w:rsidP="005D0A3A">
      <w:pPr>
        <w:keepLines/>
        <w:jc w:val="both"/>
        <w:rPr>
          <w:rFonts w:ascii="Arial" w:eastAsia="Times New Roman" w:hAnsi="Arial" w:cs="Arial"/>
          <w:sz w:val="24"/>
          <w:szCs w:val="24"/>
          <w:lang w:eastAsia="en-GB"/>
        </w:rPr>
      </w:pPr>
    </w:p>
    <w:p w14:paraId="4737FA43" w14:textId="77777777" w:rsidR="001868D9" w:rsidRPr="00103A0B" w:rsidRDefault="001868D9" w:rsidP="005D0A3A">
      <w:pPr>
        <w:keepLines/>
        <w:jc w:val="both"/>
        <w:rPr>
          <w:rFonts w:ascii="Arial" w:eastAsia="Times New Roman" w:hAnsi="Arial" w:cs="Arial"/>
          <w:sz w:val="24"/>
          <w:szCs w:val="24"/>
          <w:lang w:eastAsia="en-GB"/>
        </w:rPr>
      </w:pPr>
    </w:p>
    <w:p w14:paraId="4988B7FA" w14:textId="77777777" w:rsidR="001868D9" w:rsidRPr="00103A0B" w:rsidRDefault="001868D9" w:rsidP="005D0A3A">
      <w:pPr>
        <w:keepLines/>
        <w:jc w:val="both"/>
        <w:rPr>
          <w:rFonts w:ascii="Arial" w:eastAsia="Times New Roman" w:hAnsi="Arial" w:cs="Arial"/>
          <w:sz w:val="24"/>
          <w:szCs w:val="24"/>
          <w:lang w:eastAsia="en-GB"/>
        </w:rPr>
      </w:pPr>
    </w:p>
    <w:p w14:paraId="1D06D148" w14:textId="77777777" w:rsidR="001868D9" w:rsidRPr="00103A0B" w:rsidRDefault="001868D9" w:rsidP="005D0A3A">
      <w:pPr>
        <w:keepLines/>
        <w:jc w:val="both"/>
        <w:rPr>
          <w:rFonts w:ascii="Arial" w:eastAsia="Times New Roman" w:hAnsi="Arial" w:cs="Arial"/>
          <w:sz w:val="24"/>
          <w:szCs w:val="24"/>
          <w:lang w:eastAsia="en-GB"/>
        </w:rPr>
      </w:pPr>
    </w:p>
    <w:p w14:paraId="29977A5E" w14:textId="77777777" w:rsidR="001868D9" w:rsidRPr="00103A0B" w:rsidRDefault="001868D9" w:rsidP="005D0A3A">
      <w:pPr>
        <w:jc w:val="both"/>
        <w:rPr>
          <w:rFonts w:ascii="Arial" w:eastAsia="Times New Roman" w:hAnsi="Arial" w:cs="Arial"/>
          <w:sz w:val="24"/>
          <w:szCs w:val="24"/>
          <w:lang w:eastAsia="en-GB"/>
        </w:rPr>
      </w:pPr>
    </w:p>
    <w:p w14:paraId="333E3F5E" w14:textId="77777777" w:rsidR="001868D9" w:rsidRPr="00103A0B" w:rsidRDefault="001868D9" w:rsidP="005D0A3A">
      <w:pPr>
        <w:jc w:val="both"/>
        <w:rPr>
          <w:rFonts w:ascii="Arial" w:eastAsia="Times New Roman" w:hAnsi="Arial" w:cs="Arial"/>
          <w:sz w:val="24"/>
          <w:szCs w:val="24"/>
          <w:lang w:eastAsia="en-GB"/>
        </w:rPr>
      </w:pPr>
    </w:p>
    <w:p w14:paraId="7611BD1B" w14:textId="77777777" w:rsidR="001868D9" w:rsidRPr="00103A0B" w:rsidRDefault="001868D9" w:rsidP="005D0A3A">
      <w:pPr>
        <w:jc w:val="both"/>
        <w:rPr>
          <w:rFonts w:ascii="Arial" w:eastAsia="Times New Roman" w:hAnsi="Arial" w:cs="Arial"/>
          <w:sz w:val="24"/>
          <w:szCs w:val="24"/>
          <w:lang w:eastAsia="en-GB"/>
        </w:rPr>
      </w:pPr>
    </w:p>
    <w:p w14:paraId="2190AB59" w14:textId="77777777" w:rsidR="001868D9" w:rsidRPr="00103A0B" w:rsidRDefault="001868D9" w:rsidP="005D0A3A">
      <w:pPr>
        <w:jc w:val="both"/>
        <w:rPr>
          <w:rFonts w:ascii="Arial" w:eastAsia="Times New Roman" w:hAnsi="Arial" w:cs="Arial"/>
          <w:sz w:val="24"/>
          <w:szCs w:val="24"/>
          <w:lang w:eastAsia="en-GB"/>
        </w:rPr>
      </w:pPr>
    </w:p>
    <w:p w14:paraId="460A3698" w14:textId="77777777" w:rsidR="001868D9" w:rsidRPr="00103A0B" w:rsidRDefault="001868D9" w:rsidP="005D0A3A">
      <w:pPr>
        <w:jc w:val="both"/>
        <w:rPr>
          <w:rFonts w:ascii="Arial" w:eastAsia="Times New Roman" w:hAnsi="Arial" w:cs="Arial"/>
          <w:sz w:val="24"/>
          <w:szCs w:val="24"/>
          <w:lang w:eastAsia="en-GB"/>
        </w:rPr>
      </w:pPr>
    </w:p>
    <w:p w14:paraId="10DD4714" w14:textId="77777777" w:rsidR="001868D9" w:rsidRPr="00103A0B" w:rsidRDefault="001868D9" w:rsidP="005D0A3A">
      <w:pPr>
        <w:jc w:val="both"/>
        <w:rPr>
          <w:rFonts w:ascii="Arial" w:eastAsia="Times New Roman" w:hAnsi="Arial" w:cs="Arial"/>
          <w:sz w:val="24"/>
          <w:szCs w:val="24"/>
          <w:lang w:eastAsia="en-GB"/>
        </w:rPr>
      </w:pPr>
    </w:p>
    <w:p w14:paraId="13FC8649" w14:textId="77777777" w:rsidR="001868D9" w:rsidRPr="00103A0B" w:rsidRDefault="001868D9" w:rsidP="005D0A3A">
      <w:pPr>
        <w:jc w:val="both"/>
        <w:rPr>
          <w:rFonts w:ascii="Arial" w:eastAsia="Times New Roman" w:hAnsi="Arial" w:cs="Arial"/>
          <w:sz w:val="24"/>
          <w:szCs w:val="24"/>
          <w:lang w:eastAsia="en-GB"/>
        </w:rPr>
      </w:pPr>
    </w:p>
    <w:p w14:paraId="59B864F3" w14:textId="77777777" w:rsidR="001868D9" w:rsidRPr="00103A0B" w:rsidRDefault="001868D9" w:rsidP="005D0A3A">
      <w:pPr>
        <w:jc w:val="both"/>
        <w:rPr>
          <w:rFonts w:ascii="Arial" w:eastAsia="Times New Roman" w:hAnsi="Arial" w:cs="Arial"/>
          <w:sz w:val="24"/>
          <w:szCs w:val="24"/>
          <w:lang w:eastAsia="en-GB"/>
        </w:rPr>
      </w:pPr>
    </w:p>
    <w:p w14:paraId="1205B498" w14:textId="77777777" w:rsidR="001868D9" w:rsidRPr="00103A0B" w:rsidRDefault="001868D9" w:rsidP="005D0A3A">
      <w:pPr>
        <w:jc w:val="both"/>
        <w:rPr>
          <w:rFonts w:ascii="Arial" w:eastAsia="Times New Roman" w:hAnsi="Arial" w:cs="Arial"/>
          <w:sz w:val="24"/>
          <w:szCs w:val="24"/>
          <w:lang w:eastAsia="en-GB"/>
        </w:rPr>
      </w:pPr>
    </w:p>
    <w:p w14:paraId="7FEDD76C" w14:textId="77777777" w:rsidR="001868D9" w:rsidRPr="00103A0B" w:rsidRDefault="001868D9" w:rsidP="005D0A3A">
      <w:pPr>
        <w:jc w:val="both"/>
        <w:rPr>
          <w:rFonts w:ascii="Arial" w:eastAsia="Times New Roman" w:hAnsi="Arial" w:cs="Arial"/>
          <w:sz w:val="24"/>
          <w:szCs w:val="24"/>
          <w:lang w:eastAsia="en-GB"/>
        </w:rPr>
      </w:pPr>
    </w:p>
    <w:p w14:paraId="626E50E1" w14:textId="77777777" w:rsidR="001868D9" w:rsidRPr="00103A0B" w:rsidRDefault="001868D9" w:rsidP="005D0A3A">
      <w:pPr>
        <w:jc w:val="both"/>
        <w:rPr>
          <w:rFonts w:ascii="Arial" w:eastAsia="Times New Roman" w:hAnsi="Arial" w:cs="Arial"/>
          <w:sz w:val="24"/>
          <w:szCs w:val="24"/>
          <w:lang w:eastAsia="en-GB"/>
        </w:rPr>
      </w:pPr>
    </w:p>
    <w:p w14:paraId="3D21B150" w14:textId="77777777" w:rsidR="001868D9" w:rsidRPr="00103A0B" w:rsidRDefault="001868D9" w:rsidP="005D0A3A">
      <w:pPr>
        <w:jc w:val="both"/>
        <w:rPr>
          <w:rFonts w:ascii="Arial" w:eastAsia="Times New Roman" w:hAnsi="Arial" w:cs="Arial"/>
          <w:sz w:val="24"/>
          <w:szCs w:val="24"/>
          <w:lang w:eastAsia="en-GB"/>
        </w:rPr>
      </w:pPr>
    </w:p>
    <w:p w14:paraId="509C2147" w14:textId="77777777" w:rsidR="001868D9" w:rsidRPr="00103A0B" w:rsidRDefault="001868D9" w:rsidP="005D0A3A">
      <w:pPr>
        <w:jc w:val="both"/>
        <w:rPr>
          <w:rFonts w:ascii="Arial" w:eastAsia="Times New Roman" w:hAnsi="Arial" w:cs="Arial"/>
          <w:sz w:val="24"/>
          <w:szCs w:val="24"/>
          <w:lang w:eastAsia="en-GB"/>
        </w:rPr>
      </w:pPr>
    </w:p>
    <w:p w14:paraId="10B58B1F" w14:textId="77777777" w:rsidR="001868D9" w:rsidRPr="00103A0B" w:rsidRDefault="001868D9" w:rsidP="005D0A3A">
      <w:pPr>
        <w:jc w:val="both"/>
        <w:rPr>
          <w:rFonts w:ascii="Arial" w:eastAsia="Times New Roman" w:hAnsi="Arial" w:cs="Arial"/>
          <w:sz w:val="24"/>
          <w:szCs w:val="24"/>
          <w:lang w:eastAsia="en-GB"/>
        </w:rPr>
      </w:pPr>
    </w:p>
    <w:p w14:paraId="1FA6CE13" w14:textId="77777777" w:rsidR="001868D9" w:rsidRPr="00103A0B" w:rsidRDefault="001868D9" w:rsidP="005D0A3A">
      <w:pPr>
        <w:jc w:val="both"/>
        <w:rPr>
          <w:rFonts w:ascii="Arial" w:eastAsia="Times New Roman" w:hAnsi="Arial" w:cs="Arial"/>
          <w:sz w:val="24"/>
          <w:szCs w:val="24"/>
          <w:lang w:eastAsia="en-GB"/>
        </w:rPr>
      </w:pPr>
    </w:p>
    <w:p w14:paraId="5D3C7003" w14:textId="77777777" w:rsidR="001868D9" w:rsidRPr="00103A0B" w:rsidRDefault="001868D9" w:rsidP="005D0A3A">
      <w:pPr>
        <w:jc w:val="both"/>
        <w:rPr>
          <w:rFonts w:ascii="Arial" w:eastAsia="Times New Roman" w:hAnsi="Arial" w:cs="Arial"/>
          <w:sz w:val="24"/>
          <w:szCs w:val="24"/>
          <w:lang w:eastAsia="en-GB"/>
        </w:rPr>
      </w:pPr>
    </w:p>
    <w:p w14:paraId="72A21D5F" w14:textId="77777777" w:rsidR="001868D9" w:rsidRPr="00103A0B" w:rsidRDefault="001868D9" w:rsidP="005D0A3A">
      <w:pPr>
        <w:jc w:val="both"/>
        <w:rPr>
          <w:rFonts w:ascii="Arial" w:eastAsia="Times New Roman" w:hAnsi="Arial" w:cs="Arial"/>
          <w:sz w:val="24"/>
          <w:szCs w:val="24"/>
          <w:lang w:eastAsia="en-GB"/>
        </w:rPr>
      </w:pPr>
    </w:p>
    <w:p w14:paraId="504DB022" w14:textId="77777777" w:rsidR="001868D9" w:rsidRPr="00103A0B" w:rsidRDefault="001868D9" w:rsidP="005D0A3A">
      <w:pPr>
        <w:jc w:val="both"/>
        <w:rPr>
          <w:rFonts w:ascii="Arial" w:eastAsia="Times New Roman" w:hAnsi="Arial" w:cs="Arial"/>
          <w:sz w:val="24"/>
          <w:szCs w:val="24"/>
          <w:lang w:eastAsia="en-GB"/>
        </w:rPr>
      </w:pPr>
    </w:p>
    <w:p w14:paraId="4F6AF479" w14:textId="77777777" w:rsidR="001868D9" w:rsidRPr="00103A0B" w:rsidRDefault="001868D9" w:rsidP="005D0A3A">
      <w:pPr>
        <w:jc w:val="both"/>
        <w:rPr>
          <w:rFonts w:ascii="Arial" w:eastAsia="Times New Roman" w:hAnsi="Arial" w:cs="Arial"/>
          <w:sz w:val="24"/>
          <w:szCs w:val="24"/>
          <w:lang w:eastAsia="en-GB"/>
        </w:rPr>
      </w:pPr>
    </w:p>
    <w:p w14:paraId="6BF73913" w14:textId="7A755B93" w:rsidR="00324C56" w:rsidRPr="00103A0B" w:rsidRDefault="00324C56" w:rsidP="005D0A3A">
      <w:pPr>
        <w:spacing w:after="100" w:line="360" w:lineRule="auto"/>
        <w:jc w:val="both"/>
        <w:rPr>
          <w:rFonts w:ascii="Arial" w:eastAsia="Times New Roman" w:hAnsi="Arial" w:cs="Arial"/>
          <w:sz w:val="24"/>
          <w:szCs w:val="24"/>
          <w:lang w:eastAsia="en-GB"/>
        </w:rPr>
      </w:pPr>
    </w:p>
    <w:p w14:paraId="03470274" w14:textId="3B5768DE" w:rsidR="001868D9" w:rsidRPr="00103A0B" w:rsidRDefault="001868D9" w:rsidP="005D0A3A">
      <w:pPr>
        <w:spacing w:after="100" w:line="360" w:lineRule="auto"/>
        <w:jc w:val="both"/>
        <w:rPr>
          <w:rFonts w:ascii="Arial" w:eastAsia="Times New Roman" w:hAnsi="Arial" w:cs="Arial"/>
          <w:sz w:val="24"/>
          <w:szCs w:val="24"/>
          <w:lang w:eastAsia="en-GB"/>
        </w:rPr>
      </w:pPr>
    </w:p>
    <w:p w14:paraId="235EEAAF" w14:textId="77777777" w:rsidR="001868D9" w:rsidRPr="00103A0B" w:rsidRDefault="001868D9" w:rsidP="005D0A3A">
      <w:pPr>
        <w:spacing w:after="100" w:line="360" w:lineRule="auto"/>
        <w:jc w:val="both"/>
        <w:rPr>
          <w:rFonts w:ascii="Arial" w:eastAsia="Times New Roman" w:hAnsi="Arial" w:cs="Arial"/>
          <w:sz w:val="24"/>
          <w:szCs w:val="24"/>
          <w:lang w:eastAsia="en-GB"/>
        </w:rPr>
      </w:pPr>
    </w:p>
    <w:p w14:paraId="06558318" w14:textId="2058B471" w:rsidR="00324C56" w:rsidRPr="00103A0B" w:rsidRDefault="004B3096" w:rsidP="005D0A3A">
      <w:pPr>
        <w:keepLines/>
        <w:jc w:val="both"/>
        <w:rPr>
          <w:rFonts w:ascii="Arial" w:hAnsi="Arial" w:cs="Arial"/>
          <w:b/>
          <w:bCs/>
          <w:sz w:val="24"/>
          <w:szCs w:val="24"/>
        </w:rPr>
      </w:pPr>
      <w:bookmarkStart w:id="90" w:name="_Toc41404585"/>
      <w:r w:rsidRPr="00103A0B">
        <w:rPr>
          <w:rFonts w:ascii="Arial" w:hAnsi="Arial" w:cs="Arial"/>
          <w:b/>
          <w:bCs/>
          <w:sz w:val="24"/>
          <w:szCs w:val="24"/>
        </w:rPr>
        <w:t xml:space="preserve">2.2.3 </w:t>
      </w:r>
      <w:r w:rsidR="00324C56" w:rsidRPr="00103A0B">
        <w:rPr>
          <w:rFonts w:ascii="Arial" w:hAnsi="Arial" w:cs="Arial"/>
          <w:b/>
          <w:bCs/>
          <w:sz w:val="24"/>
          <w:szCs w:val="24"/>
        </w:rPr>
        <w:t xml:space="preserve">Quality </w:t>
      </w:r>
      <w:r w:rsidR="00181EB6" w:rsidRPr="00103A0B">
        <w:rPr>
          <w:rFonts w:ascii="Arial" w:hAnsi="Arial" w:cs="Arial"/>
          <w:b/>
          <w:bCs/>
          <w:sz w:val="24"/>
          <w:szCs w:val="24"/>
        </w:rPr>
        <w:t>A</w:t>
      </w:r>
      <w:r w:rsidR="00324C56" w:rsidRPr="00103A0B">
        <w:rPr>
          <w:rFonts w:ascii="Arial" w:hAnsi="Arial" w:cs="Arial"/>
          <w:b/>
          <w:bCs/>
          <w:sz w:val="24"/>
          <w:szCs w:val="24"/>
        </w:rPr>
        <w:t>ssessment</w:t>
      </w:r>
      <w:bookmarkEnd w:id="90"/>
      <w:r w:rsidR="00324C56" w:rsidRPr="00103A0B">
        <w:rPr>
          <w:rFonts w:ascii="Arial" w:hAnsi="Arial" w:cs="Arial"/>
          <w:b/>
          <w:bCs/>
          <w:sz w:val="24"/>
          <w:szCs w:val="24"/>
        </w:rPr>
        <w:t xml:space="preserve"> </w:t>
      </w:r>
    </w:p>
    <w:p w14:paraId="4C4D0C52" w14:textId="579A5396"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Quality of studies was assessed using the Effective Public Health Practice Project (EPHPP) Quality Assessment Tool for Quantitative Studies </w:t>
      </w:r>
      <w:r w:rsidRPr="00103A0B">
        <w:rPr>
          <w:rFonts w:ascii="Arial" w:eastAsia="Times New Roman" w:hAnsi="Arial" w:cs="Arial"/>
          <w:sz w:val="24"/>
          <w:szCs w:val="24"/>
          <w:lang w:eastAsia="en-GB"/>
        </w:rPr>
        <w:fldChar w:fldCharType="begin" w:fldLock="1"/>
      </w:r>
      <w:r w:rsidR="00591FE2" w:rsidRPr="00103A0B">
        <w:rPr>
          <w:rFonts w:ascii="Arial" w:eastAsia="Times New Roman" w:hAnsi="Arial" w:cs="Arial"/>
          <w:sz w:val="24"/>
          <w:szCs w:val="24"/>
          <w:lang w:eastAsia="en-GB"/>
        </w:rPr>
        <w:instrText>ADDIN CSL_CITATION {"citationItems":[{"id":"ITEM-1","itemData":{"abstract":"This instrument was developed for use in public health, and can be applied to articles of any public health topic area. Some of these areas include the promotion of family and sexual health and the prevention of chronic disease, injuries and substance misuse. Various types of public health professionals would find this tool relevant to utilize sources of high quality literature to support the decision-making process, especially when designing, implementing and evaluating public health programs and policy. Description The \" Quality Assessment Tool for Quantitative Studies \" developed by the Effective Public Health Practice Project (EPHPP) is a tool for doing knowledge synthesis. This instrument, along with a user manual, provides a standardized means to assess study quality and develop recommendations for study findings. The quality appraisal tool was developed by the Effective Public Health Practice Project (EPHPP) as a discrete step within the systematic review process. The EPHPP began in 1998 with funding from the Ontario Ministry of Health and Long-Term Care (MOHLTC). The goal of the project was to address the lack of high quality evidence to support public health interventions known as Ontario Mandatory Health Programs and Service Guidelines (MHPSG, 1997) as outlined in Ontario's standards for public health.","author":[{"dropping-particle":"","family":"Effective Public Health Practice Project","given":"","non-dropping-particle":"","parse-names":false,"suffix":""}],"id":"ITEM-1","issued":{"date-parts":[["0"]]},"title":"Quality assessment tool for quantitative studies","type":"article"},"uris":["http://www.mendeley.com/documents/?uuid=da3ee631-e3eb-4d0a-8cda-b8301c55ad92"]}],"mendeley":{"formattedCitation":"(Effective Public Health Practice Project, n.d.)","manualFormatting":"(Effective Public Health Practice Project, 2010)","plainTextFormattedCitation":"(Effective Public Health Practice Project, n.d.)","previouslyFormattedCitation":"(Effective Public Health Practice Project, n.d.)"},"properties":{"noteIndex":0},"schema":"https://github.com/citation-style-language/schema/raw/master/csl-citation.json"}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 xml:space="preserve">(Effective Public Health Practice Project, </w:t>
      </w:r>
      <w:r w:rsidR="007E32F8" w:rsidRPr="00103A0B">
        <w:rPr>
          <w:rFonts w:ascii="Arial" w:eastAsia="Times New Roman" w:hAnsi="Arial" w:cs="Arial"/>
          <w:noProof/>
          <w:sz w:val="24"/>
          <w:szCs w:val="24"/>
          <w:lang w:eastAsia="en-GB"/>
        </w:rPr>
        <w:t>2010</w:t>
      </w:r>
      <w:r w:rsidR="001B5F7B" w:rsidRPr="00103A0B">
        <w:rPr>
          <w:rFonts w:ascii="Arial" w:eastAsia="Times New Roman" w:hAnsi="Arial" w:cs="Arial"/>
          <w:noProof/>
          <w:sz w:val="24"/>
          <w:szCs w:val="24"/>
          <w:lang w:eastAsia="en-GB"/>
        </w:rPr>
        <w:t>)</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Ten percent of the included papers were independently checked by a second reviewer (</w:t>
      </w:r>
      <w:r w:rsidR="00523A39" w:rsidRPr="00103A0B">
        <w:rPr>
          <w:rFonts w:ascii="Arial" w:eastAsia="Times New Roman" w:hAnsi="Arial" w:cs="Arial"/>
          <w:sz w:val="24"/>
          <w:szCs w:val="24"/>
          <w:lang w:eastAsia="en-GB"/>
        </w:rPr>
        <w:t>RP</w:t>
      </w:r>
      <w:r w:rsidRPr="00103A0B">
        <w:rPr>
          <w:rFonts w:ascii="Arial" w:eastAsia="Times New Roman" w:hAnsi="Arial" w:cs="Arial"/>
          <w:sz w:val="24"/>
          <w:szCs w:val="24"/>
          <w:lang w:eastAsia="en-GB"/>
        </w:rPr>
        <w:t xml:space="preserve">) and any discrepancies resolved by consensus.  </w:t>
      </w:r>
    </w:p>
    <w:p w14:paraId="42DE8480" w14:textId="14D7FE6A" w:rsidR="00324C56" w:rsidRPr="00103A0B" w:rsidRDefault="004B3096" w:rsidP="005D0A3A">
      <w:pPr>
        <w:keepLines/>
        <w:jc w:val="both"/>
        <w:rPr>
          <w:rFonts w:ascii="Arial" w:hAnsi="Arial" w:cs="Arial"/>
          <w:b/>
          <w:bCs/>
          <w:sz w:val="24"/>
          <w:szCs w:val="24"/>
        </w:rPr>
      </w:pPr>
      <w:bookmarkStart w:id="91" w:name="_Toc41404586"/>
      <w:r w:rsidRPr="00103A0B">
        <w:rPr>
          <w:rFonts w:ascii="Arial" w:hAnsi="Arial" w:cs="Arial"/>
          <w:b/>
          <w:bCs/>
          <w:sz w:val="24"/>
          <w:szCs w:val="24"/>
        </w:rPr>
        <w:t xml:space="preserve">2.2.4 </w:t>
      </w:r>
      <w:r w:rsidR="00324C56" w:rsidRPr="00103A0B">
        <w:rPr>
          <w:rFonts w:ascii="Arial" w:hAnsi="Arial" w:cs="Arial"/>
          <w:b/>
          <w:bCs/>
          <w:sz w:val="24"/>
          <w:szCs w:val="24"/>
        </w:rPr>
        <w:t xml:space="preserve">Data </w:t>
      </w:r>
      <w:r w:rsidR="00181EB6" w:rsidRPr="00103A0B">
        <w:rPr>
          <w:rFonts w:ascii="Arial" w:hAnsi="Arial" w:cs="Arial"/>
          <w:b/>
          <w:bCs/>
          <w:sz w:val="24"/>
          <w:szCs w:val="24"/>
        </w:rPr>
        <w:t>E</w:t>
      </w:r>
      <w:r w:rsidR="00324C56" w:rsidRPr="00103A0B">
        <w:rPr>
          <w:rFonts w:ascii="Arial" w:hAnsi="Arial" w:cs="Arial"/>
          <w:b/>
          <w:bCs/>
          <w:sz w:val="24"/>
          <w:szCs w:val="24"/>
        </w:rPr>
        <w:t xml:space="preserve">xtraction and </w:t>
      </w:r>
      <w:r w:rsidR="00181EB6" w:rsidRPr="00103A0B">
        <w:rPr>
          <w:rFonts w:ascii="Arial" w:hAnsi="Arial" w:cs="Arial"/>
          <w:b/>
          <w:bCs/>
          <w:sz w:val="24"/>
          <w:szCs w:val="24"/>
        </w:rPr>
        <w:t>S</w:t>
      </w:r>
      <w:r w:rsidR="00324C56" w:rsidRPr="00103A0B">
        <w:rPr>
          <w:rFonts w:ascii="Arial" w:hAnsi="Arial" w:cs="Arial"/>
          <w:b/>
          <w:bCs/>
          <w:sz w:val="24"/>
          <w:szCs w:val="24"/>
        </w:rPr>
        <w:t>ynthesis</w:t>
      </w:r>
      <w:bookmarkEnd w:id="91"/>
    </w:p>
    <w:p w14:paraId="78C0822D" w14:textId="52FB6527" w:rsidR="00324C56" w:rsidRPr="00103A0B" w:rsidRDefault="00324C56" w:rsidP="005D0A3A">
      <w:pPr>
        <w:spacing w:line="360" w:lineRule="auto"/>
        <w:jc w:val="both"/>
        <w:rPr>
          <w:rFonts w:ascii="Arial" w:hAnsi="Arial" w:cs="Arial"/>
          <w:sz w:val="24"/>
          <w:szCs w:val="24"/>
          <w:lang w:eastAsia="en-GB"/>
        </w:rPr>
      </w:pPr>
      <w:r w:rsidRPr="00103A0B">
        <w:rPr>
          <w:rFonts w:ascii="Arial" w:hAnsi="Arial" w:cs="Arial"/>
          <w:sz w:val="24"/>
          <w:szCs w:val="24"/>
          <w:lang w:eastAsia="en-GB"/>
        </w:rPr>
        <w:t>Data were extracted from the included papers: country, study design, setting, intervention type, group components, length of follow-up, recruitment method, sample characteristics, response, uptake and retention rates, and reasons for drop</w:t>
      </w:r>
      <w:r w:rsidR="001F3B33" w:rsidRPr="00103A0B">
        <w:rPr>
          <w:rFonts w:ascii="Arial" w:hAnsi="Arial" w:cs="Arial"/>
          <w:sz w:val="24"/>
          <w:szCs w:val="24"/>
          <w:lang w:eastAsia="en-GB"/>
        </w:rPr>
        <w:t xml:space="preserve"> </w:t>
      </w:r>
      <w:r w:rsidRPr="00103A0B">
        <w:rPr>
          <w:rFonts w:ascii="Arial" w:hAnsi="Arial" w:cs="Arial"/>
          <w:sz w:val="24"/>
          <w:szCs w:val="24"/>
          <w:lang w:eastAsia="en-GB"/>
        </w:rPr>
        <w:t xml:space="preserve">out (Appendix </w:t>
      </w:r>
      <w:r w:rsidR="009C03C2" w:rsidRPr="00103A0B">
        <w:rPr>
          <w:rFonts w:ascii="Arial" w:hAnsi="Arial" w:cs="Arial"/>
          <w:sz w:val="24"/>
          <w:szCs w:val="24"/>
          <w:lang w:eastAsia="en-GB"/>
        </w:rPr>
        <w:t>2</w:t>
      </w:r>
      <w:r w:rsidRPr="00103A0B">
        <w:rPr>
          <w:rFonts w:ascii="Arial" w:hAnsi="Arial" w:cs="Arial"/>
          <w:sz w:val="24"/>
          <w:szCs w:val="24"/>
          <w:lang w:eastAsia="en-GB"/>
        </w:rPr>
        <w:t xml:space="preserve">: </w:t>
      </w:r>
      <w:r w:rsidR="007C62BA" w:rsidRPr="00103A0B">
        <w:rPr>
          <w:rFonts w:ascii="Arial" w:hAnsi="Arial" w:cs="Arial"/>
          <w:sz w:val="24"/>
          <w:szCs w:val="24"/>
          <w:lang w:eastAsia="en-GB"/>
        </w:rPr>
        <w:t>D</w:t>
      </w:r>
      <w:r w:rsidR="009C03C2" w:rsidRPr="00103A0B">
        <w:rPr>
          <w:rFonts w:ascii="Arial" w:hAnsi="Arial" w:cs="Arial"/>
          <w:sz w:val="24"/>
          <w:szCs w:val="24"/>
          <w:lang w:eastAsia="en-GB"/>
        </w:rPr>
        <w:t>ata extraction table</w:t>
      </w:r>
      <w:r w:rsidRPr="00103A0B">
        <w:rPr>
          <w:rFonts w:ascii="Arial" w:hAnsi="Arial" w:cs="Arial"/>
          <w:sz w:val="24"/>
          <w:szCs w:val="24"/>
          <w:lang w:eastAsia="en-GB"/>
        </w:rPr>
        <w:t xml:space="preserve">). </w:t>
      </w:r>
    </w:p>
    <w:p w14:paraId="48D0B6F1" w14:textId="4C08A579"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For each study, the components of the intervention were screened to identify behaviour change techniques using the BCT taxonomy v1 </w:t>
      </w:r>
      <w:r w:rsidRPr="00103A0B">
        <w:rPr>
          <w:rFonts w:ascii="Arial" w:eastAsia="Times New Roman" w:hAnsi="Arial" w:cs="Arial"/>
          <w:sz w:val="24"/>
          <w:szCs w:val="24"/>
          <w:lang w:eastAsia="en-GB"/>
        </w:rPr>
        <w:fldChar w:fldCharType="begin" w:fldLock="1"/>
      </w:r>
      <w:r w:rsidR="00AD1D6B" w:rsidRPr="00103A0B">
        <w:rPr>
          <w:rFonts w:ascii="Arial" w:eastAsia="Times New Roman" w:hAnsi="Arial" w:cs="Arial"/>
          <w:sz w:val="24"/>
          <w:szCs w:val="24"/>
          <w:lang w:eastAsia="en-GB"/>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interventions","type":"article-journal","volume":"46"},"uris":["http://www.mendeley.com/documents/?uuid=68bb257f-2ddf-4a99-bd79-a2640572189d"]}],"mendeley":{"formattedCitation":"(Susan Michie et al., 2013)","manualFormatting":"(Michie et al., 2013)","plainTextFormattedCitation":"(Susan Michie et al., 2013)","previouslyFormattedCitation":"(Susan Michie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62570" w:rsidRPr="00103A0B">
        <w:rPr>
          <w:rFonts w:ascii="Arial" w:eastAsia="Times New Roman" w:hAnsi="Arial" w:cs="Arial"/>
          <w:noProof/>
          <w:sz w:val="24"/>
          <w:szCs w:val="24"/>
          <w:lang w:eastAsia="en-GB"/>
        </w:rPr>
        <w:t>(Michie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Each technique identified was noted down and carefully compared with the corresponding definition given to ensure that it fitted with the label. A second reviewer (</w:t>
      </w:r>
      <w:r w:rsidR="007C62BA" w:rsidRPr="00103A0B">
        <w:rPr>
          <w:rFonts w:ascii="Arial" w:eastAsia="Times New Roman" w:hAnsi="Arial" w:cs="Arial"/>
          <w:sz w:val="24"/>
          <w:szCs w:val="24"/>
          <w:lang w:eastAsia="en-GB"/>
        </w:rPr>
        <w:t>RP</w:t>
      </w:r>
      <w:r w:rsidRPr="00103A0B">
        <w:rPr>
          <w:rFonts w:ascii="Arial" w:eastAsia="Times New Roman" w:hAnsi="Arial" w:cs="Arial"/>
          <w:sz w:val="24"/>
          <w:szCs w:val="24"/>
          <w:lang w:eastAsia="en-GB"/>
        </w:rPr>
        <w:t xml:space="preserve">) was involved to address any discrepancies which were resolved by consensus.  </w:t>
      </w:r>
    </w:p>
    <w:p w14:paraId="0A0709A1" w14:textId="17959A9C" w:rsidR="00324C56" w:rsidRPr="00103A0B" w:rsidRDefault="004B3096" w:rsidP="005D0A3A">
      <w:pPr>
        <w:keepLines/>
        <w:jc w:val="both"/>
        <w:rPr>
          <w:rFonts w:ascii="Arial" w:hAnsi="Arial" w:cs="Arial"/>
          <w:b/>
          <w:bCs/>
          <w:sz w:val="24"/>
          <w:szCs w:val="24"/>
        </w:rPr>
      </w:pPr>
      <w:bookmarkStart w:id="92" w:name="_Toc41404587"/>
      <w:r w:rsidRPr="00103A0B">
        <w:rPr>
          <w:rFonts w:ascii="Arial" w:hAnsi="Arial" w:cs="Arial"/>
          <w:b/>
          <w:bCs/>
          <w:sz w:val="24"/>
          <w:szCs w:val="24"/>
        </w:rPr>
        <w:t xml:space="preserve">2.2.5 </w:t>
      </w:r>
      <w:r w:rsidR="00324C56" w:rsidRPr="00103A0B">
        <w:rPr>
          <w:rFonts w:ascii="Arial" w:hAnsi="Arial" w:cs="Arial"/>
          <w:b/>
          <w:bCs/>
          <w:sz w:val="24"/>
          <w:szCs w:val="24"/>
        </w:rPr>
        <w:t xml:space="preserve">Statistical </w:t>
      </w:r>
      <w:r w:rsidR="00173858" w:rsidRPr="00103A0B">
        <w:rPr>
          <w:rFonts w:ascii="Arial" w:hAnsi="Arial" w:cs="Arial"/>
          <w:b/>
          <w:bCs/>
          <w:sz w:val="24"/>
          <w:szCs w:val="24"/>
        </w:rPr>
        <w:t>A</w:t>
      </w:r>
      <w:r w:rsidR="00324C56" w:rsidRPr="00103A0B">
        <w:rPr>
          <w:rFonts w:ascii="Arial" w:hAnsi="Arial" w:cs="Arial"/>
          <w:b/>
          <w:bCs/>
          <w:sz w:val="24"/>
          <w:szCs w:val="24"/>
        </w:rPr>
        <w:t>nalysis</w:t>
      </w:r>
      <w:bookmarkEnd w:id="92"/>
    </w:p>
    <w:p w14:paraId="389C3B8E" w14:textId="68DC8AAF" w:rsidR="00324C56" w:rsidRPr="00103A0B" w:rsidRDefault="00324C56" w:rsidP="005D0A3A">
      <w:pPr>
        <w:spacing w:line="360" w:lineRule="auto"/>
        <w:jc w:val="both"/>
        <w:rPr>
          <w:rFonts w:ascii="Arial" w:hAnsi="Arial" w:cs="Arial"/>
          <w:lang w:eastAsia="en-GB"/>
        </w:rPr>
      </w:pPr>
      <w:r w:rsidRPr="00103A0B">
        <w:rPr>
          <w:rFonts w:ascii="Arial" w:eastAsia="Times New Roman" w:hAnsi="Arial" w:cs="Arial"/>
          <w:sz w:val="24"/>
          <w:szCs w:val="24"/>
          <w:lang w:eastAsia="en-GB"/>
        </w:rPr>
        <w:t xml:space="preserve">Due to the heterogeneity of DPPs in terms of intervention components, information provided in relation to response, </w:t>
      </w:r>
      <w:proofErr w:type="gramStart"/>
      <w:r w:rsidRPr="00103A0B">
        <w:rPr>
          <w:rFonts w:ascii="Arial" w:eastAsia="Times New Roman" w:hAnsi="Arial" w:cs="Arial"/>
          <w:sz w:val="24"/>
          <w:szCs w:val="24"/>
          <w:lang w:eastAsia="en-GB"/>
        </w:rPr>
        <w:t>uptake</w:t>
      </w:r>
      <w:proofErr w:type="gramEnd"/>
      <w:r w:rsidRPr="00103A0B">
        <w:rPr>
          <w:rFonts w:ascii="Arial" w:eastAsia="Times New Roman" w:hAnsi="Arial" w:cs="Arial"/>
          <w:sz w:val="24"/>
          <w:szCs w:val="24"/>
          <w:lang w:eastAsia="en-GB"/>
        </w:rPr>
        <w:t xml:space="preserve"> and retention rates, and BCTs, a systematic, critical review was carried out, not a meta-analysis. </w:t>
      </w:r>
    </w:p>
    <w:p w14:paraId="5CA596B8" w14:textId="77777777"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Response rate (%) was calculated (where possible) as the proportion of participants that responded to recruitment, out of the number of participants exposed to the study information via recruitment. </w:t>
      </w:r>
    </w:p>
    <w:p w14:paraId="5793EC68" w14:textId="77777777"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Uptake rate (%) was calculated (where possible) as the proportion of participants that started the group-based DPP, out of the number of participants allocated to the group-based DPP. </w:t>
      </w:r>
    </w:p>
    <w:p w14:paraId="60E12A45" w14:textId="77777777"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Retention rate (%) was calculated (where possible) as the proportion participants that did not drop-out from the group-based intervention, out of the number of participants present at the start. This gave a consistent completion rate for each paper as not all included papers clearly defined completion. </w:t>
      </w:r>
    </w:p>
    <w:p w14:paraId="4897F245" w14:textId="77777777" w:rsidR="00A47AD5" w:rsidRPr="00103A0B" w:rsidRDefault="00324C56" w:rsidP="005D0A3A">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lastRenderedPageBreak/>
        <w:t>When response, uptake and retention rates were calculated, a second reviewer (</w:t>
      </w:r>
      <w:r w:rsidR="00523A39" w:rsidRPr="00103A0B">
        <w:rPr>
          <w:rFonts w:ascii="Arial" w:eastAsia="Times New Roman" w:hAnsi="Arial" w:cs="Arial"/>
          <w:sz w:val="24"/>
          <w:szCs w:val="24"/>
          <w:lang w:eastAsia="en-GB"/>
        </w:rPr>
        <w:t>CG</w:t>
      </w:r>
      <w:r w:rsidRPr="00103A0B">
        <w:rPr>
          <w:rFonts w:ascii="Arial" w:eastAsia="Times New Roman" w:hAnsi="Arial" w:cs="Arial"/>
          <w:sz w:val="24"/>
          <w:szCs w:val="24"/>
          <w:lang w:eastAsia="en-GB"/>
        </w:rPr>
        <w:t>) was involved to ensure consistency in these calculations.</w:t>
      </w:r>
      <w:bookmarkStart w:id="93" w:name="_Toc41404588"/>
    </w:p>
    <w:p w14:paraId="1EB8C7B2" w14:textId="77777777" w:rsidR="00A47AD5" w:rsidRPr="00103A0B" w:rsidRDefault="00A47AD5" w:rsidP="005D0A3A">
      <w:pPr>
        <w:spacing w:line="360" w:lineRule="auto"/>
        <w:jc w:val="both"/>
        <w:rPr>
          <w:rFonts w:ascii="Arial" w:eastAsia="Times New Roman" w:hAnsi="Arial" w:cs="Arial"/>
          <w:sz w:val="24"/>
          <w:szCs w:val="24"/>
          <w:lang w:eastAsia="en-GB"/>
        </w:rPr>
      </w:pPr>
    </w:p>
    <w:p w14:paraId="57BB66E3" w14:textId="08361B0F" w:rsidR="00324C56" w:rsidRPr="00103A0B" w:rsidRDefault="00022ED5" w:rsidP="00DB2EED">
      <w:pPr>
        <w:pStyle w:val="Heading3"/>
        <w:numPr>
          <w:ilvl w:val="0"/>
          <w:numId w:val="0"/>
        </w:numPr>
        <w:spacing w:before="240"/>
        <w:rPr>
          <w:rFonts w:ascii="Arial" w:eastAsia="Times New Roman" w:hAnsi="Arial" w:cs="Arial"/>
          <w:sz w:val="24"/>
        </w:rPr>
      </w:pPr>
      <w:bookmarkStart w:id="94" w:name="_Toc151548307"/>
      <w:r w:rsidRPr="00103A0B">
        <w:rPr>
          <w:rFonts w:ascii="Arial" w:eastAsia="Times New Roman" w:hAnsi="Arial" w:cs="Arial"/>
        </w:rPr>
        <w:t xml:space="preserve">2.3 </w:t>
      </w:r>
      <w:r w:rsidR="00324C56" w:rsidRPr="00103A0B">
        <w:rPr>
          <w:rFonts w:ascii="Arial" w:eastAsia="Times New Roman" w:hAnsi="Arial" w:cs="Arial"/>
        </w:rPr>
        <w:t>Results</w:t>
      </w:r>
      <w:bookmarkEnd w:id="93"/>
      <w:bookmarkEnd w:id="94"/>
    </w:p>
    <w:p w14:paraId="4B66F7FE" w14:textId="0BE88087" w:rsidR="00324C56" w:rsidRPr="00103A0B" w:rsidRDefault="004B3096" w:rsidP="00DB2EED">
      <w:pPr>
        <w:keepLines/>
        <w:spacing w:before="240"/>
        <w:jc w:val="both"/>
        <w:rPr>
          <w:rFonts w:ascii="Arial" w:hAnsi="Arial" w:cs="Arial"/>
          <w:b/>
          <w:bCs/>
          <w:sz w:val="24"/>
          <w:szCs w:val="24"/>
        </w:rPr>
      </w:pPr>
      <w:bookmarkStart w:id="95" w:name="_Toc41404589"/>
      <w:r w:rsidRPr="00103A0B">
        <w:rPr>
          <w:rFonts w:ascii="Arial" w:hAnsi="Arial" w:cs="Arial"/>
          <w:b/>
          <w:bCs/>
          <w:sz w:val="24"/>
          <w:szCs w:val="24"/>
        </w:rPr>
        <w:t xml:space="preserve">2.3.1 </w:t>
      </w:r>
      <w:r w:rsidR="00324C56" w:rsidRPr="00103A0B">
        <w:rPr>
          <w:rFonts w:ascii="Arial" w:hAnsi="Arial" w:cs="Arial"/>
          <w:b/>
          <w:bCs/>
          <w:sz w:val="24"/>
          <w:szCs w:val="24"/>
        </w:rPr>
        <w:t>Inclusion/</w:t>
      </w:r>
      <w:r w:rsidR="00181EB6" w:rsidRPr="00103A0B">
        <w:rPr>
          <w:rFonts w:ascii="Arial" w:hAnsi="Arial" w:cs="Arial"/>
          <w:b/>
          <w:bCs/>
          <w:sz w:val="24"/>
          <w:szCs w:val="24"/>
        </w:rPr>
        <w:t>E</w:t>
      </w:r>
      <w:r w:rsidR="00324C56" w:rsidRPr="00103A0B">
        <w:rPr>
          <w:rFonts w:ascii="Arial" w:hAnsi="Arial" w:cs="Arial"/>
          <w:b/>
          <w:bCs/>
          <w:sz w:val="24"/>
          <w:szCs w:val="24"/>
        </w:rPr>
        <w:t>xclusion</w:t>
      </w:r>
      <w:bookmarkEnd w:id="95"/>
    </w:p>
    <w:p w14:paraId="0D343310" w14:textId="4D17C9D7" w:rsidR="00324C56" w:rsidRPr="00103A0B" w:rsidRDefault="00324C56" w:rsidP="005D0A3A">
      <w:pPr>
        <w:spacing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In Figure </w:t>
      </w:r>
      <w:r w:rsidR="00445FC8" w:rsidRPr="00103A0B">
        <w:rPr>
          <w:rFonts w:ascii="Arial" w:eastAsia="Times New Roman" w:hAnsi="Arial" w:cs="Arial"/>
          <w:sz w:val="24"/>
          <w:szCs w:val="24"/>
          <w:lang w:eastAsia="en-GB"/>
        </w:rPr>
        <w:t>1</w:t>
      </w:r>
      <w:r w:rsidRPr="00103A0B">
        <w:rPr>
          <w:rFonts w:ascii="Arial" w:eastAsia="Times New Roman" w:hAnsi="Arial" w:cs="Arial"/>
          <w:sz w:val="24"/>
          <w:szCs w:val="24"/>
          <w:lang w:eastAsia="en-GB"/>
        </w:rPr>
        <w:t>, the process of paper inclusion/exclusion at each stage is presented. The initial search resulted in 27,137 records (6,499 from the initial search, 14,265 from the first top-up search and 6,373 from the second top-up search). It was not possible to conduct the two top-up searches using the Web of Science database due to changes in institutional subscriptions. Therefore, additional databases (PubMed, ProQuest Nursing and Allied Health and Summon) were used for literature searching. After English language, adults-only and title-only filters were applied, 1,198 titles were found (including 101 from the first top-up search and 85 from the second). After duplicates were removed and the titles and/or abstracts were screened, 146 full texts were retrieved (128 from initial search, 7 from the first top-up search and 11 from the second), of which 33 were included (including 7 from the first top-up search and 2 from the second).</w:t>
      </w:r>
    </w:p>
    <w:p w14:paraId="2331D9F1" w14:textId="3C586EDC" w:rsidR="00324C56" w:rsidRPr="00103A0B" w:rsidRDefault="00324C56" w:rsidP="005D0A3A">
      <w:pPr>
        <w:spacing w:after="100"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Ten per cent of the 128 papers (n=13) from the initial search were independently checked by a second reviewer (</w:t>
      </w:r>
      <w:r w:rsidR="006D5BFD" w:rsidRPr="00103A0B">
        <w:rPr>
          <w:rFonts w:ascii="Arial" w:eastAsia="Times New Roman" w:hAnsi="Arial" w:cs="Arial"/>
          <w:sz w:val="24"/>
          <w:szCs w:val="24"/>
          <w:lang w:eastAsia="en-GB"/>
        </w:rPr>
        <w:t>RP</w:t>
      </w:r>
      <w:r w:rsidRPr="00103A0B">
        <w:rPr>
          <w:rFonts w:ascii="Arial" w:eastAsia="Times New Roman" w:hAnsi="Arial" w:cs="Arial"/>
          <w:sz w:val="24"/>
          <w:szCs w:val="24"/>
          <w:lang w:eastAsia="en-GB"/>
        </w:rPr>
        <w:t>) which led to 77% agreement. After detailed discussions, the disagreement was found to be due to ambiguous wording of two criteria (prediabetes and group-based (a necessary component of the programme)) which were then further refined (prediabetes determined by glucose testing; and 50% or more sessions are group-based). Once criteria were refined, the 128 papers were re-examined, and a further 5% of 128 papers (n=6) were independently checked by the second reviewer (</w:t>
      </w:r>
      <w:r w:rsidR="006D5BFD" w:rsidRPr="00103A0B">
        <w:rPr>
          <w:rFonts w:ascii="Arial" w:eastAsia="Times New Roman" w:hAnsi="Arial" w:cs="Arial"/>
          <w:sz w:val="24"/>
          <w:szCs w:val="24"/>
          <w:lang w:eastAsia="en-GB"/>
        </w:rPr>
        <w:t>RP</w:t>
      </w:r>
      <w:r w:rsidRPr="00103A0B">
        <w:rPr>
          <w:rFonts w:ascii="Arial" w:eastAsia="Times New Roman" w:hAnsi="Arial" w:cs="Arial"/>
          <w:sz w:val="24"/>
          <w:szCs w:val="24"/>
          <w:lang w:eastAsia="en-GB"/>
        </w:rPr>
        <w:t>) reaching 100% agreement. After the two top-up searches were conducted, 10% of 18 papers (n=2) were independently checked by the second reviewer (</w:t>
      </w:r>
      <w:r w:rsidR="006D5BFD" w:rsidRPr="00103A0B">
        <w:rPr>
          <w:rFonts w:ascii="Arial" w:eastAsia="Times New Roman" w:hAnsi="Arial" w:cs="Arial"/>
          <w:sz w:val="24"/>
          <w:szCs w:val="24"/>
          <w:lang w:eastAsia="en-GB"/>
        </w:rPr>
        <w:t>RP</w:t>
      </w:r>
      <w:r w:rsidRPr="00103A0B">
        <w:rPr>
          <w:rFonts w:ascii="Arial" w:eastAsia="Times New Roman" w:hAnsi="Arial" w:cs="Arial"/>
          <w:sz w:val="24"/>
          <w:szCs w:val="24"/>
          <w:lang w:eastAsia="en-GB"/>
        </w:rPr>
        <w:t xml:space="preserve">), with 100% agreement. The results of most of these DPPs were generally published in multiple papers, all of which were examined, and relevant information extracted (Appendix </w:t>
      </w:r>
      <w:r w:rsidR="006D5BFD" w:rsidRPr="00103A0B">
        <w:rPr>
          <w:rFonts w:ascii="Arial" w:eastAsia="Times New Roman" w:hAnsi="Arial" w:cs="Arial"/>
          <w:sz w:val="24"/>
          <w:szCs w:val="24"/>
          <w:lang w:eastAsia="en-GB"/>
        </w:rPr>
        <w:t>2</w:t>
      </w:r>
      <w:r w:rsidRPr="00103A0B">
        <w:rPr>
          <w:rFonts w:ascii="Arial" w:eastAsia="Times New Roman" w:hAnsi="Arial" w:cs="Arial"/>
          <w:sz w:val="24"/>
          <w:szCs w:val="24"/>
          <w:lang w:eastAsia="en-GB"/>
        </w:rPr>
        <w:t xml:space="preserve">: </w:t>
      </w:r>
      <w:r w:rsidR="00445FC8" w:rsidRPr="00103A0B">
        <w:rPr>
          <w:rFonts w:ascii="Arial" w:eastAsia="Times New Roman" w:hAnsi="Arial" w:cs="Arial"/>
          <w:sz w:val="24"/>
          <w:szCs w:val="24"/>
          <w:lang w:eastAsia="en-GB"/>
        </w:rPr>
        <w:t>D</w:t>
      </w:r>
      <w:r w:rsidR="006D5BFD" w:rsidRPr="00103A0B">
        <w:rPr>
          <w:rFonts w:ascii="Arial" w:eastAsia="Times New Roman" w:hAnsi="Arial" w:cs="Arial"/>
          <w:sz w:val="24"/>
          <w:szCs w:val="24"/>
          <w:lang w:eastAsia="en-GB"/>
        </w:rPr>
        <w:t>ata extraction table</w:t>
      </w:r>
      <w:r w:rsidRPr="00103A0B">
        <w:rPr>
          <w:rFonts w:ascii="Arial" w:eastAsia="Times New Roman" w:hAnsi="Arial" w:cs="Arial"/>
          <w:sz w:val="24"/>
          <w:szCs w:val="24"/>
          <w:lang w:eastAsia="en-GB"/>
        </w:rPr>
        <w:t xml:space="preserve">). </w:t>
      </w:r>
    </w:p>
    <w:p w14:paraId="3578A0ED" w14:textId="77777777"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p>
    <w:p w14:paraId="5FDF8E6C" w14:textId="77777777" w:rsidR="006D5BFD" w:rsidRPr="00103A0B" w:rsidRDefault="006D5BFD" w:rsidP="005D0A3A">
      <w:pPr>
        <w:tabs>
          <w:tab w:val="left" w:pos="1470"/>
        </w:tabs>
        <w:spacing w:line="360" w:lineRule="auto"/>
        <w:jc w:val="both"/>
        <w:rPr>
          <w:rFonts w:ascii="Arial" w:eastAsia="Times New Roman" w:hAnsi="Arial" w:cs="Arial"/>
          <w:sz w:val="24"/>
          <w:szCs w:val="24"/>
          <w:lang w:eastAsia="en-GB"/>
        </w:rPr>
      </w:pPr>
    </w:p>
    <w:p w14:paraId="1360721F" w14:textId="5B6BDF7C" w:rsidR="00324C56" w:rsidRPr="00103A0B" w:rsidRDefault="004B3096" w:rsidP="005D0A3A">
      <w:pPr>
        <w:jc w:val="both"/>
        <w:rPr>
          <w:rFonts w:ascii="Arial" w:hAnsi="Arial" w:cs="Arial"/>
          <w:b/>
          <w:bCs/>
          <w:sz w:val="24"/>
          <w:szCs w:val="24"/>
        </w:rPr>
      </w:pPr>
      <w:bookmarkStart w:id="96" w:name="_Toc41404590"/>
      <w:r w:rsidRPr="00103A0B">
        <w:rPr>
          <w:rFonts w:ascii="Arial" w:hAnsi="Arial" w:cs="Arial"/>
          <w:b/>
          <w:bCs/>
          <w:sz w:val="24"/>
          <w:szCs w:val="24"/>
        </w:rPr>
        <w:lastRenderedPageBreak/>
        <w:t xml:space="preserve">2.3.2 </w:t>
      </w:r>
      <w:r w:rsidR="00324C56" w:rsidRPr="00103A0B">
        <w:rPr>
          <w:rFonts w:ascii="Arial" w:hAnsi="Arial" w:cs="Arial"/>
          <w:b/>
          <w:bCs/>
          <w:sz w:val="24"/>
          <w:szCs w:val="24"/>
        </w:rPr>
        <w:t xml:space="preserve">Design and </w:t>
      </w:r>
      <w:r w:rsidR="00181EB6" w:rsidRPr="00103A0B">
        <w:rPr>
          <w:rFonts w:ascii="Arial" w:hAnsi="Arial" w:cs="Arial"/>
          <w:b/>
          <w:bCs/>
          <w:sz w:val="24"/>
          <w:szCs w:val="24"/>
        </w:rPr>
        <w:t>Q</w:t>
      </w:r>
      <w:r w:rsidR="00324C56" w:rsidRPr="00103A0B">
        <w:rPr>
          <w:rFonts w:ascii="Arial" w:hAnsi="Arial" w:cs="Arial"/>
          <w:b/>
          <w:bCs/>
          <w:sz w:val="24"/>
          <w:szCs w:val="24"/>
        </w:rPr>
        <w:t>uality</w:t>
      </w:r>
      <w:bookmarkEnd w:id="96"/>
    </w:p>
    <w:p w14:paraId="7D9490E1" w14:textId="4C0B97BD" w:rsidR="00324C56" w:rsidRPr="00103A0B" w:rsidRDefault="00324C56" w:rsidP="005D0A3A">
      <w:pPr>
        <w:spacing w:line="360" w:lineRule="auto"/>
        <w:jc w:val="both"/>
        <w:rPr>
          <w:rFonts w:ascii="Arial" w:hAnsi="Arial" w:cs="Arial"/>
          <w:sz w:val="24"/>
          <w:szCs w:val="24"/>
          <w:lang w:eastAsia="en-GB"/>
        </w:rPr>
      </w:pPr>
      <w:r w:rsidRPr="00103A0B">
        <w:rPr>
          <w:rFonts w:ascii="Arial" w:eastAsia="Times New Roman" w:hAnsi="Arial" w:cs="Arial"/>
          <w:sz w:val="24"/>
          <w:szCs w:val="24"/>
          <w:lang w:eastAsia="en-GB"/>
        </w:rPr>
        <w:t xml:space="preserve">From the 33 included papers, 13 were RCTs </w:t>
      </w:r>
      <w:r w:rsidRPr="00103A0B">
        <w:rPr>
          <w:rFonts w:ascii="Arial" w:hAnsi="Arial" w:cs="Arial"/>
        </w:rPr>
        <w:fldChar w:fldCharType="begin" w:fldLock="1"/>
      </w:r>
      <w:r w:rsidR="00810F86" w:rsidRPr="00103A0B">
        <w:rPr>
          <w:rFonts w:ascii="Arial" w:eastAsia="Times New Roman" w:hAnsi="Arial" w:cs="Arial"/>
          <w:sz w:val="24"/>
          <w:szCs w:val="24"/>
          <w:lang w:eastAsia="en-GB"/>
        </w:rPr>
        <w:instrText>ADDIN CSL_CITATION {"citationItems":[{"id":"ITEM-1","itemData":{"DOI":"10.1016/j.puhe.2014.11.001","ISBN":"1476-5616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Health","id":"ITEM-1","issued":{"date-parts":[["2014"]]},"page":"674-77","publisher":"The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trial","type":"article-journal","volume":"128"},"uris":["http://www.mendeley.com/documents/?uuid=1abeaa8a-5178-4243-9733-7fd8d5ef92d5"]},{"id":"ITEM-2","itemData":{"DOI":"10.1016/j.ypmed.2015.12.012","ISBN":"0091-7435","ISSN":"10960260","PMID":"26740346","abstract":"Objectives: Prevention of type 2 diabetes (T2DM) is a priority in healthcare, but there is a lack of evidence investigating how to effectively translate prevention research into a UK primary care setting. We assessed whether a structured education programme targeting lifestyle and behaviour change was effective at preventing progression to T2DM in people with pre-diabetes. Materials and methods: Forty-four general practices were randomised to receive either standard care or a 6. hour group structured education programme with an annual refresher course, and regular phone contact. Participants were followed up for 3. years. The primary outcome was progression to T2DM. Results: Eight hundred and eighty participants were included (36% female, mean age 64. years, 16% ethnic minority group); 131 participants developed T2DM. There was a non-significant 26% reduced risk of developing T2DM in the intervention arm compared to standard care (HR 0.74, 95% CI 0.48, 1.14, p= 0.18). The reduction in T2DM risk when excluding those who did not attend the initial education session was also non-significant (HR 0.65, 0.41, 1.03, p= 0.07). There were statistically significant improvements in HbA1c (- 0.06, - 0.11, - 0.01), LDL cholesterol (- 0.08, - 0.15, - 0.01), sedentary time (- 26.29, - 45.26, - 7.32) and step count (498.15, 162.10, 834.20) when data were analysed across all time points. Conclusions: This study suggests that a relatively low resource, pragmatic diabetes prevention programme resulted in modest benefits to biomedical, lifestyle and psychosocial outcomes, however the reduction to the risk of T2DM did not reach significance. The findings have important implications for future research and primary care.","author":[{"dropping-particle":"","family":"Davies","given":"Melanie J.","non-dropping-particle":"","parse-names":false,"suffix":""},{"dropping-particle":"","family":"Gray","given":"Laura J.","non-dropping-particle":"","parse-names":false,"suffix":""},{"dropping-particle":"","family":"Troughton","given":"Jacqui","non-dropping-particle":"","parse-names":false,"suffix":""},{"dropping-particle":"","family":"Gray","given":"Alastair","non-dropping-particle":"","parse-names":false,"suffix":""},{"dropping-particle":"","family":"Tuomilehto","given":"Jaakko","non-dropping-particle":"","parse-names":false,"suffix":""},{"dropping-particle":"","family":"Farooqi","given":"Azhar","non-dropping-particle":"","parse-names":false,"suffix":""},{"dropping-particle":"","family":"Khunti","given":"Kamlesh","non-dropping-particle":"","parse-names":false,"suffix":""},{"dropping-particle":"","family":"Yates","given":"Thomas","non-dropping-particle":"","parse-names":false,"suffix":""},{"dropping-particle":"","family":"Bancroft","given":"Mary","non-dropping-particle":"","parse-names":false,"suffix":""},{"dropping-particle":"","family":"Ahrabian","given":"Dariush","non-dropping-particle":"","parse-names":false,"suffix":""},{"dropping-particle":"","family":"Cowling","given":"Pauline","non-dropping-particle":"","parse-names":false,"suffix":""},{"dropping-particle":"","family":"Greaves","given":"Colin","non-dropping-particle":"","parse-names":false,"suffix":""},{"dropping-particle":"","family":"Sheppard","given":"David","non-dropping-particle":"","parse-names":false,"suffix":""},{"dropping-particle":"","family":"Leal","given":"Jose","non-dropping-particle":"","parse-names":false,"suffix":""},{"dropping-particle":"","family":"Abrams","given":"Keith","non-dropping-particle":"","parse-names":false,"suffix":""},{"dropping-particle":"","family":"Bodicoat","given":"Danielle","non-dropping-particle":"","parse-names":false,"suffix":""},{"dropping-particle":"","family":"Carter","given":"Patrice","non-dropping-particle":"","parse-names":false,"suffix":""},{"dropping-particle":"","family":"Dunkley","given":"Alison","non-dropping-particle":"","parse-names":false,"suffix":""},{"dropping-particle":"","family":"Patel","given":"Naina","non-dropping-particle":"","parse-names":false,"suffix":""},{"dropping-particle":"","family":"Russell","given":"Clare","non-dropping-particle":"","parse-names":false,"suffix":""},{"dropping-particle":"","family":"Horne","given":"Rosie","non-dropping-particle":"","parse-names":false,"suffix":""},{"dropping-particle":"","family":"Spong","given":"Rebecca","non-dropping-particle":"","parse-names":false,"suffix":""},{"dropping-particle":"","family":"Stone","given":"Margaret","non-dropping-particle":"","parse-names":false,"suffix":""},{"dropping-particle":"","family":"Taub","given":"Nick","non-dropping-particle":"","parse-names":false,"suffix":""},{"dropping-particle":"","family":"Webb","given":"David","non-dropping-particle":"","parse-names":false,"suffix":""},{"dropping-particle":"","family":"Amin","given":"Sayjal","non-dropping-particle":"","parse-names":false,"suffix":""},{"dropping-particle":"","family":"Barnett","given":"Janette","non-dropping-particle":"","parse-names":false,"suffix":""},{"dropping-particle":"","family":"Berkeley","given":"Hannah","non-dropping-particle":"","parse-names":false,"suffix":""},{"dropping-particle":"","family":"Bonar","given":"Michael","non-dropping-particle":"","parse-names":false,"suffix":""},{"dropping-particle":"","family":"Boyles","given":"Louise","non-dropping-particle":"","parse-names":false,"suffix":""},{"dropping-particle":"","family":"Bray","given":"Paul","non-dropping-particle":"","parse-names":false,"suffix":""},{"dropping-particle":"","family":"Cairns","given":"Nichola","non-dropping-particle":"","parse-names":false,"suffix":""},{"dropping-particle":"","family":"Campbell","given":"Sandra","non-dropping-particle":"","parse-names":false,"suffix":""},{"dropping-particle":"","family":"Carey","given":"Marian","non-dropping-particle":"","parse-names":false,"suffix":""},{"dropping-particle":"","family":"Chatterjee","given":"Sudesna","non-dropping-particle":"","parse-names":false,"suffix":""},{"dropping-particle":"","family":"Currie","given":"Carolyn","non-dropping-particle":"","parse-names":false,"suffix":""},{"dropping-particle":"","family":"Daly","given":"Heather","non-dropping-particle":"","parse-names":false,"suffix":""},{"dropping-particle":"","family":"Enright","given":"Sue","non-dropping-particle":"","parse-names":false,"suffix":""},{"dropping-particle":"","family":"Goldby","given":"Stephanie","non-dropping-particle":"","parse-names":false,"suffix":""},{"dropping-particle":"","family":"Gray","given":"Geri","non-dropping-particle":"","parse-names":false,"suffix":""},{"dropping-particle":"","family":"Henson","given":"Joe","non-dropping-particle":"","parse-names":false,"suffix":""},{"dropping-particle":"","family":"Hiles","given":"Stephen","non-dropping-particle":"","parse-names":false,"suffix":""},{"dropping-particle":"","family":"Hill","given":"Sian","non-dropping-particle":"","parse-names":false,"suffix":""},{"dropping-particle":"","family":"Hill","given":"Jayne","non-dropping-particle":"","parse-names":false,"suffix":""},{"dropping-particle":"","family":"Holdsworth","given":"Hannah","non-dropping-particle":"","parse-names":false,"suffix":""},{"dropping-particle":"","family":"Htike","given":"Zin Zin","non-dropping-particle":"","parse-names":false,"suffix":""},{"dropping-particle":"","family":"Jamal","given":"Shenaz","non-dropping-particle":"","parse-names":false,"suffix":""},{"dropping-particle":"","family":"Jarvis","given":"Janet","non-dropping-particle":"","parse-names":false,"suffix":""},{"dropping-particle":"","family":"Johnson","given":"Carolyn","non-dropping-particle":"","parse-names":false,"suffix":""},{"dropping-particle":"","family":"Jones","given":"Janet","non-dropping-particle":"","parse-names":false,"suffix":""},{"dropping-particle":"","family":"Jones","given":"Kenneth","non-dropping-particle":"","parse-names":false,"suffix":""},{"dropping-particle":"","family":"Khan","given":"Sabera","non-dropping-particle":"","parse-names":false,"suffix":""},{"dropping-particle":"","family":"Khulpateea","given":"Anita","non-dropping-particle":"","parse-names":false,"suffix":""},{"dropping-particle":"","family":"Leonard","given":"Judith","non-dropping-particle":"","parse-names":false,"suffix":""},{"dropping-particle":"","family":"Mani","given":"Hamidreza","non-dropping-particle":"","parse-names":false,"suffix":""},{"dropping-particle":"","family":"Martin-Stacey","given":"Lorraine","non-dropping-particle":"","parse-names":false,"suffix":""},{"dropping-particle":"","family":"Morgan","given":"Val","non-dropping-particle":"","parse-names":false,"suffix":""},{"dropping-particle":"","family":"Morris","given":"Frances","non-dropping-particle":"","parse-names":false,"suffix":""},{"dropping-particle":"","family":"Mostafa","given":"Samiul","non-dropping-particle":"","parse-names":false,"suffix":""},{"dropping-particle":"","family":"Northern","given":"Alison","non-dropping-particle":"","parse-names":false,"suffix":""},{"dropping-particle":"","family":"O'Brien","given":"Kayleigh","non-dropping-particle":"","parse-names":false,"suffix":""},{"dropping-particle":"","family":"Patel","given":"Hersha","non-dropping-particle":"","parse-names":false,"suffix":""},{"dropping-particle":"","family":"Plummer","given":"Rachel","non-dropping-particle":"","parse-names":false,"suffix":""},{"dropping-particle":"","family":"Porter","given":"Sheila","non-dropping-particle":"","parse-names":false,"suffix":""},{"dropping-particle":"","family":"Radia","given":"Mo","non-dropping-particle":"","parse-names":false,"suffix":""},{"dropping-particle":"","family":"Realf","given":"Kathryn","non-dropping-particle":"","parse-names":false,"suffix":""},{"dropping-particle":"","family":"Richmond","given":"Dean","non-dropping-particle":"","parse-names":false,"suffix":""},{"dropping-particle":"","family":"Saker","given":"Rebecca","non-dropping-particle":"","parse-names":false,"suffix":""},{"dropping-particle":"","family":"Sennet","given":"Jane","non-dropping-particle":"","parse-names":false,"suffix":""},{"dropping-particle":"","family":"Stribling","given":"Bernie","non-dropping-particle":"","parse-names":false,"suffix":""},{"dropping-particle":"","family":"Wilmott","given":"Emma","non-dropping-particle":"","parse-names":false,"suffix":""},{"dropping-particle":"","family":"Wilson","given":"Carolina","non-dropping-particle":"","parse-names":false,"suffix":""},{"dropping-particle":"","family":"Wilson","given":"Panna","non-dropping-particle":"","parse-names":false,"suffix":""}],"container-title":"Preventive Medicine","id":"ITEM-2","issued":{"date-parts":[["2016"]]},"page":"48-56","publisher":"Elsevier Inc.","title":"A community based primary prevention programme for type 2 diabetes integrating identification and lifestyle intervention for prevention: the let's prevent diabetes cluster randomised controlled trial","type":"article-journal","volume":"84"},"uris":["http://www.mendeley.com/documents/?uuid=98ec8943-e639-4c92-bc3b-a80a3889c377"]},{"id":"ITEM-3","itemData":{"DOI":"10.1016/j.amepre.2012.12.015","ISBN":"1873-2607 (Electronic)\\r0749-3797 (Linking)","ISSN":"18732607","PMID":"23498294","abstract":"Background: Since the Diabetes Prevention Project (DPP) demonstrated that lifestyle weight-loss interventions can reduce the incidence of diabetes by 58%, several studies have translated the DPP methods to public health - friendly contexts. Although these studies have demonstrated short-term effects, no study to date has examined the impact of a translated DPP intervention on blood glucose and adiposity beyond 12 months of follow-up. Purpose: To examine the impact of a 24-month, community-based diabetes prevention program on fasting blood glucose, insulin, insulin resistance as well as body weight, waist circumference, and BMI in the second year of follow-up. Design: An RCT comparing a 24-month lifestyle weight-loss program (LWL) to an enhanced usual care condition (UCC) in participants with prediabetes (fasting blood glucose = 95 - 125 mg/dL). Data were collected in 2007-2011; analyses were conducted in 2011-2012. Setting/participants: 301 participants with prediabetes were randomized; 261 completed the study. The intervention was held in community-based sites. Intervention: The LWL program was led by community health workers and sought to induce 7% weight loss at 6 months that would be maintained over time through decreased caloric intake and increased physical activity. The UCC received two visits with a registered dietitian and a monthly newsletter. Main outcome measures: The main measures were fasting blood glucose, insulin, insulin resistance, body weight, waist circumference, and BMI. Results: Intent-to-treat analyses of between-group differences in the average of 18- and 24-month measures of outcomes (controlling for baseline values) revealed that the LWL participants experienced greater decreases in fasting glucose (- 4.35 mg/dL); insulin (- 3.01 μU/ml); insulin resistance (- 0.97); body weight (- 4.19 kg); waist circumference (- 3.23 cm); and BMI (- 1.40), allp-values &lt;0.01. Conclusions: A diabetes prevention program administered through an existing community-based system and delivered by community health workers is effective at inducing significant long-term reductions in metabolic indicators and adiposity. © 2013 American Journal of Preventive Medicine.","author":[{"dropping-particle":"","family":"Katula","given":"Jeffrey A.","non-dropping-particle":"","parse-names":false,"suffix":""},{"dropping-particle":"","family":"Vitolins","given":"Mara Z.","non-dropping-particle":"","parse-names":false,"suffix":""},{"dropping-particle":"","family":"Morgan","given":"Timothy M.","non-dropping-particle":"","parse-names":false,"suffix":""},{"dropping-particle":"","family":"Lawlor","given":"Michael S.","non-dropping-particle":"","parse-names":false,"suffix":""},{"dropping-particle":"","family":"Blackwell","given":"Caroline S.","non-dropping-particle":"","parse-names":false,"suffix":""},{"dropping-particle":"","family":"Isom","given":"Scott P.","non-dropping-particle":"","parse-names":false,"suffix":""},{"dropping-particle":"","family":"Pedley","given":"Carolyn F.","non-dropping-particle":"","parse-names":false,"suffix":""},{"dropping-particle":"","family":"Goff","given":"David C.","non-dropping-particle":"","parse-names":false,"suffix":""}],"container-title":"American Journal of Preventive Medicine","id":"ITEM-3","issue":"4S4","issued":{"date-parts":[["2013"]]},"page":"S324-S332","publisher":"Elsevier Inc.","title":"The healthy living partnerships to prevent diabetes study: 2-year outcomes of a randomized controlled trial","type":"article-journal","volume":"44"},"uris":["http://www.mendeley.com/documents/?uuid=622c5a69-cd33-454b-a85e-af4bc359d8a1"]},{"id":"ITEM-4","itemData":{"DOI":"10.2337/dc08-2141","ISSN":"01495992","PMID":"19509014","abstract":"OBJECTIVE: To evaluate the efficacy of the group program PREDIAS for diabetes prevention.\\n\\nRESEARCH DESIGN AND METHODS: PREDIAS consists of 12 lessons and aims at lifestyle modification. The control group received written information about diabetes prevention. In this study, a total of 182 persons with an elevated diabetes risk participated (aged 56.3 +/- 10.1 years, 43% female, and BMI 31.5 +/- 5.3 kg/m(2)).\\n\\nRESULTS: After 12 months, weight loss was significantly higher (P = 0.001) in PREDIAS than in the control group (-3.8 +/- 5.2 vs. -1.4 +/- 4.09 kg). There were also significant effects (P = 0.001) on fasting glucose (control group 1.8 +/- 13.1 mg/dl vs. PREDIAS -4.3 +/- 11.3 mg/dl), duration of physical activity per week (control group 17.9 +/- 63.8 min vs. PREDIAS 46.6 +/- 95.5 min; P = 0.03), and eating behavior.\\n\\nCONCLUSIONS: PREDIAS significantly modified lifestyle factors associated with an elevated diabetes risk.","author":[{"dropping-particle":"","family":"Kulzer","given":"Bernhard","non-dropping-particle":"","parse-names":false,"suffix":""},{"dropping-particle":"","family":"Hermanns","given":"Norbert","non-dropping-particle":"","parse-names":false,"suffix":""},{"dropping-particle":"","family":"Gorges","given":"Daniela","non-dropping-particle":"","parse-names":false,"suffix":""},{"dropping-particle":"","family":"Schwarz","given":"Peter","non-dropping-particle":"","parse-names":false,"suffix":""},{"dropping-particle":"","family":"Haak","given":"Thomas","non-dropping-particle":"","parse-names":false,"suffix":""}],"container-title":"Diabetes Care","id":"ITEM-4","issue":"7","issued":{"date-parts":[["2009"]]},"page":"1143-1146","title":"Prevention of diabetes self-management program (PREDIAS): effects on weight, metabolic risk factors, and behavioral outcomes","type":"article-journal","volume":"32"},"uris":["http://www.mendeley.com/documents/?uuid=df2278a0-0ae5-40ab-bc80-f2e143b41d86"]},{"id":"ITEM-5","itemData":{"DOI":"10.2105/AJPH.2015.303035","ISBN":"0090-0036","ISSN":"15410048","PMID":"26890171","abstract":"OBJECTIVES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Health","id":"ITEM-5","issue":"5","issued":{"date-parts":[["2016"]]},"page":"949-956","title":"Comparison of commercial and self-initiated weight loss programs in people with prediabetes: a randomized control trial","type":"article-journal","volume":"106"},"uris":["http://www.mendeley.com/documents/?uuid=e4e3235a-a86a-4b63-ad04-9e4c2402dc1e"]},{"id":"ITEM-6","itemData":{"DOI":"10.1186/1472-6882-14-212","ISBN":"1472-6882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Medicine","id":"ITEM-6","issue":"1","issued":{"date-parts":[["2014"]]},"page":"212","title":"A yoga intervention for type 2 diabetes risk reduction: a pilot randomized controlled trial","type":"article-journal","volume":"14"},"uris":["http://www.mendeley.com/documents/?uuid=934d80fb-c55d-4626-908a-2ca578b57990"]},{"id":"ITEM-7","itemData":{"DOI":"10.1080/08870440903548749","ISBN":"0887044090354","ISSN":"0887-0446","PMID":"20945253","abstract":"This study was a randomised control trial with a waiting control group. It was designed to evaluate the effectiveness of a 6-month, group-based diabetes prevention programme, The Healthy Living Course and assess whether participation in the programme led to changes in modifiable risk factors for type 2 diabetes among an already at-risk pre-diabetic population. Individuals designated at risk for diabetes by their general practitioners (GPs) were screened using an Oral Glucose Tolerance Test. Volunteers (N = 307) with pre-diabetes were assigned to an intervention or wait-control group in the ratio of approximately 2 : 1. The sample was pre-tested on biochemical, anthropometric and self-report behavioural, cognitive and mood variables and post-tested either at the end of the educational/support-based lifestyle programme or the end of the wait period. The intervention group significantly improved their diabetes knowledge, motivation to change, positive affect, healthy eating and activity levels and showed significantly greater reductions in weight, body mass index, waist circumference, diastolic blood pressure and fasting plasma glucose in comparison with controls. The intervention group also changed their diagnostic status from pre-diabetes to non-diabetes at a greater rate than the wait group (43% vs. 26%) who received standard care from their GPs.","author":[{"dropping-particle":"","family":"Moore","given":"Susan M.","non-dropping-particle":"","parse-names":false,"suffix":""},{"dropping-particle":"","family":"Hardie","given":"Elizabeth A.","non-dropping-particle":"","parse-names":false,"suffix":""},{"dropping-particle":"","family":"Hackworth","given":"Naomi J.","non-dropping-particle":"","parse-names":false,"suffix":""},{"dropping-particle":"","family":"Critchley","given":"Christine R.","non-dropping-particle":"","parse-names":false,"suffix":""},{"dropping-particle":"","family":"Kyrios","given":"Michael","non-dropping-particle":"","parse-names":false,"suffix":""},{"dropping-particle":"","family":"Buzwell","given":"Simone A.","non-dropping-particle":"","parse-names":false,"suffix":""},{"dropping-particle":"","family":"Crafti","given":"Naomi A.","non-dropping-particle":"","parse-names":false,"suffix":""}],"container-title":"Psychology &amp; Health","id":"ITEM-7","issue":"4","issued":{"date-parts":[["2011"]]},"page":"485-499","title":"Can the onset of type 2 diabetes be delayed by a group-based lifestyle intervention? a randomised control trial","type":"article-journal","volume":"26"},"uris":["http://www.mendeley.com/documents/?uuid=f731fbbd-3174-40ae-b00f-158e50237e1f"]},{"id":"ITEM-8","itemData":{"DOI":"10.2105/AJPH.2011.300357","ISBN":"1541-0048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Health","id":"ITEM-8","issue":"2","issued":{"date-parts":[["2012"]]},"page":"336-342","title":"Outcomes of a Latino community-based intervention for the prevention of diabetes: the lawrence Latino diabetes prevention project","type":"article-journal","volume":"102"},"uris":["http://www.mendeley.com/documents/?uuid=6b9cb080-dc52-4e71-a5c6-bb5e3c90945b"]},{"id":"ITEM-9","itemData":{"DOI":"10.1186/1471-2458-11-40","ISBN":"1471-2458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health","id":"ITEM-9","issue":"1","issued":{"date-parts":[["2011"]]},"page":"40","title":"Prevention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tolerance","type":"article-journal","volume":"11"},"uris":["http://www.mendeley.com/documents/?uuid=19b949f0-5835-408a-87b0-6bbcfceadb30"]},{"id":"ITEM-10","itemData":{"DOI":"10.2337/dc09-0130.","ISBN":"0149-5992","ISSN":"1935-5548","PMID":"19602539","abstract":"OBJECTIVE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care","id":"ITEM-10","issued":{"date-parts":[["2009"]]},"page":"1404-10","title":"Effectiveness of a pragmatic education program designed to promote walking activity in individuals with impaired glucose tolerance","type":"article-journal","volume":"32"},"uris":["http://www.mendeley.com/documents/?uuid=f022eff7-34b4-4911-8936-eba8ff61941e"]},{"id":"ITEM-11","itemData":{"ISBN":"00900036","ISSN":"00900036","PMID":"52016494","abstract":"Objectives.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Health","id":"ITEM-11","issued":{"date-parts":[["2010"]]},"page":"232-39","title":"Results of a pilot diabetes prevention intervention in East Harlem, New York city: project HEED","type":"article-journal","volume":"100"},"uris":["http://www.mendeley.com/documents/?uuid=6ca00620-5eb7-44be-86f5-e0fe0414de89"]},{"id":"ITEM-12","itemData":{"DOI":"10.1097/JNR.0000000000000193","ISBN":"0000000000000","ISSN":"1948965X","PMID":"28277390","abstract":"BACKGROUND: Practicing a health-promoting lifestyle is believed to be effective for delaying or preventing the onset of diabetes. However, although empowerment interventions have proven effective for encouraging the adoption of a health-promoting lifestyle in people with diabetes, these interventions are rarely promoted to people with prediabetes. PURPOSE: The aims of this study were to develop an empowerment program for people with prediabetes and to examine its efficacy in terms of the adoption of a health-promoting lifestyle and improvements in blood sugar, body mass index, and self-efficacy. METHODS: A randomized controlled trial was conducted between May and December 2013. A convenience sample of people with a fasting blood sugar level of 100-125 mg/dl during the previous 3 months was recruited from the health examination center of a hospital in Kaohsiung, Taiwan. Participants were assigned to either the experimental group or the control group using block randomization with a block size of 8. The experimental group (n = 38) participated in a 4-month empowerment program (the ABC empowerment program), which encouraged participants to practice a health-promoting lifestyle in three phases: awareness raising, behavior building, and results checking. The control group (n = 40) received routine clinical care. Statistical analyses included descriptive statistics, independent t test, paired t test, and generalized estimated equations. RESULTS: After controlling for the differences at baseline and considering the interaction between group and time from baseline to 1 week and 3 months after completing the intervention, the generalized estimating equation showed significantly larger improvements in a health-promoting lifestyle, blood sugar, and self-efficacy in the experimental group than in the control group (p &lt; .01). Furthermore, the experimental group achieved a larger reduction in body mass index than the control group at 3 months after completing the intervention (p = .001). CONCLUSIONS/IMPLICATIONS FOR PRACTICE: The empowerment program was shown to have short-term, positive effects on behavioral, physical, and psychosocial outcomes in a Taiwan population with prediabetes. The results of this study provide a useful reference not only for healthcare personnel when implementing empowerment interventions in people with prediabetes but also for nursing educators and healthcare policymakers.","author":[{"dropping-particle":"","family":"Chen","given":"Mei Fang","non-dropping-particle":"","parse-names":false,"suffix":""},{"dropping-particle":"","family":"Hung","given":"Shu Ling","non-dropping-particle":"","parse-names":false,"suffix":""},{"dropping-particle":"","family":"Chen","given":"Shu Lin","non-dropping-particle":"","parse-names":false,"suffix":""}],"container-title":"Journal of Nursing Research","id":"ITEM-12","issue":"2","issued":{"date-parts":[["2017"]]},"page":"99-111","title":"Empowerment program for people with prediabetes: a randomized controlled trial","type":"article-journal","volume":"25"},"uris":["http://www.mendeley.com/documents/?uuid=84db263a-a050-4be7-82d7-ef051548507b"]},{"id":"ITEM-13","itemData":{"DOI":"10.1038/nutd.2017.21","ISSN":"20444052","PMID":"28481335","abstract":"BACKGROUND/OBJECTIVES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Diabetes","id":"ITEM-13","issue":"5","issued":{"date-parts":[["2017"]]},"publisher":"Nature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trial","type":"article-journal","volume":"7"},"uris":["http://www.mendeley.com/documents/?uuid=ba6a8911-5dde-419e-ad66-d3475db4b9ce","http://www.mendeley.com/documents/?uuid=a87e0ac4-eae2-41ac-9726-364be8e5c4e8"]}],"mendeley":{"formattedCitation":"(Bernstein, A.M., Gendy, G., Rudd, N., Doyle, J., Fay, S., Moffett, K., 2014; M. F. Chen et al., 2017; Davies et al., 2016; Duijzer et al., 2017; Katula et al., 2013; Kulzer et al., 2009; Marrero et al., 2016; McDermott et al., 2014; Moore et al., 2011; Ockene et al., 2012; Parikh et al., 2010; Sakane et al., 2011; Yates et al., 2009)","manualFormatting":"(Bernstein, Gendy, Rudd, Doyle, Fay, Moffett, 2014; Chen et al., 2017; Davies et al., 2016; Duijzer et al., 2017; Katula et al., 2013; Kulzer et al., 2009; Marrero et al., 2016; McDermott et al., 2014; Moore et al., 2011; Ockene et al., 2012; Parikh et al., 2010; Sakane et al., 2011; Yates, Davies, Gorley, Bull, &amp; Khunti, 2009)","plainTextFormattedCitation":"(Bernstein, A.M., Gendy, G., Rudd, N., Doyle, J., Fay, S., Moffett, K., 2014; M. F. Chen et al., 2017; Davies et al., 2016; Duijzer et al., 2017; Katula et al., 2013; Kulzer et al., 2009; Marrero et al., 2016; McDermott et al., 2014; Moore et al., 2011; Ockene et al., 2012; Parikh et al., 2010; Sakane et al., 2011; Yates et al., 2009)","previouslyFormattedCitation":"(Bernstein, A.M., Gendy, G., Rudd, N., Doyle, J., Fay, S., Moffett, K., 2014; M. F. Chen et al., 2017; Davies et al., 2016; Duijzer et al., 2017; Katula et al., 2013; Kulzer et al., 2009; Marrero et al., 2016; McDermott et al., 2014; Moore et al., 2011; Ockene et al., 2012; Parikh et al., 2010; Sakane et al., 2011;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(Bernstein, Gendy, Rudd, Doyle, Fay, Moffett, 2014; Chen et al., 2017; Davies et al., 2016; Duijzer et al., 2017; Katula et al., 2013; Kulzer et al., 2009; Marrero et al., 2016; McDermott et al., 2014; Moore et al., 2011; Ockene et al., 2012; Parikh et al., 2010; Sakane et al., 2011; Yates, Davies, Gorley, Bull, &amp; Khunti, 2009)</w:t>
      </w:r>
      <w:r w:rsidRPr="00103A0B">
        <w:rPr>
          <w:rFonts w:ascii="Arial" w:hAnsi="Arial" w:cs="Arial"/>
        </w:rPr>
        <w:fldChar w:fldCharType="end"/>
      </w:r>
      <w:r w:rsidRPr="00103A0B">
        <w:rPr>
          <w:rFonts w:ascii="Arial" w:eastAsia="Times New Roman" w:hAnsi="Arial" w:cs="Arial"/>
          <w:sz w:val="24"/>
          <w:szCs w:val="24"/>
          <w:lang w:eastAsia="en-GB"/>
        </w:rPr>
        <w:t xml:space="preserve">, eight were cohort (one group pre + post (before and after)) </w:t>
      </w:r>
      <w:r w:rsidRPr="00103A0B">
        <w:rPr>
          <w:rFonts w:ascii="Arial" w:hAnsi="Arial" w:cs="Arial"/>
        </w:rPr>
        <w:fldChar w:fldCharType="begin" w:fldLock="1"/>
      </w:r>
      <w:r w:rsidR="007C3391" w:rsidRPr="00103A0B">
        <w:rPr>
          <w:rFonts w:ascii="Arial" w:eastAsia="Times New Roman" w:hAnsi="Arial" w:cs="Arial"/>
          <w:sz w:val="24"/>
          <w:szCs w:val="24"/>
          <w:lang w:eastAsia="en-GB"/>
        </w:rPr>
        <w:instrText>ADDIN CSL_CITATION {"citationItems":[{"id":"ITEM-1","itemData":{"author":[{"dropping-particle":"","family":"Davis-Smith","given":"Monique","non-dropping-particle":"","parse-names":false,"suffix":""}],"container-title":"Journal of the National Medical Association","id":"ITEM-1","issue":"4","issued":{"date-parts":[["2007"]]},"page":"440-47","title":"Implementing a diabetes prevention program in a rural African-American church","type":"article-journal","volume":"99"},"uris":["http://www.mendeley.com/documents/?uuid=0ddb0a52-0cf9-48e8-a66c-340f5fa47213"]},{"id":"ITEM-2","itemData":{"DOI":"10.2337/dc12-1250","ISBN":"0149-5992\\r1935-5548","ISSN":"01495992","PMID":"23275375","abstract":"OBJECTIVE: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Care","id":"ITEM-2","issue":"7","issued":{"date-parts":[["2013"]]},"page":"2027-2034","title":"Translating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project","type":"article-journal","volume":"36"},"uris":["http://www.mendeley.com/documents/?uuid=6fb8d6ab-39ae-48b6-b78a-5dcf85b9cf0a"]},{"id":"ITEM-3","itemData":{"DOI":"10.1186/1471-2458-7-249","ISBN":"1471-2458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Health","id":"ITEM-3","issue":"249","issued":{"date-parts":[["2007"]]},"title":"Prevention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-4","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Medicine","id":"ITEM-4","issue":"4","issued":{"date-parts":[["2010"]]},"page":"459-465","title":"Implementation and effectiveness of the first community lifestyle intervention programme to prevent type 2 diabetes in Greece. The DE-PLAN study","type":"article-journal","volume":"27"},"uris":["http://www.mendeley.com/documents/?uuid=8fa5f81f-3e37-4e03-be5f-801dcd969a98"]},{"id":"ITEM-5","itemData":{"DOI":"10.1097/jnr.0000000000000225","ISSN":"1682-3141","abstract":"Background: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Research","id":"ITEM-5","issue":"3","issued":{"date-parts":[["2018"]]},"note":"Accession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mellitus.","type":"article-journal","volume":"26"},"uris":["http://www.mendeley.com/documents/?uuid=7921dfb5-19a6-4219-b142-8d615dab9ad0"]},{"id":"ITEM-6","itemData":{"DOI":"10.1093/tbm/ibx064","ISSN":"1613-9860","abstract":"The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Medicine","id":"ITEM-6","issue":"2","issued":{"date-parts":[["2018"]]},"note":"Accession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illness.","type":"article-journal","volume":"8"},"uris":["http://www.mendeley.com/documents/?uuid=25ddcc05-70f1-4333-9e99-b9d202b84d0d"]},{"id":"ITEM-7","itemData":{"DOI":"10.1186/s12889-017-4977-1","ISSN":"1471-2458","abstract":"Background: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Health","id":"ITEM-7","issue":"97","issued":{"date-parts":[["2018"]]},"note":"Accession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id":"ITEM-8","itemData":{"author":[{"dropping-particle":"","family":"Alva","given":"M.L.","non-dropping-particle":"","parse-names":false,"suffix":""}],"container-title":"American Journal of Health Promotion","id":"ITEM-8","issue":"7","issued":{"date-parts":[["2019"]]},"page":"1067-72","title":"How much does attendance impact weight loss and health care spending in a diabetes prevention program serving older adults?","type":"article-journal","volume":"33"},"uris":["http://www.mendeley.com/documents/?uuid=f1207552-91e1-416b-bc68-b0587dd06592"]}],"mendeley":{"formattedCitation":"(Alva, 2019b; Davis-Smith, 2007; Gilis-Januszewska, Piwońska-Solska, et al., 2018; Jiang et al., 2013; Laatikainen et al., 2007; Makrilakis et al., 2010; Quiñones et al., 2018; Tsai et al., 2018)","manualFormatting":"(Alva, 2019; Davis-Smith, 2007; Gilis-Januszewska, Piwońska-Solska, et al., 2018; Jiang et al., 2013; Laatikainen et al., 2007; Makrilakis et al., 2010; Quiñones et al., 2018; Tsai et al., 2018)","plainTextFormattedCitation":"(Alva, 2019b; Davis-Smith, 2007; Gilis-Januszewska, Piwońska-Solska, et al., 2018; Jiang et al., 2013; Laatikainen et al., 2007; Makrilakis et al., 2010; Quiñones et al., 2018; Tsai et al., 2018)","previouslyFormattedCitation":"(Alva, 2019b; Davis-Smith, 2007; Gilis-Januszewska, Piwońska-Solska, et al., 2018; Jiang et al., 2013; Laatikainen et al., 2007; Makrilakis et al., 2010; Quiñones et al., 2018; Tsai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445FC8" w:rsidRPr="00103A0B">
        <w:rPr>
          <w:rFonts w:ascii="Arial" w:eastAsia="Times New Roman" w:hAnsi="Arial" w:cs="Arial"/>
          <w:noProof/>
          <w:sz w:val="24"/>
          <w:szCs w:val="24"/>
          <w:lang w:eastAsia="en-GB"/>
        </w:rPr>
        <w:t>(Alva, 2019; Davis-Smith, 2007; Gilis-Januszewska, Piwońska-Solska, et al., 2018; Jiang et al., 2013; Laatikainen et al., 2007; Makrilakis et al., 2010; Quiñones et al., 2018; Tsai et al., 2018)</w:t>
      </w:r>
      <w:r w:rsidRPr="00103A0B">
        <w:rPr>
          <w:rFonts w:ascii="Arial" w:hAnsi="Arial" w:cs="Arial"/>
        </w:rPr>
        <w:fldChar w:fldCharType="end"/>
      </w:r>
      <w:r w:rsidRPr="00103A0B">
        <w:rPr>
          <w:rFonts w:ascii="Arial" w:hAnsi="Arial" w:cs="Arial"/>
        </w:rPr>
        <w:t xml:space="preserve">, </w:t>
      </w:r>
      <w:r w:rsidRPr="00103A0B">
        <w:rPr>
          <w:rFonts w:ascii="Arial" w:eastAsia="Times New Roman" w:hAnsi="Arial" w:cs="Arial"/>
          <w:sz w:val="24"/>
          <w:szCs w:val="24"/>
          <w:lang w:eastAsia="en-GB"/>
        </w:rPr>
        <w:t xml:space="preserve">six were cohort analytic (two group pre + post) </w:t>
      </w:r>
      <w:r w:rsidRPr="00103A0B">
        <w:rPr>
          <w:rFonts w:ascii="Arial" w:hAnsi="Arial" w:cs="Arial"/>
        </w:rPr>
        <w:fldChar w:fldCharType="begin" w:fldLock="1"/>
      </w:r>
      <w:r w:rsidR="00810F86"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Association","id":"ITEM-2","issue":"3","issued":{"date-parts":[["2011"]]},"page":"194-202","title":"Translation of the national institutes of health diabetes prevention program in African American churches","type":"article-journal","volume":"103"},"uris":["http://www.mendeley.com/documents/?uuid=9a9d913a-7043-4df3-a05c-f50fa2ed8eff"]},{"id":"ITEM-3","itemData":{"DOI":"10.1371/journal.pone.0146095","ISBN":"1932-6203","ISSN":"1932-6203","PMID":"26731676","abstract":"In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One","id":"ITEM-3","issue":"1","issued":{"date-parts":[["2016"]]},"page":"e0146095","title":"Long-term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island","type":"article-journal","volume":"11"},"uris":["http://www.mendeley.com/documents/?uuid=e072a9e3-f17a-48e3-98af-f3db4a1c8ee3"]},{"id":"ITEM-4","itemData":{"DOI":"10.2337/dc08-0152.","author":[{"dropping-particle":"","family":"Payne WR, Walsh KJ., Harvey JT, Livy MF, Mckenzie KJ, Donaldson A","given":"et al.","non-dropping-particle":"","parse-names":false,"suffix":""}],"container-title":"Diabetes Care","id":"ITEM-4","issued":{"date-parts":[["2008"]]},"page":"2244-50","title":"Effect of a low–resource-intensive lifestyle modification program incorporating gymnasium-based and home-based resistance training on type 2 diabetes risk in Australian adults","type":"article-journal","volume":"31"},"uris":["http://www.mendeley.com/documents/?uuid=94025970-6bd0-4bcf-89d4-48f46a796268"]},{"id":"ITEM-5","itemData":{"DOI":"10.1186/s12875-017-0671-8","ISSN":"1471-2296","abstract":"Background: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Practice","id":"ITEM-5","issue":"1","issued":{"date-parts":[["2017"]]},"note":"Accession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study.","type":"article-journal","volume":"18"},"uris":["http://www.mendeley.com/documents/?uuid=0c5adc52-ca11-4f07-80d4-bf37e6cec46f"]},{"id":"ITEM-6","itemData":{"DOI":"10.1016/j.amepre.2016.11.009","ISBN":"0749-3797 1873-2607","ISSN":"18732607","PMID":"28094135","abstract":"Introduction This clinical demonstration trial compared the effectiveness of the Veterans Affairs Diabetes Prevention Program (VA-DPP) with an evidence-based usual care weight management program (MOVE!®) in the Veterans Health Administration health system. Design Prospective, pragmatic, non-randomized comparative effectiveness study of two behavioral weight management interventions. Setting/participants Obese/overweight Veterans with prediabetes were recruited from three geographically diverse VA sites between 2012 and 2014. Intervention VA-DPP included 22 group-based intensive lifestyle change sessions. Main outcome measures Weight change at 6 and 12 months, hemoglobin A1c (HbA1c) at 12 months, and VA health expenditure changes at 15 months were assessed using VA electronic health record and claims data. Between- and within-group comparisons for weight and HbA1c were done using linear mixed-effects models controlling for age, gender, race/ethnicity, baseline outcome values, and site. Analyses were conducted in 2015–2016. Results A total of 387 participants enrolled (273 VA-DPP, 114 MOVE!). More VA-DPP participants completed at least one (73.3% VA-DPP vs 57.5% MOVE! p=0.002); four (57.5% VA-DPP vs 42.5% MOVE!, p=0.007); and eight or more sessions (42.5% VA-DPP vs 31% MOVE!, p=0.035). Weight loss from baseline was significant at both 6 (p&lt;0.001) and 12 months (p&lt;0.001) for VA-DPP participants, but only significant at 6 months for MOVE! participants (p=0.004). Between groups, there were significant differences in 6-month weight loss (–4.1 kg VA-DPP vs –1.9 kg MOVE!, p&lt;0.001), but not 12-month weight loss (–3.4 kg VA-DPP vs –2.0 kg MOVE!, p=0.16). There were no significant differences in HbA1c change or outpatient, inpatient, and total VA expenditures. Conclusions VA-DPP participants had higher participation rates and weight loss at 6 months, but similar weight, HbA1c, and health expenditures at 12 months compared to MOVE! participants. Features of VA-DPP may help enhance the capability of MOVE! to reach a larger proportion of the served population and promote individual-level weight maintenance.","author":[{"dropping-particle":"","family":"Moin","given":"Tannaz","non-dropping-particle":"","parse-names":false,"suffix":""},{"dropping-particle":"","family":"Damschroder","given":"Laura J.","non-dropping-particle":"","parse-names":false,"suffix":""},{"dropping-particle":"","family":"AuYoung","given":"Mona","non-dropping-particle":"","parse-names":false,"suffix":""},{"dropping-particle":"","family":"Maciejewski","given":"Matthew L.","non-dropping-particle":"","parse-names":false,"suffix":""},{"dropping-particle":"","family":"Datta","given":"Santanu K.","non-dropping-particle":"","parse-names":false,"suffix":""},{"dropping-particle":"","family":"Weinreb","given":"Jane E.","non-dropping-particle":"","parse-names":false,"suffix":""},{"dropping-particle":"","family":"Steinle","given":"Nanette I.","non-dropping-particle":"","parse-names":false,"suffix":""},{"dropping-particle":"","family":"Billington","given":"Charles","non-dropping-particle":"","parse-names":false,"suffix":""},{"dropping-particle":"","family":"Hughes","given":"Maria","non-dropping-particle":"","parse-names":false,"suffix":""},{"dropping-particle":"","family":"Makki","given":"Fatima","non-dropping-particle":"","parse-names":false,"suffix":""},{"dropping-particle":"","family":"Holleman","given":"Robert G.","non-dropping-particle":"","parse-names":false,"suffix":""},{"dropping-particle":"","family":"Kim","given":"H. Myra","non-dropping-particle":"","parse-names":false,"suffix":""},{"dropping-particle":"","family":"Jeffreys","given":"Amy S.","non-dropping-particle":"","parse-names":false,"suffix":""},{"dropping-particle":"","family":"Kinsinger","given":"Linda S.","non-dropping-particle":"","parse-names":false,"suffix":""},{"dropping-particle":"","family":"Burns","given":"Jennifer A.","non-dropping-particle":"","parse-names":false,"suffix":""},{"dropping-particle":"","family":"Richardson","given":"Caroline R.","non-dropping-particle":"","parse-names":false,"suffix":""}],"container-title":"American Journal of Preventive Medicine","id":"ITEM-6","issue":"1","issued":{"date-parts":[["2017"]]},"page":"70-77","publisher":"Elsevier Inc.","title":"Diabetes prevention program translation in the veterans health administration","type":"article-journal","volume":"53"},"uris":["http://www.mendeley.com/documents/?uuid=c50de4a3-0ca0-411d-8a86-7e096e4ae38f","http://www.mendeley.com/documents/?uuid=0b49d9c8-fcae-49b9-b371-d81d371b6825"]}],"mendeley":{"formattedCitation":"(Almeida, F.A., Shetterly, S., Smith-Ray, R.L., Estabrooks, 2010; Boltri et al., 2011; Coppell et al., 2017; Fianu et al., 2016; Moin et al., 2017; Payne WR, Walsh KJ., Harvey JT, Livy MF, Mckenzie KJ, Donaldson A, 2008)","manualFormatting":"(Almeida, Shetterly, Smith-Ray, Estabrooks, 2010; Boltri et al., 2011; Coppell et al., 2017; Fianu et al., 2016; Moin et al., 2017; Payne, Walsh, Harvey, Livy, Mckenzie, Donaldson, 2008)","plainTextFormattedCitation":"(Almeida, F.A., Shetterly, S., Smith-Ray, R.L., Estabrooks, 2010; Boltri et al., 2011; Coppell et al., 2017; Fianu et al., 2016; Moin et al., 2017; Payne WR, Walsh KJ., Harvey JT, Livy MF, Mckenzie KJ, Donaldson A, 2008)","previouslyFormattedCitation":"(Almeida, F.A., Shetterly, S., Smith-Ray, R.L., Estabrooks, 2010; Boltri et al., 2011; Coppell et al., 2017; Fianu et al., 2016; Moin et al., 2017; Payne WR, Walsh KJ., Harvey JT, Livy MF, Mckenzie KJ, Donaldson A, 2008)"},"properties":{"noteIndex":0},"schema":"https://github.com/citation-style-language/schema/raw/master/csl-citation.json"}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445FC8" w:rsidRPr="00103A0B">
        <w:rPr>
          <w:rFonts w:ascii="Arial" w:eastAsia="Times New Roman" w:hAnsi="Arial" w:cs="Arial"/>
          <w:noProof/>
          <w:sz w:val="24"/>
          <w:szCs w:val="24"/>
          <w:lang w:eastAsia="en-GB"/>
        </w:rPr>
        <w:t>(Almeida, Shetterly, Smith-Ray, Estabrooks, 2010; Boltri et al., 2011; Coppell et al., 2017; Fianu et al., 2016; Moin et al., 2017; Payne, Walsh, Harvey, Livy, Mckenzie, Donaldson, 2008)</w:t>
      </w:r>
      <w:r w:rsidRPr="00103A0B">
        <w:rPr>
          <w:rFonts w:ascii="Arial" w:hAnsi="Arial" w:cs="Arial"/>
        </w:rPr>
        <w:fldChar w:fldCharType="end"/>
      </w:r>
      <w:r w:rsidRPr="00103A0B">
        <w:rPr>
          <w:rFonts w:ascii="Arial" w:hAnsi="Arial" w:cs="Arial"/>
        </w:rPr>
        <w:t xml:space="preserve"> </w:t>
      </w:r>
      <w:r w:rsidRPr="00103A0B">
        <w:rPr>
          <w:rFonts w:ascii="Arial" w:hAnsi="Arial" w:cs="Arial"/>
          <w:sz w:val="24"/>
          <w:szCs w:val="24"/>
        </w:rPr>
        <w:t>and</w:t>
      </w:r>
      <w:r w:rsidRPr="00103A0B">
        <w:rPr>
          <w:rFonts w:ascii="Arial" w:hAnsi="Arial" w:cs="Arial"/>
        </w:rPr>
        <w:t xml:space="preserve"> </w:t>
      </w:r>
      <w:r w:rsidRPr="00103A0B">
        <w:rPr>
          <w:rFonts w:ascii="Arial" w:eastAsia="Times New Roman" w:hAnsi="Arial" w:cs="Arial"/>
          <w:sz w:val="24"/>
          <w:szCs w:val="24"/>
          <w:lang w:eastAsia="en-GB"/>
        </w:rPr>
        <w:t xml:space="preserve">six were controlled clinical trials </w:t>
      </w:r>
      <w:r w:rsidRPr="00103A0B">
        <w:rPr>
          <w:rFonts w:ascii="Arial" w:hAnsi="Arial" w:cs="Arial"/>
        </w:rPr>
        <w:fldChar w:fldCharType="begin" w:fldLock="1"/>
      </w:r>
      <w:r w:rsidR="00F064BD" w:rsidRPr="00103A0B">
        <w:rPr>
          <w:rFonts w:ascii="Arial" w:eastAsia="Times New Roman" w:hAnsi="Arial" w:cs="Arial"/>
          <w:sz w:val="24"/>
          <w:szCs w:val="24"/>
          <w:lang w:eastAsia="en-GB"/>
        </w:rPr>
        <w:instrText>ADDIN CSL_CITATION {"citationItems":[{"id":"ITEM-1","itemData":{"DOI":"10.1016/j.diabet.2011.01.003","ISBN":"1262-3636","ISSN":"12623636","PMID":"21489843","abstract":"Aim: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Metabolism","id":"ITEM-1","issue":"5","issued":{"date-parts":[["2011"]]},"page":"410-418","publisher":"Elsevier Masson SAS","title":"A cost-effective moderate-intensity interdisciplinary weight-management programme for individuals with prediabetes","type":"article-journal","volume":"37"},"uris":["http://www.mendeley.com/documents/?uuid=41ec2ecb-3bf5-4b9a-b2fd-15933532a929"]},{"id":"ITEM-2","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Behavior","id":"ITEM-2","issue":"3","issued":{"date-parts":[["2016"]]},"page":"160-69","publisher":"Elsevier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trial","type":"article-journal","volume":"48"},"uris":["http://www.mendeley.com/documents/?uuid=2d8c03a8-0024-4655-930b-c43e21a3fdf8"]},{"id":"ITEM-3","itemData":{"DOI":"10.1016/j.nutres.2010.03.003","ISBN":"0271-5317","ISSN":"02715317","PMID":"20417879","abstract":"The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Research","id":"ITEM-3","issue":"3","issued":{"date-parts":[["2010"]]},"page":"186-190","publisher":"Elsevier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tolerance","type":"article-journal","volume":"30"},"uris":["http://www.mendeley.com/documents/?uuid=24bc950c-bfd2-4632-8ad0-a20eee1f7dc8"]},{"id":"ITEM-4","itemData":{"DOI":"10.1177/0145721714521020","ISBN":"0145-7217","ISSN":"15546063","PMID":"24510942","abstract":"Purpose: This article reports the results of a community-based, culturally tailored diabetes prevention program for overweight Mexican American adults on weight loss, waist circumference, diet and physical activity self-efficacy, and diet behaviors., Methods: The intervention used content from the Diabetes Prevention Program but culturally tailored the delivery methods into a community-based program for Spanishspeaking adults of Mexican descent. The design was a randomized controlled trial (N = 58) comparing the effects of a 5-month educational intervention with an attention control group. The primary study outcome was weight loss. Secondary outcomes included change in waist circumference, body mass index, diet self-efficacy, and physical activity self-efficacy., Results: There were significant intervention effects for weight, waist circumference, body mass index, and diet selfefficacy, with the intervention group doing better than the control group. These effects did not change over time., Conclusions: Findings support the conclusion that a community-based, culturally tailored intervention is effective in reducing diabetes risk factors in a 5-month program., (C) 2014 Sage Publishing","author":[{"dropping-particle":"","family":"Vincent","given":"Deborah","non-dropping-particle":"","parse-names":false,"suffix":""},{"dropping-particle":"","family":"McEwen","given":"Marylyn M.","non-dropping-particle":"","parse-names":false,"suffix":""},{"dropping-particle":"","family":"Hepworth","given":"Joseph T.","non-dropping-particle":"","parse-names":false,"suffix":""},{"dropping-particle":"","family":"Stump","given":"Craig S.","non-dropping-particle":"","parse-names":false,"suffix":""}],"container-title":"The Diabetes Educator","id":"ITEM-4","issue":"2","issued":{"date-parts":[["2014"]]},"page":"202-213","title":"The effects of a community-based, culturally tailored diabetes prevention intervention for high-risk adults of Mexican descent","type":"article-journal","volume":"40"},"uris":["http://www.mendeley.com/documents/?uuid=45a67a3a-a21d-4e1b-b15e-e4fcd00a23e0"]},{"id":"ITEM-5","itemData":{"DOI":"10.1111/dme.12848","ISBN":"0742-3071","ISSN":"14645491","PMID":"26179569","abstract":"METHODS: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Medicine","id":"ITEM-5","issue":"4","issued":{"date-parts":[["2015"]]},"page":"547-551","title":"Translation of the diabetes prevention program for diabetes risk reduction in Chinese immigrants in New York city","type":"article-journal","volume":"33"},"uris":["http://www.mendeley.com/documents/?uuid=05391168-7679-4063-baae-26f96e47d08a"]},{"id":"ITEM-6","itemData":{"DOI":"10.1177/2150132719847374","author":[{"dropping-particle":"","family":"Aekplakorn","given":"Wichai","non-dropping-particle":"","parse-names":false,"suffix":""},{"dropping-particle":"","family":"Tantayotai","given":"Valla","non-dropping-particle":"","parse-names":false,"suffix":""},{"dropping-particle":"","family":"Numsangkul","given":"Sakawduan","non-dropping-particle":"","parse-names":false,"suffix":""},{"dropping-particle":"","family":"Tatsato","given":"Nutchanat","non-dropping-particle":"","parse-names":false,"suffix":""},{"dropping-particle":"","family":"Luckanajantachote","given":"Pranee","non-dropping-particle":"","parse-names":false,"suffix":""}],"container-title":"Journal of Primary Care and Community Health","id":"ITEM-6","issued":{"date-parts":[["2019"]]},"page":"1-8","title":"Evaluation of a community-based diabetes prevention program in Thailand : a cluster randomized controlled trial","type":"article-journal","volume":"10"},"uris":["http://www.mendeley.com/documents/?uuid=8b3b4c2b-0469-4192-909b-c057fc6c5460"]}],"mendeley":{"formattedCitation":"(Aekplakorn et al., 2019; Gagnon et al., 2011; Miller et al., 2016; Pimentel et al., 2010; Vincent et al., 2014; Yeh et al., 2015)","plainTextFormattedCitation":"(Aekplakorn et al., 2019; Gagnon et al., 2011; Miller et al., 2016; Pimentel et al., 2010; Vincent et al., 2014; Yeh et al., 2015)","previouslyFormattedCitation":"(Aekplakorn et al., 2019; Gagnon et al., 2011; Miller et al., 2016; Pimentel et al., 2010; Vincent et al., 2014; Yeh et al., 2015)"},"properties":{"noteIndex":0},"schema":"https://github.com/citation-style-language/schema/raw/master/csl-citation.json"}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992026" w:rsidRPr="00103A0B">
        <w:rPr>
          <w:rFonts w:ascii="Arial" w:eastAsia="Times New Roman" w:hAnsi="Arial" w:cs="Arial"/>
          <w:noProof/>
          <w:sz w:val="24"/>
          <w:szCs w:val="24"/>
          <w:lang w:eastAsia="en-GB"/>
        </w:rPr>
        <w:t>(Aekplakorn et al., 2019; Gagnon et al., 2011; Miller et al., 2016; Pimentel et al., 2010; Vincent et al., 2014; Yeh et al., 2015)</w:t>
      </w:r>
      <w:r w:rsidRPr="00103A0B">
        <w:rPr>
          <w:rFonts w:ascii="Arial" w:hAnsi="Arial" w:cs="Arial"/>
        </w:rPr>
        <w:fldChar w:fldCharType="end"/>
      </w:r>
      <w:r w:rsidRPr="00103A0B">
        <w:rPr>
          <w:rFonts w:ascii="Arial" w:eastAsia="Times New Roman" w:hAnsi="Arial" w:cs="Arial"/>
          <w:sz w:val="24"/>
          <w:szCs w:val="24"/>
          <w:lang w:eastAsia="en-GB"/>
        </w:rPr>
        <w:t>. For quality assessment, 10%</w:t>
      </w:r>
      <w:r w:rsidRPr="00103A0B">
        <w:rPr>
          <w:rFonts w:ascii="Arial" w:hAnsi="Arial" w:cs="Arial"/>
          <w:sz w:val="24"/>
          <w:szCs w:val="24"/>
          <w:lang w:eastAsia="en-GB"/>
        </w:rPr>
        <w:t xml:space="preserve"> of the included papers (n=3) were independently checked by a second reviewer (</w:t>
      </w:r>
      <w:r w:rsidR="00CA237D" w:rsidRPr="00103A0B">
        <w:rPr>
          <w:rFonts w:ascii="Arial" w:hAnsi="Arial" w:cs="Arial"/>
          <w:sz w:val="24"/>
          <w:szCs w:val="24"/>
          <w:lang w:eastAsia="en-GB"/>
        </w:rPr>
        <w:t>RP</w:t>
      </w:r>
      <w:r w:rsidRPr="00103A0B">
        <w:rPr>
          <w:rFonts w:ascii="Arial" w:hAnsi="Arial" w:cs="Arial"/>
          <w:sz w:val="24"/>
          <w:szCs w:val="24"/>
          <w:lang w:eastAsia="en-GB"/>
        </w:rPr>
        <w:t xml:space="preserve">). There were six components for each of the three papers and 83% agreement was reached (15/18 components). </w:t>
      </w:r>
      <w:r w:rsidRPr="00103A0B">
        <w:rPr>
          <w:rFonts w:ascii="Arial" w:eastAsia="Times New Roman" w:hAnsi="Arial" w:cs="Arial"/>
          <w:sz w:val="24"/>
          <w:szCs w:val="24"/>
          <w:lang w:eastAsia="en-GB"/>
        </w:rPr>
        <w:t>For majority of the included papers, study design, confounders, data collection methods, number of withdrawals and the reasons for drop</w:t>
      </w:r>
      <w:r w:rsidR="001F3B33" w:rsidRPr="00103A0B">
        <w:rPr>
          <w:rFonts w:ascii="Arial" w:eastAsia="Times New Roman" w:hAnsi="Arial" w:cs="Arial"/>
          <w:sz w:val="24"/>
          <w:szCs w:val="24"/>
          <w:lang w:eastAsia="en-GB"/>
        </w:rPr>
        <w:t xml:space="preserve"> </w:t>
      </w:r>
      <w:r w:rsidRPr="00103A0B">
        <w:rPr>
          <w:rFonts w:ascii="Arial" w:eastAsia="Times New Roman" w:hAnsi="Arial" w:cs="Arial"/>
          <w:sz w:val="24"/>
          <w:szCs w:val="24"/>
          <w:lang w:eastAsia="en-GB"/>
        </w:rPr>
        <w:t xml:space="preserve">out were rated as strong; blinding and selection bias was rated as moderate. Overall, the majority of papers had a quality rating of strong (n=17) </w:t>
      </w:r>
      <w:r w:rsidRPr="00103A0B">
        <w:rPr>
          <w:rFonts w:ascii="Arial" w:hAnsi="Arial" w:cs="Arial"/>
        </w:rPr>
        <w:fldChar w:fldCharType="begin" w:fldLock="1"/>
      </w:r>
      <w:r w:rsidR="00597BD1" w:rsidRPr="00103A0B">
        <w:rPr>
          <w:rFonts w:ascii="Arial" w:eastAsia="Times New Roman" w:hAnsi="Arial" w:cs="Arial"/>
          <w:sz w:val="24"/>
          <w:szCs w:val="24"/>
          <w:lang w:eastAsia="en-GB"/>
        </w:rPr>
        <w:instrText>ADDIN CSL_CITATION {"citationItems":[{"id":"ITEM-1","itemData":{"DOI":"10.1016/j.ypmed.2015.12.012","ISBN":"0091-7435","ISSN":"10960260","PMID":"26740346","abstract":"Objectives: Prevention of type 2 diabetes (T2DM) is a priority in healthcare, but there is a lack of evidence investigating how to effectively translate prevention research into a UK primary care setting. We assessed whether a structured education programme targeting lifestyle and behaviour change was effective at preventing progression to T2DM in people with pre-diabetes. Materials and methods: Forty-four general practices were randomised to receive either standard care or a 6. hour group structured education programme with an annual refresher course, and regular phone contact. Participants were followed up for 3. years. The primary outcome was progression to T2DM. Results: Eight hundred and eighty participants were included (36% female, mean age 64. years, 16% ethnic minority group); 131 participants developed T2DM. There was a non-significant 26% reduced risk of developing T2DM in the intervention arm compared to standard care (HR 0.74, 95% CI 0.48, 1.14, p= 0.18). The reduction in T2DM risk when excluding those who did not attend the initial education session was also non-significant (HR 0.65, 0.41, 1.03, p= 0.07). There were statistically significant improvements in HbA1c (- 0.06, - 0.11, - 0.01), LDL cholesterol (- 0.08, - 0.15, - 0.01), sedentary time (- 26.29, - 45.26, - 7.32) and step count (498.15, 162.10, 834.20) when data were analysed across all time points. Conclusions: This study suggests that a relatively low resource, pragmatic diabetes prevention programme resulted in modest benefits to biomedical, lifestyle and psychosocial outcomes, however the reduction to the risk of T2DM did not reach significance. The findings have important implications for future research and primary care.","author":[{"dropping-particle":"","family":"Davies","given":"Melanie J.","non-dropping-particle":"","parse-names":false,"suffix":""},{"dropping-particle":"","family":"Gray","given":"Laura J.","non-dropping-particle":"","parse-names":false,"suffix":""},{"dropping-particle":"","family":"Troughton","given":"Jacqui","non-dropping-particle":"","parse-names":false,"suffix":""},{"dropping-particle":"","family":"Gray","given":"Alastair","non-dropping-particle":"","parse-names":false,"suffix":""},{"dropping-particle":"","family":"Tuomilehto","given":"Jaakko","non-dropping-particle":"","parse-names":false,"suffix":""},{"dropping-particle":"","family":"Farooqi","given":"Azhar","non-dropping-particle":"","parse-names":false,"suffix":""},{"dropping-particle":"","family":"Khunti","given":"Kamlesh","non-dropping-particle":"","parse-names":false,"suffix":""},{"dropping-particle":"","family":"Yates","given":"Thomas","non-dropping-particle":"","parse-names":false,"suffix":""},{"dropping-particle":"","family":"Bancroft","given":"Mary","non-dropping-particle":"","parse-names":false,"suffix":""},{"dropping-particle":"","family":"Ahrabian","given":"Dariush","non-dropping-particle":"","parse-names":false,"suffix":""},{"dropping-particle":"","family":"Cowling","given":"Pauline","non-dropping-particle":"","parse-names":false,"suffix":""},{"dropping-particle":"","family":"Greaves","given":"Colin","non-dropping-particle":"","parse-names":false,"suffix":""},{"dropping-particle":"","family":"Sheppard","given":"David","non-dropping-particle":"","parse-names":false,"suffix":""},{"dropping-particle":"","family":"Leal","given":"Jose","non-dropping-particle":"","parse-names":false,"suffix":""},{"dropping-particle":"","family":"Abrams","given":"Keith","non-dropping-particle":"","parse-names":false,"suffix":""},{"dropping-particle":"","family":"Bodicoat","given":"Danielle","non-dropping-particle":"","parse-names":false,"suffix":""},{"dropping-particle":"","family":"Carter","given":"Patrice","non-dropping-particle":"","parse-names":false,"suffix":""},{"dropping-particle":"","family":"Dunkley","given":"Alison","non-dropping-particle":"","parse-names":false,"suffix":""},{"dropping-particle":"","family":"Patel","given":"Naina","non-dropping-particle":"","parse-names":false,"suffix":""},{"dropping-particle":"","family":"Russell","given":"Clare","non-dropping-particle":"","parse-names":false,"suffix":""},{"dropping-particle":"","family":"Horne","given":"Rosie","non-dropping-particle":"","parse-names":false,"suffix":""},{"dropping-particle":"","family":"Spong","given":"Rebecca","non-dropping-particle":"","parse-names":false,"suffix":""},{"dropping-particle":"","family":"Stone","given":"Margaret","non-dropping-particle":"","parse-names":false,"suffix":""},{"dropping-particle":"","family":"Taub","given":"Nick","non-dropping-particle":"","parse-names":false,"suffix":""},{"dropping-particle":"","family":"Webb","given":"David","non-dropping-particle":"","parse-names":false,"suffix":""},{"dropping-particle":"","family":"Amin","given":"Sayjal","non-dropping-particle":"","parse-names":false,"suffix":""},{"dropping-particle":"","family":"Barnett","given":"Janette","non-dropping-particle":"","parse-names":false,"suffix":""},{"dropping-particle":"","family":"Berkeley","given":"Hannah","non-dropping-particle":"","parse-names":false,"suffix":""},{"dropping-particle":"","family":"Bonar","given":"Michael","non-dropping-particle":"","parse-names":false,"suffix":""},{"dropping-particle":"","family":"Boyles","given":"Louise","non-dropping-particle":"","parse-names":false,"suffix":""},{"dropping-particle":"","family":"Bray","given":"Paul","non-dropping-particle":"","parse-names":false,"suffix":""},{"dropping-particle":"","family":"Cairns","given":"Nichola","non-dropping-particle":"","parse-names":false,"suffix":""},{"dropping-particle":"","family":"Campbell","given":"Sandra","non-dropping-particle":"","parse-names":false,"suffix":""},{"dropping-particle":"","family":"Carey","given":"Marian","non-dropping-particle":"","parse-names":false,"suffix":""},{"dropping-particle":"","family":"Chatterjee","given":"Sudesna","non-dropping-particle":"","parse-names":false,"suffix":""},{"dropping-particle":"","family":"Currie","given":"Carolyn","non-dropping-particle":"","parse-names":false,"suffix":""},{"dropping-particle":"","family":"Daly","given":"Heather","non-dropping-particle":"","parse-names":false,"suffix":""},{"dropping-particle":"","family":"Enright","given":"Sue","non-dropping-particle":"","parse-names":false,"suffix":""},{"dropping-particle":"","family":"Goldby","given":"Stephanie","non-dropping-particle":"","parse-names":false,"suffix":""},{"dropping-particle":"","family":"Gray","given":"Geri","non-dropping-particle":"","parse-names":false,"suffix":""},{"dropping-particle":"","family":"Henson","given":"Joe","non-dropping-particle":"","parse-names":false,"suffix":""},{"dropping-particle":"","family":"Hiles","given":"Stephen","non-dropping-particle":"","parse-names":false,"suffix":""},{"dropping-particle":"","family":"Hill","given":"Sian","non-dropping-particle":"","parse-names":false,"suffix":""},{"dropping-particle":"","family":"Hill","given":"Jayne","non-dropping-particle":"","parse-names":false,"suffix":""},{"dropping-particle":"","family":"Holdsworth","given":"Hannah","non-dropping-particle":"","parse-names":false,"suffix":""},{"dropping-particle":"","family":"Htike","given":"Zin Zin","non-dropping-particle":"","parse-names":false,"suffix":""},{"dropping-particle":"","family":"Jamal","given":"Shenaz","non-dropping-particle":"","parse-names":false,"suffix":""},{"dropping-particle":"","family":"Jarvis","given":"Janet","non-dropping-particle":"","parse-names":false,"suffix":""},{"dropping-particle":"","family":"Johnson","given":"Carolyn","non-dropping-particle":"","parse-names":false,"suffix":""},{"dropping-particle":"","family":"Jones","given":"Janet","non-dropping-particle":"","parse-names":false,"suffix":""},{"dropping-particle":"","family":"Jones","given":"Kenneth","non-dropping-particle":"","parse-names":false,"suffix":""},{"dropping-particle":"","family":"Khan","given":"Sabera","non-dropping-particle":"","parse-names":false,"suffix":""},{"dropping-particle":"","family":"Khulpateea","given":"Anita","non-dropping-particle":"","parse-names":false,"suffix":""},{"dropping-particle":"","family":"Leonard","given":"Judith","non-dropping-particle":"","parse-names":false,"suffix":""},{"dropping-particle":"","family":"Mani","given":"Hamidreza","non-dropping-particle":"","parse-names":false,"suffix":""},{"dropping-particle":"","family":"Martin-Stacey","given":"Lorraine","non-dropping-particle":"","parse-names":false,"suffix":""},{"dropping-particle":"","family":"Morgan","given":"Val","non-dropping-particle":"","parse-names":false,"suffix":""},{"dropping-particle":"","family":"Morris","given":"Frances","non-dropping-particle":"","parse-names":false,"suffix":""},{"dropping-particle":"","family":"Mostafa","given":"Samiul","non-dropping-particle":"","parse-names":false,"suffix":""},{"dropping-particle":"","family":"Northern","given":"Alison","non-dropping-particle":"","parse-names":false,"suffix":""},{"dropping-particle":"","family":"O'Brien","given":"Kayleigh","non-dropping-particle":"","parse-names":false,"suffix":""},{"dropping-particle":"","family":"Patel","given":"Hersha","non-dropping-particle":"","parse-names":false,"suffix":""},{"dropping-particle":"","family":"Plummer","given":"Rachel","non-dropping-particle":"","parse-names":false,"suffix":""},{"dropping-particle":"","family":"Porter","given":"Sheila","non-dropping-particle":"","parse-names":false,"suffix":""},{"dropping-particle":"","family":"Radia","given":"Mo","non-dropping-particle":"","parse-names":false,"suffix":""},{"dropping-particle":"","family":"Realf","given":"Kathryn","non-dropping-particle":"","parse-names":false,"suffix":""},{"dropping-particle":"","family":"Richmond","given":"Dean","non-dropping-particle":"","parse-names":false,"suffix":""},{"dropping-particle":"","family":"Saker","given":"Rebecca","non-dropping-particle":"","parse-names":false,"suffix":""},{"dropping-particle":"","family":"Sennet","given":"Jane","non-dropping-particle":"","parse-names":false,"suffix":""},{"dropping-particle":"","family":"Stribling","given":"Bernie","non-dropping-particle":"","parse-names":false,"suffix":""},{"dropping-particle":"","family":"Wilmott","given":"Emma","non-dropping-particle":"","parse-names":false,"suffix":""},{"dropping-particle":"","family":"Wilson","given":"Carolina","non-dropping-particle":"","parse-names":false,"suffix":""},{"dropping-particle":"","family":"Wilson","given":"Panna","non-dropping-particle":"","parse-names":false,"suffix":""}],"container-title":"Preventive Medicine","id":"ITEM-1","issued":{"date-parts":[["2016"]]},"page":"48-56","publisher":"Elsevier Inc.","title":"A community based primary prevention programme for type 2 diabetes integrating identification and lifestyle intervention for prevention: the let's prevent diabetes cluster randomised controlled trial","type":"article-journal","volume":"84"},"uris":["http://www.mendeley.com/documents/?uuid=98ec8943-e639-4c92-bc3b-a80a3889c377"]},{"id":"ITEM-2","itemData":{"DOI":"10.1016/j.diabet.2011.01.003","ISBN":"1262-3636","ISSN":"12623636","PMID":"21489843","abstract":"Aim: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Metabolism","id":"ITEM-2","issue":"5","issued":{"date-parts":[["2011"]]},"page":"410-418","publisher":"Elsevier Masson SAS","title":"A cost-effective moderate-intensity interdisciplinary weight-management programme for individuals with prediabetes","type":"article-journal","volume":"37"},"uris":["http://www.mendeley.com/documents/?uuid=41ec2ecb-3bf5-4b9a-b2fd-15933532a929"]},{"id":"ITEM-3","itemData":{"DOI":"10.2337/dc08-2141","ISSN":"01495992","PMID":"19509014","abstract":"OBJECTIVE: To evaluate the efficacy of the group program PREDIAS for diabetes prevention.\\n\\nRESEARCH DESIGN AND METHODS: PREDIAS consists of 12 lessons and aims at lifestyle modification. The control group received written information about diabetes prevention. In this study, a total of 182 persons with an elevated diabetes risk participated (aged 56.3 +/- 10.1 years, 43% female, and BMI 31.5 +/- 5.3 kg/m(2)).\\n\\nRESULTS: After 12 months, weight loss was significantly higher (P = 0.001) in PREDIAS than in the control group (-3.8 +/- 5.2 vs. -1.4 +/- 4.09 kg). There were also significant effects (P = 0.001) on fasting glucose (control group 1.8 +/- 13.1 mg/dl vs. PREDIAS -4.3 +/- 11.3 mg/dl), duration of physical activity per week (control group 17.9 +/- 63.8 min vs. PREDIAS 46.6 +/- 95.5 min; P = 0.03), and eating behavior.\\n\\nCONCLUSIONS: PREDIAS significantly modified lifestyle factors associated with an elevated diabetes risk.","author":[{"dropping-particle":"","family":"Kulzer","given":"Bernhard","non-dropping-particle":"","parse-names":false,"suffix":""},{"dropping-particle":"","family":"Hermanns","given":"Norbert","non-dropping-particle":"","parse-names":false,"suffix":""},{"dropping-particle":"","family":"Gorges","given":"Daniela","non-dropping-particle":"","parse-names":false,"suffix":""},{"dropping-particle":"","family":"Schwarz","given":"Peter","non-dropping-particle":"","parse-names":false,"suffix":""},{"dropping-particle":"","family":"Haak","given":"Thomas","non-dropping-particle":"","parse-names":false,"suffix":""}],"container-title":"Diabetes Care","id":"ITEM-3","issue":"7","issued":{"date-parts":[["2009"]]},"page":"1143-1146","title":"Prevention of diabetes self-management program (PREDIAS): effects on weight, metabolic risk factors, and behavioral outcomes","type":"article-journal","volume":"32"},"uris":["http://www.mendeley.com/documents/?uuid=df2278a0-0ae5-40ab-bc80-f2e143b41d86"]},{"id":"ITEM-4","itemData":{"DOI":"10.1186/1472-6882-14-212","ISBN":"1472-6882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Medicine","id":"ITEM-4","issue":"1","issued":{"date-parts":[["2014"]]},"page":"212","title":"A yoga intervention for type 2 diabetes risk reduction: a pilot randomized controlled trial","type":"article-journal","volume":"14"},"uris":["http://www.mendeley.com/documents/?uuid=934d80fb-c55d-4626-908a-2ca578b57990"]},{"id":"ITEM-5","itemData":{"DOI":"10.1080/08870440903548749","ISBN":"0887044090354","ISSN":"0887-0446","PMID":"20945253","abstract":"This study was a randomised control trial with a waiting control group. It was designed to evaluate the effectiveness of a 6-month, group-based diabetes prevention programme, The Healthy Living Course and assess whether participation in the programme led to changes in modifiable risk factors for type 2 diabetes among an already at-risk pre-diabetic population. Individuals designated at risk for diabetes by their general practitioners (GPs) were screened using an Oral Glucose Tolerance Test. Volunteers (N = 307) with pre-diabetes were assigned to an intervention or wait-control group in the ratio of approximately 2 : 1. The sample was pre-tested on biochemical, anthropometric and self-report behavioural, cognitive and mood variables and post-tested either at the end of the educational/support-based lifestyle programme or the end of the wait period. The intervention group significantly improved their diabetes knowledge, motivation to change, positive affect, healthy eating and activity levels and showed significantly greater reductions in weight, body mass index, waist circumference, diastolic blood pressure and fasting plasma glucose in comparison with controls. The intervention group also changed their diagnostic status from pre-diabetes to non-diabetes at a greater rate than the wait group (43% vs. 26%) who received standard care from their GPs.","author":[{"dropping-particle":"","family":"Moore","given":"Susan M.","non-dropping-particle":"","parse-names":false,"suffix":""},{"dropping-particle":"","family":"Hardie","given":"Elizabeth A.","non-dropping-particle":"","parse-names":false,"suffix":""},{"dropping-particle":"","family":"Hackworth","given":"Naomi J.","non-dropping-particle":"","parse-names":false,"suffix":""},{"dropping-particle":"","family":"Critchley","given":"Christine R.","non-dropping-particle":"","parse-names":false,"suffix":""},{"dropping-particle":"","family":"Kyrios","given":"Michael","non-dropping-particle":"","parse-names":false,"suffix":""},{"dropping-particle":"","family":"Buzwell","given":"Simone A.","non-dropping-particle":"","parse-names":false,"suffix":""},{"dropping-particle":"","family":"Crafti","given":"Naomi A.","non-dropping-particle":"","parse-names":false,"suffix":""}],"container-title":"Psychology &amp; Health","id":"ITEM-5","issue":"4","issued":{"date-parts":[["2011"]]},"page":"485-499","title":"Can the onset of type 2 diabetes be delayed by a group-based lifestyle intervention? a randomised control trial","type":"article-journal","volume":"26"},"uris":["http://www.mendeley.com/documents/?uuid=f731fbbd-3174-40ae-b00f-158e50237e1f"]},{"id":"ITEM-6","itemData":{"DOI":"10.2105/AJPH.2011.300357","ISBN":"1541-0048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Health","id":"ITEM-6","issue":"2","issued":{"date-parts":[["2012"]]},"page":"336-342","title":"Outcomes of a Latino community-based intervention for the prevention of diabetes: the lawrence Latino diabetes prevention project","type":"article-journal","volume":"102"},"uris":["http://www.mendeley.com/documents/?uuid=6b9cb080-dc52-4e71-a5c6-bb5e3c90945b"]},{"id":"ITEM-7","itemData":{"ISBN":"00900036","ISSN":"00900036","PMID":"52016494","abstract":"Objectives.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Health","id":"ITEM-7","issued":{"date-parts":[["2010"]]},"page":"232-39","title":"Results of a pilot diabetes prevention intervention in East Harlem, New York city: project HEED","type":"article-journal","volume":"100"},"uris":["http://www.mendeley.com/documents/?uuid=6ca00620-5eb7-44be-86f5-e0fe0414de89"]},{"id":"ITEM-8","itemData":{"DOI":"10.1186/s12875-017-0671-8","ISSN":"1471-2296","abstract":"Background: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Practice","id":"ITEM-8","issue":"1","issued":{"date-parts":[["2017"]]},"note":"Accession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study.","type":"article-journal","volume":"18"},"uris":["http://www.mendeley.com/documents/?uuid=0c5adc52-ca11-4f07-80d4-bf37e6cec46f"]},{"id":"ITEM-9","itemData":{"DOI":"10.1093/tbm/ibx064","ISSN":"1613-9860","abstract":"The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Medicine","id":"ITEM-9","issue":"2","issued":{"date-parts":[["2018"]]},"note":"Accession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-10","itemData":{"DOI":"10.1177/2150132719847374","author":[{"dropping-particle":"","family":"Aekplakorn","given":"Wichai","non-dropping-particle":"","parse-names":false,"suffix":""},{"dropping-particle":"","family":"Tantayotai","given":"Valla","non-dropping-particle":"","parse-names":false,"suffix":""},{"dropping-particle":"","family":"Numsangkul","given":"Sakawduan","non-dropping-particle":"","parse-names":false,"suffix":""},{"dropping-particle":"","family":"Tatsato","given":"Nutchanat","non-dropping-particle":"","parse-names":false,"suffix":""},{"dropping-particle":"","family":"Luckanajantachote","given":"Pranee","non-dropping-particle":"","parse-names":false,"suffix":""}],"container-title":"Journal of Primary Care and Community Health","id":"ITEM-10","issued":{"date-parts":[["2019"]]},"page":"1-8","title":"Evaluation of a community-based diabetes prevention program in Thailand : a cluster randomized controlled trial","type":"article-journal","volume":"10"},"uris":["http://www.mendeley.com/documents/?uuid=8b3b4c2b-0469-4192-909b-c057fc6c5460"]},{"id":"ITEM-11","itemData":{"DOI":"10.2105/AJPH.2015.303035","ISBN":"0090-0036","ISSN":"15410048","PMID":"26890171","abstract":"OBJECTIVES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Health","id":"ITEM-11","issue":"5","issued":{"date-parts":[["2016"]]},"page":"949-956","title":"Comparison of commercial and self-initiated weight loss programs in people with prediabetes: a randomized control trial","type":"article-journal","volume":"106"},"uris":["http://www.mendeley.com/documents/?uuid=e4e3235a-a86a-4b63-ad04-9e4c2402dc1e"]},{"id":"ITEM-12","itemData":{"DOI":"10.1016/j.jneb.2015.12.002","ISBN":"1499-4046","ISSN":"14994046","PMID":"26787601","abstract":"Objective: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Behavior","id":"ITEM-12","issue":"3","issued":{"date-parts":[["2016"]]},"page":"160-69","publisher":"Elsevier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trial","type":"article-journal","volume":"48"},"uris":["http://www.mendeley.com/documents/?uuid=2d8c03a8-0024-4655-930b-c43e21a3fdf8"]},{"id":"ITEM-13","itemData":{"DOI":"10.2337/dc08-0152.","author":[{"dropping-particle":"","family":"Payne WR, Walsh KJ., Harvey JT, Livy MF, Mckenzie KJ, Donaldson A","given":"et al.","non-dropping-particle":"","parse-names":false,"suffix":""}],"container-title":"Diabetes Care","id":"ITEM-13","issued":{"date-parts":[["2008"]]},"page":"2244-50","title":"Effect of a low–resource-intensive lifestyle modification program incorporating gymnasium-based and home-based resistance training on type 2 diabetes risk in Australian adults","type":"article-journal","volume":"31"},"uris":["http://www.mendeley.com/documents/?uuid=94025970-6bd0-4bcf-89d4-48f46a796268"]},{"id":"ITEM-14","itemData":{"DOI":"10.1016/j.nutres.2010.03.003","ISBN":"0271-5317","ISSN":"02715317","PMID":"20417879","abstract":"The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Research","id":"ITEM-14","issue":"3","issued":{"date-parts":[["2010"]]},"page":"186-190","publisher":"Elsevier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tolerance","type":"article-journal","volume":"30"},"uris":["http://www.mendeley.com/documents/?uuid=24bc950c-bfd2-4632-8ad0-a20eee1f7dc8"]},{"id":"ITEM-15","itemData":{"DOI":"10.1177/0145721714521020","ISBN":"0145-7217","ISSN":"15546063","PMID":"24510942","abstract":"Purpose: This article reports the results of a community-based, culturally tailored diabetes prevention program for overweight Mexican American adults on weight loss, waist circumference, diet and physical activity self-efficacy, and diet behaviors., Methods: The intervention used content from the Diabetes Prevention Program but culturally tailored the delivery methods into a community-based program for Spanishspeaking adults of Mexican descent. The design was a randomized controlled trial (N = 58) comparing the effects of a 5-month educational intervention with an attention control group. The primary study outcome was weight loss. Secondary outcomes included change in waist circumference, body mass index, diet self-efficacy, and physical activity self-efficacy., Results: There were significant intervention effects for weight, waist circumference, body mass index, and diet selfefficacy, with the intervention group doing better than the control group. These effects did not change over time., Conclusions: Findings support the conclusion that a community-based, culturally tailored intervention is effective in reducing diabetes risk factors in a 5-month program., (C) 2014 Sage Publishing","author":[{"dropping-particle":"","family":"Vincent","given":"Deborah","non-dropping-particle":"","parse-names":false,"suffix":""},{"dropping-particle":"","family":"McEwen","given":"Marylyn M.","non-dropping-particle":"","parse-names":false,"suffix":""},{"dropping-particle":"","family":"Hepworth","given":"Joseph T.","non-dropping-particle":"","parse-names":false,"suffix":""},{"dropping-particle":"","family":"Stump","given":"Craig S.","non-dropping-particle":"","parse-names":false,"suffix":""}],"container-title":"The Diabetes Educator","id":"ITEM-15","issue":"2","issued":{"date-parts":[["2014"]]},"page":"202-213","title":"The effects of a community-based, culturally tailored diabetes prevention intervention for high-risk adults of Mexican descent","type":"article-journal","volume":"40"},"uris":["http://www.mendeley.com/documents/?uuid=45a67a3a-a21d-4e1b-b15e-e4fcd00a23e0"]},{"id":"ITEM-16","itemData":{"DOI":"10.2337/dc09-0130.","ISBN":"0149-5992","ISSN":"1935-5548","PMID":"19602539","abstract":"OBJECTIVE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care","id":"ITEM-16","issued":{"date-parts":[["2009"]]},"page":"1404-10","title":"Effectiveness of a pragmatic education program designed to promote walking activity in individuals with impaired glucose tolerance","type":"article-journal","volume":"32"},"uris":["http://www.mendeley.com/documents/?uuid=f022eff7-34b4-4911-8936-eba8ff61941e"]},{"id":"ITEM-17","itemData":{"DOI":"10.1111/dme.12848","ISBN":"0742-3071","ISSN":"14645491","PMID":"26179569","abstract":"METHODS: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Medicine","id":"ITEM-17","issue":"4","issued":{"date-parts":[["2015"]]},"page":"547-551","title":"Translation of the diabetes prevention program for diabetes risk reduction in Chinese immigrants in New York city","type":"article-journal","volume":"33"},"uris":["http://www.mendeley.com/documents/?uuid=05391168-7679-4063-baae-26f96e47d08a"]}],"mendeley":{"formattedCitation":"(Aekplakorn et al., 2019; Coppell et al., 2017; Davies et al., 2016; Gagnon et al., 2011; Kulzer et al., 2009; Marrero et al., 2016; McDermott et al., 2014; Miller et al., 2016; Moore et al., 2011; Ockene et al., 2012; Parikh et al., 2010; Payne WR, Walsh KJ., Harvey JT, Livy MF, Mckenzie KJ, Donaldson A, 2008; Pimentel et al., 2010; Quiñones et al., 2018; Vincent et al., 2014; Yates et al., 2009; Yeh et al., 2015)","manualFormatting":"(Aekplakorn et al., 2019; Coppell et al., 2017; Davies et al., 2016; Gagnon et al., 2011; Kulzer et al., 2009; Marrero et al., 2016; McDermott et al., 2014; Miller et al., 2016; Moore et al., 2011; Ockene et al., 2012; Parikh et al., 2010; Payne, Walsh, Harvey, Livy, Mckenzie, Donaldson, 2008; Pimentel et al., 2010; Quiñones et al., 2018; Vincent et al., 2014b; Yates et al., 2009; Yeh et al., 2015)","plainTextFormattedCitation":"(Aekplakorn et al., 2019; Coppell et al., 2017; Davies et al., 2016; Gagnon et al., 2011; Kulzer et al., 2009; Marrero et al., 2016; McDermott et al., 2014; Miller et al., 2016; Moore et al., 2011; Ockene et al., 2012; Parikh et al., 2010; Payne WR, Walsh KJ., Harvey JT, Livy MF, Mckenzie KJ, Donaldson A, 2008; Pimentel et al., 2010; Quiñones et al., 2018; Vincent et al., 2014; Yates et al., 2009; Yeh et al., 2015)","previouslyFormattedCitation":"(Aekplakorn et al., 2019; Coppell et al., 2017; Davies et al., 2016; Gagnon et al., 2011; Kulzer et al., 2009; Marrero et al., 2016; McDermott et al., 2014; Miller et al., 2016; Moore et al., 2011; Ockene et al., 2012; Parikh et al., 2010; Payne WR, Walsh KJ., Harvey JT, Livy MF, Mckenzie KJ, Donaldson A, 2008; Pimentel et al., 2010; Quiñones et al., 2018; Vincent et al., 2014; Yates et al., 2009; Yeh et al., 2015)"},"properties":{"noteIndex":0},"schema":"https://github.com/citation-style-language/schema/raw/master/csl-citation.json"}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(Aekplakorn et al., 2019; Coppell et al., 2017; Davies et al., 2016; Gagnon et al., 2011; Kulzer et al., 2009; Marrero et al., 2016; McDermott et al., 2014; Miller et al., 2016; Moore et al., 2011; Ockene et al., 2012; Parikh et al., 2010; Payne, Walsh, Harvey, Livy, Mckenzie, Donaldson, 2008; Pimentel et al., 2010; Quiñones et al., 2018; Vincent et al., 2014b; Yates et al., 2009; Yeh et al., 2015)</w:t>
      </w:r>
      <w:r w:rsidRPr="00103A0B">
        <w:rPr>
          <w:rFonts w:ascii="Arial" w:hAnsi="Arial" w:cs="Arial"/>
        </w:rPr>
        <w:fldChar w:fldCharType="end"/>
      </w:r>
      <w:r w:rsidRPr="00103A0B">
        <w:rPr>
          <w:rFonts w:ascii="Arial" w:eastAsia="Times New Roman" w:hAnsi="Arial" w:cs="Arial"/>
          <w:sz w:val="24"/>
          <w:szCs w:val="24"/>
          <w:lang w:eastAsia="en-GB"/>
        </w:rPr>
        <w:t xml:space="preserve">, followed by moderate (n=12) </w:t>
      </w:r>
      <w:r w:rsidRPr="00103A0B">
        <w:rPr>
          <w:rFonts w:ascii="Arial" w:hAnsi="Arial" w:cs="Arial"/>
        </w:rPr>
        <w:fldChar w:fldCharType="begin" w:fldLock="1"/>
      </w:r>
      <w:r w:rsidR="007C3391" w:rsidRPr="00103A0B">
        <w:rPr>
          <w:rFonts w:ascii="Arial" w:eastAsia="Times New Roman" w:hAnsi="Arial" w:cs="Arial"/>
          <w:sz w:val="24"/>
          <w:szCs w:val="24"/>
          <w:lang w:eastAsia="en-GB"/>
        </w:rPr>
        <w:instrText>ADDIN CSL_CITATION {"citationItems":[{"id":"ITEM-1","itemData":{"DOI":"10.1016/j.puhe.2014.11.001","ISBN":"1476-5616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Health","id":"ITEM-1","issued":{"date-parts":[["2014"]]},"page":"674-77","publisher":"The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-2","itemData":{"author":[{"dropping-particle":"","family":"Davis-Smith","given":"Monique","non-dropping-particle":"","parse-names":false,"suffix":""}],"container-title":"Journal of the National Medical Association","id":"ITEM-2","issue":"4","issued":{"date-parts":[["2007"]]},"page":"440-47","title":"Implementing a diabetes prevention program in a rural African-American church","type":"article-journal","volume":"99"},"uris":["http://www.mendeley.com/documents/?uuid=0ddb0a52-0cf9-48e8-a66c-340f5fa47213"]},{"id":"ITEM-3","itemData":{"DOI":"10.1186/1471-2458-7-249","ISBN":"1471-2458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Health","id":"ITEM-3","issue":"249","issued":{"date-parts":[["2007"]]},"title":"Prevention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-4","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Medicine","id":"ITEM-4","issue":"4","issued":{"date-parts":[["2010"]]},"page":"459-465","title":"Implementation and effectiveness of the first community lifestyle intervention programme to prevent type 2 diabetes in Greece. The DE-PLAN study","type":"article-journal","volume":"27"},"uris":["http://www.mendeley.com/documents/?uuid=8fa5f81f-3e37-4e03-be5f-801dcd969a98"]},{"id":"ITEM-5","itemData":{"DOI":"10.1097/JNR.0000000000000193","ISBN":"0000000000000","ISSN":"1948965X","PMID":"28277390","abstract":"BACKGROUND: Practicing a health-promoting lifestyle is believed to be effective for delaying or preventing the onset of diabetes. However, although empowerment interventions have proven effective for encouraging the adoption of a health-promoting lifestyle in people with diabetes, these interventions are rarely promoted to people with prediabetes. PURPOSE: The aims of this study were to develop an empowerment program for people with prediabetes and to examine its efficacy in terms of the adoption of a health-promoting lifestyle and improvements in blood sugar, body mass index, and self-efficacy. METHODS: A randomized controlled trial was conducted between May and December 2013. A convenience sample of people with a fasting blood sugar level of 100-125 mg/dl during the previous 3 months was recruited from the health examination center of a hospital in Kaohsiung, Taiwan. Participants were assigned to either the experimental group or the control group using block randomization with a block size of 8. The experimental group (n = 38) participated in a 4-month empowerment program (the ABC empowerment program), which encouraged participants to practice a health-promoting lifestyle in three phases: awareness raising, behavior building, and results checking. The control group (n = 40) received routine clinical care. Statistical analyses included descriptive statistics, independent t test, paired t test, and generalized estimated equations. RESULTS: After controlling for the differences at baseline and considering the interaction between group and time from baseline to 1 week and 3 months after completing the intervention, the generalized estimating equation showed significantly larger improvements in a health-promoting lifestyle, blood sugar, and self-efficacy in the experimental group than in the control group (p &lt; .01). Furthermore, the experimental group achieved a larger reduction in body mass index than the control group at 3 months after completing the intervention (p = .001). CONCLUSIONS/IMPLICATIONS FOR PRACTICE: The empowerment program was shown to have short-term, positive effects on behavioral, physical, and psychosocial outcomes in a Taiwan population with prediabetes. The results of this study provide a useful reference not only for healthcare personnel when implementing empowerment interventions in people with prediabetes but also for nursing educators and healthcare policymakers.","author":[{"dropping-particle":"","family":"Chen","given":"Mei Fang","non-dropping-particle":"","parse-names":false,"suffix":""},{"dropping-particle":"","family":"Hung","given":"Shu Ling","non-dropping-particle":"","parse-names":false,"suffix":""},{"dropping-particle":"","family":"Chen","given":"Shu Lin","non-dropping-particle":"","parse-names":false,"suffix":""}],"container-title":"Journal of Nursing Research","id":"ITEM-5","issue":"2","issued":{"date-parts":[["2017"]]},"page":"99-111","title":"Empowerment program for people with prediabetes: a randomized controlled trial","type":"article-journal","volume":"25"},"uris":["http://www.mendeley.com/documents/?uuid=84db263a-a050-4be7-82d7-ef051548507b"]},{"id":"ITEM-6","itemData":{"DOI":"10.1097/jnr.0000000000000225","ISSN":"1682-3141","abstract":"Background: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Research","id":"ITEM-6","issue":"3","issued":{"date-parts":[["2018"]]},"note":"Accession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mellitus.","type":"article-journal","volume":"26"},"uris":["http://www.mendeley.com/documents/?uuid=7921dfb5-19a6-4219-b142-8d615dab9ad0"]},{"id":"ITEM-7","itemData":{"DOI":"10.1186/s12889-017-4977-1","ISSN":"1471-2458","abstract":"Background: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Health","id":"ITEM-7","issue":"97","issued":{"date-parts":[["2018"]]},"note":"Accession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project).","type":"article-journal","volume":"18"},"uris":["http://www.mendeley.com/documents/?uuid=b3aa252e-2de7-4e59-bd02-07d1564e1b32"]},{"id":"ITEM-8","itemData":{"DOI":"10.1038/nutd.2017.21","ISSN":"20444052","PMID":"28481335","abstract":"BACKGROUND/OBJECTIVES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Diabetes","id":"ITEM-8","issue":"5","issued":{"date-parts":[["2017"]]},"publisher":"Nature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id":"ITEM-9","itemData":{"DOI":"10.1016/j.amepre.2016.11.009","ISBN":"0749-3797 1873-2607","ISSN":"18732607","PMID":"28094135","abstract":"Introduction This clinical demonstration trial compared the effectiveness of the Veterans Affairs Diabetes Prevention Program (VA-DPP) with an evidence-based usual care weight management program (MOVE!®) in the Veterans Health Administration health system. Design Prospective, pragmatic, non-randomized comparative effectiveness study of two behavioral weight management interventions. Setting/participants Obese/overweight Veterans with prediabetes were recruited from three geographically diverse VA sites between 2012 and 2014. Intervention VA-DPP included 22 group-based intensive lifestyle change sessions. Main outcome measures Weight change at 6 and 12 months, hemoglobin A1c (HbA1c) at 12 months, and VA health expenditure changes at 15 months were assessed using VA electronic health record and claims data. Between- and within-group comparisons for weight and HbA1c were done using linear mixed-effects models controlling for age, gender, race/ethnicity, baseline outcome values, and site. Analyses were conducted in 2015–2016. Results A total of 387 participants enrolled (273 VA-DPP, 114 MOVE!). More VA-DPP participants completed at least one (73.3% VA-DPP vs 57.5% MOVE! p=0.002); four (57.5% VA-DPP vs 42.5% MOVE!, p=0.007); and eight or more sessions (42.5% VA-DPP vs 31% MOVE!, p=0.035). Weight loss from baseline was significant at both 6 (p&lt;0.001) and 12 months (p&lt;0.001) for VA-DPP participants, but only significant at 6 months for MOVE! participants (p=0.004). Between groups, there were significant differences in 6-month weight loss (–4.1 kg VA-DPP vs –1.9 kg MOVE!, p&lt;0.001), but not 12-month weight loss (–3.4 kg VA-DPP vs –2.0 kg MOVE!, p=0.16). There were no significant differences in HbA1c change or outpatient, inpatient, and total VA expenditures. Conclusions VA-DPP participants had higher participation rates and weight loss at 6 months, but similar weight, HbA1c, and health expenditures at 12 months compared to MOVE! participants. Features of VA-DPP may help enhance the capability of MOVE! to reach a larger proportion of the served population and promote individual-level weight maintenance.","author":[{"dropping-particle":"","family":"Moin","given":"Tannaz","non-dropping-particle":"","parse-names":false,"suffix":""},{"dropping-particle":"","family":"Damschroder","given":"Laura J.","non-dropping-particle":"","parse-names":false,"suffix":""},{"dropping-particle":"","family":"AuYoung","given":"Mona","non-dropping-particle":"","parse-names":false,"suffix":""},{"dropping-particle":"","family":"Maciejewski","given":"Matthew L.","non-dropping-particle":"","parse-names":false,"suffix":""},{"dropping-particle":"","family":"Datta","given":"Santanu K.","non-dropping-particle":"","parse-names":false,"suffix":""},{"dropping-particle":"","family":"Weinreb","given":"Jane E.","non-dropping-particle":"","parse-names":false,"suffix":""},{"dropping-particle":"","family":"Steinle","given":"Nanette I.","non-dropping-particle":"","parse-names":false,"suffix":""},{"dropping-particle":"","family":"Billington","given":"Charles","non-dropping-particle":"","parse-names":false,"suffix":""},{"dropping-particle":"","family":"Hughes","given":"Maria","non-dropping-particle":"","parse-names":false,"suffix":""},{"dropping-particle":"","family":"Makki","given":"Fatima","non-dropping-particle":"","parse-names":false,"suffix":""},{"dropping-particle":"","family":"Holleman","given":"Robert G.","non-dropping-particle":"","parse-names":false,"suffix":""},{"dropping-particle":"","family":"Kim","given":"H. Myra","non-dropping-particle":"","parse-names":false,"suffix":""},{"dropping-particle":"","family":"Jeffreys","given":"Amy S.","non-dropping-particle":"","parse-names":false,"suffix":""},{"dropping-particle":"","family":"Kinsinger","given":"Linda S.","non-dropping-particle":"","parse-names":false,"suffix":""},{"dropping-particle":"","family":"Burns","given":"Jennifer A.","non-dropping-particle":"","parse-names":false,"suffix":""},{"dropping-particle":"","family":"Richardson","given":"Caroline R.","non-dropping-particle":"","parse-names":false,"suffix":""}],"container-title":"American Journal of Preventive Medicine","id":"ITEM-9","issue":"1","issued":{"date-parts":[["2017"]]},"page":"70-77","publisher":"Elsevier Inc.","title":"Diabetes prevention program translation in the veterans health administration","type":"article-journal","volume":"53"},"uris":["http://www.mendeley.com/documents/?uuid=0b49d9c8-fcae-49b9-b371-d81d371b6825","http://www.mendeley.com/documents/?uuid=c50de4a3-0ca0-411d-8a86-7e096e4ae38f","http://www.mendeley.com/documents/?uuid=34384747-4839-4ff2-b437-aa88272eaf82"]},{"id":"ITEM-10","itemData":{"author":[{"dropping-particle":"","family":"Alva","given":"M.L.","non-dropping-particle":"","parse-names":false,"suffix":""}],"container-title":"American Journal of Health Promotion","id":"ITEM-10","issue":"7","issued":{"date-parts":[["2019"]]},"page":"1067-72","title":"How much does attendance impact weight loss and health care spending in a diabetes prevention program serving older adults?","type":"article-journal","volume":"33"},"uris":["http://www.mendeley.com/documents/?uuid=f1207552-91e1-416b-bc68-b0587dd06592"]},{"id":"ITEM-11","itemData":{"DOI":"10.1186/1471-2458-11-40","ISBN":"1471-2458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health","id":"ITEM-11","issue":"1","issued":{"date-parts":[["2011"]]},"page":"40","title":"Prevention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tolerance","type":"article-journal","volume":"11"},"uris":["http://www.mendeley.com/documents/?uuid=19b949f0-5835-408a-87b0-6bbcfceadb30"]},{"id":"ITEM-12","itemData":{"DOI":"10.1016/j.amepre.2012.12.015","ISBN":"1873-2607 (Electronic)\\r0749-3797 (Linking)","ISSN":"18732607","PMID":"23498294","abstract":"Background: Since the Diabetes Prevention Project (DPP) demonstrated that lifestyle weight-loss interventions can reduce the incidence of diabetes by 58%, several studies have translated the DPP methods to public health - friendly contexts. Although these studies have demonstrated short-term effects, no study to date has examined the impact of a translated DPP intervention on blood glucose and adiposity beyond 12 months of follow-up. Purpose: To examine the impact of a 24-month, community-based diabetes prevention program on fasting blood glucose, insulin, insulin resistance as well as body weight, waist circumference, and BMI in the second year of follow-up. Design: An RCT comparing a 24-month lifestyle weight-loss program (LWL) to an enhanced usual care condition (UCC) in participants with prediabetes (fasting blood glucose = 95 - 125 mg/dL). Data were collected in 2007-2011; analyses were conducted in 2011-2012. Setting/participants: 301 participants with prediabetes were randomized; 261 completed the study. The intervention was held in community-based sites. Intervention: The LWL program was led by community health workers and sought to induce 7% weight loss at 6 months that would be maintained over time through decreased caloric intake and increased physical activity. The UCC received two visits with a registered dietitian and a monthly newsletter. Main outcome measures: The main measures were fasting blood glucose, insulin, insulin resistance, body weight, waist circumference, and BMI. Results: Intent-to-treat analyses of between-group differences in the average of 18- and 24-month measures of outcomes (controlling for baseline values) revealed that the LWL participants experienced greater decreases in fasting glucose (- 4.35 mg/dL); insulin (- 3.01 μU/ml); insulin resistance (- 0.97); body weight (- 4.19 kg); waist circumference (- 3.23 cm); and BMI (- 1.40), allp-values &lt;0.01. Conclusions: A diabetes prevention program administered through an existing community-based system and delivered by community health workers is effective at inducing significant long-term reductions in metabolic indicators and adiposity. © 2013 American Journal of Preventive Medicine.","author":[{"dropping-particle":"","family":"Katula","given":"Jeffrey A.","non-dropping-particle":"","parse-names":false,"suffix":""},{"dropping-particle":"","family":"Vitolins","given":"Mara Z.","non-dropping-particle":"","parse-names":false,"suffix":""},{"dropping-particle":"","family":"Morgan","given":"Timothy M.","non-dropping-particle":"","parse-names":false,"suffix":""},{"dropping-particle":"","family":"Lawlor","given":"Michael S.","non-dropping-particle":"","parse-names":false,"suffix":""},{"dropping-particle":"","family":"Blackwell","given":"Caroline S.","non-dropping-particle":"","parse-names":false,"suffix":""},{"dropping-particle":"","family":"Isom","given":"Scott P.","non-dropping-particle":"","parse-names":false,"suffix":""},{"dropping-particle":"","family":"Pedley","given":"Carolyn F.","non-dropping-particle":"","parse-names":false,"suffix":""},{"dropping-particle":"","family":"Goff","given":"David C.","non-dropping-particle":"","parse-names":false,"suffix":""}],"container-title":"American Journal of Preventive Medicine","id":"ITEM-12","issue":"4S4","issued":{"date-parts":[["2013"]]},"page":"S324-S332","publisher":"Elsevier Inc.","title":"The healthy living partnerships to prevent diabetes study: 2-year outcomes of a randomized controlled trial","type":"article-journal","volume":"44"},"uris":["http://www.mendeley.com/documents/?uuid=622c5a69-cd33-454b-a85e-af4bc359d8a1"]}],"mendeley":{"formattedCitation":"(Alva, 2019b; Bernstein, A.M., Gendy, G., Rudd, N., Doyle, J., Fay, S., Moffett, K., 2014; M. F. Chen et al., 2017; Davis-Smith, 2007; Duijzer et al., 2017; Gilis-Januszewska, Piwońska-Solska, et al., 2018; Katula et al., 2013; Laatikainen et al., 2007; Makrilakis et al., 2010; Moin et al., 2017; Sakane et al., 2011; Tsai et al., 2018)","manualFormatting":"(Alva, 2019; Bernstein, Gendy, Rudd, Doyle, Fay, Moffett, 2014; Chen et al., 2017; Davis-Smith, 2007; Duijzer et al., 2017; Gilis-Januszewska, Piwońska-Solska, et al., 2018; Katula et al., 2013; Laatikainen et al., 2007; Makrilakis et al., 2010; Moin et al., 2017; Sakane et al., 2011; Tsai et al., 2018)","plainTextFormattedCitation":"(Alva, 2019b; Bernstein, A.M., Gendy, G., Rudd, N., Doyle, J., Fay, S., Moffett, K., 2014; M. F. Chen et al., 2017; Davis-Smith, 2007; Duijzer et al., 2017; Gilis-Januszewska, Piwońska-Solska, et al., 2018; Katula et al., 2013; Laatikainen et al., 2007; Makrilakis et al., 2010; Moin et al., 2017; Sakane et al., 2011; Tsai et al., 2018)","previouslyFormattedCitation":"(Alva, 2019b; Bernstein, A.M., Gendy, G., Rudd, N., Doyle, J., Fay, S., Moffett, K., 2014; M. F. Chen et al., 2017; Davis-Smith, 2007; Duijzer et al., 2017; Gilis-Januszewska, Piwońska-Solska, et al., 2018; Katula et al., 2013; Laatikainen et al., 2007; Makrilakis et al., 2010; Moin et al., 2017; Sakane et al., 2011; Tsai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(Alva, 2019; Bernstein, Gendy, Rudd, Doyle, Fay, Moffett, 2014; Chen et al., 2017; Davis-Smith, 2007; Duijzer et al., 2017; Gilis-Januszewska, Piwońska-Solska, et al., 2018; Katula et al., 2013; Laatikainen et al., 2007; Makrilakis et al., 2010; Moin et al., 2017; Sakane et al., 2011; Tsai et al., 2018)</w:t>
      </w:r>
      <w:r w:rsidRPr="00103A0B">
        <w:rPr>
          <w:rFonts w:ascii="Arial" w:hAnsi="Arial" w:cs="Arial"/>
        </w:rPr>
        <w:fldChar w:fldCharType="end"/>
      </w:r>
      <w:r w:rsidRPr="00103A0B">
        <w:rPr>
          <w:rFonts w:ascii="Arial" w:eastAsia="Times New Roman" w:hAnsi="Arial" w:cs="Arial"/>
          <w:sz w:val="24"/>
          <w:szCs w:val="24"/>
          <w:lang w:eastAsia="en-GB"/>
        </w:rPr>
        <w:t xml:space="preserve">, and then weak (n=4) </w:t>
      </w:r>
      <w:r w:rsidRPr="00103A0B">
        <w:rPr>
          <w:rFonts w:ascii="Arial" w:hAnsi="Arial" w:cs="Arial"/>
          <w:sz w:val="24"/>
          <w:szCs w:val="24"/>
        </w:rPr>
        <w:fldChar w:fldCharType="begin" w:fldLock="1"/>
      </w:r>
      <w:r w:rsidR="00873997"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Association","id":"ITEM-2","issue":"3","issued":{"date-parts":[["2011"]]},"page":"194-202","title":"Translation of the national institutes of health diabetes prevention program in African American churches","type":"article-journal","volume":"103"},"uris":["http://www.mendeley.com/documents/?uuid=9a9d913a-7043-4df3-a05c-f50fa2ed8eff"]},{"id":"ITEM-3","itemData":{"DOI":"10.1371/journal.pone.0146095","ISBN":"1932-6203","ISSN":"1932-6203","PMID":"26731676","abstract":"In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One","id":"ITEM-3","issue":"1","issued":{"date-parts":[["2016"]]},"page":"e0146095","title":"Long-term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island","type":"article-journal","volume":"11"},"uris":["http://www.mendeley.com/documents/?uuid=e072a9e3-f17a-48e3-98af-f3db4a1c8ee3"]},{"id":"ITEM-4","itemData":{"DOI":"10.2337/dc12-1250","ISBN":"0149-5992\\r1935-5548","ISSN":"01495992","PMID":"23275375","abstract":"OBJECTIVE: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Care","id":"ITEM-4","issue":"7","issued":{"date-parts":[["2013"]]},"page":"2027-2034","title":"Translating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project","type":"article-journal","volume":"36"},"uris":["http://www.mendeley.com/documents/?uuid=6fb8d6ab-39ae-48b6-b78a-5dcf85b9cf0a"]}],"mendeley":{"formattedCitation":"(Almeida, F.A., Shetterly, S., Smith-Ray, R.L., Estabrooks, 2010; Boltri et al., 2011; Fianu et al., 2016; Jiang et al., 2013)","manualFormatting":"(Almeida, Shetterly, Smith-Ray, Estabrooks, 2010; Boltri et al., 2011; Fianu et al., 2016; Jiang et al., 2013)","plainTextFormattedCitation":"(Almeida, F.A., Shetterly, S., Smith-Ray, R.L., Estabrooks, 2010; Boltri et al., 2011; Fianu et al., 2016; Jiang et al., 2013)","previouslyFormattedCitation":"(Almeida, F.A., Shetterly, S., Smith-Ray, R.L., Estabrooks, 2010; Boltri et al., 2011; Fianu et al., 2016; Jiang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(Almeida, Shetterly, Smith-Ray, Estabrooks, 2010; Boltri et al., 2011; Fianu et al., 2016; Jiang et al., 2013)</w:t>
      </w:r>
      <w:r w:rsidRPr="00103A0B">
        <w:rPr>
          <w:rFonts w:ascii="Arial" w:hAnsi="Arial" w:cs="Arial"/>
          <w:sz w:val="24"/>
          <w:szCs w:val="24"/>
        </w:rPr>
        <w:fldChar w:fldCharType="end"/>
      </w:r>
      <w:r w:rsidRPr="00103A0B">
        <w:rPr>
          <w:rFonts w:ascii="Arial" w:hAnsi="Arial" w:cs="Arial"/>
          <w:sz w:val="24"/>
          <w:szCs w:val="24"/>
        </w:rPr>
        <w:t xml:space="preserve"> (Table 2)</w:t>
      </w:r>
      <w:r w:rsidRPr="00103A0B">
        <w:rPr>
          <w:rFonts w:ascii="Arial" w:eastAsia="Times New Roman" w:hAnsi="Arial" w:cs="Arial"/>
          <w:sz w:val="24"/>
          <w:szCs w:val="24"/>
          <w:lang w:eastAsia="en-GB"/>
        </w:rPr>
        <w:t>.</w:t>
      </w:r>
    </w:p>
    <w:p w14:paraId="4787010C" w14:textId="531977CA" w:rsidR="00324C56" w:rsidRPr="00103A0B" w:rsidRDefault="00324C56" w:rsidP="005D0A3A">
      <w:pPr>
        <w:spacing w:line="360" w:lineRule="auto"/>
        <w:jc w:val="both"/>
        <w:rPr>
          <w:rFonts w:ascii="Arial" w:hAnsi="Arial" w:cs="Arial"/>
          <w:lang w:eastAsia="en-GB"/>
        </w:rPr>
      </w:pPr>
    </w:p>
    <w:p w14:paraId="131569A9" w14:textId="77777777" w:rsidR="00AD1D6B" w:rsidRPr="00103A0B" w:rsidRDefault="00AD1D6B" w:rsidP="005D0A3A">
      <w:pPr>
        <w:spacing w:line="360" w:lineRule="auto"/>
        <w:jc w:val="both"/>
        <w:rPr>
          <w:rFonts w:ascii="Arial" w:hAnsi="Arial" w:cs="Arial"/>
          <w:lang w:eastAsia="en-GB"/>
        </w:rPr>
      </w:pPr>
    </w:p>
    <w:p w14:paraId="21400633" w14:textId="149B80D0" w:rsidR="00324C56" w:rsidRPr="00103A0B" w:rsidRDefault="004B3096" w:rsidP="005D0A3A">
      <w:pPr>
        <w:keepLines/>
        <w:jc w:val="both"/>
        <w:rPr>
          <w:rFonts w:ascii="Arial" w:hAnsi="Arial" w:cs="Arial"/>
          <w:b/>
          <w:bCs/>
          <w:sz w:val="24"/>
          <w:szCs w:val="24"/>
        </w:rPr>
      </w:pPr>
      <w:bookmarkStart w:id="97" w:name="_Toc41404591"/>
      <w:r w:rsidRPr="00103A0B">
        <w:rPr>
          <w:rFonts w:ascii="Arial" w:hAnsi="Arial" w:cs="Arial"/>
          <w:b/>
          <w:bCs/>
          <w:sz w:val="24"/>
          <w:szCs w:val="24"/>
        </w:rPr>
        <w:lastRenderedPageBreak/>
        <w:t xml:space="preserve">2.3.3 </w:t>
      </w:r>
      <w:r w:rsidR="00324C56" w:rsidRPr="00103A0B">
        <w:rPr>
          <w:rFonts w:ascii="Arial" w:hAnsi="Arial" w:cs="Arial"/>
          <w:b/>
          <w:bCs/>
          <w:sz w:val="24"/>
          <w:szCs w:val="24"/>
        </w:rPr>
        <w:t>Participants</w:t>
      </w:r>
      <w:bookmarkEnd w:id="97"/>
    </w:p>
    <w:p w14:paraId="5081428B" w14:textId="7A77C421"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Across all included papers the number of participants who started the intervention ranged from 10 to 3,317 participants. Mean participant age ranged from 47.0 (±9.0) to 69.0 (±4.0) years. The majority had predominantly female samples (n=27) </w:t>
      </w:r>
      <w:r w:rsidRPr="00103A0B">
        <w:rPr>
          <w:rFonts w:ascii="Arial" w:hAnsi="Arial" w:cs="Arial"/>
        </w:rPr>
        <w:fldChar w:fldCharType="begin" w:fldLock="1"/>
      </w:r>
      <w:r w:rsidR="007C3391"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Health","id":"ITEM-2","issued":{"date-parts":[["2014"]]},"page":"674-77","publisher":"The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trial","type":"article-journal","volume":"128"},"uris":["http://www.mendeley.com/documents/?uuid=1abeaa8a-5178-4243-9733-7fd8d5ef92d5"]},{"id":"ITEM-3","itemData":{"author":[{"dropping-particle":"","family":"Boltri","given":"John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Association","id":"ITEM-3","issue":"3","issued":{"date-parts":[["2011"]]},"page":"194-202","title":"Translation of the national institutes of health diabetes prevention program in African American churches","type":"article-journal","volume":"103"},"uris":["http://www.mendeley.com/documents/?uuid=9a9d913a-7043-4df3-a05c-f50fa2ed8eff"]},{"id":"ITEM-4","itemData":{"author":[{"dropping-particle":"","family":"Davis-Smith","given":"Monique","non-dropping-particle":"","parse-names":false,"suffix":""}],"container-title":"Journal of the National Medical Association","id":"ITEM-4","issue":"4","issued":{"date-parts":[["2007"]]},"page":"440-47","title":"Implementing a diabetes prevention program in a rural African-American church","type":"article-journal","volume":"99"},"uris":["http://www.mendeley.com/documents/?uuid=0ddb0a52-0cf9-48e8-a66c-340f5fa47213"]},{"id":"ITEM-5","itemData":{"DOI":"10.1371/journal.pone.0146095","ISBN":"1932-6203","ISSN":"1932-6203","PMID":"26731676","abstract":"In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One","id":"ITEM-5","issue":"1","issued":{"date-parts":[["2016"]]},"page":"e0146095","title":"Long-term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island","type":"article-journal","volume":"11"},"uris":["http://www.mendeley.com/documents/?uuid=e072a9e3-f17a-48e3-98af-f3db4a1c8ee3"]},{"id":"ITEM-6","itemData":{"DOI":"10.1016/j.diabet.2011.01.003","ISBN":"1262-3636","ISSN":"12623636","PMID":"21489843","abstract":"Aim: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Metabolism","id":"ITEM-6","issue":"5","issued":{"date-parts":[["2011"]]},"page":"410-418","publisher":"Elsevier Masson SAS","title":"A cost-effective moderate-intensity interdisciplinary weight-management programme for individuals with prediabetes","type":"article-journal","volume":"37"},"uris":["http://www.mendeley.com/documents/?uuid=41ec2ecb-3bf5-4b9a-b2fd-15933532a929"]},{"id":"ITEM-7","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Care","id":"ITEM-7","issue":"7","issued":{"date-parts":[["2013"]]},"page":"2027-2034","title":"Translating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project","type":"article-journal","volume":"36"},"uris":["http://www.mendeley.com/documents/?uuid=6fb8d6ab-39ae-48b6-b78a-5dcf85b9cf0a"]},{"id":"ITEM-8","itemData":{"DOI":"10.1016/j.amepre.2012.12.015","ISBN":"1873-2607 (Electronic)\\r0749-3797 (Linking)","ISSN":"18732607","PMID":"23498294","abstract":"Background: Since the Diabetes Prevention Project (DPP) demonstrated that lifestyle weight-loss interventions can reduce the incidence of diabetes by 58%, several studies have translated the DPP methods to public health - friendly contexts. Although these studies have demonstrated short-term effects, no study to date has examined the impact of a translated DPP intervention on blood glucose and adiposity beyond 12 months of follow-up. Purpose: To examine the impact of a 24-month, community-based diabetes prevention program on fasting blood glucose, insulin, insulin resistance as well as body weight, waist circumference, and BMI in the second year of follow-up. Design: An RCT comparing a 24-month lifestyle weight-loss program (LWL) to an enhanced usual care condition (UCC) in participants with prediabetes (fasting blood glucose = 95 - 125 mg/dL). Data were collected in 2007-2011; analyses were conducted in 2011-2012. Setting/participants: 301 participants with prediabetes were randomized; 261 completed the study. The intervention was held in community-based sites. Intervention: The LWL program was led by community health workers and sought to induce 7% weight loss at 6 months that would be maintained over time through decreased caloric intake and increased physical activity. The UCC received two visits with a registered dietitian and a monthly newsletter. Main outcome measures: The main measures were fasting blood glucose, insulin, insulin resistance, body weight, waist circumference, and BMI. Results: Intent-to-treat analyses of between-group differences in the average of 18- and 24-month measures of outcomes (controlling for baseline values) revealed that the LWL participants experienced greater decreases in fasting glucose (- 4.35 mg/dL); insulin (- 3.01 μU/ml); insulin resistance (- 0.97); body weight (- 4.19 kg); waist circumference (- 3.23 cm); and BMI (- 1.40), allp-values &lt;0.01. Conclusions: A diabetes prevention program administered through an existing community-based system and delivered by community health workers is effective at inducing significant long-term reductions in metabolic indicators and adiposity. © 2013 American Journal of Preventive Medicine.","author":[{"dropping-particle":"","family":"Katula","given":"Jeffrey A.","non-dropping-particle":"","parse-names":false,"suffix":""},{"dropping-particle":"","family":"Vitolins","given":"Mara Z.","non-dropping-particle":"","parse-names":false,"suffix":""},{"dropping-particle":"","family":"Morgan","given":"Timothy M.","non-dropping-particle":"","parse-names":false,"suffix":""},{"dropping-particle":"","family":"Lawlor","given":"Michael S.","non-dropping-particle":"","parse-names":false,"suffix":""},{"dropping-particle":"","family":"Blackwell","given":"Caroline S.","non-dropping-particle":"","parse-names":false,"suffix":""},{"dropping-particle":"","family":"Isom","given":"Scott P.","non-dropping-particle":"","parse-names":false,"suffix":""},{"dropping-particle":"","family":"Pedley","given":"Carolyn F.","non-dropping-particle":"","parse-names":false,"suffix":""},{"dropping-particle":"","family":"Goff","given":"David C.","non-dropping-particle":"","parse-names":false,"suffix":""}],"container-title":"American Journal of Preventive Medicine","id":"ITEM-8","issue":"4S4","issued":{"date-parts":[["2013"]]},"page":"S324-S332","publisher":"Elsevier Inc.","title":"The healthy living partnerships to prevent diabetes study: 2-year outcomes of a randomized controlled trial","type":"article-journal","volume":"44"},"uris":["http://www.mendeley.com/documents/?uuid=622c5a69-cd33-454b-a85e-af4bc359d8a1"]},{"id":"ITEM-9","itemData":{"DOI":"10.1186/1471-2458-7-249","ISBN":"1471-2458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Health","id":"ITEM-9","issue":"249","issued":{"date-parts":[["2007"]]},"title":"Prevention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-10","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Medicine","id":"ITEM-10","issue":"4","issued":{"date-parts":[["2010"]]},"page":"459-465","title":"Implementation and effectiveness of the first community lifestyle intervention programme to prevent type 2 diabetes in Greece. The DE-PLAN study","type":"article-journal","volume":"27"},"uris":["http://www.mendeley.com/documents/?uuid=8fa5f81f-3e37-4e03-be5f-801dcd969a98"]},{"id":"ITEM-11","itemData":{"DOI":"10.2105/AJPH.2015.303035","ISBN":"0090-0036","ISSN":"15410048","PMID":"26890171","abstract":"OBJECTIVES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Health","id":"ITEM-11","issue":"5","issued":{"date-parts":[["2016"]]},"page":"949-956","title":"Comparison of commercial and self-initiated weight loss programs in people with prediabetes: a randomized control trial","type":"article-journal","volume":"106"},"uris":["http://www.mendeley.com/documents/?uuid=e4e3235a-a86a-4b63-ad04-9e4c2402dc1e"]},{"id":"ITEM-12","itemData":{"DOI":"10.1186/1472-6882-14-212","ISBN":"1472-6882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Medicine","id":"ITEM-12","issue":"1","issued":{"date-parts":[["2014"]]},"page":"212","title":"A yoga intervention for type 2 diabetes risk reduction: a pilot randomized controlled trial","type":"article-journal","volume":"14"},"uris":["http://www.mendeley.com/documents/?uuid=934d80fb-c55d-4626-908a-2ca578b57990"]},{"id":"ITEM-13","itemData":{"DOI":"10.1016/j.jneb.2015.12.002","ISBN":"1499-4046","ISSN":"14994046","PMID":"26787601","abstract":"Objective: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Behavior","id":"ITEM-13","issue":"3","issued":{"date-parts":[["2016"]]},"page":"160-69","publisher":"Elsevier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trial","type":"article-journal","volume":"48"},"uris":["http://www.mendeley.com/documents/?uuid=2d8c03a8-0024-4655-930b-c43e21a3fdf8"]},{"id":"ITEM-14","itemData":{"DOI":"10.1080/08870440903548749","ISBN":"0887044090354","ISSN":"0887-0446","PMID":"20945253","abstract":"This study was a randomised control trial with a waiting control group. It was designed to evaluate the effectiveness of a 6-month, group-based diabetes prevention programme, The Healthy Living Course and assess whether participation in the programme led to changes in modifiable risk factors for type 2 diabetes among an already at-risk pre-diabetic population. Individuals designated at risk for diabetes by their general practitioners (GPs) were screened using an Oral Glucose Tolerance Test. Volunteers (N = 307) with pre-diabetes were assigned to an intervention or wait-control group in the ratio of approximately 2 : 1. The sample was pre-tested on biochemical, anthropometric and self-report behavioural, cognitive and mood variables and post-tested either at the end of the educational/support-based lifestyle programme or the end of the wait period. The intervention group significantly improved their diabetes knowledge, motivation to change, positive affect, healthy eating and activity levels and showed significantly greater reductions in weight, body mass index, waist circumference, diastolic blood pressure and fasting plasma glucose in comparison with controls. The intervention group also changed their diagnostic status from pre-diabetes to non-diabetes at a greater rate than the wait group (43% vs. 26%) who received standard care from their GPs.","author":[{"dropping-particle":"","family":"Moore","given":"Susan M.","non-dropping-particle":"","parse-names":false,"suffix":""},{"dropping-particle":"","family":"Hardie","given":"Elizabeth A.","non-dropping-particle":"","parse-names":false,"suffix":""},{"dropping-particle":"","family":"Hackworth","given":"Naomi J.","non-dropping-particle":"","parse-names":false,"suffix":""},{"dropping-particle":"","family":"Critchley","given":"Christine R.","non-dropping-particle":"","parse-names":false,"suffix":""},{"dropping-particle":"","family":"Kyrios","given":"Michael","non-dropping-particle":"","parse-names":false,"suffix":""},{"dropping-particle":"","family":"Buzwell","given":"Simone A.","non-dropping-particle":"","parse-names":false,"suffix":""},{"dropping-particle":"","family":"Crafti","given":"Naomi A.","non-dropping-particle":"","parse-names":false,"suffix":""}],"container-title":"Psychology &amp; Health","id":"ITEM-14","issue":"4","issued":{"date-parts":[["2011"]]},"page":"485-499","title":"Can the onset of type 2 diabetes be delayed by a group-based lifestyle intervention? a randomised control trial","type":"article-journal","volume":"26"},"uris":["http://www.mendeley.com/documents/?uuid=f731fbbd-3174-40ae-b00f-158e50237e1f"]},{"id":"ITEM-15","itemData":{"DOI":"10.2105/AJPH.2011.300357","ISBN":"1541-0048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Health","id":"ITEM-15","issue":"2","issued":{"date-parts":[["2012"]]},"page":"336-342","title":"Outcomes of a Latino community-based intervention for the prevention of diabetes: the lawrence Latino diabetes prevention project","type":"article-journal","volume":"102"},"uris":["http://www.mendeley.com/documents/?uuid=6b9cb080-dc52-4e71-a5c6-bb5e3c90945b"]},{"id":"ITEM-16","itemData":{"DOI":"10.2337/dc08-0152.","author":[{"dropping-particle":"","family":"Payne WR, Walsh KJ., Harvey JT, Livy MF, Mckenzie KJ, Donaldson A","given":"et al.","non-dropping-particle":"","parse-names":false,"suffix":""}],"container-title":"Diabetes Care","id":"ITEM-16","issued":{"date-parts":[["2008"]]},"page":"2244-50","title":"Effect of a low–resource-intensive lifestyle modification program incorporating gymnasium-based and home-based resistance training on type 2 diabetes risk in Australian adults","type":"article-journal","volume":"31"},"uris":["http://www.mendeley.com/documents/?uuid=94025970-6bd0-4bcf-89d4-48f46a796268"]},{"id":"ITEM-17","itemData":{"DOI":"10.1016/j.nutres.2010.03.003","ISBN":"0271-5317","ISSN":"02715317","PMID":"20417879","abstract":"The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Research","id":"ITEM-17","issue":"3","issued":{"date-parts":[["2010"]]},"page":"186-190","publisher":"Elsevier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tolerance","type":"article-journal","volume":"30"},"uris":["http://www.mendeley.com/documents/?uuid=24bc950c-bfd2-4632-8ad0-a20eee1f7dc8"]},{"id":"ITEM-18","itemData":{"DOI":"10.1177/0145721714521020","ISBN":"0145-7217","ISSN":"15546063","PMID":"24510942","abstract":"Purpose: This article reports the results of a community-based, culturally tailored diabetes prevention program for overweight Mexican American adults on weight loss, waist circumference, diet and physical activity self-efficacy, and diet behaviors., Methods: The intervention used content from the Diabetes Prevention Program but culturally tailored the delivery methods into a community-based program for Spanishspeaking adults of Mexican descent. The design was a randomized controlled trial (N = 58) comparing the effects of a 5-month educational intervention with an attention control group. The primary study outcome was weight loss. Secondary outcomes included change in waist circumference, body mass index, diet self-efficacy, and physical activity self-efficacy., Results: There were significant intervention effects for weight, waist circumference, body mass index, and diet selfefficacy, with the intervention group doing better than the control group. These effects did not change over time., Conclusions: Findings support the conclusion that a community-based, culturally tailored intervention is effective in reducing diabetes risk factors in a 5-month program., (C) 2014 Sage Publishing","author":[{"dropping-particle":"","family":"Vincent","given":"Deborah","non-dropping-particle":"","parse-names":false,"suffix":""},{"dropping-particle":"","family":"McEwen","given":"Marylyn M.","non-dropping-particle":"","parse-names":false,"suffix":""},{"dropping-particle":"","family":"Hepworth","given":"Joseph T.","non-dropping-particle":"","parse-names":false,"suffix":""},{"dropping-particle":"","family":"Stump","given":"Craig S.","non-dropping-particle":"","parse-names":false,"suffix":""}],"container-title":"The Diabetes Educator","id":"ITEM-18","issue":"2","issued":{"date-parts":[["2014"]]},"page":"202-213","title":"The effects of a community-based, culturally tailored diabetes prevention intervention for high-risk adults of Mexican descent","type":"article-journal","volume":"40"},"uris":["http://www.mendeley.com/documents/?uuid=45a67a3a-a21d-4e1b-b15e-e4fcd00a23e0"]},{"id":"ITEM-19","itemData":{"DOI":"10.1111/dme.12848","ISBN":"0742-3071","ISSN":"14645491","PMID":"26179569","abstract":"METHODS: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Medicine","id":"ITEM-19","issue":"4","issued":{"date-parts":[["2015"]]},"page":"547-551","title":"Translation of the diabetes prevention program for diabetes risk reduction in Chinese immigrants in New York city","type":"article-journal","volume":"33"},"uris":["http://www.mendeley.com/documents/?uuid=05391168-7679-4063-baae-26f96e47d08a"]},{"id":"ITEM-20","itemData":{"ISBN":"00900036","ISSN":"00900036","PMID":"52016494","abstract":"Objectives.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Health","id":"ITEM-20","issued":{"date-parts":[["2010"]]},"page":"232-39","title":"Results of a pilot diabetes prevention intervention in East Harlem, New York city: project HEED","type":"article-journal","volume":"100"},"uris":["http://www.mendeley.com/documents/?uuid=6ca00620-5eb7-44be-86f5-e0fe0414de89"]},{"id":"ITEM-21","itemData":{"DOI":"10.1097/JNR.0000000000000193","ISBN":"0000000000000","ISSN":"1948965X","PMID":"28277390","abstract":"BACKGROUND: Practicing a health-promoting lifestyle is believed to be effective for delaying or preventing the onset of diabetes. However, although empowerment interventions have proven effective for encouraging the adoption of a health-promoting lifestyle in people with diabetes, these interventions are rarely promoted to people with prediabetes. PURPOSE: The aims of this study were to develop an empowerment program for people with prediabetes and to examine its efficacy in terms of the adoption of a health-promoting lifestyle and improvements in blood sugar, body mass index, and self-efficacy. METHODS: A randomized controlled trial was conducted between May and December 2013. A convenience sample of people with a fasting blood sugar level of 100-125 mg/dl during the previous 3 months was recruited from the health examination center of a hospital in Kaohsiung, Taiwan. Participants were assigned to either the experimental group or the control group using block randomization with a block size of 8. The experimental group (n = 38) participated in a 4-month empowerment program (the ABC empowerment program), which encouraged participants to practice a health-promoting lifestyle in three phases: awareness raising, behavior building, and results checking. The control group (n = 40) received routine clinical care. Statistical analyses included descriptive statistics, independent t test, paired t test, and generalized estimated equations. RESULTS: After controlling for the differences at baseline and considering the interaction between group and time from baseline to 1 week and 3 months after completing the intervention, the generalized estimating equation showed significantly larger improvements in a health-promoting lifestyle, blood sugar, and self-efficacy in the experimental group than in the control group (p &lt; .01). Furthermore, the experimental group achieved a larger reduction in body mass index than the control group at 3 months after completing the intervention (p = .001). CONCLUSIONS/IMPLICATIONS FOR PRACTICE: The empowerment program was shown to have short-term, positive effects on behavioral, physical, and psychosocial outcomes in a Taiwan population with prediabetes. The results of this study provide a useful reference not only for healthcare personnel when implementing empowerment interventions in people with prediabetes but also for nursing educators and healthcare policymakers.","author":[{"dropping-particle":"","family":"Chen","given":"Mei Fang","non-dropping-particle":"","parse-names":false,"suffix":""},{"dropping-particle":"","family":"Hung","given":"Shu Ling","non-dropping-particle":"","parse-names":false,"suffix":""},{"dropping-particle":"","family":"Chen","given":"Shu Lin","non-dropping-particle":"","parse-names":false,"suffix":""}],"container-title":"Journal of Nursing Research","id":"ITEM-21","issue":"2","issued":{"date-parts":[["2017"]]},"page":"99-111","title":"Empowerment program for people with prediabetes: a randomized controlled trial","type":"article-journal","volume":"25"},"uris":["http://www.mendeley.com/documents/?uuid=84db263a-a050-4be7-82d7-ef051548507b"]},{"id":"ITEM-22","itemData":{"DOI":"10.1186/s12875-017-0671-8","ISSN":"1471-2296","abstract":"Background: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Practice","id":"ITEM-22","issue":"1","issued":{"date-parts":[["2017"]]},"note":"Accession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study.","type":"article-journal","volume":"18"},"uris":["http://www.mendeley.com/documents/?uuid=0c5adc52-ca11-4f07-80d4-bf37e6cec46f"]},{"id":"ITEM-23","itemData":{"DOI":"10.1186/s12889-017-4977-1","ISSN":"1471-2458","abstract":"Background: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Health","id":"ITEM-23","issue":"97","issued":{"date-parts":[["2018"]]},"note":"Accession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project).","type":"article-journal","volume":"18"},"uris":["http://www.mendeley.com/documents/?uuid=b3aa252e-2de7-4e59-bd02-07d1564e1b32"]},{"id":"ITEM-24","itemData":{"DOI":"10.1093/tbm/ibx064","ISSN":"1613-9860","abstract":"The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Medicine","id":"ITEM-24","issue":"2","issued":{"date-parts":[["2018"]]},"note":"Accession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illness.","type":"article-journal","volume":"8"},"uris":["http://www.mendeley.com/documents/?uuid=25ddcc05-70f1-4333-9e99-b9d202b84d0d"]},{"id":"ITEM-25","itemData":{"DOI":"10.1097/jnr.0000000000000225","ISSN":"1682-3141","abstract":"Background: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Research","id":"ITEM-25","issue":"3","issued":{"date-parts":[["2018"]]},"note":"Accession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id":"ITEM-26","itemData":{"author":[{"dropping-particle":"","family":"Alva","given":"M.L.","non-dropping-particle":"","parse-names":false,"suffix":""}],"container-title":"American Journal of Health Promotion","id":"ITEM-26","issue":"7","issued":{"date-parts":[["2019"]]},"page":"1067-72","title":"How much does attendance impact weight loss and health care spending in a diabetes prevention program serving older adults?","type":"article-journal","volume":"33"},"uris":["http://www.mendeley.com/documents/?uuid=f1207552-91e1-416b-bc68-b0587dd06592"]},{"id":"ITEM-27","itemData":{"DOI":"10.1177/2150132719847374","author":[{"dropping-particle":"","family":"Aekplakorn","given":"Wichai","non-dropping-particle":"","parse-names":false,"suffix":""},{"dropping-particle":"","family":"Tantayotai","given":"Valla","non-dropping-particle":"","parse-names":false,"suffix":""},{"dropping-particle":"","family":"Numsangkul","given":"Sakawduan","non-dropping-particle":"","parse-names":false,"suffix":""},{"dropping-particle":"","family":"Tatsato","given":"Nutchanat","non-dropping-particle":"","parse-names":false,"suffix":""},{"dropping-particle":"","family":"Luckanajantachote","given":"Pranee","non-dropping-particle":"","parse-names":false,"suffix":""}],"container-title":"Journal of Primary Care and Community Health","id":"ITEM-27","issued":{"date-parts":[["2019"]]},"page":"1-8","title":"Evaluation of a community-based diabetes prevention program in Thailand : a cluster randomized controlled trial","type":"article-journal","volume":"10"},"uris":["http://www.mendeley.com/documents/?uuid=8b3b4c2b-0469-4192-909b-c057fc6c5460"]}],"mendeley":{"formattedCitation":"(Aekplakorn et al., 2019; Almeida, F.A., Shetterly, S., Smith-Ray, R.L., Estabrooks, 2010; Alva, 2019b; Bernstein, A.M., Gendy, G., Rudd, N., Doyle, J., Fay, S., Moffett, K., 2014; Boltri et al., 2011; M. F. Chen et al., 2017; Coppell et al., 2017; Davis-Smith, 2007; Fianu et al., 2016; Gagnon et al., 2011; Gilis-Januszewska, Piwońska-Solska, et al., 2018; Jiang et al., 2013; Katula et al., 2013; Laatikainen et al., 2007; Makrilakis et al., 2010; Marrero et al., 2016; McDermott et al., 2014; Miller et al., 2016; Moore et al., 2011; Ockene et al., 2012; Parikh et al., 2010; Payne WR, Walsh KJ., Harvey JT, Livy MF, Mckenzie KJ, Donaldson A, 2008; Pimentel et al., 2010; Quiñones et al., 2018; Tsai et al., 2018; Vincent et al., 2014; Yeh et al., 2015)","manualFormatting":"(Aekplakorn et al., 2019; Almeida, Shetterly, Smith-Ray, Estabrooks, 2010; Alva, 2019; Bernstein, Gendy, Rudd, Doyle, Fay, Moffett, 2014; Boltri et al., 2011; Chen et al., 2017; Coppell et al., 2017; Davis-Smith, 2007; Fianu et al., 2016; Gagnon et al., 2011; Gilis-Januszewska, Piwońska-Solska, et al., 2018; Jiang et al., 2013; Katula et al., 2013; Laatikainen et al., 2007; Makrilakis et al., 2010; Marrero et al., 2016; McDermott et al., 2014; Miller et al., 2016; Moore et al., 2011; Ockene et al., 2012; Parikh et al., 2010; Payne, Walsh, Harvey, Livy, Mckenzie, Donaldson, 2008; Pimentel et al., 2010; Quiñones et al., 2018; Tsai et al., 2018; Vincent et al., 2014b; Yeh et al., 2015)","plainTextFormattedCitation":"(Aekplakorn et al., 2019; Almeida, F.A., Shetterly, S., Smith-Ray, R.L., Estabrooks, 2010; Alva, 2019b; Bernstein, A.M., Gendy, G., Rudd, N., Doyle, J., Fay, S., Moffett, K., 2014; Boltri et al., 2011; M. F. Chen et al., 2017; Coppell et al., 2017; Davis-Smith, 2007; Fianu et al., 2016; Gagnon et al., 2011; Gilis-Januszewska, Piwońska-Solska, et al., 2018; Jiang et al., 2013; Katula et al., 2013; Laatikainen et al., 2007; Makrilakis et al., 2010; Marrero et al., 2016; McDermott et al., 2014; Miller et al., 2016; Moore et al., 2011; Ockene et al., 2012; Parikh et al., 2010; Payne WR, Walsh KJ., Harvey JT, Livy MF, Mckenzie KJ, Donaldson A, 2008; Pimentel et al., 2010; Quiñones et al., 2018; Tsai et al., 2018; Vincent et al., 2014; Yeh et al., 2015)","previouslyFormattedCitation":"(Aekplakorn et al., 2019; Almeida, F.A., Shetterly, S., Smith-Ray, R.L., Estabrooks, 2010; Alva, 2019b; Bernstein, A.M., Gendy, G., Rudd, N., Doyle, J., Fay, S., Moffett, K., 2014; Boltri et al., 2011; M. F. Chen et al., 2017; Coppell et al., 2017; Davis-Smith, 2007; Fianu et al., 2016; Gagnon et al., 2011; Gilis-Januszewska, Piwońska-Solska, et al., 2018; Jiang et al., 2013; Katula et al., 2013; Laatikainen et al., 2007; Makrilakis et al., 2010; Marrero et al., 2016; McDermott et al., 2014; Miller et al., 2016; Moore et al., 2011; Ockene et al., 2012; Parikh et al., 2010; Payne WR, Walsh KJ., Harvey JT, Livy MF, Mckenzie KJ, Donaldson A, 2008; Pimentel et al., 2010; Quiñones et al., 2018; Tsai et al., 2018; Vincent et al., 2014; Yeh et al., 2015)"},"properties":{"noteIndex":0},"schema":"https://github.com/citation-style-language/schema/raw/master/csl-citation.json"}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(Aekplakorn et al., 2019; Almeida, Shetterly, Smith-Ray, Estabrooks, 2010; Alva, 2019; Bernstein, Gendy, Rudd, Doyle, Fay, Moffett, 2014; Boltri et al., 2011;</w:t>
      </w:r>
      <w:r w:rsidR="00ED6AB2" w:rsidRPr="00103A0B">
        <w:rPr>
          <w:rFonts w:ascii="Arial" w:eastAsia="Times New Roman" w:hAnsi="Arial" w:cs="Arial"/>
          <w:noProof/>
          <w:sz w:val="24"/>
          <w:szCs w:val="24"/>
          <w:lang w:eastAsia="en-GB"/>
        </w:rPr>
        <w:t xml:space="preserve"> </w:t>
      </w:r>
      <w:r w:rsidR="001B5F7B" w:rsidRPr="00103A0B">
        <w:rPr>
          <w:rFonts w:ascii="Arial" w:eastAsia="Times New Roman" w:hAnsi="Arial" w:cs="Arial"/>
          <w:noProof/>
          <w:sz w:val="24"/>
          <w:szCs w:val="24"/>
          <w:lang w:eastAsia="en-GB"/>
        </w:rPr>
        <w:t>Chen et al., 2017; Coppell et al., 2017; Davis-Smith, 2007; Fianu et al., 2016; Gagnon et al., 2011; Gilis-Januszewska, Piwońska-Solska, et al., 2018; Jiang et al., 2013; Katula et al., 2013; Laatikainen et al., 2007; Makrilakis et al., 2010; Marrero et al., 2016; McDermott et al., 2014; Miller et al., 2016; Moore et al., 2011; Ockene et al., 2012; Parikh et al., 2010; Payne, Walsh, Harvey, Livy, Mckenzie, Donaldson, 2008; Pimentel et al., 2010; Quiñones et al., 2018; Tsai et al., 2018; Vincent et al., 2014b; Yeh et al., 2015)</w:t>
      </w:r>
      <w:r w:rsidRPr="00103A0B">
        <w:rPr>
          <w:rFonts w:ascii="Arial" w:hAnsi="Arial" w:cs="Arial"/>
        </w:rPr>
        <w:fldChar w:fldCharType="end"/>
      </w:r>
      <w:r w:rsidRPr="00103A0B">
        <w:rPr>
          <w:rFonts w:ascii="Arial" w:eastAsia="Times New Roman" w:hAnsi="Arial" w:cs="Arial"/>
          <w:sz w:val="24"/>
          <w:szCs w:val="24"/>
          <w:lang w:eastAsia="en-GB"/>
        </w:rPr>
        <w:t xml:space="preserve">. Many papers did not state participant ethnicity (n=14) </w:t>
      </w:r>
      <w:r w:rsidRPr="00103A0B">
        <w:rPr>
          <w:rFonts w:ascii="Arial" w:hAnsi="Arial" w:cs="Arial"/>
        </w:rPr>
        <w:fldChar w:fldCharType="begin" w:fldLock="1"/>
      </w:r>
      <w:r w:rsidR="00F064BD"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One","id":"ITEM-2","issue":"1","issued":{"date-parts":[["2016"]]},"page":"e0146095","title":"Long-term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island","type":"article-journal","volume":"11"},"uris":["http://www.mendeley.com/documents/?uuid=e072a9e3-f17a-48e3-98af-f3db4a1c8ee3"]},{"id":"ITEM-3","itemData":{"DOI":"10.2337/dc08-2141","ISSN":"01495992","PMID":"19509014","abstract":"OBJECTIVE: To evaluate the efficacy of the group program PREDIAS for diabetes prevention.\\n\\nRESEARCH DESIGN AND METHODS: PREDIAS consists of 12 lessons and aims at lifestyle modification. The control group received written information about diabetes prevention. In this study, a total of 182 persons with an elevated diabetes risk participated (aged 56.3 +/- 10.1 years, 43% female, and BMI 31.5 +/- 5.3 kg/m(2)).\\n\\nRESULTS: After 12 months, weight loss was significantly higher (P = 0.001) in PREDIAS than in the control group (-3.8 +/- 5.2 vs. -1.4 +/- 4.09 kg). There were also significant effects (P = 0.001) on fasting glucose (control group 1.8 +/- 13.1 mg/dl vs. PREDIAS -4.3 +/- 11.3 mg/dl), duration of physical activity per week (control group 17.9 +/- 63.8 min vs. PREDIAS 46.6 +/- 95.5 min; P = 0.03), and eating behavior.\\n\\nCONCLUSIONS: PREDIAS significantly modified lifestyle factors associated with an elevated diabetes risk.","author":[{"dropping-particle":"","family":"Kulzer","given":"Bernhard","non-dropping-particle":"","parse-names":false,"suffix":""},{"dropping-particle":"","family":"Hermanns","given":"Norbert","non-dropping-particle":"","parse-names":false,"suffix":""},{"dropping-particle":"","family":"Gorges","given":"Daniela","non-dropping-particle":"","parse-names":false,"suffix":""},{"dropping-particle":"","family":"Schwarz","given":"Peter","non-dropping-particle":"","parse-names":false,"suffix":""},{"dropping-particle":"","family":"Haak","given":"Thomas","non-dropping-particle":"","parse-names":false,"suffix":""}],"container-title":"Diabetes Care","id":"ITEM-3","issue":"7","issued":{"date-parts":[["2009"]]},"page":"1143-1146","title":"Prevention of diabetes self-management program (PREDIAS): effects on weight, metabolic risk factors, and behavioral outcomes","type":"article-journal","volume":"32"},"uris":["http://www.mendeley.com/documents/?uuid=df2278a0-0ae5-40ab-bc80-f2e143b41d86"]},{"id":"ITEM-4","itemData":{"DOI":"10.1186/1471-2458-7-249","ISBN":"1471-2458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Health","id":"ITEM-4","issue":"249","issued":{"date-parts":[["2007"]]},"title":"Prevention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-5","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Medicine","id":"ITEM-5","issue":"4","issued":{"date-parts":[["2010"]]},"page":"459-465","title":"Implementation and effectiveness of the first community lifestyle intervention programme to prevent type 2 diabetes in Greece. The DE-PLAN study","type":"article-journal","volume":"27"},"uris":["http://www.mendeley.com/documents/?uuid=8fa5f81f-3e37-4e03-be5f-801dcd969a98"]},{"id":"ITEM-6","itemData":{"DOI":"10.1186/1472-6882-14-212","ISBN":"1472-6882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Medicine","id":"ITEM-6","issue":"1","issued":{"date-parts":[["2014"]]},"page":"212","title":"A yoga intervention for type 2 diabetes risk reduction: a pilot randomized controlled trial","type":"article-journal","volume":"14"},"uris":["http://www.mendeley.com/documents/?uuid=934d80fb-c55d-4626-908a-2ca578b57990"]},{"id":"ITEM-7","itemData":{"DOI":"10.1080/08870440903548749","ISBN":"0887044090354","ISSN":"0887-0446","PMID":"20945253","abstract":"This study was a randomised control trial with a waiting control group. It was designed to evaluate the effectiveness of a 6-month, group-based diabetes prevention programme, The Healthy Living Course and assess whether participation in the programme led to changes in modifiable risk factors for type 2 diabetes among an already at-risk pre-diabetic population. Individuals designated at risk for diabetes by their general practitioners (GPs) were screened using an Oral Glucose Tolerance Test. Volunteers (N = 307) with pre-diabetes were assigned to an intervention or wait-control group in the ratio of approximately 2 : 1. The sample was pre-tested on biochemical, anthropometric and self-report behavioural, cognitive and mood variables and post-tested either at the end of the educational/support-based lifestyle programme or the end of the wait period. The intervention group significantly improved their diabetes knowledge, motivation to change, positive affect, healthy eating and activity levels and showed significantly greater reductions in weight, body mass index, waist circumference, diastolic blood pressure and fasting plasma glucose in comparison with controls. The intervention group also changed their diagnostic status from pre-diabetes to non-diabetes at a greater rate than the wait group (43% vs. 26%) who received standard care from their GPs.","author":[{"dropping-particle":"","family":"Moore","given":"Susan M.","non-dropping-particle":"","parse-names":false,"suffix":""},{"dropping-particle":"","family":"Hardie","given":"Elizabeth A.","non-dropping-particle":"","parse-names":false,"suffix":""},{"dropping-particle":"","family":"Hackworth","given":"Naomi J.","non-dropping-particle":"","parse-names":false,"suffix":""},{"dropping-particle":"","family":"Critchley","given":"Christine R.","non-dropping-particle":"","parse-names":false,"suffix":""},{"dropping-particle":"","family":"Kyrios","given":"Michael","non-dropping-particle":"","parse-names":false,"suffix":""},{"dropping-particle":"","family":"Buzwell","given":"Simone A.","non-dropping-particle":"","parse-names":false,"suffix":""},{"dropping-particle":"","family":"Crafti","given":"Naomi A.","non-dropping-particle":"","parse-names":false,"suffix":""}],"container-title":"Psychology &amp; Health","id":"ITEM-7","issue":"4","issued":{"date-parts":[["2011"]]},"page":"485-499","title":"Can the onset of type 2 diabetes be delayed by a group-based lifestyle intervention? a randomised control trial","type":"article-journal","volume":"26"},"uris":["http://www.mendeley.com/documents/?uuid=f731fbbd-3174-40ae-b00f-158e50237e1f"]},{"id":"ITEM-8","itemData":{"DOI":"10.2337/dc08-0152.","author":[{"dropping-particle":"","family":"Payne WR, Walsh KJ., Harvey JT, Livy MF, Mckenzie KJ, Donaldson A","given":"et al.","non-dropping-particle":"","parse-names":false,"suffix":""}],"container-title":"Diabetes Care","id":"ITEM-8","issued":{"date-parts":[["2008"]]},"page":"2244-50","title":"Effect of a low–resource-intensive lifestyle modification program incorporating gymnasium-based and home-based resistance training on type 2 diabetes risk in Australian adults","type":"article-journal","volume":"31"},"uris":["http://www.mendeley.com/documents/?uuid=94025970-6bd0-4bcf-89d4-48f46a796268"]},{"id":"ITEM-9","itemData":{"DOI":"10.1186/1471-2458-11-40","ISBN":"1471-2458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health","id":"ITEM-9","issue":"1","issued":{"date-parts":[["2011"]]},"page":"40","title":"Prevention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tolerance","type":"article-journal","volume":"11"},"uris":["http://www.mendeley.com/documents/?uuid=19b949f0-5835-408a-87b0-6bbcfceadb30"]},{"id":"ITEM-10","itemData":{"DOI":"10.1111/dme.12848","ISBN":"0742-3071","ISSN":"14645491","PMID":"26179569","abstract":"METHODS: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Medicine","id":"ITEM-10","issue":"4","issued":{"date-parts":[["2015"]]},"page":"547-551","title":"Translation of the diabetes prevention program for diabetes risk reduction in Chinese immigrants in New York city","type":"article-journal","volume":"33"},"uris":["http://www.mendeley.com/documents/?uuid=05391168-7679-4063-baae-26f96e47d08a"]},{"id":"ITEM-11","itemData":{"DOI":"10.1097/JNR.0000000000000193","ISBN":"0000000000000","ISSN":"1948965X","PMID":"28277390","abstract":"BACKGROUND: Practicing a health-promoting lifestyle is believed to be effective for delaying or preventing the onset of diabetes. However, although empowerment interventions have proven effective for encouraging the adoption of a health-promoting lifestyle in people with diabetes, these interventions are rarely promoted to people with prediabetes. PURPOSE: The aims of this study were to develop an empowerment program for people with prediabetes and to examine its efficacy in terms of the adoption of a health-promoting lifestyle and improvements in blood sugar, body mass index, and self-efficacy. METHODS: A randomized controlled trial was conducted between May and December 2013. A convenience sample of people with a fasting blood sugar level of 100-125 mg/dl during the previous 3 months was recruited from the health examination center of a hospital in Kaohsiung, Taiwan. Participants were assigned to either the experimental group or the control group using block randomization with a block size of 8. The experimental group (n = 38) participated in a 4-month empowerment program (the ABC empowerment program), which encouraged participants to practice a health-promoting lifestyle in three phases: awareness raising, behavior building, and results checking. The control group (n = 40) received routine clinical care. Statistical analyses included descriptive statistics, independent t test, paired t test, and generalized estimated equations. RESULTS: After controlling for the differences at baseline and considering the interaction between group and time from baseline to 1 week and 3 months after completing the intervention, the generalized estimating equation showed significantly larger improvements in a health-promoting lifestyle, blood sugar, and self-efficacy in the experimental group than in the control group (p &lt; .01). Furthermore, the experimental group achieved a larger reduction in body mass index than the control group at 3 months after completing the intervention (p = .001). CONCLUSIONS/IMPLICATIONS FOR PRACTICE: The empowerment program was shown to have short-term, positive effects on behavioral, physical, and psychosocial outcomes in a Taiwan population with prediabetes. The results of this study provide a useful reference not only for healthcare personnel when implementing empowerment interventions in people with prediabetes but also for nursing educators and healthcare policymakers.","author":[{"dropping-particle":"","family":"Chen","given":"Mei Fang","non-dropping-particle":"","parse-names":false,"suffix":""},{"dropping-particle":"","family":"Hung","given":"Shu Ling","non-dropping-particle":"","parse-names":false,"suffix":""},{"dropping-particle":"","family":"Chen","given":"Shu Lin","non-dropping-particle":"","parse-names":false,"suffix":""}],"container-title":"Journal of Nursing Research","id":"ITEM-11","issue":"2","issued":{"date-parts":[["2017"]]},"page":"99-111","title":"Empowerment program for people with prediabetes: a randomized controlled trial","type":"article-journal","volume":"25"},"uris":["http://www.mendeley.com/documents/?uuid=84db263a-a050-4be7-82d7-ef051548507b"]},{"id":"ITEM-12","itemData":{"DOI":"10.1186/s12889-017-4977-1","ISSN":"1471-2458","abstract":"Background: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Health","id":"ITEM-12","issue":"97","issued":{"date-parts":[["2018"]]},"note":"Accession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project).","type":"article-journal","volume":"18"},"uris":["http://www.mendeley.com/documents/?uuid=b3aa252e-2de7-4e59-bd02-07d1564e1b32"]},{"id":"ITEM-13","itemData":{"DOI":"10.1097/jnr.0000000000000225","ISSN":"1682-3141","abstract":"Background: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Research","id":"ITEM-13","issue":"3","issued":{"date-parts":[["2018"]]},"note":"Accession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id":"ITEM-14","itemData":{"DOI":"10.1177/2150132719847374","author":[{"dropping-particle":"","family":"Aekplakorn","given":"Wichai","non-dropping-particle":"","parse-names":false,"suffix":""},{"dropping-particle":"","family":"Tantayotai","given":"Valla","non-dropping-particle":"","parse-names":false,"suffix":""},{"dropping-particle":"","family":"Numsangkul","given":"Sakawduan","non-dropping-particle":"","parse-names":false,"suffix":""},{"dropping-particle":"","family":"Tatsato","given":"Nutchanat","non-dropping-particle":"","parse-names":false,"suffix":""},{"dropping-particle":"","family":"Luckanajantachote","given":"Pranee","non-dropping-particle":"","parse-names":false,"suffix":""}],"container-title":"Journal of Primary Care and Community Health","id":"ITEM-14","issued":{"date-parts":[["2019"]]},"page":"1-8","title":"Evaluation of a community-based diabetes prevention program in Thailand : a cluster randomized controlled trial","type":"article-journal","volume":"10"},"uris":["http://www.mendeley.com/documents/?uuid=8b3b4c2b-0469-4192-909b-c057fc6c5460"]}],"mendeley":{"formattedCitation":"(Aekplakorn et al., 2019; Almeida, F.A., Shetterly, S., Smith-Ray, R.L., Estabrooks, 2010; M. F. Chen et al., 2017; Fianu et al., 2016; Gilis-Januszewska, Piwońska-Solska, et al., 2018; Kulzer et al., 2009; Laatikainen et al., 2007; Makrilakis et al., 2010; McDermott et al., 2014; Moore et al., 2011; Payne WR, Walsh KJ., Harvey JT, Livy MF, Mckenzie KJ, Donaldson A, 2008; Sakane et al., 2011; Tsai et al., 2018; Yeh et al., 2015)","manualFormatting":"(Aekplakorn et al., 2019; Almeida, Shetterly, Smith-Ray, Estabrooks, 2010; Chen et al., 2017; Fianu et al., 2016; Gilis-Januszewska, Piwońska-Solska, et al., 2018; Kulzer et al., 2009; Laatikainen et al., 2007; Makrilakis et al., 2010; McDermott et al., 2014; Moore et al., 2011; Payne, Walsh, Harvey, Livy, Mckenzie, Donaldson, 2008; Sakane et al., 2011; Tsai et al., 2018; Yeh et al., 2015)","plainTextFormattedCitation":"(Aekplakorn et al., 2019; Almeida, F.A., Shetterly, S., Smith-Ray, R.L., Estabrooks, 2010; M. F. Chen et al., 2017; Fianu et al., 2016; Gilis-Januszewska, Piwońska-Solska, et al., 2018; Kulzer et al., 2009; Laatikainen et al., 2007; Makrilakis et al., 2010; McDermott et al., 2014; Moore et al., 2011; Payne WR, Walsh KJ., Harvey JT, Livy MF, Mckenzie KJ, Donaldson A, 2008; Sakane et al., 2011; Tsai et al., 2018; Yeh et al., 2015)","previouslyFormattedCitation":"(Aekplakorn et al., 2019; Almeida, F.A., Shetterly, S., Smith-Ray, R.L., Estabrooks, 2010; M. F. Chen et al., 2017; Fianu et al., 2016; Gilis-Januszewska, Piwońska-Solska, et al., 2018; Kulzer et al., 2009; Laatikainen et al., 2007; Makrilakis et al., 2010; McDermott et al., 2014; Moore et al., 2011; Payne WR, Walsh KJ., Harvey JT, Livy MF, Mckenzie KJ, Donaldson A, 2008; Sakane et al., 2011; Tsai et al., 2018; Yeh et al., 2015)"},"properties":{"noteIndex":0},"schema":"https://github.com/citation-style-language/schema/raw/master/csl-citation.json"}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(Aekplakorn et al., 2019; Almeida, Shetterly, Smith-Ray, Estabrooks, 2010; Chen et al., 2017; Fianu et al., 2016; Gilis-Januszewska, Piwońska-Solska, et al., 2018; Kulzer et al., 2009; Laatikainen et al., 2007; Makrilakis et al., 2010; McDermott et al., 2014; Moore et al., 2011; Payne, Walsh, Harvey, Livy, Mckenzie, Donaldson, 2008; Sakane et al., 2011; Tsai et al., 2018; Yeh et al., 2015)</w:t>
      </w:r>
      <w:r w:rsidRPr="00103A0B">
        <w:rPr>
          <w:rFonts w:ascii="Arial" w:hAnsi="Arial" w:cs="Arial"/>
        </w:rPr>
        <w:fldChar w:fldCharType="end"/>
      </w:r>
      <w:r w:rsidRPr="00103A0B">
        <w:rPr>
          <w:rFonts w:ascii="Arial" w:eastAsia="Times New Roman" w:hAnsi="Arial" w:cs="Arial"/>
          <w:sz w:val="24"/>
          <w:szCs w:val="24"/>
          <w:lang w:eastAsia="en-GB"/>
        </w:rPr>
        <w:t xml:space="preserve">; others reported majority of white/Caucasian participants (n=9) </w:t>
      </w:r>
      <w:r w:rsidRPr="00103A0B">
        <w:rPr>
          <w:rFonts w:ascii="Arial" w:hAnsi="Arial" w:cs="Arial"/>
        </w:rPr>
        <w:fldChar w:fldCharType="begin" w:fldLock="1"/>
      </w:r>
      <w:r w:rsidR="007C3391" w:rsidRPr="00103A0B">
        <w:rPr>
          <w:rFonts w:ascii="Arial" w:eastAsia="Times New Roman" w:hAnsi="Arial" w:cs="Arial"/>
          <w:sz w:val="24"/>
          <w:szCs w:val="24"/>
          <w:lang w:eastAsia="en-GB"/>
        </w:rPr>
        <w:instrText>ADDIN CSL_CITATION {"citationItems":[{"id":"ITEM-1","itemData":{"DOI":"10.1016/j.ypmed.2015.12.012","ISBN":"0091-7435","ISSN":"10960260","PMID":"26740346","abstract":"Objectives: Prevention of type 2 diabetes (T2DM) is a priority in healthcare, but there is a lack of evidence investigating how to effectively translate prevention research into a UK primary care setting. We assessed whether a structured education programme targeting lifestyle and behaviour change was effective at preventing progression to T2DM in people with pre-diabetes. Materials and methods: Forty-four general practices were randomised to receive either standard care or a 6. hour group structured education programme with an annual refresher course, and regular phone contact. Participants were followed up for 3. years. The primary outcome was progression to T2DM. Results: Eight hundred and eighty participants were included (36% female, mean age 64. years, 16% ethnic minority group); 131 participants developed T2DM. There was a non-significant 26% reduced risk of developing T2DM in the intervention arm compared to standard care (HR 0.74, 95% CI 0.48, 1.14, p= 0.18). The reduction in T2DM risk when excluding those who did not attend the initial education session was also non-significant (HR 0.65, 0.41, 1.03, p= 0.07). There were statistically significant improvements in HbA1c (- 0.06, - 0.11, - 0.01), LDL cholesterol (- 0.08, - 0.15, - 0.01), sedentary time (- 26.29, - 45.26, - 7.32) and step count (498.15, 162.10, 834.20) when data were analysed across all time points. Conclusions: This study suggests that a relatively low resource, pragmatic diabetes prevention programme resulted in modest benefits to biomedical, lifestyle and psychosocial outcomes, however the reduction to the risk of T2DM did not reach significance. The findings have important implications for future research and primary care.","author":[{"dropping-particle":"","family":"Davies","given":"Melanie J.","non-dropping-particle":"","parse-names":false,"suffix":""},{"dropping-particle":"","family":"Gray","given":"Laura J.","non-dropping-particle":"","parse-names":false,"suffix":""},{"dropping-particle":"","family":"Troughton","given":"Jacqui","non-dropping-particle":"","parse-names":false,"suffix":""},{"dropping-particle":"","family":"Gray","given":"Alastair","non-dropping-particle":"","parse-names":false,"suffix":""},{"dropping-particle":"","family":"Tuomilehto","given":"Jaakko","non-dropping-particle":"","parse-names":false,"suffix":""},{"dropping-particle":"","family":"Farooqi","given":"Azhar","non-dropping-particle":"","parse-names":false,"suffix":""},{"dropping-particle":"","family":"Khunti","given":"Kamlesh","non-dropping-particle":"","parse-names":false,"suffix":""},{"dropping-particle":"","family":"Yates","given":"Thomas","non-dropping-particle":"","parse-names":false,"suffix":""},{"dropping-particle":"","family":"Bancroft","given":"Mary","non-dropping-particle":"","parse-names":false,"suffix":""},{"dropping-particle":"","family":"Ahrabian","given":"Dariush","non-dropping-particle":"","parse-names":false,"suffix":""},{"dropping-particle":"","family":"Cowling","given":"Pauline","non-dropping-particle":"","parse-names":false,"suffix":""},{"dropping-particle":"","family":"Greaves","given":"Colin","non-dropping-particle":"","parse-names":false,"suffix":""},{"dropping-particle":"","family":"Sheppard","given":"David","non-dropping-particle":"","parse-names":false,"suffix":""},{"dropping-particle":"","family":"Leal","given":"Jose","non-dropping-particle":"","parse-names":false,"suffix":""},{"dropping-particle":"","family":"Abrams","given":"Keith","non-dropping-particle":"","parse-names":false,"suffix":""},{"dropping-particle":"","family":"Bodicoat","given":"Danielle","non-dropping-particle":"","parse-names":false,"suffix":""},{"dropping-particle":"","family":"Carter","given":"Patrice","non-dropping-particle":"","parse-names":false,"suffix":""},{"dropping-particle":"","family":"Dunkley","given":"Alison","non-dropping-particle":"","parse-names":false,"suffix":""},{"dropping-particle":"","family":"Patel","given":"Naina","non-dropping-particle":"","parse-names":false,"suffix":""},{"dropping-particle":"","family":"Russell","given":"Clare","non-dropping-particle":"","parse-names":false,"suffix":""},{"dropping-particle":"","family":"Horne","given":"Rosie","non-dropping-particle":"","parse-names":false,"suffix":""},{"dropping-particle":"","family":"Spong","given":"Rebecca","non-dropping-particle":"","parse-names":false,"suffix":""},{"dropping-particle":"","family":"Stone","given":"Margaret","non-dropping-particle":"","parse-names":false,"suffix":""},{"dropping-particle":"","family":"Taub","given":"Nick","non-dropping-particle":"","parse-names":false,"suffix":""},{"dropping-particle":"","family":"Webb","given":"David","non-dropping-particle":"","parse-names":false,"suffix":""},{"dropping-particle":"","family":"Amin","given":"Sayjal","non-dropping-particle":"","parse-names":false,"suffix":""},{"dropping-particle":"","family":"Barnett","given":"Janette","non-dropping-particle":"","parse-names":false,"suffix":""},{"dropping-particle":"","family":"Berkeley","given":"Hannah","non-dropping-particle":"","parse-names":false,"suffix":""},{"dropping-particle":"","family":"Bonar","given":"Michael","non-dropping-particle":"","parse-names":false,"suffix":""},{"dropping-particle":"","family":"Boyles","given":"Louise","non-dropping-particle":"","parse-names":false,"suffix":""},{"dropping-particle":"","family":"Bray","given":"Paul","non-dropping-particle":"","parse-names":false,"suffix":""},{"dropping-particle":"","family":"Cairns","given":"Nichola","non-dropping-particle":"","parse-names":false,"suffix":""},{"dropping-particle":"","family":"Campbell","given":"Sandra","non-dropping-particle":"","parse-names":false,"suffix":""},{"dropping-particle":"","family":"Carey","given":"Marian","non-dropping-particle":"","parse-names":false,"suffix":""},{"dropping-particle":"","family":"Chatterjee","given":"Sudesna","non-dropping-particle":"","parse-names":false,"suffix":""},{"dropping-particle":"","family":"Currie","given":"Carolyn","non-dropping-particle":"","parse-names":false,"suffix":""},{"dropping-particle":"","family":"Daly","given":"Heather","non-dropping-particle":"","parse-names":false,"suffix":""},{"dropping-particle":"","family":"Enright","given":"Sue","non-dropping-particle":"","parse-names":false,"suffix":""},{"dropping-particle":"","family":"Goldby","given":"Stephanie","non-dropping-particle":"","parse-names":false,"suffix":""},{"dropping-particle":"","family":"Gray","given":"Geri","non-dropping-particle":"","parse-names":false,"suffix":""},{"dropping-particle":"","family":"Henson","given":"Joe","non-dropping-particle":"","parse-names":false,"suffix":""},{"dropping-particle":"","family":"Hiles","given":"Stephen","non-dropping-particle":"","parse-names":false,"suffix":""},{"dropping-particle":"","family":"Hill","given":"Sian","non-dropping-particle":"","parse-names":false,"suffix":""},{"dropping-particle":"","family":"Hill","given":"Jayne","non-dropping-particle":"","parse-names":false,"suffix":""},{"dropping-particle":"","family":"Holdsworth","given":"Hannah","non-dropping-particle":"","parse-names":false,"suffix":""},{"dropping-particle":"","family":"Htike","given":"Zin Zin","non-dropping-particle":"","parse-names":false,"suffix":""},{"dropping-particle":"","family":"Jamal","given":"Shenaz","non-dropping-particle":"","parse-names":false,"suffix":""},{"dropping-particle":"","family":"Jarvis","given":"Janet","non-dropping-particle":"","parse-names":false,"suffix":""},{"dropping-particle":"","family":"Johnson","given":"Carolyn","non-dropping-particle":"","parse-names":false,"suffix":""},{"dropping-particle":"","family":"Jones","given":"Janet","non-dropping-particle":"","parse-names":false,"suffix":""},{"dropping-particle":"","family":"Jones","given":"Kenneth","non-dropping-particle":"","parse-names":false,"suffix":""},{"dropping-particle":"","family":"Khan","given":"Sabera","non-dropping-particle":"","parse-names":false,"suffix":""},{"dropping-particle":"","family":"Khulpateea","given":"Anita","non-dropping-particle":"","parse-names":false,"suffix":""},{"dropping-particle":"","family":"Leonard","given":"Judith","non-dropping-particle":"","parse-names":false,"suffix":""},{"dropping-particle":"","family":"Mani","given":"Hamidreza","non-dropping-particle":"","parse-names":false,"suffix":""},{"dropping-particle":"","family":"Martin-Stacey","given":"Lorraine","non-dropping-particle":"","parse-names":false,"suffix":""},{"dropping-particle":"","family":"Morgan","given":"Val","non-dropping-particle":"","parse-names":false,"suffix":""},{"dropping-particle":"","family":"Morris","given":"Frances","non-dropping-particle":"","parse-names":false,"suffix":""},{"dropping-particle":"","family":"Mostafa","given":"Samiul","non-dropping-particle":"","parse-names":false,"suffix":""},{"dropping-particle":"","family":"Northern","given":"Alison","non-dropping-particle":"","parse-names":false,"suffix":""},{"dropping-particle":"","family":"O'Brien","given":"Kayleigh","non-dropping-particle":"","parse-names":false,"suffix":""},{"dropping-particle":"","family":"Patel","given":"Hersha","non-dropping-particle":"","parse-names":false,"suffix":""},{"dropping-particle":"","family":"Plummer","given":"Rachel","non-dropping-particle":"","parse-names":false,"suffix":""},{"dropping-particle":"","family":"Porter","given":"Sheila","non-dropping-particle":"","parse-names":false,"suffix":""},{"dropping-particle":"","family":"Radia","given":"Mo","non-dropping-particle":"","parse-names":false,"suffix":""},{"dropping-particle":"","family":"Realf","given":"Kathryn","non-dropping-particle":"","parse-names":false,"suffix":""},{"dropping-particle":"","family":"Richmond","given":"Dean","non-dropping-particle":"","parse-names":false,"suffix":""},{"dropping-particle":"","family":"Saker","given":"Rebecca","non-dropping-particle":"","parse-names":false,"suffix":""},{"dropping-particle":"","family":"Sennet","given":"Jane","non-dropping-particle":"","parse-names":false,"suffix":""},{"dropping-particle":"","family":"Stribling","given":"Bernie","non-dropping-particle":"","parse-names":false,"suffix":""},{"dropping-particle":"","family":"Wilmott","given":"Emma","non-dropping-particle":"","parse-names":false,"suffix":""},{"dropping-particle":"","family":"Wilson","given":"Carolina","non-dropping-particle":"","parse-names":false,"suffix":""},{"dropping-particle":"","family":"Wilson","given":"Panna","non-dropping-particle":"","parse-names":false,"suffix":""}],"container-title":"Preventive Medicine","id":"ITEM-1","issued":{"date-parts":[["2016"]]},"page":"48-56","publisher":"Elsevier Inc.","title":"A community based primary prevention programme for type 2 diabetes integrating identification and lifestyle intervention for prevention: the let's prevent diabetes cluster randomised controlled trial","type":"article-journal","volume":"84"},"uris":["http://www.mendeley.com/documents/?uuid=98ec8943-e639-4c92-bc3b-a80a3889c377"]},{"id":"ITEM-2","itemData":{"DOI":"10.1016/j.diabet.2011.01.003","ISBN":"1262-3636","ISSN":"12623636","PMID":"21489843","abstract":"Aim: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Metabolism","id":"ITEM-2","issue":"5","issued":{"date-parts":[["2011"]]},"page":"410-418","publisher":"Elsevier Masson SAS","title":"A cost-effective moderate-intensity interdisciplinary weight-management programme for individuals with prediabetes","type":"article-journal","volume":"37"},"uris":["http://www.mendeley.com/documents/?uuid=41ec2ecb-3bf5-4b9a-b2fd-15933532a929"]},{"id":"ITEM-3","itemData":{"DOI":"10.1016/j.amepre.2012.12.015","ISBN":"1873-2607 (Electronic)\\r0749-3797 (Linking)","ISSN":"18732607","PMID":"23498294","abstract":"Background: Since the Diabetes Prevention Project (DPP) demonstrated that lifestyle weight-loss interventions can reduce the incidence of diabetes by 58%, several studies have translated the DPP methods to public health - friendly contexts. Although these studies have demonstrated short-term effects, no study to date has examined the impact of a translated DPP intervention on blood glucose and adiposity beyond 12 months of follow-up. Purpose: To examine the impact of a 24-month, community-based diabetes prevention program on fasting blood glucose, insulin, insulin resistance as well as body weight, waist circumference, and BMI in the second year of follow-up. Design: An RCT comparing a 24-month lifestyle weight-loss program (LWL) to an enhanced usual care condition (UCC) in participants with prediabetes (fasting blood glucose = 95 - 125 mg/dL). Data were collected in 2007-2011; analyses were conducted in 2011-2012. Setting/participants: 301 participants with prediabetes were randomized; 261 completed the study. The intervention was held in community-based sites. Intervention: The LWL program was led by community health workers and sought to induce 7% weight loss at 6 months that would be maintained over time through decreased caloric intake and increased physical activity. The UCC received two visits with a registered dietitian and a monthly newsletter. Main outcome measures: The main measures were fasting blood glucose, insulin, insulin resistance, body weight, waist circumference, and BMI. Results: Intent-to-treat analyses of between-group differences in the average of 18- and 24-month measures of outcomes (controlling for baseline values) revealed that the LWL participants experienced greater decreases in fasting glucose (- 4.35 mg/dL); insulin (- 3.01 μU/ml); insulin resistance (- 0.97); body weight (- 4.19 kg); waist circumference (- 3.23 cm); and BMI (- 1.40), allp-values &lt;0.01. Conclusions: A diabetes prevention program administered through an existing community-based system and delivered by community health workers is effective at inducing significant long-term reductions in metabolic indicators and adiposity. © 2013 American Journal of Preventive Medicine.","author":[{"dropping-particle":"","family":"Katula","given":"Jeffrey A.","non-dropping-particle":"","parse-names":false,"suffix":""},{"dropping-particle":"","family":"Vitolins","given":"Mara Z.","non-dropping-particle":"","parse-names":false,"suffix":""},{"dropping-particle":"","family":"Morgan","given":"Timothy M.","non-dropping-particle":"","parse-names":false,"suffix":""},{"dropping-particle":"","family":"Lawlor","given":"Michael S.","non-dropping-particle":"","parse-names":false,"suffix":""},{"dropping-particle":"","family":"Blackwell","given":"Caroline S.","non-dropping-particle":"","parse-names":false,"suffix":""},{"dropping-particle":"","family":"Isom","given":"Scott P.","non-dropping-particle":"","parse-names":false,"suffix":""},{"dropping-particle":"","family":"Pedley","given":"Carolyn F.","non-dropping-particle":"","parse-names":false,"suffix":""},{"dropping-particle":"","family":"Goff","given":"David C.","non-dropping-particle":"","parse-names":false,"suffix":""}],"container-title":"American Journal of Preventive Medicine","id":"ITEM-3","issue":"4S4","issued":{"date-parts":[["2013"]]},"page":"S324-S332","publisher":"Elsevier Inc.","title":"The healthy living partnerships to prevent diabetes study: 2-year outcomes of a randomized controlled trial","type":"article-journal","volume":"44"},"uris":["http://www.mendeley.com/documents/?uuid=622c5a69-cd33-454b-a85e-af4bc359d8a1"]},{"id":"ITEM-4","itemData":{"DOI":"10.2105/AJPH.2015.303035","ISBN":"0090-0036","ISSN":"15410048","PMID":"26890171","abstract":"OBJECTIVES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Health","id":"ITEM-4","issue":"5","issued":{"date-parts":[["2016"]]},"page":"949-956","title":"Comparison of commercial and self-initiated weight loss programs in people with prediabetes: a randomized control trial","type":"article-journal","volume":"106"},"uris":["http://www.mendeley.com/documents/?uuid=e4e3235a-a86a-4b63-ad04-9e4c2402dc1e"]},{"id":"ITEM-5","itemData":{"DOI":"10.1016/j.jneb.2015.12.002","ISBN":"1499-4046","ISSN":"14994046","PMID":"26787601","abstract":"Objective: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Behavior","id":"ITEM-5","issue":"3","issued":{"date-parts":[["2016"]]},"page":"160-69","publisher":"Elsevier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trial","type":"article-journal","volume":"48"},"uris":["http://www.mendeley.com/documents/?uuid=2d8c03a8-0024-4655-930b-c43e21a3fdf8"]},{"id":"ITEM-6","itemData":{"DOI":"10.2337/dc09-0130.","ISBN":"0149-5992","ISSN":"1935-5548","PMID":"19602539","abstract":"OBJECTIVE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care","id":"ITEM-6","issued":{"date-parts":[["2009"]]},"page":"1404-10","title":"Effectiveness of a pragmatic education program designed to promote walking activity in individuals with impaired glucose tolerance","type":"article-journal","volume":"32"},"uris":["http://www.mendeley.com/documents/?uuid=f022eff7-34b4-4911-8936-eba8ff61941e"]},{"id":"ITEM-7","itemData":{"DOI":"10.1093/tbm/ibx064","ISSN":"1613-9860","abstract":"The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Medicine","id":"ITEM-7","issue":"2","issued":{"date-parts":[["2018"]]},"note":"Accession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illness.","type":"article-journal","volume":"8"},"uris":["http://www.mendeley.com/documents/?uuid=25ddcc05-70f1-4333-9e99-b9d202b84d0d"]},{"id":"ITEM-8","itemData":{"DOI":"10.1016/j.amepre.2016.11.009","ISBN":"0749-3797 1873-2607","ISSN":"18732607","PMID":"28094135","abstract":"Introduction This clinical demonstration trial compared the effectiveness of the Veterans Affairs Diabetes Prevention Program (VA-DPP) with an evidence-based usual care weight management program (MOVE!®) in the Veterans Health Administration health system. Design Prospective, pragmatic, non-randomized comparative effectiveness study of two behavioral weight management interventions. Setting/participants Obese/overweight Veterans with prediabetes were recruited from three geographically diverse VA sites between 2012 and 2014. Intervention VA-DPP included 22 group-based intensive lifestyle change sessions. Main outcome measures Weight change at 6 and 12 months, hemoglobin A1c (HbA1c) at 12 months, and VA health expenditure changes at 15 months were assessed using VA electronic health record and claims data. Between- and within-group comparisons for weight and HbA1c were done using linear mixed-effects models controlling for age, gender, race/ethnicity, baseline outcome values, and site. Analyses were conducted in 2015–2016. Results A total of 387 participants enrolled (273 VA-DPP, 114 MOVE!). More VA-DPP participants completed at least one (73.3% VA-DPP vs 57.5% MOVE! p=0.002); four (57.5% VA-DPP vs 42.5% MOVE!, p=0.007); and eight or more sessions (42.5% VA-DPP vs 31% MOVE!, p=0.035). Weight loss from baseline was significant at both 6 (p&lt;0.001) and 12 months (p&lt;0.001) for VA-DPP participants, but only significant at 6 months for MOVE! participants (p=0.004). Between groups, there were significant differences in 6-month weight loss (–4.1 kg VA-DPP vs –1.9 kg MOVE!, p&lt;0.001), but not 12-month weight loss (–3.4 kg VA-DPP vs –2.0 kg MOVE!, p=0.16). There were no significant differences in HbA1c change or outpatient, inpatient, and total VA expenditures. Conclusions VA-DPP participants had higher participation rates and weight loss at 6 months, but similar weight, HbA1c, and health expenditures at 12 months compared to MOVE! participants. Features of VA-DPP may help enhance the capability of MOVE! to reach a larger proportion of the served population and promote individual-level weight maintenance.","author":[{"dropping-particle":"","family":"Moin","given":"Tannaz","non-dropping-particle":"","parse-names":false,"suffix":""},{"dropping-particle":"","family":"Damschroder","given":"Laura J.","non-dropping-particle":"","parse-names":false,"suffix":""},{"dropping-particle":"","family":"AuYoung","given":"Mona","non-dropping-particle":"","parse-names":false,"suffix":""},{"dropping-particle":"","family":"Maciejewski","given":"Matthew L.","non-dropping-particle":"","parse-names":false,"suffix":""},{"dropping-particle":"","family":"Datta","given":"Santanu K.","non-dropping-particle":"","parse-names":false,"suffix":""},{"dropping-particle":"","family":"Weinreb","given":"Jane E.","non-dropping-particle":"","parse-names":false,"suffix":""},{"dropping-particle":"","family":"Steinle","given":"Nanette I.","non-dropping-particle":"","parse-names":false,"suffix":""},{"dropping-particle":"","family":"Billington","given":"Charles","non-dropping-particle":"","parse-names":false,"suffix":""},{"dropping-particle":"","family":"Hughes","given":"Maria","non-dropping-particle":"","parse-names":false,"suffix":""},{"dropping-particle":"","family":"Makki","given":"Fatima","non-dropping-particle":"","parse-names":false,"suffix":""},{"dropping-particle":"","family":"Holleman","given":"Robert G.","non-dropping-particle":"","parse-names":false,"suffix":""},{"dropping-particle":"","family":"Kim","given":"H. Myra","non-dropping-particle":"","parse-names":false,"suffix":""},{"dropping-particle":"","family":"Jeffreys","given":"Amy S.","non-dropping-particle":"","parse-names":false,"suffix":""},{"dropping-particle":"","family":"Kinsinger","given":"Linda S.","non-dropping-particle":"","parse-names":false,"suffix":""},{"dropping-particle":"","family":"Burns","given":"Jennifer A.","non-dropping-particle":"","parse-names":false,"suffix":""},{"dropping-particle":"","family":"Richardson","given":"Caroline R.","non-dropping-particle":"","parse-names":false,"suffix":""}],"container-title":"American Journal of Preventive Medicine","id":"ITEM-8","issue":"1","issued":{"date-parts":[["2017"]]},"page":"70-77","publisher":"Elsevier Inc.","title":"Diabetes prevention program translation in the veterans health administration","type":"article-journal","volume":"53"},"uris":["http://www.mendeley.com/documents/?uuid=0b49d9c8-fcae-49b9-b371-d81d371b6825","http://www.mendeley.com/documents/?uuid=c50de4a3-0ca0-411d-8a86-7e096e4ae38f"]},{"id":"ITEM-9","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Practice","id":"ITEM-9","issue":"1","issued":{"date-parts":[["2017"]]},"note":"Accession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study.","type":"article-journal","volume":"18"},"uris":["http://www.mendeley.com/documents/?uuid=0c5adc52-ca11-4f07-80d4-bf37e6cec46f"]},{"id":"ITEM-10","itemData":{"DOI":"10.1038/nutd.2017.21","ISSN":"20444052","PMID":"28481335","abstract":"BACKGROUND/OBJECTIVES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Diabetes","id":"ITEM-10","issue":"5","issued":{"date-parts":[["2017"]]},"publisher":"Nature Publishing Group","title":"Effect and maintenance of the SLIMMER diabetes prevention lifestyle intervention in Dutch primary healthcare: a randomised controlled trial","type":"article-journal","volume":"7"},"uris":["http://www.mendeley.com/documents/?uuid=a87e0ac4-eae2-41ac-9726-364be8e5c4e8"]},{"id":"ITEM-11","itemData":{"author":[{"dropping-particle":"","family":"Alva","given":"M.L.","non-dropping-particle":"","parse-names":false,"suffix":""}],"container-title":"American Journal of Health Promotion","id":"ITEM-11","issue":"7","issued":{"date-parts":[["2019"]]},"page":"1067-72","title":"How much does attendance impact weight loss and health care spending in a diabetes prevention program serving older adults?","type":"article-journal","volume":"33"},"uris":["http://www.mendeley.com/documents/?uuid=f1207552-91e1-416b-bc68-b0587dd06592"]}],"mendeley":{"formattedCitation":"(Alva, 2019b; Coppell et al., 2017; Davies et al., 2016; Duijzer et al., 2017; Gagnon et al., 2011; Katula et al., 2013; Marrero et al., 2016; Miller et al., 2016; Moin et al., 2017; Quiñones et al., 2018; Yates et al., 2009)","manualFormatting":"(Alva, 2019; Coppell et al., 2017; Davies et al., 2016; Duijzer et al., 2017; Gagnon et al., 2011; Katula et al., 2013; Marrero et al., 2016; Miller et al., 2016; Moin et al., 2017; Quiñones et al., 2018; Yates et al., 2009)","plainTextFormattedCitation":"(Alva, 2019b; Coppell et al., 2017; Davies et al., 2016; Duijzer et al., 2017; Gagnon et al., 2011; Katula et al., 2013; Marrero et al., 2016; Miller et al., 2016; Moin et al., 2017; Quiñones et al., 2018; Yates et al., 2009)","previouslyFormattedCitation":"(Alva, 2019b; Coppell et al., 2017; Davies et al., 2016; Duijzer et al., 2017; Gagnon et al., 2011; Katula et al., 2013; Marrero et al., 2016; Miller et al., 2016; Moin et al., 2017; Quiñones et al., 2018;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(Alva, 2019; Coppell et al., 2017; Davies et al., 2016; Duijzer et al., 2017; Gagnon et al., 2011; Katula et al., 2013; Marrero et al., 2016; Miller et al., 2016; Moin et al., 2017; Quiñones et al., 2018; Yates et al., 2009)</w:t>
      </w:r>
      <w:r w:rsidRPr="00103A0B">
        <w:rPr>
          <w:rFonts w:ascii="Arial" w:hAnsi="Arial" w:cs="Arial"/>
        </w:rPr>
        <w:fldChar w:fldCharType="end"/>
      </w:r>
      <w:r w:rsidRPr="00103A0B">
        <w:rPr>
          <w:rFonts w:ascii="Arial" w:hAnsi="Arial" w:cs="Arial"/>
        </w:rPr>
        <w:t xml:space="preserve">. </w:t>
      </w:r>
      <w:r w:rsidRPr="00103A0B">
        <w:rPr>
          <w:rFonts w:ascii="Arial" w:hAnsi="Arial" w:cs="Arial"/>
          <w:sz w:val="24"/>
          <w:szCs w:val="24"/>
        </w:rPr>
        <w:t>A small number of papers involved predominantly non-white/Caucasian samples</w:t>
      </w:r>
      <w:r w:rsidRPr="00103A0B">
        <w:rPr>
          <w:rFonts w:ascii="Arial" w:hAnsi="Arial" w:cs="Arial"/>
        </w:rPr>
        <w:t xml:space="preserve"> [</w:t>
      </w:r>
      <w:r w:rsidRPr="00103A0B">
        <w:rPr>
          <w:rFonts w:ascii="Arial" w:eastAsia="Times New Roman" w:hAnsi="Arial" w:cs="Arial"/>
          <w:sz w:val="24"/>
          <w:szCs w:val="24"/>
          <w:lang w:eastAsia="en-GB"/>
        </w:rPr>
        <w:t xml:space="preserve">African-American (n=3) </w:t>
      </w:r>
      <w:r w:rsidRPr="00103A0B">
        <w:rPr>
          <w:rFonts w:ascii="Arial" w:hAnsi="Arial" w:cs="Arial"/>
        </w:rPr>
        <w:fldChar w:fldCharType="begin" w:fldLock="1"/>
      </w:r>
      <w:r w:rsidR="00AF410C" w:rsidRPr="00103A0B">
        <w:rPr>
          <w:rFonts w:ascii="Arial" w:eastAsia="Times New Roman" w:hAnsi="Arial" w:cs="Arial"/>
          <w:sz w:val="24"/>
          <w:szCs w:val="24"/>
          <w:lang w:eastAsia="en-GB"/>
        </w:rPr>
        <w:instrText>ADDIN CSL_CITATION {"citationItems":[{"id":"ITEM-1","itemData":{"DOI":"10.1016/j.puhe.2014.11.001","ISBN":"1476-5616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Health","id":"ITEM-1","issued":{"date-parts":[["2014"]]},"page":"674-77","publisher":"The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trial","type":"article-journal","volume":"128"},"uris":["http://www.mendeley.com/documents/?uuid=1abeaa8a-5178-4243-9733-7fd8d5ef92d5"]},{"id":"ITEM-2","itemData":{"author":[{"dropping-particle":"","family":"Boltri","given":"John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Association","id":"ITEM-2","issue":"3","issued":{"date-parts":[["2011"]]},"page":"194-202","title":"Translation of the national institutes of health diabetes prevention program in African American churches","type":"article-journal","volume":"103"},"uris":["http://www.mendeley.com/documents/?uuid=9a9d913a-7043-4df3-a05c-f50fa2ed8eff"]},{"id":"ITEM-3","itemData":{"author":[{"dropping-particle":"","family":"Davis-Smith","given":"Monique","non-dropping-particle":"","parse-names":false,"suffix":""}],"container-title":"Journal of the National Medical Association","id":"ITEM-3","issue":"4","issued":{"date-parts":[["2007"]]},"page":"440-47","title":"Implementing a diabetes prevention program in a rural African-American church","type":"article-journal","volume":"99"},"uris":["http://www.mendeley.com/documents/?uuid=0ddb0a52-0cf9-48e8-a66c-340f5fa47213"]}],"mendeley":{"formattedCitation":"(Bernstein, A.M., Gendy, G., Rudd, N., Doyle, J., Fay, S., Moffett, K., 2014; Boltri et al., 2011; Davis-Smith, 2007)","manualFormatting":"(Bernstein, Gendy, Rudd, Doyle, Fay, Moffett, 2014; Boltri et al., 2011; Davis-Smith, 2007)","plainTextFormattedCitation":"(Bernstein, A.M., Gendy, G., Rudd, N., Doyle, J., Fay, S., Moffett, K., 2014; Boltri et al., 2011; Davis-Smith, 2007)","previouslyFormattedCitation":"(Bernstein, A.M., Gendy, G., Rudd, N., Doyle, J., Fay, S., Moffett, K., 2014; Boltri et al., 2011; Davis-Smith, 2007)"},"properties":{"noteIndex":0},"schema":"https://github.com/citation-style-language/schema/raw/master/csl-citation.json"}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(Bernstein, Gendy, Rudd, Doyle, Fay, Moffett, 2014; Boltri et al., 2011; Davis-Smith, 2007)</w:t>
      </w:r>
      <w:r w:rsidRPr="00103A0B">
        <w:rPr>
          <w:rFonts w:ascii="Arial" w:hAnsi="Arial" w:cs="Arial"/>
        </w:rPr>
        <w:fldChar w:fldCharType="end"/>
      </w:r>
      <w:r w:rsidRPr="00103A0B">
        <w:rPr>
          <w:rFonts w:ascii="Arial" w:eastAsia="Times New Roman" w:hAnsi="Arial" w:cs="Arial"/>
          <w:sz w:val="24"/>
          <w:szCs w:val="24"/>
          <w:lang w:eastAsia="en-GB"/>
        </w:rPr>
        <w:t xml:space="preserve">; Latino (Dominican origin) (n=1) </w:t>
      </w:r>
      <w:r w:rsidRPr="00103A0B">
        <w:rPr>
          <w:rFonts w:ascii="Arial" w:hAnsi="Arial" w:cs="Arial"/>
        </w:rPr>
        <w:fldChar w:fldCharType="begin" w:fldLock="1"/>
      </w:r>
      <w:r w:rsidR="00810F86" w:rsidRPr="00103A0B">
        <w:rPr>
          <w:rFonts w:ascii="Arial" w:eastAsia="Times New Roman" w:hAnsi="Arial" w:cs="Arial"/>
          <w:sz w:val="24"/>
          <w:szCs w:val="24"/>
          <w:lang w:eastAsia="en-GB"/>
        </w:rPr>
        <w:instrText>ADDIN CSL_CITATION {"citationItems":[{"id":"ITEM-1","itemData":{"DOI":"10.2105/AJPH.2011.300357","ISBN":"1541-0048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Health","id":"ITEM-1","issue":"2","issued":{"date-parts":[["2012"]]},"page":"336-342","title":"Outcomes of a Latino community-based intervention for the prevention of diabetes: the lawrence Latino diabetes prevention project","type":"article-journal","volume":"102"},"uris":["http://www.mendeley.com/documents/?uuid=6b9cb080-dc52-4e71-a5c6-bb5e3c90945b"]}],"mendeley":{"formattedCitation":"(Ockene et al., 2012)","plainTextFormattedCitation":"(Ockene et al., 2012)","previouslyFormattedCitation":"(Ockene et al., 2012)"},"properties":{"noteIndex":0},"schema":"https://github.com/citation-style-language/schema/raw/master/csl-citation.json"}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(Ockene et al., 2012)</w:t>
      </w:r>
      <w:r w:rsidRPr="00103A0B">
        <w:rPr>
          <w:rFonts w:ascii="Arial" w:hAnsi="Arial" w:cs="Arial"/>
        </w:rPr>
        <w:fldChar w:fldCharType="end"/>
      </w:r>
      <w:r w:rsidRPr="00103A0B">
        <w:rPr>
          <w:rFonts w:ascii="Arial" w:eastAsia="Times New Roman" w:hAnsi="Arial" w:cs="Arial"/>
          <w:sz w:val="24"/>
          <w:szCs w:val="24"/>
          <w:lang w:eastAsia="en-GB"/>
        </w:rPr>
        <w:t xml:space="preserve">; Brazilian (n=1) </w:t>
      </w:r>
      <w:r w:rsidRPr="00103A0B">
        <w:rPr>
          <w:rFonts w:ascii="Arial" w:hAnsi="Arial" w:cs="Arial"/>
        </w:rPr>
        <w:fldChar w:fldCharType="begin" w:fldLock="1"/>
      </w:r>
      <w:r w:rsidR="008D109C" w:rsidRPr="00103A0B">
        <w:rPr>
          <w:rFonts w:ascii="Arial" w:eastAsia="Times New Roman" w:hAnsi="Arial" w:cs="Arial"/>
          <w:sz w:val="24"/>
          <w:szCs w:val="24"/>
          <w:lang w:eastAsia="en-GB"/>
        </w:rPr>
        <w:instrText>ADDIN CSL_CITATION {"citationItems":[{"id":"ITEM-1","itemData":{"DOI":"10.1016/j.nutres.2010.03.003","ISBN":"0271-5317","ISSN":"02715317","PMID":"20417879","abstract":"The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Research","id":"ITEM-1","issue":"3","issued":{"date-parts":[["2010"]]},"page":"186-190","publisher":"Elsevier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tolerance","type":"article-journal","volume":"30"},"uris":["http://www.mendeley.com/documents/?uuid=24bc950c-bfd2-4632-8ad0-a20eee1f7dc8"]}],"mendeley":{"formattedCitation":"(Pimentel et al., 2010)","plainTextFormattedCitation":"(Pimentel et al., 2010)","previouslyFormattedCitation":"(Pimentel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(Pimentel et al., 2010)</w:t>
      </w:r>
      <w:r w:rsidRPr="00103A0B">
        <w:rPr>
          <w:rFonts w:ascii="Arial" w:hAnsi="Arial" w:cs="Arial"/>
        </w:rPr>
        <w:fldChar w:fldCharType="end"/>
      </w:r>
      <w:r w:rsidRPr="00103A0B">
        <w:rPr>
          <w:rFonts w:ascii="Arial" w:hAnsi="Arial" w:cs="Arial"/>
        </w:rPr>
        <w:t>;</w:t>
      </w:r>
      <w:r w:rsidRPr="00103A0B">
        <w:rPr>
          <w:rFonts w:ascii="Arial" w:eastAsia="Times New Roman" w:hAnsi="Arial" w:cs="Arial"/>
          <w:sz w:val="24"/>
          <w:szCs w:val="24"/>
          <w:lang w:eastAsia="en-GB"/>
        </w:rPr>
        <w:t xml:space="preserve"> Mexican (n=1) </w:t>
      </w:r>
      <w:r w:rsidRPr="00103A0B">
        <w:rPr>
          <w:rFonts w:ascii="Arial" w:hAnsi="Arial" w:cs="Arial"/>
        </w:rPr>
        <w:fldChar w:fldCharType="begin" w:fldLock="1"/>
      </w:r>
      <w:r w:rsidR="00F064BD" w:rsidRPr="00103A0B">
        <w:rPr>
          <w:rFonts w:ascii="Arial" w:eastAsia="Times New Roman" w:hAnsi="Arial" w:cs="Arial"/>
          <w:sz w:val="24"/>
          <w:szCs w:val="24"/>
          <w:lang w:eastAsia="en-GB"/>
        </w:rPr>
        <w:instrText>ADDIN CSL_CITATION {"citationItems":[{"id":"ITEM-1","itemData":{"DOI":"10.1177/0145721714521020","ISBN":"0145-7217","ISSN":"15546063","PMID":"24510942","abstract":"Purpose: This article reports the results of a community-based, culturally tailored diabetes prevention program for overweight Mexican American adults on weight loss, waist circumference, diet and physical activity self-efficacy, and diet behaviors., Methods: The intervention used content from the Diabetes Prevention Program but culturally tailored the delivery methods into a community-based program for Spanishspeaking adults of Mexican descent. The design was a randomized controlled trial (N = 58) comparing the effects of a 5-month educational intervention with an attention control group. The primary study outcome was weight loss. Secondary outcomes included change in waist circumference, body mass index, diet self-efficacy, and physical activity self-efficacy., Results: There were significant intervention effects for weight, waist circumference, body mass index, and diet selfefficacy, with the intervention group doing better than the control group. These effects did not change over time., Conclusions: Findings support the conclusion that a community-based, culturally tailored intervention is effective in reducing diabetes risk factors in a 5-month program., (C) 2014 Sage Publishing","author":[{"dropping-particle":"","family":"Vincent","given":"Deborah","non-dropping-particle":"","parse-names":false,"suffix":""},{"dropping-particle":"","family":"McEwen","given":"Marylyn M.","non-dropping-particle":"","parse-names":false,"suffix":""},{"dropping-particle":"","family":"Hepworth","given":"Joseph T.","non-dropping-particle":"","parse-names":false,"suffix":""},{"dropping-particle":"","family":"Stump","given":"Craig S.","non-dropping-particle":"","parse-names":false,"suffix":""}],"container-title":"The Diabetes Educator","id":"ITEM-1","issue":"2","issued":{"date-parts":[["2014"]]},"page":"202-213","title":"The effects of a community-based, culturally tailored diabetes prevention intervention for high-risk adults of Mexican descent","type":"article-journal","volume":"40"},"uris":["http://www.mendeley.com/documents/?uuid=45a67a3a-a21d-4e1b-b15e-e4fcd00a23e0"]}],"mendeley":{"formattedCitation":"(Vincent et al., 2014)","plainTextFormattedCitation":"(Vincent et al., 2014)","previouslyFormattedCitation":"(Vincent et al., 2014)"},"properties":{"noteIndex":0},"schema":"https://github.com/citation-style-language/schema/raw/master/csl-citation.json"}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992026" w:rsidRPr="00103A0B">
        <w:rPr>
          <w:rFonts w:ascii="Arial" w:eastAsia="Times New Roman" w:hAnsi="Arial" w:cs="Arial"/>
          <w:noProof/>
          <w:sz w:val="24"/>
          <w:szCs w:val="24"/>
          <w:lang w:eastAsia="en-GB"/>
        </w:rPr>
        <w:t>(Vincent et al., 2014)</w:t>
      </w:r>
      <w:r w:rsidRPr="00103A0B">
        <w:rPr>
          <w:rFonts w:ascii="Arial" w:hAnsi="Arial" w:cs="Arial"/>
        </w:rPr>
        <w:fldChar w:fldCharType="end"/>
      </w:r>
      <w:r w:rsidRPr="00103A0B">
        <w:rPr>
          <w:rFonts w:ascii="Arial" w:eastAsia="Times New Roman" w:hAnsi="Arial" w:cs="Arial"/>
          <w:sz w:val="24"/>
          <w:szCs w:val="24"/>
          <w:lang w:eastAsia="en-GB"/>
        </w:rPr>
        <w:t xml:space="preserve">, mainly Hispanic sample (n=1) </w:t>
      </w:r>
      <w:r w:rsidRPr="00103A0B">
        <w:rPr>
          <w:rFonts w:ascii="Arial" w:hAnsi="Arial" w:cs="Arial"/>
        </w:rPr>
        <w:fldChar w:fldCharType="begin" w:fldLock="1"/>
      </w:r>
      <w:r w:rsidR="00810F86" w:rsidRPr="00103A0B">
        <w:rPr>
          <w:rFonts w:ascii="Arial" w:eastAsia="Times New Roman" w:hAnsi="Arial" w:cs="Arial"/>
          <w:sz w:val="24"/>
          <w:szCs w:val="24"/>
          <w:lang w:eastAsia="en-GB"/>
        </w:rPr>
        <w:instrText>ADDIN CSL_CITATION {"citationItems":[{"id":"ITEM-1","itemData":{"ISBN":"00900036","ISSN":"00900036","PMID":"52016494","abstract":"Objectives.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Health","id":"ITEM-1","issued":{"date-parts":[["2010"]]},"page":"232-39","title":"Results of a pilot diabetes prevention intervention in East Harlem, New York city: project HEED","type":"article-journal","volume":"100"},"uris":["http://www.mendeley.com/documents/?uuid=6ca00620-5eb7-44be-86f5-e0fe0414de89"]}],"mendeley":{"formattedCitation":"(Parikh et al., 2010)","plainTextFormattedCitation":"(Parikh et al., 2010)","previouslyFormattedCitation":"(Parikh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(Parikh et al., 2010)</w:t>
      </w:r>
      <w:r w:rsidRPr="00103A0B">
        <w:rPr>
          <w:rFonts w:ascii="Arial" w:hAnsi="Arial" w:cs="Arial"/>
        </w:rPr>
        <w:fldChar w:fldCharType="end"/>
      </w:r>
      <w:r w:rsidRPr="00103A0B">
        <w:rPr>
          <w:rFonts w:ascii="Arial" w:hAnsi="Arial" w:cs="Arial"/>
        </w:rPr>
        <w:t>;</w:t>
      </w:r>
      <w:r w:rsidRPr="00103A0B">
        <w:rPr>
          <w:rFonts w:ascii="Arial" w:eastAsia="Times New Roman" w:hAnsi="Arial" w:cs="Arial"/>
          <w:sz w:val="24"/>
          <w:szCs w:val="24"/>
          <w:lang w:eastAsia="en-GB"/>
        </w:rPr>
        <w:t xml:space="preserve"> American Indian and Alaska native sample (n=1) </w:t>
      </w:r>
      <w:r w:rsidRPr="00103A0B">
        <w:rPr>
          <w:rFonts w:ascii="Arial" w:hAnsi="Arial" w:cs="Arial"/>
        </w:rPr>
        <w:fldChar w:fldCharType="begin" w:fldLock="1"/>
      </w:r>
      <w:r w:rsidR="008D109C" w:rsidRPr="00103A0B">
        <w:rPr>
          <w:rFonts w:ascii="Arial" w:eastAsia="Times New Roman" w:hAnsi="Arial" w:cs="Arial"/>
          <w:sz w:val="24"/>
          <w:szCs w:val="24"/>
          <w:lang w:eastAsia="en-GB"/>
        </w:rPr>
        <w:instrText>ADDIN CSL_CITATION {"citationItems":[{"id":"ITEM-1","itemData":{"DOI":"10.2337/dc12-1250","ISBN":"0149-5992\\r1935-5548","ISSN":"01495992","PMID":"23275375","abstract":"OBJECTIVE: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Care","id":"ITEM-1","issue":"7","issued":{"date-parts":[["2013"]]},"page":"2027-2034","title":"Translating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project","type":"article-journal","volume":"36"},"uris":["http://www.mendeley.com/documents/?uuid=6fb8d6ab-39ae-48b6-b78a-5dcf85b9cf0a"]}],"mendeley":{"formattedCitation":"(Jiang et al., 2013)","plainTextFormattedCitation":"(Jiang et al., 2013)","previouslyFormattedCitation":"(Jiang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(Jiang et al., 2013)</w:t>
      </w:r>
      <w:r w:rsidRPr="00103A0B">
        <w:rPr>
          <w:rFonts w:ascii="Arial" w:hAnsi="Arial" w:cs="Arial"/>
        </w:rPr>
        <w:fldChar w:fldCharType="end"/>
      </w:r>
      <w:r w:rsidRPr="00103A0B">
        <w:rPr>
          <w:rFonts w:ascii="Arial" w:hAnsi="Arial" w:cs="Arial"/>
        </w:rPr>
        <w:t>]</w:t>
      </w:r>
      <w:r w:rsidRPr="00103A0B">
        <w:rPr>
          <w:rFonts w:ascii="Arial" w:eastAsia="Times New Roman" w:hAnsi="Arial" w:cs="Arial"/>
          <w:sz w:val="24"/>
          <w:szCs w:val="24"/>
          <w:lang w:eastAsia="en-GB"/>
        </w:rPr>
        <w:t xml:space="preserve">.  </w:t>
      </w:r>
    </w:p>
    <w:p w14:paraId="179CD37B" w14:textId="2DE53416" w:rsidR="00324C56" w:rsidRPr="00103A0B" w:rsidRDefault="004B3096" w:rsidP="005D0A3A">
      <w:pPr>
        <w:keepLines/>
        <w:jc w:val="both"/>
        <w:rPr>
          <w:rFonts w:ascii="Arial" w:hAnsi="Arial" w:cs="Arial"/>
          <w:b/>
          <w:bCs/>
          <w:sz w:val="24"/>
          <w:szCs w:val="24"/>
        </w:rPr>
      </w:pPr>
      <w:bookmarkStart w:id="98" w:name="_Toc41404592"/>
      <w:r w:rsidRPr="00103A0B">
        <w:rPr>
          <w:rFonts w:ascii="Arial" w:hAnsi="Arial" w:cs="Arial"/>
          <w:b/>
          <w:bCs/>
          <w:sz w:val="24"/>
          <w:szCs w:val="24"/>
        </w:rPr>
        <w:t xml:space="preserve">2.3.4 </w:t>
      </w:r>
      <w:r w:rsidR="00324C56" w:rsidRPr="00103A0B">
        <w:rPr>
          <w:rFonts w:ascii="Arial" w:hAnsi="Arial" w:cs="Arial"/>
          <w:b/>
          <w:bCs/>
          <w:sz w:val="24"/>
          <w:szCs w:val="24"/>
        </w:rPr>
        <w:t>Interventions</w:t>
      </w:r>
      <w:bookmarkEnd w:id="98"/>
    </w:p>
    <w:p w14:paraId="68791785" w14:textId="77777777" w:rsidR="001F3B33" w:rsidRPr="00103A0B" w:rsidRDefault="00324C56" w:rsidP="005D0A3A">
      <w:pPr>
        <w:tabs>
          <w:tab w:val="left" w:pos="1470"/>
        </w:tabs>
        <w:spacing w:line="360" w:lineRule="auto"/>
        <w:jc w:val="both"/>
        <w:rPr>
          <w:rFonts w:ascii="Arial" w:eastAsia="Times New Roman" w:hAnsi="Arial" w:cs="Arial"/>
          <w:i/>
          <w:iCs/>
          <w:sz w:val="24"/>
          <w:szCs w:val="24"/>
          <w:lang w:eastAsia="en-GB"/>
        </w:rPr>
      </w:pPr>
      <w:r w:rsidRPr="00103A0B">
        <w:rPr>
          <w:rFonts w:ascii="Arial" w:eastAsia="Times New Roman" w:hAnsi="Arial" w:cs="Arial"/>
          <w:i/>
          <w:iCs/>
          <w:sz w:val="24"/>
          <w:szCs w:val="24"/>
          <w:lang w:eastAsia="en-GB"/>
        </w:rPr>
        <w:t xml:space="preserve">Intervention </w:t>
      </w:r>
      <w:r w:rsidR="00181EB6" w:rsidRPr="00103A0B">
        <w:rPr>
          <w:rFonts w:ascii="Arial" w:eastAsia="Times New Roman" w:hAnsi="Arial" w:cs="Arial"/>
          <w:i/>
          <w:iCs/>
          <w:sz w:val="24"/>
          <w:szCs w:val="24"/>
          <w:lang w:eastAsia="en-GB"/>
        </w:rPr>
        <w:t>T</w:t>
      </w:r>
      <w:r w:rsidRPr="00103A0B">
        <w:rPr>
          <w:rFonts w:ascii="Arial" w:eastAsia="Times New Roman" w:hAnsi="Arial" w:cs="Arial"/>
          <w:i/>
          <w:iCs/>
          <w:sz w:val="24"/>
          <w:szCs w:val="24"/>
          <w:lang w:eastAsia="en-GB"/>
        </w:rPr>
        <w:t xml:space="preserve">ype </w:t>
      </w:r>
    </w:p>
    <w:p w14:paraId="54203283" w14:textId="063CE064" w:rsidR="00324C56" w:rsidRPr="00103A0B" w:rsidRDefault="00324C56" w:rsidP="005D0A3A">
      <w:pPr>
        <w:tabs>
          <w:tab w:val="left" w:pos="1470"/>
        </w:tabs>
        <w:spacing w:line="360" w:lineRule="auto"/>
        <w:jc w:val="both"/>
        <w:rPr>
          <w:rFonts w:ascii="Arial" w:eastAsia="Times New Roman" w:hAnsi="Arial" w:cs="Arial"/>
          <w:i/>
          <w:iCs/>
          <w:sz w:val="24"/>
          <w:szCs w:val="24"/>
          <w:lang w:eastAsia="en-GB"/>
        </w:rPr>
      </w:pPr>
      <w:r w:rsidRPr="00103A0B">
        <w:rPr>
          <w:rFonts w:ascii="Arial" w:eastAsia="Times New Roman" w:hAnsi="Arial" w:cs="Arial"/>
          <w:sz w:val="24"/>
          <w:szCs w:val="24"/>
          <w:lang w:eastAsia="en-GB"/>
        </w:rPr>
        <w:t xml:space="preserve">The overall duration of interventions ranged from 1 day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care","id":"ITEM-1","issued":{"date-parts":[["2009"]]},"page":"1404-10","title":"Effectiveness of a pragmatic education program designed to promote walking activity in individuals with impaired glucose tolerance","type":"article-journal","volume":"32"},"uris":["http://www.mendeley.com/documents/?uuid=f022eff7-34b4-4911-8936-eba8ff61941e"]}],"mendeley":{"formattedCitation":"(Yates et al., 2009)","plainTextFormattedCitation":"(Yates et al., 2009)","previouslyFormattedCitation":"(Yates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to 2 years (n=2)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{"citationItems":[{"id":"ITEM-1","itemData":{"DOI":"10.1016/j.amepre.2012.12.015","ISBN":"1873-2607 (Electronic)\\r0749-3797 (Linking)","ISSN":"18732607","PMID":"23498294","abstract":"Background: Since the Diabetes Prevention Project (DPP) demonstrated that lifestyle weight-loss interventions can reduce the incidence of diabetes by 58%, several studies have translated the DPP methods to public health - friendly contexts. Although these studies have demonstrated short-term effects, no study to date has examined the impact of a translated DPP intervention on blood glucose and adiposity beyond 12 months of follow-up. Purpose: To examine the impact of a 24-month, community-based diabetes prevention program on fasting blood glucose, insulin, insulin resistance as well as body weight, waist circumference, and BMI in the second year of follow-up. Design: An RCT comparing a 24-month lifestyle weight-loss program (LWL) to an enhanced usual care condition (UCC) in participants with prediabetes (fasting blood glucose = 95 - 125 mg/dL). Data were collected in 2007-2011; analyses were conducted in 2011-2012. Setting/participants: 301 participants with prediabetes were randomized; 261 completed the study. The intervention was held in community-based sites. Intervention: The LWL program was led by community health workers and sought to induce 7% weight loss at 6 months that would be maintained over time through decreased caloric intake and increased physical activity. The UCC received two visits with a registered dietitian and a monthly newsletter. Main outcome measures: The main measures were fasting blood glucose, insulin, insulin resistance, body weight, waist circumference, and BMI. Results: Intent-to-treat analyses of between-group differences in the average of 18- and 24-month measures of outcomes (controlling for baseline values) revealed that the LWL participants experienced greater decreases in fasting glucose (- 4.35 mg/dL); insulin (- 3.01 μU/ml); insulin resistance (- 0.97); body weight (- 4.19 kg); waist circumference (- 3.23 cm); and BMI (- 1.40), allp-values &lt;0.01. Conclusions: A diabetes prevention program administered through an existing community-based system and delivered by community health workers is effective at inducing significant long-term reductions in metabolic indicators and adiposity. © 2013 American Journal of Preventive Medicine.","author":[{"dropping-particle":"","family":"Katula","given":"Jeffrey A.","non-dropping-particle":"","parse-names":false,"suffix":""},{"dropping-particle":"","family":"Vitolins","given":"Mara Z.","non-dropping-particle":"","parse-names":false,"suffix":""},{"dropping-particle":"","family":"Morgan","given":"Timothy M.","non-dropping-particle":"","parse-names":false,"suffix":""},{"dropping-particle":"","family":"Lawlor","given":"Michael S.","non-dropping-particle":"","parse-names":false,"suffix":""},{"dropping-particle":"","family":"Blackwell","given":"Caroline S.","non-dropping-particle":"","parse-names":false,"suffix":""},{"dropping-particle":"","family":"Isom","given":"Scott P.","non-dropping-particle":"","parse-names":false,"suffix":""},{"dropping-particle":"","family":"Pedley","given":"Carolyn F.","non-dropping-particle":"","parse-names":false,"suffix":""},{"dropping-particle":"","family":"Goff","given":"David C.","non-dropping-particle":"","parse-names":false,"suffix":""}],"container-title":"American Journal of Preventive Medicine","id":"ITEM-1","issue":"4S4","issued":{"date-parts":[["2013"]]},"page":"S324-S332","publisher":"Elsevier Inc.","title":"The healthy living partnerships to prevent diabetes study: 2-year outcomes of a randomized controlled trial","type":"article-journal","volume":"44"},"uris":["http://www.mendeley.com/documents/?uuid=622c5a69-cd33-454b-a85e-af4bc359d8a1"]},{"id":"ITEM-2","itemData":{"DOI":"10.1177/2150132719847374","author":[{"dropping-particle":"","family":"Aekplakorn","given":"Wichai","non-dropping-particle":"","parse-names":false,"suffix":""},{"dropping-particle":"","family":"Tantayotai","given":"Valla","non-dropping-particle":"","parse-names":false,"suffix":""},{"dropping-particle":"","family":"Numsangkul","given":"Sakawduan","non-dropping-particle":"","parse-names":false,"suffix":""},{"dropping-particle":"","family":"Tatsato","given":"Nutchanat","non-dropping-particle":"","parse-names":false,"suffix":""},{"dropping-particle":"","family":"Luckanajantachote","given":"Pranee","non-dropping-particle":"","parse-names":false,"suffix":""}],"container-title":"Journal of Primary Care and Community Health","id":"ITEM-2","issued":{"date-parts":[["2019"]]},"page":"1-8","title":"Evaluation of a community-based diabetes prevention program in Thailand : a cluster randomized controlled trial","type":"article-journal","volume":"10"},"uris":["http://www.mendeley.com/documents/?uuid=8b3b4c2b-0469-4192-909b-c057fc6c5460"]}],"mendeley":{"formattedCitation":"(Aekplakorn et al., 2019; Katula et al., 2013)","plainTextFormattedCitation":"(Aekplakorn et al., 2019; Katula et al., 2013)","previouslyFormattedCitation":"(Aekplakorn et al., 2019; Katula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(Aekplakorn et al., 2019; Katula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All interventions included both diet and exercise components, except one diet only intervention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Research","id":"ITEM-1","issue":"3","issued":{"date-parts":[["2010"]]},"page":"186-190","publisher":"Elsevier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tolerance","type":"article-journal","volume":"30"},"uris":["http://www.mendeley.com/documents/?uuid=24bc950c-bfd2-4632-8ad0-a20eee1f7dc8"]}],"mendeley":{"formattedCitation":"(Pimentel et al., 2010)","plainTextFormattedCitation":"(Pimentel et al., 2010)","previouslyFormattedCitation":"(Pimentel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(Pimentel et al.,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62223BB6" w14:textId="549E6BEE" w:rsidR="00324C56" w:rsidRPr="00103A0B" w:rsidRDefault="00324C56" w:rsidP="005D0A3A">
      <w:pPr>
        <w:tabs>
          <w:tab w:val="left" w:pos="1470"/>
        </w:tabs>
        <w:spacing w:line="360" w:lineRule="auto"/>
        <w:jc w:val="both"/>
        <w:rPr>
          <w:rFonts w:ascii="Arial" w:eastAsia="Times New Roman" w:hAnsi="Arial" w:cs="Arial"/>
          <w:i/>
          <w:iCs/>
          <w:sz w:val="24"/>
          <w:szCs w:val="24"/>
          <w:lang w:eastAsia="en-GB"/>
        </w:rPr>
      </w:pPr>
      <w:r w:rsidRPr="00103A0B">
        <w:rPr>
          <w:rFonts w:ascii="Arial" w:eastAsia="Times New Roman" w:hAnsi="Arial" w:cs="Arial"/>
          <w:i/>
          <w:iCs/>
          <w:sz w:val="24"/>
          <w:szCs w:val="24"/>
          <w:lang w:eastAsia="en-GB"/>
        </w:rPr>
        <w:lastRenderedPageBreak/>
        <w:t>Country/</w:t>
      </w:r>
      <w:r w:rsidR="00181EB6" w:rsidRPr="00103A0B">
        <w:rPr>
          <w:rFonts w:ascii="Arial" w:eastAsia="Times New Roman" w:hAnsi="Arial" w:cs="Arial"/>
          <w:i/>
          <w:iCs/>
          <w:sz w:val="24"/>
          <w:szCs w:val="24"/>
          <w:lang w:eastAsia="en-GB"/>
        </w:rPr>
        <w:t>S</w:t>
      </w:r>
      <w:r w:rsidRPr="00103A0B">
        <w:rPr>
          <w:rFonts w:ascii="Arial" w:eastAsia="Times New Roman" w:hAnsi="Arial" w:cs="Arial"/>
          <w:i/>
          <w:iCs/>
          <w:sz w:val="24"/>
          <w:szCs w:val="24"/>
          <w:lang w:eastAsia="en-GB"/>
        </w:rPr>
        <w:t>etting</w:t>
      </w:r>
    </w:p>
    <w:p w14:paraId="4C43478E" w14:textId="3AF2CD8A" w:rsidR="00803D36" w:rsidRPr="00103A0B" w:rsidRDefault="00324C56" w:rsidP="005D0A3A">
      <w:pPr>
        <w:tabs>
          <w:tab w:val="left" w:pos="1470"/>
        </w:tabs>
        <w:spacing w:line="360" w:lineRule="auto"/>
        <w:jc w:val="both"/>
        <w:rPr>
          <w:rFonts w:ascii="Arial" w:eastAsia="Times New Roman" w:hAnsi="Arial" w:cs="Arial"/>
          <w:i/>
          <w:iCs/>
          <w:sz w:val="24"/>
          <w:szCs w:val="24"/>
          <w:lang w:eastAsia="en-GB"/>
        </w:rPr>
      </w:pPr>
      <w:r w:rsidRPr="00103A0B">
        <w:rPr>
          <w:rFonts w:ascii="Arial" w:eastAsia="Times New Roman" w:hAnsi="Arial" w:cs="Arial"/>
          <w:sz w:val="24"/>
          <w:szCs w:val="24"/>
          <w:lang w:eastAsia="en-GB"/>
        </w:rPr>
        <w:t xml:space="preserve">Most DPPs were delivered in healthcare settings (n=16) </w:t>
      </w:r>
      <w:r w:rsidRPr="00103A0B">
        <w:rPr>
          <w:rFonts w:ascii="Arial" w:eastAsia="Times New Roman" w:hAnsi="Arial" w:cs="Arial"/>
          <w:sz w:val="24"/>
          <w:szCs w:val="24"/>
          <w:lang w:eastAsia="en-GB"/>
        </w:rPr>
        <w:fldChar w:fldCharType="begin" w:fldLock="1"/>
      </w:r>
      <w:r w:rsidR="00F064BD"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Health","id":"ITEM-2","issued":{"date-parts":[["2014"]]},"page":"674-77","publisher":"The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trial","type":"article-journal","volume":"128"},"uris":["http://www.mendeley.com/documents/?uuid=1abeaa8a-5178-4243-9733-7fd8d5ef92d5"]},{"id":"ITEM-3","itemData":{"DOI":"10.1016/j.ypmed.2015.12.012","ISBN":"0091-7435","ISSN":"10960260","PMID":"26740346","abstract":"Objectives: Prevention of type 2 diabetes (T2DM) is a priority in healthcare, but there is a lack of evidence investigating how to effectively translate prevention research into a UK primary care setting. We assessed whether a structured education programme targeting lifestyle and behaviour change was effective at preventing progression to T2DM in people with pre-diabetes. Materials and methods: Forty-four general practices were randomised to receive either standard care or a 6. hour group structured education programme with an annual refresher course, and regular phone contact. Participants were followed up for 3. years. The primary outcome was progression to T2DM. Results: Eight hundred and eighty participants were included (36% female, mean age 64. years, 16% ethnic minority group); 131 participants developed T2DM. There was a non-significant 26% reduced risk of developing T2DM in the intervention arm compared to standard care (HR 0.74, 95% CI 0.48, 1.14, p= 0.18). The reduction in T2DM risk when excluding those who did not attend the initial education session was also non-significant (HR 0.65, 0.41, 1.03, p= 0.07). There were statistically significant improvements in HbA1c (- 0.06, - 0.11, - 0.01), LDL cholesterol (- 0.08, - 0.15, - 0.01), sedentary time (- 26.29, - 45.26, - 7.32) and step count (498.15, 162.10, 834.20) when data were analysed across all time points. Conclusions: This study suggests that a relatively low resource, pragmatic diabetes prevention programme resulted in modest benefits to biomedical, lifestyle and psychosocial outcomes, however the reduction to the risk of T2DM did not reach significance. The findings have important implications for future research and primary care.","author":[{"dropping-particle":"","family":"Davies","given":"Melanie J.","non-dropping-particle":"","parse-names":false,"suffix":""},{"dropping-particle":"","family":"Gray","given":"Laura J.","non-dropping-particle":"","parse-names":false,"suffix":""},{"dropping-particle":"","family":"Troughton","given":"Jacqui","non-dropping-particle":"","parse-names":false,"suffix":""},{"dropping-particle":"","family":"Gray","given":"Alastair","non-dropping-particle":"","parse-names":false,"suffix":""},{"dropping-particle":"","family":"Tuomilehto","given":"Jaakko","non-dropping-particle":"","parse-names":false,"suffix":""},{"dropping-particle":"","family":"Farooqi","given":"Azhar","non-dropping-particle":"","parse-names":false,"suffix":""},{"dropping-particle":"","family":"Khunti","given":"Kamlesh","non-dropping-particle":"","parse-names":false,"suffix":""},{"dropping-particle":"","family":"Yates","given":"Thomas","non-dropping-particle":"","parse-names":false,"suffix":""},{"dropping-particle":"","family":"Bancroft","given":"Mary","non-dropping-particle":"","parse-names":false,"suffix":""},{"dropping-particle":"","family":"Ahrabian","given":"Dariush","non-dropping-particle":"","parse-names":false,"suffix":""},{"dropping-particle":"","family":"Cowling","given":"Pauline","non-dropping-particle":"","parse-names":false,"suffix":""},{"dropping-particle":"","family":"Greaves","given":"Colin","non-dropping-particle":"","parse-names":false,"suffix":""},{"dropping-particle":"","family":"Sheppard","given":"David","non-dropping-particle":"","parse-names":false,"suffix":""},{"dropping-particle":"","family":"Leal","given":"Jose","non-dropping-particle":"","parse-names":false,"suffix":""},{"dropping-particle":"","family":"Abrams","given":"Keith","non-dropping-particle":"","parse-names":false,"suffix":""},{"dropping-particle":"","family":"Bodicoat","given":"Danielle","non-dropping-particle":"","parse-names":false,"suffix":""},{"dropping-particle":"","family":"Carter","given":"Patrice","non-dropping-particle":"","parse-names":false,"suffix":""},{"dropping-particle":"","family":"Dunkley","given":"Alison","non-dropping-particle":"","parse-names":false,"suffix":""},{"dropping-particle":"","family":"Patel","given":"Naina","non-dropping-particle":"","parse-names":false,"suffix":""},{"dropping-particle":"","family":"Russell","given":"Clare","non-dropping-particle":"","parse-names":false,"suffix":""},{"dropping-particle":"","family":"Horne","given":"Rosie","non-dropping-particle":"","parse-names":false,"suffix":""},{"dropping-particle":"","family":"Spong","given":"Rebecca","non-dropping-particle":"","parse-names":false,"suffix":""},{"dropping-particle":"","family":"Stone","given":"Margaret","non-dropping-particle":"","parse-names":false,"suffix":""},{"dropping-particle":"","family":"Taub","given":"Nick","non-dropping-particle":"","parse-names":false,"suffix":""},{"dropping-particle":"","family":"Webb","given":"David","non-dropping-particle":"","parse-names":false,"suffix":""},{"dropping-particle":"","family":"Amin","given":"Sayjal","non-dropping-particle":"","parse-names":false,"suffix":""},{"dropping-particle":"","family":"Barnett","given":"Janette","non-dropping-particle":"","parse-names":false,"suffix":""},{"dropping-particle":"","family":"Berkeley","given":"Hannah","non-dropping-particle":"","parse-names":false,"suffix":""},{"dropping-particle":"","family":"Bonar","given":"Michael","non-dropping-particle":"","parse-names":false,"suffix":""},{"dropping-particle":"","family":"Boyles","given":"Louise","non-dropping-particle":"","parse-names":false,"suffix":""},{"dropping-particle":"","family":"Bray","given":"Paul","non-dropping-particle":"","parse-names":false,"suffix":""},{"dropping-particle":"","family":"Cairns","given":"Nichola","non-dropping-particle":"","parse-names":false,"suffix":""},{"dropping-particle":"","family":"Campbell","given":"Sandra","non-dropping-particle":"","parse-names":false,"suffix":""},{"dropping-particle":"","family":"Carey","given":"Marian","non-dropping-particle":"","parse-names":false,"suffix":""},{"dropping-particle":"","family":"Chatterjee","given":"Sudesna","non-dropping-particle":"","parse-names":false,"suffix":""},{"dropping-particle":"","family":"Currie","given":"Carolyn","non-dropping-particle":"","parse-names":false,"suffix":""},{"dropping-particle":"","family":"Daly","given":"Heather","non-dropping-particle":"","parse-names":false,"suffix":""},{"dropping-particle":"","family":"Enright","given":"Sue","non-dropping-particle":"","parse-names":false,"suffix":""},{"dropping-particle":"","family":"Goldby","given":"Stephanie","non-dropping-particle":"","parse-names":false,"suffix":""},{"dropping-particle":"","family":"Gray","given":"Geri","non-dropping-particle":"","parse-names":false,"suffix":""},{"dropping-particle":"","family":"Henson","given":"Joe","non-dropping-particle":"","parse-names":false,"suffix":""},{"dropping-particle":"","family":"Hiles","given":"Stephen","non-dropping-particle":"","parse-names":false,"suffix":""},{"dropping-particle":"","family":"Hill","given":"Sian","non-dropping-particle":"","parse-names":false,"suffix":""},{"dropping-particle":"","family":"Hill","given":"Jayne","non-dropping-particle":"","parse-names":false,"suffix":""},{"dropping-particle":"","family":"Holdsworth","given":"Hannah","non-dropping-particle":"","parse-names":false,"suffix":""},{"dropping-particle":"","family":"Htike","given":"Zin Zin","non-dropping-particle":"","parse-names":false,"suffix":""},{"dropping-particle":"","family":"Jamal","given":"Shenaz","non-dropping-particle":"","parse-names":false,"suffix":""},{"dropping-particle":"","family":"Jarvis","given":"Janet","non-dropping-particle":"","parse-names":false,"suffix":""},{"dropping-particle":"","family":"Johnson","given":"Carolyn","non-dropping-particle":"","parse-names":false,"suffix":""},{"dropping-particle":"","family":"Jones","given":"Janet","non-dropping-particle":"","parse-names":false,"suffix":""},{"dropping-particle":"","family":"Jones","given":"Kenneth","non-dropping-particle":"","parse-names":false,"suffix":""},{"dropping-particle":"","family":"Khan","given":"Sabera","non-dropping-particle":"","parse-names":false,"suffix":""},{"dropping-particle":"","family":"Khulpateea","given":"Anita","non-dropping-particle":"","parse-names":false,"suffix":""},{"dropping-particle":"","family":"Leonard","given":"Judith","non-dropping-particle":"","parse-names":false,"suffix":""},{"dropping-particle":"","family":"Mani","given":"Hamidreza","non-dropping-particle":"","parse-names":false,"suffix":""},{"dropping-particle":"","family":"Martin-Stacey","given":"Lorraine","non-dropping-particle":"","parse-names":false,"suffix":""},{"dropping-particle":"","family":"Morgan","given":"Val","non-dropping-particle":"","parse-names":false,"suffix":""},{"dropping-particle":"","family":"Morris","given":"Frances","non-dropping-particle":"","parse-names":false,"suffix":""},{"dropping-particle":"","family":"Mostafa","given":"Samiul","non-dropping-particle":"","parse-names":false,"suffix":""},{"dropping-particle":"","family":"Northern","given":"Alison","non-dropping-particle":"","parse-names":false,"suffix":""},{"dropping-particle":"","family":"O'Brien","given":"Kayleigh","non-dropping-particle":"","parse-names":false,"suffix":""},{"dropping-particle":"","family":"Patel","given":"Hersha","non-dropping-particle":"","parse-names":false,"suffix":""},{"dropping-particle":"","family":"Plummer","given":"Rachel","non-dropping-particle":"","parse-names":false,"suffix":""},{"dropping-particle":"","family":"Porter","given":"Sheila","non-dropping-particle":"","parse-names":false,"suffix":""},{"dropping-particle":"","family":"Radia","given":"Mo","non-dropping-particle":"","parse-names":false,"suffix":""},{"dropping-particle":"","family":"Realf","given":"Kathryn","non-dropping-particle":"","parse-names":false,"suffix":""},{"dropping-particle":"","family":"Richmond","given":"Dean","non-dropping-particle":"","parse-names":false,"suffix":""},{"dropping-particle":"","family":"Saker","given":"Rebecca","non-dropping-particle":"","parse-names":false,"suffix":""},{"dropping-particle":"","family":"Sennet","given":"Jane","non-dropping-particle":"","parse-names":false,"suffix":""},{"dropping-particle":"","family":"Stribling","given":"Bernie","non-dropping-particle":"","parse-names":false,"suffix":""},{"dropping-particle":"","family":"Wilmott","given":"Emma","non-dropping-particle":"","parse-names":false,"suffix":""},{"dropping-particle":"","family":"Wilson","given":"Carolina","non-dropping-particle":"","parse-names":false,"suffix":""},{"dropping-particle":"","family":"Wilson","given":"Panna","non-dropping-particle":"","parse-names":false,"suffix":""}],"container-title":"Preventive Medicine","id":"ITEM-3","issued":{"date-parts":[["2016"]]},"page":"48-56","publisher":"Elsevier Inc.","title":"A community based primary prevention programme for type 2 diabetes integrating identification and lifestyle intervention for prevention: the let's prevent diabetes cluster randomised controlled trial","type":"article-journal","volume":"84"},"uris":["http://www.mendeley.com/documents/?uuid=98ec8943-e639-4c92-bc3b-a80a3889c377"]},{"id":"ITEM-4","itemData":{"DOI":"10.1016/j.diabet.2011.01.003","ISBN":"1262-3636","ISSN":"12623636","PMID":"21489843","abstract":"Aim: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Metabolism","id":"ITEM-4","issue":"5","issued":{"date-parts":[["2011"]]},"page":"410-418","publisher":"Elsevier Masson SAS","title":"A cost-effective moderate-intensity interdisciplinary weight-management programme for individuals with prediabetes","type":"article-journal","volume":"37"},"uris":["http://www.mendeley.com/documents/?uuid=41ec2ecb-3bf5-4b9a-b2fd-15933532a929"]},{"id":"ITEM-5","itemData":{"DOI":"10.1186/1471-2458-7-249","ISBN":"1471-2458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Health","id":"ITEM-5","issue":"249","issued":{"date-parts":[["2007"]]},"title":"Prevention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-6","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Medicine","id":"ITEM-6","issue":"4","issued":{"date-parts":[["2010"]]},"page":"459-465","title":"Implementation and effectiveness of the first community lifestyle intervention programme to prevent type 2 diabetes in Greece. The DE-PLAN study","type":"article-journal","volume":"27"},"uris":["http://www.mendeley.com/documents/?uuid=8fa5f81f-3e37-4e03-be5f-801dcd969a98"]},{"id":"ITEM-7","itemData":{"DOI":"10.1080/08870440903548749","ISBN":"0887044090354","ISSN":"0887-0446","PMID":"20945253","abstract":"This study was a randomised control trial with a waiting control group. It was designed to evaluate the effectiveness of a 6-month, group-based diabetes prevention programme, The Healthy Living Course and assess whether participation in the programme led to changes in modifiable risk factors for type 2 diabetes among an already at-risk pre-diabetic population. Individuals designated at risk for diabetes by their general practitioners (GPs) were screened using an Oral Glucose Tolerance Test. Volunteers (N = 307) with pre-diabetes were assigned to an intervention or wait-control group in the ratio of approximately 2 : 1. The sample was pre-tested on biochemical, anthropometric and self-report behavioural, cognitive and mood variables and post-tested either at the end of the educational/support-based lifestyle programme or the end of the wait period. The intervention group significantly improved their diabetes knowledge, motivation to change, positive affect, healthy eating and activity levels and showed significantly greater reductions in weight, body mass index, waist circumference, diastolic blood pressure and fasting plasma glucose in comparison with controls. The intervention group also changed their diagnostic status from pre-diabetes to non-diabetes at a greater rate than the wait group (43% vs. 26%) who received standard care from their GPs.","author":[{"dropping-particle":"","family":"Moore","given":"Susan M.","non-dropping-particle":"","parse-names":false,"suffix":""},{"dropping-particle":"","family":"Hardie","given":"Elizabeth A.","non-dropping-particle":"","parse-names":false,"suffix":""},{"dropping-particle":"","family":"Hackworth","given":"Naomi J.","non-dropping-particle":"","parse-names":false,"suffix":""},{"dropping-particle":"","family":"Critchley","given":"Christine R.","non-dropping-particle":"","parse-names":false,"suffix":""},{"dropping-particle":"","family":"Kyrios","given":"Michael","non-dropping-particle":"","parse-names":false,"suffix":""},{"dropping-particle":"","family":"Buzwell","given":"Simone A.","non-dropping-particle":"","parse-names":false,"suffix":""},{"dropping-particle":"","family":"Crafti","given":"Naomi A.","non-dropping-particle":"","parse-names":false,"suffix":""}],"container-title":"Psychology &amp; Health","id":"ITEM-7","issue":"4","issued":{"date-parts":[["2011"]]},"page":"485-499","title":"Can the onset of type 2 diabetes be delayed by a group-based lifestyle intervention? a randomised control trial","type":"article-journal","volume":"26"},"uris":["http://www.mendeley.com/documents/?uuid=f731fbbd-3174-40ae-b00f-158e50237e1f"]},{"id":"ITEM-8","itemData":{"DOI":"10.2105/AJPH.2011.300357","ISBN":"1541-0048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Health","id":"ITEM-8","issue":"2","issued":{"date-parts":[["2012"]]},"page":"336-342","title":"Outcomes of a Latino community-based intervention for the prevention of diabetes: the lawrence Latino diabetes prevention project","type":"article-journal","volume":"102"},"uris":["http://www.mendeley.com/documents/?uuid=6b9cb080-dc52-4e71-a5c6-bb5e3c90945b"]},{"id":"ITEM-9","itemData":{"DOI":"10.1186/1471-2458-11-40","ISBN":"1471-2458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health","id":"ITEM-9","issue":"1","issued":{"date-parts":[["2011"]]},"page":"40","title":"Prevention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tolerance","type":"article-journal","volume":"11"},"uris":["http://www.mendeley.com/documents/?uuid=19b949f0-5835-408a-87b0-6bbcfceadb30"]},{"id":"ITEM-10","itemData":{"DOI":"10.1111/dme.12848","ISBN":"0742-3071","ISSN":"14645491","PMID":"26179569","abstract":"METHODS: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Medicine","id":"ITEM-10","issue":"4","issued":{"date-parts":[["2015"]]},"page":"547-551","title":"Translation of the diabetes prevention program for diabetes risk reduction in Chinese immigrants in New York city","type":"article-journal","volume":"33"},"uris":["http://www.mendeley.com/documents/?uuid=05391168-7679-4063-baae-26f96e47d08a"]},{"id":"ITEM-11","itemData":{"DOI":"10.1097/JNR.0000000000000193","ISBN":"0000000000000","ISSN":"1948965X","PMID":"28277390","abstract":"BACKGROUND: Practicing a health-promoting lifestyle is believed to be effective for delaying or preventing the onset of diabetes. However, although empowerment interventions have proven effective for encouraging the adoption of a health-promoting lifestyle in people with diabetes, these interventions are rarely promoted to people with prediabetes. PURPOSE: The aims of this study were to develop an empowerment program for people with prediabetes and to examine its efficacy in terms of the adoption of a health-promoting lifestyle and improvements in blood sugar, body mass index, and self-efficacy. METHODS: A randomized controlled trial was conducted between May and December 2013. A convenience sample of people with a fasting blood sugar level of 100-125 mg/dl during the previous 3 months was recruited from the health examination center of a hospital in Kaohsiung, Taiwan. Participants were assigned to either the experimental group or the control group using block randomization with a block size of 8. The experimental group (n = 38) participated in a 4-month empowerment program (the ABC empowerment program), which encouraged participants to practice a health-promoting lifestyle in three phases: awareness raising, behavior building, and results checking. The control group (n = 40) received routine clinical care. Statistical analyses included descriptive statistics, independent t test, paired t test, and generalized estimated equations. RESULTS: After controlling for the differences at baseline and considering the interaction between group and time from baseline to 1 week and 3 months after completing the intervention, the generalized estimating equation showed significantly larger improvements in a health-promoting lifestyle, blood sugar, and self-efficacy in the experimental group than in the control group (p &lt; .01). Furthermore, the experimental group achieved a larger reduction in body mass index than the control group at 3 months after completing the intervention (p = .001). CONCLUSIONS/IMPLICATIONS FOR PRACTICE: The empowerment program was shown to have short-term, positive effects on behavioral, physical, and psychosocial outcomes in a Taiwan population with prediabetes. The results of this study provide a useful reference not only for healthcare personnel when implementing empowerment interventions in people with prediabetes but also for nursing educators and healthcare policymakers.","author":[{"dropping-particle":"","family":"Chen","given":"Mei Fang","non-dropping-particle":"","parse-names":false,"suffix":""},{"dropping-particle":"","family":"Hung","given":"Shu Ling","non-dropping-particle":"","parse-names":false,"suffix":""},{"dropping-particle":"","family":"Chen","given":"Shu Lin","non-dropping-particle":"","parse-names":false,"suffix":""}],"container-title":"Journal of Nursing Research","id":"ITEM-11","issue":"2","issued":{"date-parts":[["2017"]]},"page":"99-111","title":"Empowerment program for people with prediabetes: a randomized controlled trial","type":"article-journal","volume":"25"},"uris":["http://www.mendeley.com/documents/?uuid=84db263a-a050-4be7-82d7-ef051548507b"]},{"id":"ITEM-12","itemData":{"DOI":"10.1186/s12875-017-0671-8","ISSN":"1471-2296","abstract":"Background: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Practice","id":"ITEM-12","issue":"1","issued":{"date-parts":[["2017"]]},"note":"Accession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study.","type":"article-journal","volume":"18"},"uris":["http://www.mendeley.com/documents/?uuid=0c5adc52-ca11-4f07-80d4-bf37e6cec46f"]},{"id":"ITEM-13","itemData":{"DOI":"10.1186/s12889-017-4977-1","ISSN":"1471-2458","abstract":"Background: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Health","id":"ITEM-13","issue":"97","issued":{"date-parts":[["2018"]]},"note":"Accession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project).","type":"article-journal","volume":"18"},"uris":["http://www.mendeley.com/documents/?uuid=b3aa252e-2de7-4e59-bd02-07d1564e1b32"]},{"id":"ITEM-14","itemData":{"DOI":"10.1038/nutd.2017.21","ISSN":"20444052","PMID":"28481335","abstract":"BACKGROUND/OBJECTIVES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Diabetes","id":"ITEM-14","issue":"5","issued":{"date-parts":[["2017"]]},"publisher":"Nature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id":"ITEM-15","itemData":{"DOI":"10.1016/j.amepre.2016.11.009","ISBN":"0749-3797 1873-2607","ISSN":"18732607","PMID":"28094135","abstract":"Introduction This clinical demonstration trial compared the effectiveness of the Veterans Affairs Diabetes Prevention Program (VA-DPP) with an evidence-based usual care weight management program (MOVE!®) in the Veterans Health Administration health system. Design Prospective, pragmatic, non-randomized comparative effectiveness study of two behavioral weight management interventions. Setting/participants Obese/overweight Veterans with prediabetes were recruited from three geographically diverse VA sites between 2012 and 2014. Intervention VA-DPP included 22 group-based intensive lifestyle change sessions. Main outcome measures Weight change at 6 and 12 months, hemoglobin A1c (HbA1c) at 12 months, and VA health expenditure changes at 15 months were assessed using VA electronic health record and claims data. Between- and within-group comparisons for weight and HbA1c were done using linear mixed-effects models controlling for age, gender, race/ethnicity, baseline outcome values, and site. Analyses were conducted in 2015–2016. Results A total of 387 participants enrolled (273 VA-DPP, 114 MOVE!). More VA-DPP participants completed at least one (73.3% VA-DPP vs 57.5% MOVE! p=0.002); four (57.5% VA-DPP vs 42.5% MOVE!, p=0.007); and eight or more sessions (42.5% VA-DPP vs 31% MOVE!, p=0.035). Weight loss from baseline was significant at both 6 (p&lt;0.001) and 12 months (p&lt;0.001) for VA-DPP participants, but only significant at 6 months for MOVE! participants (p=0.004). Between groups, there were significant differences in 6-month weight loss (–4.1 kg VA-DPP vs –1.9 kg MOVE!, p&lt;0.001), but not 12-month weight loss (–3.4 kg VA-DPP vs –2.0 kg MOVE!, p=0.16). There were no significant differences in HbA1c change or outpatient, inpatient, and total VA expenditures. Conclusions VA-DPP participants had higher participation rates and weight loss at 6 months, but similar weight, HbA1c, and health expenditures at 12 months compared to MOVE! participants. Features of VA-DPP may help enhance the capability of MOVE! to reach a larger proportion of the served population and promote individual-level weight maintenance.","author":[{"dropping-particle":"","family":"Moin","given":"Tannaz","non-dropping-particle":"","parse-names":false,"suffix":""},{"dropping-particle":"","family":"Damschroder","given":"Laura J.","non-dropping-particle":"","parse-names":false,"suffix":""},{"dropping-particle":"","family":"AuYoung","given":"Mona","non-dropping-particle":"","parse-names":false,"suffix":""},{"dropping-particle":"","family":"Maciejewski","given":"Matthew L.","non-dropping-particle":"","parse-names":false,"suffix":""},{"dropping-particle":"","family":"Datta","given":"Santanu K.","non-dropping-particle":"","parse-names":false,"suffix":""},{"dropping-particle":"","family":"Weinreb","given":"Jane E.","non-dropping-particle":"","parse-names":false,"suffix":""},{"dropping-particle":"","family":"Steinle","given":"Nanette I.","non-dropping-particle":"","parse-names":false,"suffix":""},{"dropping-particle":"","family":"Billington","given":"Charles","non-dropping-particle":"","parse-names":false,"suffix":""},{"dropping-particle":"","family":"Hughes","given":"Maria","non-dropping-particle":"","parse-names":false,"suffix":""},{"dropping-particle":"","family":"Makki","given":"Fatima","non-dropping-particle":"","parse-names":false,"suffix":""},{"dropping-particle":"","family":"Holleman","given":"Robert G.","non-dropping-particle":"","parse-names":false,"suffix":""},{"dropping-particle":"","family":"Kim","given":"H. Myra","non-dropping-particle":"","parse-names":false,"suffix":""},{"dropping-particle":"","family":"Jeffreys","given":"Amy S.","non-dropping-particle":"","parse-names":false,"suffix":""},{"dropping-particle":"","family":"Kinsinger","given":"Linda S.","non-dropping-particle":"","parse-names":false,"suffix":""},{"dropping-particle":"","family":"Burns","given":"Jennifer A.","non-dropping-particle":"","parse-names":false,"suffix":""},{"dropping-particle":"","family":"Richardson","given":"Caroline R.","non-dropping-particle":"","parse-names":false,"suffix":""}],"container-title":"American Journal of Preventive Medicine","id":"ITEM-15","issue":"1","issued":{"date-parts":[["2017"]]},"page":"70-77","publisher":"Elsevier Inc.","title":"Diabetes prevention program translation in the veterans health administration","type":"article-journal","volume":"53"},"uris":["http://www.mendeley.com/documents/?uuid=0b49d9c8-fcae-49b9-b371-d81d371b6825","http://www.mendeley.com/documents/?uuid=c50de4a3-0ca0-411d-8a86-7e096e4ae38f","http://www.mendeley.com/documents/?uuid=951a5283-d9bd-41e4-8c52-8e7add2146b0"]},{"id":"ITEM-16","itemData":{"DOI":"10.1177/2150132719847374","author":[{"dropping-particle":"","family":"Aekplakorn","given":"Wichai","non-dropping-particle":"","parse-names":false,"suffix":""},{"dropping-particle":"","family":"Tantayotai","given":"Valla","non-dropping-particle":"","parse-names":false,"suffix":""},{"dropping-particle":"","family":"Numsangkul","given":"Sakawduan","non-dropping-particle":"","parse-names":false,"suffix":""},{"dropping-particle":"","family":"Tatsato","given":"Nutchanat","non-dropping-particle":"","parse-names":false,"suffix":""},{"dropping-particle":"","family":"Luckanajantachote","given":"Pranee","non-dropping-particle":"","parse-names":false,"suffix":""}],"container-title":"Journal of Primary Care and Community Health","id":"ITEM-16","issued":{"date-parts":[["2019"]]},"page":"1-8","title":"Evaluation of a community-based diabetes prevention program in Thailand : a cluster randomized controlled trial","type":"article-journal","volume":"10"},"uris":["http://www.mendeley.com/documents/?uuid=8b3b4c2b-0469-4192-909b-c057fc6c5460"]}],"mendeley":{"formattedCitation":"(Aekplakorn et al., 2019; Almeida, F.A., Shetterly, S., Smith-Ray, R.L., Estabrooks, 2010; Bernstein, A.M., Gendy, G., Rudd, N., Doyle, J., Fay, S., Moffett, K., 2014; M. F. Chen et al., 2017; Coppell et al., 2017; Davies et al., 2016; Duijzer et al., 2017; Gagnon et al., 2011; Gilis-Januszewska, Piwońska-Solska, et al., 2018; Laatikainen et al., 2007; Makrilakis et al., 2010; Moin et al., 2017; Moore et al., 2011; Ockene et al., 2012; Sakane et al., 2011; Yeh et al., 2015)","manualFormatting":"(Aekplakorn et al., 2019; Almeida, Shetterly, Smith-Ray, Estabrooks, 2010; Bernstein, Gendy, Rudd, Doyle, Fay, Moffett, 2014; Chen et al., 2017; Coppell et al., 2017; Davies et al., 2016; Duijzer et al., 2017; Gagnon et al., 2011; Gilis-Januszewska, Piwońska-Solska, et al., 2018; Laatikainen et al., 2007; Makrilakis et al., 2010; Moin et al., 2017; Moore et al., 2011; Ockene et al., 2012; Sakane et al., 2011; Yeh et al., 2015)","plainTextFormattedCitation":"(Aekplakorn et al., 2019; Almeida, F.A., Shetterly, S., Smith-Ray, R.L., Estabrooks, 2010; Bernstein, A.M., Gendy, G., Rudd, N., Doyle, J., Fay, S., Moffett, K., 2014; M. F. Chen et al., 2017; Coppell et al., 2017; Davies et al., 2016; Duijzer et al., 2017; Gagnon et al., 2011; Gilis-Januszewska, Piwońska-Solska, et al., 2018; Laatikainen et al., 2007; Makrilakis et al., 2010; Moin et al., 2017; Moore et al., 2011; Ockene et al., 2012; Sakane et al., 2011; Yeh et al., 2015)","previouslyFormattedCitation":"(Aekplakorn et al., 2019; Almeida, F.A., Shetterly, S., Smith-Ray, R.L., Estabrooks, 2010; Bernstein, A.M., Gendy, G., Rudd, N., Doyle, J., Fay, S., Moffett, K., 2014; M. F. Chen et al., 2017; Coppell et al., 2017; Davies et al., 2016; Duijzer et al., 2017; Gagnon et al., 2011; Gilis-Januszewska, Piwońska-Solska, et al., 2018; Laatikainen et al., 2007; Makrilakis et al., 2010; Moin et al., 2017; Moore et al., 2011; Ockene et al., 2012; Sakane et al., 2011; Yeh et al., 2015)"},"properties":{"noteIndex":0},"schema":"https://github.com/citation-style-language/schema/raw/master/csl-citation.json"}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(Aekplakorn et al., 2019; Almeida, Shetterly, Smith-Ray, Estabrooks, 2010; Bernstein, Gendy, Rudd, Doyle, Fay, Moffett, 2014; Chen et al., 2017; Coppell et al., 2017; Davies et al., 2016; Duijzer et al., 2017; Gagnon et al., 2011; Gilis-Januszewska, Piwońska-Solska, et al., 2018; Laatikainen et al., 2007; Makrilakis et al., 2010; Moin et al., 2017; Moore et al., 2011; Ockene et al., 2012; Sakane et al., 2011; Yeh et al., 2015)</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Others used community (n=7) </w:t>
      </w:r>
      <w:r w:rsidRPr="00103A0B">
        <w:rPr>
          <w:rFonts w:ascii="Arial" w:eastAsia="Times New Roman" w:hAnsi="Arial" w:cs="Arial"/>
          <w:sz w:val="24"/>
          <w:szCs w:val="24"/>
          <w:lang w:eastAsia="en-GB"/>
        </w:rPr>
        <w:fldChar w:fldCharType="begin" w:fldLock="1"/>
      </w:r>
      <w:r w:rsidR="007C3391" w:rsidRPr="00103A0B">
        <w:rPr>
          <w:rFonts w:ascii="Arial" w:eastAsia="Times New Roman" w:hAnsi="Arial" w:cs="Arial"/>
          <w:sz w:val="24"/>
          <w:szCs w:val="24"/>
          <w:lang w:eastAsia="en-GB"/>
        </w:rPr>
        <w:instrText>ADDIN CSL_CITATION {"citationItems":[{"id":"ITEM-1","itemData":{"DOI":"10.1016/j.amepre.2012.12.015","ISBN":"1873-2607 (Electronic)\\r0749-3797 (Linking)","ISSN":"18732607","PMID":"23498294","abstract":"Background: Since the Diabetes Prevention Project (DPP) demonstrated that lifestyle weight-loss interventions can reduce the incidence of diabetes by 58%, several studies have translated the DPP methods to public health - friendly contexts. Although these studies have demonstrated short-term effects, no study to date has examined the impact of a translated DPP intervention on blood glucose and adiposity beyond 12 months of follow-up. Purpose: To examine the impact of a 24-month, community-based diabetes prevention program on fasting blood glucose, insulin, insulin resistance as well as body weight, waist circumference, and BMI in the second year of follow-up. Design: An RCT comparing a 24-month lifestyle weight-loss program (LWL) to an enhanced usual care condition (UCC) in participants with prediabetes (fasting blood glucose = 95 - 125 mg/dL). Data were collected in 2007-2011; analyses were conducted in 2011-2012. Setting/participants: 301 participants with prediabetes were randomized; 261 completed the study. The intervention was held in community-based sites. Intervention: The LWL program was led by community health workers and sought to induce 7% weight loss at 6 months that would be maintained over time through decreased caloric intake and increased physical activity. The UCC received two visits with a registered dietitian and a monthly newsletter. Main outcome measures: The main measures were fasting blood glucose, insulin, insulin resistance, body weight, waist circumference, and BMI. Results: Intent-to-treat analyses of between-group differences in the average of 18- and 24-month measures of outcomes (controlling for baseline values) revealed that the LWL participants experienced greater decreases in fasting glucose (- 4.35 mg/dL); insulin (- 3.01 μU/ml); insulin resistance (- 0.97); body weight (- 4.19 kg); waist circumference (- 3.23 cm); and BMI (- 1.40), allp-values &lt;0.01. Conclusions: A diabetes prevention program administered through an existing community-based system and delivered by community health workers is effective at inducing significant long-term reductions in metabolic indicators and adiposity. © 2013 American Journal of Preventive Medicine.","author":[{"dropping-particle":"","family":"Katula","given":"Jeffrey A.","non-dropping-particle":"","parse-names":false,"suffix":""},{"dropping-particle":"","family":"Vitolins","given":"Mara Z.","non-dropping-particle":"","parse-names":false,"suffix":""},{"dropping-particle":"","family":"Morgan","given":"Timothy M.","non-dropping-particle":"","parse-names":false,"suffix":""},{"dropping-particle":"","family":"Lawlor","given":"Michael S.","non-dropping-particle":"","parse-names":false,"suffix":""},{"dropping-particle":"","family":"Blackwell","given":"Caroline S.","non-dropping-particle":"","parse-names":false,"suffix":""},{"dropping-particle":"","family":"Isom","given":"Scott P.","non-dropping-particle":"","parse-names":false,"suffix":""},{"dropping-particle":"","family":"Pedley","given":"Carolyn F.","non-dropping-particle":"","parse-names":false,"suffix":""},{"dropping-particle":"","family":"Goff","given":"David C.","non-dropping-particle":"","parse-names":false,"suffix":""}],"container-title":"American Journal of Preventive Medicine","id":"ITEM-1","issue":"4S4","issued":{"date-parts":[["2013"]]},"page":"S324-S332","publisher":"Elsevier Inc.","title":"The healthy living partnerships to prevent diabetes study: 2-year outcomes of a randomized controlled trial","type":"article-journal","volume":"44"},"uris":["http://www.mendeley.com/documents/?uuid=622c5a69-cd33-454b-a85e-af4bc359d8a1"]},{"id":"ITEM-2","itemData":{"DOI":"10.2105/AJPH.2015.303035","ISBN":"0090-0036","ISSN":"15410048","PMID":"26890171","abstract":"OBJECTIVES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Health","id":"ITEM-2","issue":"5","issued":{"date-parts":[["2016"]]},"page":"949-956","title":"Comparison of commercial and self-initiated weight loss programs in people with prediabetes: a randomized control trial","type":"article-journal","volume":"106"},"uris":["http://www.mendeley.com/documents/?uuid=e4e3235a-a86a-4b63-ad04-9e4c2402dc1e"]},{"id":"ITEM-3","itemData":{"ISBN":"00900036","ISSN":"00900036","PMID":"52016494","abstract":"Objectives.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Health","id":"ITEM-3","issued":{"date-parts":[["2010"]]},"page":"232-39","title":"Results of a pilot diabetes prevention intervention in East Harlem, New York city: project HEED","type":"article-journal","volume":"100"},"uris":["http://www.mendeley.com/documents/?uuid=6ca00620-5eb7-44be-86f5-e0fe0414de89"]},{"id":"ITEM-4","itemData":{"DOI":"10.1186/s12875-017-0671-8","ISSN":"1471-2296","abstract":"Background: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Practice","id":"ITEM-4","issue":"1","issued":{"date-parts":[["2017"]]},"note":"Accession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study.","type":"article-journal","volume":"18"},"uris":["http://www.mendeley.com/documents/?uuid=0c5adc52-ca11-4f07-80d4-bf37e6cec46f"]},{"id":"ITEM-5","itemData":{"DOI":"10.1093/tbm/ibx064","ISSN":"1613-9860","abstract":"The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Medicine","id":"ITEM-5","issue":"2","issued":{"date-parts":[["2018"]]},"note":"Accession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illness.","type":"article-journal","volume":"8"},"uris":["http://www.mendeley.com/documents/?uuid=25ddcc05-70f1-4333-9e99-b9d202b84d0d"]},{"id":"ITEM-6","itemData":{"DOI":"10.1038/nutd.2017.21","ISSN":"20444052","PMID":"28481335","abstract":"BACKGROUND/OBJECTIVES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Diabetes","id":"ITEM-6","issue":"5","issued":{"date-parts":[["2017"]]},"publisher":"Nature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id":"ITEM-7","itemData":{"author":[{"dropping-particle":"","family":"Alva","given":"M.L.","non-dropping-particle":"","parse-names":false,"suffix":""}],"container-title":"American Journal of Health Promotion","id":"ITEM-7","issue":"7","issued":{"date-parts":[["2019"]]},"page":"1067-72","title":"How much does attendance impact weight loss and health care spending in a diabetes prevention program serving older adults?","type":"article-journal","volume":"33"},"uris":["http://www.mendeley.com/documents/?uuid=f1207552-91e1-416b-bc68-b0587dd06592"]}],"mendeley":{"formattedCitation":"(Alva, 2019b; Coppell et al., 2017; Duijzer et al., 2017; Katula et al., 2013; Marrero et al., 2016; Parikh et al., 2010; Quiñones et al., 2018)","manualFormatting":"(Alva, 2019; Coppell et al., 2017; Duijzer et al., 2017; Katula et al., 2013; Marrero et al., 2016; Parikh et al., 2010; Quiñones et al., 2018)","plainTextFormattedCitation":"(Alva, 2019b; Coppell et al., 2017; Duijzer et al., 2017; Katula et al., 2013; Marrero et al., 2016; Parikh et al., 2010; Quiñones et al., 2018)","previouslyFormattedCitation":"(Alva, 2019b; Coppell et al., 2017; Duijzer et al., 2017; Katula et al., 2013; Marrero et al., 2016; Parikh et al., 2010; Quiñones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(Alva, 2019; Coppell et al., 2017; Duijzer et al., 2017; Katula et al., 2013; Marrero et al., 2016; Parikh et al., 2010; Quiñones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church (n=4) </w:t>
      </w:r>
      <w:r w:rsidRPr="00103A0B">
        <w:rPr>
          <w:rFonts w:ascii="Arial" w:eastAsia="Times New Roman" w:hAnsi="Arial" w:cs="Arial"/>
          <w:sz w:val="24"/>
          <w:szCs w:val="24"/>
          <w:lang w:eastAsia="en-GB"/>
        </w:rPr>
        <w:fldChar w:fldCharType="begin" w:fldLock="1"/>
      </w:r>
      <w:r w:rsidR="00F064BD" w:rsidRPr="00103A0B">
        <w:rPr>
          <w:rFonts w:ascii="Arial" w:eastAsia="Times New Roman" w:hAnsi="Arial" w:cs="Arial"/>
          <w:sz w:val="24"/>
          <w:szCs w:val="24"/>
          <w:lang w:eastAsia="en-GB"/>
        </w:rPr>
        <w:instrText>ADDIN CSL_CITATION {"citationItems":[{"id":"ITEM-1","itemData":{"author":[{"dropping-particle":"","family":"Boltri","given":"John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Association","id":"ITEM-1","issue":"3","issued":{"date-parts":[["2011"]]},"page":"194-202","title":"Translation of the national institutes of health diabetes prevention program in African American churches","type":"article-journal","volume":"103"},"uris":["http://www.mendeley.com/documents/?uuid=9a9d913a-7043-4df3-a05c-f50fa2ed8eff"]},{"id":"ITEM-2","itemData":{"author":[{"dropping-particle":"","family":"Davis-Smith","given":"Monique","non-dropping-particle":"","parse-names":false,"suffix":""}],"container-title":"Journal of the National Medical Association","id":"ITEM-2","issue":"4","issued":{"date-parts":[["2007"]]},"page":"440-47","title":"Implementing a diabetes prevention program in a rural African-American church","type":"article-journal","volume":"99"},"uris":["http://www.mendeley.com/documents/?uuid=0ddb0a52-0cf9-48e8-a66c-340f5fa47213"]},{"id":"ITEM-3","itemData":{"DOI":"10.2105/AJPH.2015.303035","ISBN":"0090-0036","ISSN":"15410048","PMID":"26890171","abstract":"OBJECTIVES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Health","id":"ITEM-3","issue":"5","issued":{"date-parts":[["2016"]]},"page":"949-956","title":"Comparison of commercial and self-initiated weight loss programs in people with prediabetes: a randomized control trial","type":"article-journal","volume":"106"},"uris":["http://www.mendeley.com/documents/?uuid=e4e3235a-a86a-4b63-ad04-9e4c2402dc1e"]},{"id":"ITEM-4","itemData":{"DOI":"10.1177/0145721714521020","ISBN":"0145-7217","ISSN":"15546063","PMID":"24510942","abstract":"Purpose: This article reports the results of a community-based, culturally tailored diabetes prevention program for overweight Mexican American adults on weight loss, waist circumference, diet and physical activity self-efficacy, and diet behaviors., Methods: The intervention used content from the Diabetes Prevention Program but culturally tailored the delivery methods into a community-based program for Spanishspeaking adults of Mexican descent. The design was a randomized controlled trial (N = 58) comparing the effects of a 5-month educational intervention with an attention control group. The primary study outcome was weight loss. Secondary outcomes included change in waist circumference, body mass index, diet self-efficacy, and physical activity self-efficacy., Results: There were significant intervention effects for weight, waist circumference, body mass index, and diet selfefficacy, with the intervention group doing better than the control group. These effects did not change over time., Conclusions: Findings support the conclusion that a community-based, culturally tailored intervention is effective in reducing diabetes risk factors in a 5-month program., (C) 2014 Sage Publishing","author":[{"dropping-particle":"","family":"Vincent","given":"Deborah","non-dropping-particle":"","parse-names":false,"suffix":""},{"dropping-particle":"","family":"McEwen","given":"Marylyn M.","non-dropping-particle":"","parse-names":false,"suffix":""},{"dropping-particle":"","family":"Hepworth","given":"Joseph T.","non-dropping-particle":"","parse-names":false,"suffix":""},{"dropping-particle":"","family":"Stump","given":"Craig S.","non-dropping-particle":"","parse-names":false,"suffix":""}],"container-title":"The Diabetes Educator","id":"ITEM-4","issue":"2","issued":{"date-parts":[["2014"]]},"page":"202-213","title":"The effects of a community-based, culturally tailored diabetes prevention intervention for high-risk adults of Mexican descent","type":"article-journal","volume":"40"},"uris":["http://www.mendeley.com/documents/?uuid=45a67a3a-a21d-4e1b-b15e-e4fcd00a23e0"]}],"mendeley":{"formattedCitation":"(Boltri et al., 2011; Davis-Smith, 2007; Marrero et al., 2016; Vincent et al., 2014)","plainTextFormattedCitation":"(Boltri et al., 2011; Davis-Smith, 2007; Marrero et al., 2016; Vincent et al., 2014)","previouslyFormattedCitation":"(Boltri et al., 2011; Davis-Smith, 2007; Marrero et al., 2016; Vincent et al., 2014)"},"properties":{"noteIndex":0},"schema":"https://github.com/citation-style-language/schema/raw/master/csl-citation.json"}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992026" w:rsidRPr="00103A0B">
        <w:rPr>
          <w:rFonts w:ascii="Arial" w:eastAsia="Times New Roman" w:hAnsi="Arial" w:cs="Arial"/>
          <w:noProof/>
          <w:sz w:val="24"/>
          <w:szCs w:val="24"/>
          <w:lang w:eastAsia="en-GB"/>
        </w:rPr>
        <w:t>(Boltri et al., 2011; Davis-Smith, 2007; Marrero et al., 2016; Vincent et al., 2014)</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workplace (n=1)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Medicine","id":"ITEM-1","issue":"4","issued":{"date-parts":[["2010"]]},"page":"459-465","title":"Implementation and effectiveness of the first community lifestyle intervention programme to prevent type 2 diabetes in Greece. The DE-PLAN study","type":"article-journal","volume":"27"},"uris":["http://www.mendeley.com/documents/?uuid=8fa5f81f-3e37-4e03-be5f-801dcd969a98"]}],"mendeley":{"formattedCitation":"(Makrilakis et al., 2010)","plainTextFormattedCitation":"(Makrilakis et al., 2010)","previouslyFormattedCitation":"(Makrilakis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(Makrilakis et al.,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or university settings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trial","type":"article-journal","volume":"48"},"uris":["http://www.mendeley.com/documents/?uuid=2d8c03a8-0024-4655-930b-c43e21a3fdf8"]}],"mendeley":{"formattedCitation":"(Miller et al., 2016)","plainTextFormattedCitation":"(Miller et al., 2016)","previouslyFormattedCitation":"(Miller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(Miller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In others, the intervention setting was unknown or unclear (n=8)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One","id":"ITEM-1","issue":"1","issued":{"date-parts":[["2016"]]},"page":"e0146095","title":"Long-term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island","type":"article-journal","volume":"11"},"uris":["http://www.mendeley.com/documents/?uuid=e072a9e3-f17a-48e3-98af-f3db4a1c8ee3"]},{"id":"ITEM-2","itemData":{"DOI":"10.2337/dc12-1250","ISBN":"0149-5992\\r1935-5548","ISSN":"01495992","PMID":"23275375","abstract":"OBJECTIVE: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Care","id":"ITEM-2","issue":"7","issued":{"date-parts":[["2013"]]},"page":"2027-2034","title":"Translating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project","type":"article-journal","volume":"36"},"uris":["http://www.mendeley.com/documents/?uuid=6fb8d6ab-39ae-48b6-b78a-5dcf85b9cf0a"]},{"id":"ITEM-3","itemData":{"DOI":"10.2337/dc08-2141","ISSN":"01495992","PMID":"19509014","abstract":"OBJECTIVE: To evaluate the efficacy of the group program PREDIAS for diabetes prevention.\\n\\nRESEARCH DESIGN AND METHODS: PREDIAS consists of 12 lessons and aims at lifestyle modification. The control group received written information about diabetes prevention. In this study, a total of 182 persons with an elevated diabetes risk participated (aged 56.3 +/- 10.1 years, 43% female, and BMI 31.5 +/- 5.3 kg/m(2)).\\n\\nRESULTS: After 12 months, weight loss was significantly higher (P = 0.001) in PREDIAS than in the control group (-3.8 +/- 5.2 vs. -1.4 +/- 4.09 kg). There were also significant effects (P = 0.001) on fasting glucose (control group 1.8 +/- 13.1 mg/dl vs. PREDIAS -4.3 +/- 11.3 mg/dl), duration of physical activity per week (control group 17.9 +/- 63.8 min vs. PREDIAS 46.6 +/- 95.5 min; P = 0.03), and eating behavior.\\n\\nCONCLUSIONS: PREDIAS significantly modified lifestyle factors associated with an elevated diabetes risk.","author":[{"dropping-particle":"","family":"Kulzer","given":"Bernhard","non-dropping-particle":"","parse-names":false,"suffix":""},{"dropping-particle":"","family":"Hermanns","given":"Norbert","non-dropping-particle":"","parse-names":false,"suffix":""},{"dropping-particle":"","family":"Gorges","given":"Daniela","non-dropping-particle":"","parse-names":false,"suffix":""},{"dropping-particle":"","family":"Schwarz","given":"Peter","non-dropping-particle":"","parse-names":false,"suffix":""},{"dropping-particle":"","family":"Haak","given":"Thomas","non-dropping-particle":"","parse-names":false,"suffix":""}],"container-title":"Diabetes Care","id":"ITEM-3","issue":"7","issued":{"date-parts":[["2009"]]},"page":"1143-1146","title":"Prevention of diabetes self-management program (PREDIAS): effects on weight, metabolic risk factors, and behavioral outcomes","type":"article-journal","volume":"32"},"uris":["http://www.mendeley.com/documents/?uuid=df2278a0-0ae5-40ab-bc80-f2e143b41d86"]},{"id":"ITEM-4","itemData":{"DOI":"10.1186/1472-6882-14-212","ISBN":"1472-6882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Medicine","id":"ITEM-4","issue":"1","issued":{"date-parts":[["2014"]]},"page":"212","title":"A yoga intervention for type 2 diabetes risk reduction: a pilot randomized controlled trial","type":"article-journal","volume":"14"},"uris":["http://www.mendeley.com/documents/?uuid=934d80fb-c55d-4626-908a-2ca578b57990"]},{"id":"ITEM-5","itemData":{"DOI":"10.2337/dc08-0152.","author":[{"dropping-particle":"","family":"Payne WR, Walsh KJ., Harvey JT, Livy MF, Mckenzie KJ, Donaldson A","given":"et al.","non-dropping-particle":"","parse-names":false,"suffix":""}],"container-title":"Diabetes Care","id":"ITEM-5","issued":{"date-parts":[["2008"]]},"page":"2244-50","title":"Effect of a low–resource-intensive lifestyle modification program incorporating gymnasium-based and home-based resistance training on type 2 diabetes risk in Australian adults","type":"article-journal","volume":"31"},"uris":["http://www.mendeley.com/documents/?uuid=94025970-6bd0-4bcf-89d4-48f46a796268"]},{"id":"ITEM-6","itemData":{"DOI":"10.1016/j.nutres.2010.03.003","ISBN":"0271-5317","ISSN":"02715317","PMID":"20417879","abstract":"The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Research","id":"ITEM-6","issue":"3","issued":{"date-parts":[["2010"]]},"page":"186-190","publisher":"Elsevier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tolerance","type":"article-journal","volume":"30"},"uris":["http://www.mendeley.com/documents/?uuid=24bc950c-bfd2-4632-8ad0-a20eee1f7dc8"]},{"id":"ITEM-7","itemData":{"DOI":"10.2337/dc09-0130.","ISBN":"0149-5992","ISSN":"1935-5548","PMID":"19602539","abstract":"OBJECTIVE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care","id":"ITEM-7","issued":{"date-parts":[["2009"]]},"page":"1404-10","title":"Effectiveness of a pragmatic education program designed to promote walking activity in individuals with impaired glucose tolerance","type":"article-journal","volume":"32"},"uris":["http://www.mendeley.com/documents/?uuid=f022eff7-34b4-4911-8936-eba8ff61941e"]},{"id":"ITEM-8","itemData":{"DOI":"10.1097/jnr.0000000000000225","ISSN":"1682-3141","abstract":"Background: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Research","id":"ITEM-8","issue":"3","issued":{"date-parts":[["2018"]]},"note":"Accession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mellitus.","type":"article-journal","volume":"26"},"uris":["http://www.mendeley.com/documents/?uuid=7921dfb5-19a6-4219-b142-8d615dab9ad0"]}],"mendeley":{"formattedCitation":"(Fianu et al., 2016; Jiang et al., 2013; Kulzer et al., 2009; McDermott et al., 2014; Payne WR, Walsh KJ., Harvey JT, Livy MF, Mckenzie KJ, Donaldson A, 2008; Pimentel et al., 2010; Tsai et al., 2018; Yates et al., 2009)","manualFormatting":"(Fianu et al., 2016; Jiang et al., 2013; Kulzer et al., 2009; McDermott et al., 2014; Payne, Walsh, Harvey, Livy, Mckenzie, Donaldson, 2008; Pimentel et al., 2010; Tsai et al., 2018; Yates et al., 2009)","plainTextFormattedCitation":"(Fianu et al., 2016; Jiang et al., 2013; Kulzer et al., 2009; McDermott et al., 2014; Payne WR, Walsh KJ., Harvey JT, Livy MF, Mckenzie KJ, Donaldson A, 2008; Pimentel et al., 2010; Tsai et al., 2018; Yates et al., 2009)","previouslyFormattedCitation":"(Fianu et al., 2016; Jiang et al., 2013; Kulzer et al., 2009; McDermott et al., 2014; Payne WR, Walsh KJ., Harvey JT, Livy MF, Mckenzie KJ, Donaldson A, 2008; Pimentel et al., 2010; Tsai et al., 2018;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(Fianu et al., 2016; Jiang et al., 2013; Kulzer et al., 2009; McDermott et al., 2014; Payn</w:t>
      </w:r>
      <w:r w:rsidR="00ED6AB2" w:rsidRPr="00103A0B">
        <w:rPr>
          <w:rFonts w:ascii="Arial" w:eastAsia="Times New Roman" w:hAnsi="Arial" w:cs="Arial"/>
          <w:noProof/>
          <w:sz w:val="24"/>
          <w:szCs w:val="24"/>
          <w:lang w:eastAsia="en-GB"/>
        </w:rPr>
        <w:t>e</w:t>
      </w:r>
      <w:r w:rsidR="001B5F7B" w:rsidRPr="00103A0B">
        <w:rPr>
          <w:rFonts w:ascii="Arial" w:eastAsia="Times New Roman" w:hAnsi="Arial" w:cs="Arial"/>
          <w:noProof/>
          <w:sz w:val="24"/>
          <w:szCs w:val="24"/>
          <w:lang w:eastAsia="en-GB"/>
        </w:rPr>
        <w:t>, Walsh, Harvey, Livy, Mckenzie, Donaldson, 2008; Pimentel et al., 2010; Tsai et al., 2018; 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DPPs were mainly conducted in the USA (n=15) </w:t>
      </w:r>
      <w:r w:rsidRPr="00103A0B">
        <w:rPr>
          <w:rFonts w:ascii="Arial" w:eastAsia="Times New Roman" w:hAnsi="Arial" w:cs="Arial"/>
          <w:sz w:val="24"/>
          <w:szCs w:val="24"/>
          <w:lang w:eastAsia="en-GB"/>
        </w:rPr>
        <w:fldChar w:fldCharType="begin" w:fldLock="1"/>
      </w:r>
      <w:r w:rsidR="007C3391"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Health","id":"ITEM-2","issued":{"date-parts":[["2014"]]},"page":"674-77","publisher":"The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trial","type":"article-journal","volume":"128"},"uris":["http://www.mendeley.com/documents/?uuid=1abeaa8a-5178-4243-9733-7fd8d5ef92d5"]},{"id":"ITEM-3","itemData":{"author":[{"dropping-particle":"","family":"Boltri","given":"John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Association","id":"ITEM-3","issue":"3","issued":{"date-parts":[["2011"]]},"page":"194-202","title":"Translation of the national institutes of health diabetes prevention program in African American churches","type":"article-journal","volume":"103"},"uris":["http://www.mendeley.com/documents/?uuid=9a9d913a-7043-4df3-a05c-f50fa2ed8eff"]},{"id":"ITEM-4","itemData":{"author":[{"dropping-particle":"","family":"Davis-Smith","given":"Monique","non-dropping-particle":"","parse-names":false,"suffix":""}],"container-title":"Journal of the National Medical Association","id":"ITEM-4","issue":"4","issued":{"date-parts":[["2007"]]},"page":"440-47","title":"Implementing a diabetes prevention program in a rural African-American church","type":"article-journal","volume":"99"},"uris":["http://www.mendeley.com/documents/?uuid=0ddb0a52-0cf9-48e8-a66c-340f5fa47213"]},{"id":"ITEM-5","itemData":{"DOI":"10.2337/dc12-1250","ISBN":"0149-5992\\r1935-5548","ISSN":"01495992","PMID":"23275375","abstract":"OBJECTIVE: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Care","id":"ITEM-5","issue":"7","issued":{"date-parts":[["2013"]]},"page":"2027-2034","title":"Translating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project","type":"article-journal","volume":"36"},"uris":["http://www.mendeley.com/documents/?uuid=6fb8d6ab-39ae-48b6-b78a-5dcf85b9cf0a"]},{"id":"ITEM-6","itemData":{"DOI":"10.1016/j.amepre.2012.12.015","ISBN":"1873-2607 (Electronic)\\r0749-3797 (Linking)","ISSN":"18732607","PMID":"23498294","abstract":"Background: Since the Diabetes Prevention Project (DPP) demonstrated that lifestyle weight-loss interventions can reduce the incidence of diabetes by 58%, several studies have translated the DPP methods to public health - friendly contexts. Although these studies have demonstrated short-term effects, no study to date has examined the impact of a translated DPP intervention on blood glucose and adiposity beyond 12 months of follow-up. Purpose: To examine the impact of a 24-month, community-based diabetes prevention program on fasting blood glucose, insulin, insulin resistance as well as body weight, waist circumference, and BMI in the second year of follow-up. Design: An RCT comparing a 24-month lifestyle weight-loss program (LWL) to an enhanced usual care condition (UCC) in participants with prediabetes (fasting blood glucose = 95 - 125 mg/dL). Data were collected in 2007-2011; analyses were conducted in 2011-2012. Setting/participants: 301 participants with prediabetes were randomized; 261 completed the study. The intervention was held in community-based sites. Intervention: The LWL program was led by community health workers and sought to induce 7% weight loss at 6 months that would be maintained over time through decreased caloric intake and increased physical activity. The UCC received two visits with a registered dietitian and a monthly newsletter. Main outcome measures: The main measures were fasting blood glucose, insulin, insulin resistance, body weight, waist circumference, and BMI. Results: Intent-to-treat analyses of between-group differences in the average of 18- and 24-month measures of outcomes (controlling for baseline values) revealed that the LWL participants experienced greater decreases in fasting glucose (- 4.35 mg/dL); insulin (- 3.01 μU/ml); insulin resistance (- 0.97); body weight (- 4.19 kg); waist circumference (- 3.23 cm); and BMI (- 1.40), allp-values &lt;0.01. Conclusions: A diabetes prevention program administered through an existing community-based system and delivered by community health workers is effective at inducing significant long-term reductions in metabolic indicators and adiposity. © 2013 American Journal of Preventive Medicine.","author":[{"dropping-particle":"","family":"Katula","given":"Jeffrey A.","non-dropping-particle":"","parse-names":false,"suffix":""},{"dropping-particle":"","family":"Vitolins","given":"Mara Z.","non-dropping-particle":"","parse-names":false,"suffix":""},{"dropping-particle":"","family":"Morgan","given":"Timothy M.","non-dropping-particle":"","parse-names":false,"suffix":""},{"dropping-particle":"","family":"Lawlor","given":"Michael S.","non-dropping-particle":"","parse-names":false,"suffix":""},{"dropping-particle":"","family":"Blackwell","given":"Caroline S.","non-dropping-particle":"","parse-names":false,"suffix":""},{"dropping-particle":"","family":"Isom","given":"Scott P.","non-dropping-particle":"","parse-names":false,"suffix":""},{"dropping-particle":"","family":"Pedley","given":"Carolyn F.","non-dropping-particle":"","parse-names":false,"suffix":""},{"dropping-particle":"","family":"Goff","given":"David C.","non-dropping-particle":"","parse-names":false,"suffix":""}],"container-title":"American Journal of Preventive Medicine","id":"ITEM-6","issue":"4S4","issued":{"date-parts":[["2013"]]},"page":"S324-S332","publisher":"Elsevier Inc.","title":"The healthy living partnerships to prevent diabetes study: 2-year outcomes of a randomized controlled trial","type":"article-journal","volume":"44"},"uris":["http://www.mendeley.com/documents/?uuid=622c5a69-cd33-454b-a85e-af4bc359d8a1"]},{"id":"ITEM-7","itemData":{"DOI":"10.2105/AJPH.2015.303035","ISBN":"0090-0036","ISSN":"15410048","PMID":"26890171","abstract":"OBJECTIVES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Health","id":"ITEM-7","issue":"5","issued":{"date-parts":[["2016"]]},"page":"949-956","title":"Comparison of commercial and self-initiated weight loss programs in people with prediabetes: a randomized control trial","type":"article-journal","volume":"106"},"uris":["http://www.mendeley.com/documents/?uuid=e4e3235a-a86a-4b63-ad04-9e4c2402dc1e"]},{"id":"ITEM-8","itemData":{"DOI":"10.1016/j.jneb.2015.12.002","ISBN":"1499-4046","ISSN":"14994046","PMID":"26787601","abstract":"Objective: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Behavior","id":"ITEM-8","issue":"3","issued":{"date-parts":[["2016"]]},"page":"160-69","publisher":"Elsevier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trial","type":"article-journal","volume":"48"},"uris":["http://www.mendeley.com/documents/?uuid=2d8c03a8-0024-4655-930b-c43e21a3fdf8"]},{"id":"ITEM-9","itemData":{"DOI":"10.2105/AJPH.2011.300357","ISBN":"1541-0048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Health","id":"ITEM-9","issue":"2","issued":{"date-parts":[["2012"]]},"page":"336-342","title":"Outcomes of a Latino community-based intervention for the prevention of diabetes: the lawrence Latino diabetes prevention project","type":"article-journal","volume":"102"},"uris":["http://www.mendeley.com/documents/?uuid=6b9cb080-dc52-4e71-a5c6-bb5e3c90945b"]},{"id":"ITEM-10","itemData":{"DOI":"10.1177/0145721714521020","ISBN":"0145-7217","ISSN":"15546063","PMID":"24510942","abstract":"Purpose: This article reports the results of a community-based, culturally tailored diabetes prevention program for overweight Mexican American adults on weight loss, waist circumference, diet and physical activity self-efficacy, and diet behaviors., Methods: The intervention used content from the Diabetes Prevention Program but culturally tailored the delivery methods into a community-based program for Spanishspeaking adults of Mexican descent. The design was a randomized controlled trial (N = 58) comparing the effects of a 5-month educational intervention with an attention control group. The primary study outcome was weight loss. Secondary outcomes included change in waist circumference, body mass index, diet self-efficacy, and physical activity self-efficacy., Results: There were significant intervention effects for weight, waist circumference, body mass index, and diet selfefficacy, with the intervention group doing better than the control group. These effects did not change over time., Conclusions: Findings support the conclusion that a community-based, culturally tailored intervention is effective in reducing diabetes risk factors in a 5-month program., (C) 2014 Sage Publishing","author":[{"dropping-particle":"","family":"Vincent","given":"Deborah","non-dropping-particle":"","parse-names":false,"suffix":""},{"dropping-particle":"","family":"McEwen","given":"Marylyn M.","non-dropping-particle":"","parse-names":false,"suffix":""},{"dropping-particle":"","family":"Hepworth","given":"Joseph T.","non-dropping-particle":"","parse-names":false,"suffix":""},{"dropping-particle":"","family":"Stump","given":"Craig S.","non-dropping-particle":"","parse-names":false,"suffix":""}],"container-title":"The Diabetes Educator","id":"ITEM-10","issue":"2","issued":{"date-parts":[["2014"]]},"page":"202-213","title":"The effects of a community-based, culturally tailored diabetes prevention intervention for high-risk adults of Mexican descent","type":"article-journal","volume":"40"},"uris":["http://www.mendeley.com/documents/?uuid=45a67a3a-a21d-4e1b-b15e-e4fcd00a23e0"]},{"id":"ITEM-11","itemData":{"DOI":"10.1111/dme.12848","ISBN":"0742-3071","ISSN":"14645491","PMID":"26179569","abstract":"METHODS: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Medicine","id":"ITEM-11","issue":"4","issued":{"date-parts":[["2015"]]},"page":"547-551","title":"Translation of the diabetes prevention program for diabetes risk reduction in Chinese immigrants in New York city","type":"article-journal","volume":"33"},"uris":["http://www.mendeley.com/documents/?uuid=05391168-7679-4063-baae-26f96e47d08a"]},{"id":"ITEM-12","itemData":{"ISBN":"00900036","ISSN":"00900036","PMID":"52016494","abstract":"Objectives.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Health","id":"ITEM-12","issued":{"date-parts":[["2010"]]},"page":"232-39","title":"Results of a pilot diabetes prevention intervention in East Harlem, New York city: project HEED","type":"article-journal","volume":"100"},"uris":["http://www.mendeley.com/documents/?uuid=6ca00620-5eb7-44be-86f5-e0fe0414de89"]},{"id":"ITEM-13","itemData":{"DOI":"10.1093/tbm/ibx064","ISSN":"1613-9860","abstract":"The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Medicine","id":"ITEM-13","issue":"2","issued":{"date-parts":[["2018"]]},"note":"Accession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illness.","type":"article-journal","volume":"8"},"uris":["http://www.mendeley.com/documents/?uuid=25ddcc05-70f1-4333-9e99-b9d202b84d0d"]},{"id":"ITEM-14","itemData":{"DOI":"10.1016/j.amepre.2016.11.009","ISBN":"0749-3797 1873-2607","ISSN":"18732607","PMID":"28094135","abstract":"Introduction This clinical demonstration trial compared the effectiveness of the Veterans Affairs Diabetes Prevention Program (VA-DPP) with an evidence-based usual care weight management program (MOVE!®) in the Veterans Health Administration health system. Design Prospective, pragmatic, non-randomized comparative effectiveness study of two behavioral weight management interventions. Setting/participants Obese/overweight Veterans with prediabetes were recruited from three geographically diverse VA sites between 2012 and 2014. Intervention VA-DPP included 22 group-based intensive lifestyle change sessions. Main outcome measures Weight change at 6 and 12 months, hemoglobin A1c (HbA1c) at 12 months, and VA health expenditure changes at 15 months were assessed using VA electronic health record and claims data. Between- and within-group comparisons for weight and HbA1c were done using linear mixed-effects models controlling for age, gender, race/ethnicity, baseline outcome values, and site. Analyses were conducted in 2015–2016. Results A total of 387 participants enrolled (273 VA-DPP, 114 MOVE!). More VA-DPP participants completed at least one (73.3% VA-DPP vs 57.5% MOVE! p=0.002); four (57.5% VA-DPP vs 42.5% MOVE!, p=0.007); and eight or more sessions (42.5% VA-DPP vs 31% MOVE!, p=0.035). Weight loss from baseline was significant at both 6 (p&lt;0.001) and 12 months (p&lt;0.001) for VA-DPP participants, but only significant at 6 months for MOVE! participants (p=0.004). Between groups, there were significant differences in 6-month weight loss (–4.1 kg VA-DPP vs –1.9 kg MOVE!, p&lt;0.001), but not 12-month weight loss (–3.4 kg VA-DPP vs –2.0 kg MOVE!, p=0.16). There were no significant differences in HbA1c change or outpatient, inpatient, and total VA expenditures. Conclusions VA-DPP participants had higher participation rates and weight loss at 6 months, but similar weight, HbA1c, and health expenditures at 12 months compared to MOVE! participants. Features of VA-DPP may help enhance the capability of MOVE! to reach a larger proportion of the served population and promote individual-level weight maintenance.","author":[{"dropping-particle":"","family":"Moin","given":"Tannaz","non-dropping-particle":"","parse-names":false,"suffix":""},{"dropping-particle":"","family":"Damschroder","given":"Laura J.","non-dropping-particle":"","parse-names":false,"suffix":""},{"dropping-particle":"","family":"AuYoung","given":"Mona","non-dropping-particle":"","parse-names":false,"suffix":""},{"dropping-particle":"","family":"Maciejewski","given":"Matthew L.","non-dropping-particle":"","parse-names":false,"suffix":""},{"dropping-particle":"","family":"Datta","given":"Santanu K.","non-dropping-particle":"","parse-names":false,"suffix":""},{"dropping-particle":"","family":"Weinreb","given":"Jane E.","non-dropping-particle":"","parse-names":false,"suffix":""},{"dropping-particle":"","family":"Steinle","given":"Nanette I.","non-dropping-particle":"","parse-names":false,"suffix":""},{"dropping-particle":"","family":"Billington","given":"Charles","non-dropping-particle":"","parse-names":false,"suffix":""},{"dropping-particle":"","family":"Hughes","given":"Maria","non-dropping-particle":"","parse-names":false,"suffix":""},{"dropping-particle":"","family":"Makki","given":"Fatima","non-dropping-particle":"","parse-names":false,"suffix":""},{"dropping-particle":"","family":"Holleman","given":"Robert G.","non-dropping-particle":"","parse-names":false,"suffix":""},{"dropping-particle":"","family":"Kim","given":"H. Myra","non-dropping-particle":"","parse-names":false,"suffix":""},{"dropping-particle":"","family":"Jeffreys","given":"Amy S.","non-dropping-particle":"","parse-names":false,"suffix":""},{"dropping-particle":"","family":"Kinsinger","given":"Linda S.","non-dropping-particle":"","parse-names":false,"suffix":""},{"dropping-particle":"","family":"Burns","given":"Jennifer A.","non-dropping-particle":"","parse-names":false,"suffix":""},{"dropping-particle":"","family":"Richardson","given":"Caroline R.","non-dropping-particle":"","parse-names":false,"suffix":""}],"container-title":"American Journal of Preventive Medicine","id":"ITEM-14","issue":"1","issued":{"date-parts":[["2017"]]},"page":"70-77","publisher":"Elsevier Inc.","title":"Diabetes prevention program translation in the veterans health administration","type":"article-journal","volume":"53"},"uris":["http://www.mendeley.com/documents/?uuid=0b49d9c8-fcae-49b9-b371-d81d371b6825","http://www.mendeley.com/documents/?uuid=c50de4a3-0ca0-411d-8a86-7e096e4ae38f"]},{"id":"ITEM-15","itemData":{"author":[{"dropping-particle":"","family":"Alva","given":"M.L.","non-dropping-particle":"","parse-names":false,"suffix":""}],"container-title":"American Journal of Health Promotion","id":"ITEM-15","issue":"7","issued":{"date-parts":[["2019"]]},"page":"1067-72","title":"How much does attendance impact weight loss and health care spending in a diabetes prevention program serving older adults?","type":"article-journal","volume":"33"},"uris":["http://www.mendeley.com/documents/?uuid=f1207552-91e1-416b-bc68-b0587dd06592"]}],"mendeley":{"formattedCitation":"(Almeida, F.A., Shetterly, S., Smith-Ray, R.L., Estabrooks, 2010; Alva, 2019b; Bernstein, A.M., Gendy, G., Rudd, N., Doyle, J., Fay, S., Moffett, K., 2014; Boltri et al., 2011; Davis-Smith, 2007; Jiang et al., 2013; Katula et al., 2013; Marrero et al., 2016; Miller et al., 2016; Moin et al., 2017; Ockene et al., 2012; Parikh et al., 2010; Quiñones et al., 2018; Vincent et al., 2014; Yeh et al., 2015)","manualFormatting":"(Almeida, Shetterly, Smith-Ray, Estabrooks, 2010; Alva, 2019; Bernstein, Gendy, Rudd, Doyle, Fay, Moffett, 2014; Boltri et al., 2011; Davis-Smith, 2007; Jiang et al., 2013; Katula et al., 2013; Marrero et al., 2016; Miller et al., 2016; Moin et al., 2017; Ockene et al., 2012; Parikh et al., 2010; Quiñones et al., 2018; Vincent et al., 2014b; Yeh et al., 2015)","plainTextFormattedCitation":"(Almeida, F.A., Shetterly, S., Smith-Ray, R.L., Estabrooks, 2010; Alva, 2019b; Bernstein, A.M., Gendy, G., Rudd, N., Doyle, J., Fay, S., Moffett, K., 2014; Boltri et al., 2011; Davis-Smith, 2007; Jiang et al., 2013; Katula et al., 2013; Marrero et al., 2016; Miller et al., 2016; Moin et al., 2017; Ockene et al., 2012; Parikh et al., 2010; Quiñones et al., 2018; Vincent et al., 2014; Yeh et al., 2015)","previouslyFormattedCitation":"(Almeida, F.A., Shetterly, S., Smith-Ray, R.L., Estabrooks, 2010; Alva, 2019b; Bernstein, A.M., Gendy, G., Rudd, N., Doyle, J., Fay, S., Moffett, K., 2014; Boltri et al., 2011; Davis-Smith, 2007; Jiang et al., 2013; Katula et al., 2013; Marrero et al., 2016; Miller et al., 2016; Moin et al., 2017; Ockene et al., 2012; Parikh et al., 2010; Quiñones et al., 2018; Vincent et al., 2014; Yeh et al., 2015)"},"properties":{"noteIndex":0},"schema":"https://github.com/citation-style-language/schema/raw/master/csl-citation.json"}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(Almeida, Shetterly, Smith-Ray, Estabrooks, 2010; Alva, 2019; Bernstein, Gendy, Rudd, Doyle, Fay, Moffett, 2014; Boltri et al., 2011; Davis-Smith, 2007; Jiang et al., 2013; Katula et al., 2013; Marrero et al., 2016; Miller et al., 2016; Moin et al., 2017; Ockene et al., 2012; Parikh et al., 2010; Quiñones et al., 2018; Vincent et al., 2014b; Yeh et al., 2015)</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but also Australia (n=3)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Health","id":"ITEM-1","issue":"249","issued":{"date-parts":[["2007"]]},"title":"Prevention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project","type":"article-journal","volume":"7"},"uris":["http://www.mendeley.com/documents/?uuid=ef090087-0d56-42cf-8079-ddbfceb8d350"]},{"id":"ITEM-2","itemData":{"DOI":"10.1080/08870440903548749","ISBN":"0887044090354","ISSN":"0887-0446","PMID":"20945253","abstract":"This study was a randomised control trial with a waiting control group. It was designed to evaluate the effectiveness of a 6-month, group-based diabetes prevention programme, The Healthy Living Course and assess whether participation in the programme led to changes in modifiable risk factors for type 2 diabetes among an already at-risk pre-diabetic population. Individuals designated at risk for diabetes by their general practitioners (GPs) were screened using an Oral Glucose Tolerance Test. Volunteers (N = 307) with pre-diabetes were assigned to an intervention or wait-control group in the ratio of approximately 2 : 1. The sample was pre-tested on biochemical, anthropometric and self-report behavioural, cognitive and mood variables and post-tested either at the end of the educational/support-based lifestyle programme or the end of the wait period. The intervention group significantly improved their diabetes knowledge, motivation to change, positive affect, healthy eating and activity levels and showed significantly greater reductions in weight, body mass index, waist circumference, diastolic blood pressure and fasting plasma glucose in comparison with controls. The intervention group also changed their diagnostic status from pre-diabetes to non-diabetes at a greater rate than the wait group (43% vs. 26%) who received standard care from their GPs.","author":[{"dropping-particle":"","family":"Moore","given":"Susan M.","non-dropping-particle":"","parse-names":false,"suffix":""},{"dropping-particle":"","family":"Hardie","given":"Elizabeth A.","non-dropping-particle":"","parse-names":false,"suffix":""},{"dropping-particle":"","family":"Hackworth","given":"Naomi J.","non-dropping-particle":"","parse-names":false,"suffix":""},{"dropping-particle":"","family":"Critchley","given":"Christine R.","non-dropping-particle":"","parse-names":false,"suffix":""},{"dropping-particle":"","family":"Kyrios","given":"Michael","non-dropping-particle":"","parse-names":false,"suffix":""},{"dropping-particle":"","family":"Buzwell","given":"Simone A.","non-dropping-particle":"","parse-names":false,"suffix":""},{"dropping-particle":"","family":"Crafti","given":"Naomi A.","non-dropping-particle":"","parse-names":false,"suffix":""}],"container-title":"Psychology &amp; Health","id":"ITEM-2","issue":"4","issued":{"date-parts":[["2011"]]},"page":"485-499","title":"Can the onset of type 2 diabetes be delayed by a group-based lifestyle intervention? a randomised control trial","type":"article-journal","volume":"26"},"uris":["http://www.mendeley.com/documents/?uuid=f731fbbd-3174-40ae-b00f-158e50237e1f"]},{"id":"ITEM-3","itemData":{"DOI":"10.2337/dc08-0152.","author":[{"dropping-particle":"","family":"Payne WR, Walsh KJ., Harvey JT, Livy MF, Mckenzie KJ, Donaldson A","given":"et al.","non-dropping-particle":"","parse-names":false,"suffix":""}],"container-title":"Diabetes Care","id":"ITEM-3","issued":{"date-parts":[["2008"]]},"page":"2244-50","title":"Effect of a low–resource-intensive lifestyle modification program incorporating gymnasium-based and home-based resistance training on type 2 diabetes risk in Australian adults","type":"article-journal","volume":"31"},"uris":["http://www.mendeley.com/documents/?uuid=94025970-6bd0-4bcf-89d4-48f46a796268"]}],"mendeley":{"formattedCitation":"(Laatikainen et al., 2007; Moore et al., 2011; Payne WR, Walsh KJ., Harvey JT, Livy MF, Mckenzie KJ, Donaldson A, 2008)","manualFormatting":"(Laatikainen et al., 2007; Moore et al., 2011; Payne, Walsh, Harvey, Livy, Mckenzie, Donaldson, 2008)","plainTextFormattedCitation":"(Laatikainen et al., 2007; Moore et al., 2011; Payne WR, Walsh KJ., Harvey JT, Livy MF, Mckenzie KJ, Donaldson A, 2008)","previouslyFormattedCitation":"(Laatikainen et al., 2007; Moore et al., 2011; Payne WR, Walsh KJ., Harvey JT, Livy MF, Mckenzie KJ, Donaldson A, 2008)"},"properties":{"noteIndex":0},"schema":"https://github.com/citation-style-language/schema/raw/master/csl-citation.json"}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(Laatikainen et al., 2007; Moore et al., 2011; Payne, Walsh, Harvey, Livy, Mckenzie, Donaldson, 2008)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UK (n=2)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{"citationItems":[{"id":"ITEM-1","itemData":{"DOI":"10.1016/j.ypmed.2015.12.012","ISBN":"0091-7435","ISSN":"10960260","PMID":"26740346","abstract":"Objectives: Prevention of type 2 diabetes (T2DM) is a priority in healthcare, but there is a lack of evidence investigating how to effectively translate prevention research into a UK primary care setting. We assessed whether a structured education programme targeting lifestyle and behaviour change was effective at preventing progression to T2DM in people with pre-diabetes. Materials and methods: Forty-four general practices were randomised to receive either standard care or a 6. hour group structured education programme with an annual refresher course, and regular phone contact. Participants were followed up for 3. years. The primary outcome was progression to T2DM. Results: Eight hundred and eighty participants were included (36% female, mean age 64. years, 16% ethnic minority group); 131 participants developed T2DM. There was a non-significant 26% reduced risk of developing T2DM in the intervention arm compared to standard care (HR 0.74, 95% CI 0.48, 1.14, p= 0.18). The reduction in T2DM risk when excluding those who did not attend the initial education session was also non-significant (HR 0.65, 0.41, 1.03, p= 0.07). There were statistically significant improvements in HbA1c (- 0.06, - 0.11, - 0.01), LDL cholesterol (- 0.08, - 0.15, - 0.01), sedentary time (- 26.29, - 45.26, - 7.32) and step count (498.15, 162.10, 834.20) when data were analysed across all time points. Conclusions: This study suggests that a relatively low resource, pragmatic diabetes prevention programme resulted in modest benefits to biomedical, lifestyle and psychosocial outcomes, however the reduction to the risk of T2DM did not reach significance. The findings have important implications for future research and primary care.","author":[{"dropping-particle":"","family":"Davies","given":"Melanie J.","non-dropping-particle":"","parse-names":false,"suffix":""},{"dropping-particle":"","family":"Gray","given":"Laura J.","non-dropping-particle":"","parse-names":false,"suffix":""},{"dropping-particle":"","family":"Troughton","given":"Jacqui","non-dropping-particle":"","parse-names":false,"suffix":""},{"dropping-particle":"","family":"Gray","given":"Alastair","non-dropping-particle":"","parse-names":false,"suffix":""},{"dropping-particle":"","family":"Tuomilehto","given":"Jaakko","non-dropping-particle":"","parse-names":false,"suffix":""},{"dropping-particle":"","family":"Farooqi","given":"Azhar","non-dropping-particle":"","parse-names":false,"suffix":""},{"dropping-particle":"","family":"Khunti","given":"Kamlesh","non-dropping-particle":"","parse-names":false,"suffix":""},{"dropping-particle":"","family":"Yates","given":"Thomas","non-dropping-particle":"","parse-names":false,"suffix":""},{"dropping-particle":"","family":"Bancroft","given":"Mary","non-dropping-particle":"","parse-names":false,"suffix":""},{"dropping-particle":"","family":"Ahrabian","given":"Dariush","non-dropping-particle":"","parse-names":false,"suffix":""},{"dropping-particle":"","family":"Cowling","given":"Pauline","non-dropping-particle":"","parse-names":false,"suffix":""},{"dropping-particle":"","family":"Greaves","given":"Colin","non-dropping-particle":"","parse-names":false,"suffix":""},{"dropping-particle":"","family":"Sheppard","given":"David","non-dropping-particle":"","parse-names":false,"suffix":""},{"dropping-particle":"","family":"Leal","given":"Jose","non-dropping-particle":"","parse-names":false,"suffix":""},{"dropping-particle":"","family":"Abrams","given":"Keith","non-dropping-particle":"","parse-names":false,"suffix":""},{"dropping-particle":"","family":"Bodicoat","given":"Danielle","non-dropping-particle":"","parse-names":false,"suffix":""},{"dropping-particle":"","family":"Carter","given":"Patrice","non-dropping-particle":"","parse-names":false,"suffix":""},{"dropping-particle":"","family":"Dunkley","given":"Alison","non-dropping-particle":"","parse-names":false,"suffix":""},{"dropping-particle":"","family":"Patel","given":"Naina","non-dropping-particle":"","parse-names":false,"suffix":""},{"dropping-particle":"","family":"Russell","given":"Clare","non-dropping-particle":"","parse-names":false,"suffix":""},{"dropping-particle":"","family":"Horne","given":"Rosie","non-dropping-particle":"","parse-names":false,"suffix":""},{"dropping-particle":"","family":"Spong","given":"Rebecca","non-dropping-particle":"","parse-names":false,"suffix":""},{"dropping-particle":"","family":"Stone","given":"Margaret","non-dropping-particle":"","parse-names":false,"suffix":""},{"dropping-particle":"","family":"Taub","given":"Nick","non-dropping-particle":"","parse-names":false,"suffix":""},{"dropping-particle":"","family":"Webb","given":"David","non-dropping-particle":"","parse-names":false,"suffix":""},{"dropping-particle":"","family":"Amin","given":"Sayjal","non-dropping-particle":"","parse-names":false,"suffix":""},{"dropping-particle":"","family":"Barnett","given":"Janette","non-dropping-particle":"","parse-names":false,"suffix":""},{"dropping-particle":"","family":"Berkeley","given":"Hannah","non-dropping-particle":"","parse-names":false,"suffix":""},{"dropping-particle":"","family":"Bonar","given":"Michael","non-dropping-particle":"","parse-names":false,"suffix":""},{"dropping-particle":"","family":"Boyles","given":"Louise","non-dropping-particle":"","parse-names":false,"suffix":""},{"dropping-particle":"","family":"Bray","given":"Paul","non-dropping-particle":"","parse-names":false,"suffix":""},{"dropping-particle":"","family":"Cairns","given":"Nichola","non-dropping-particle":"","parse-names":false,"suffix":""},{"dropping-particle":"","family":"Campbell","given":"Sandra","non-dropping-particle":"","parse-names":false,"suffix":""},{"dropping-particle":"","family":"Carey","given":"Marian","non-dropping-particle":"","parse-names":false,"suffix":""},{"dropping-particle":"","family":"Chatterjee","given":"Sudesna","non-dropping-particle":"","parse-names":false,"suffix":""},{"dropping-particle":"","family":"Currie","given":"Carolyn","non-dropping-particle":"","parse-names":false,"suffix":""},{"dropping-particle":"","family":"Daly","given":"Heather","non-dropping-particle":"","parse-names":false,"suffix":""},{"dropping-particle":"","family":"Enright","given":"Sue","non-dropping-particle":"","parse-names":false,"suffix":""},{"dropping-particle":"","family":"Goldby","given":"Stephanie","non-dropping-particle":"","parse-names":false,"suffix":""},{"dropping-particle":"","family":"Gray","given":"Geri","non-dropping-particle":"","parse-names":false,"suffix":""},{"dropping-particle":"","family":"Henson","given":"Joe","non-dropping-particle":"","parse-names":false,"suffix":""},{"dropping-particle":"","family":"Hiles","given":"Stephen","non-dropping-particle":"","parse-names":false,"suffix":""},{"dropping-particle":"","family":"Hill","given":"Sian","non-dropping-particle":"","parse-names":false,"suffix":""},{"dropping-particle":"","family":"Hill","given":"Jayne","non-dropping-particle":"","parse-names":false,"suffix":""},{"dropping-particle":"","family":"Holdsworth","given":"Hannah","non-dropping-particle":"","parse-names":false,"suffix":""},{"dropping-particle":"","family":"Htike","given":"Zin Zin","non-dropping-particle":"","parse-names":false,"suffix":""},{"dropping-particle":"","family":"Jamal","given":"Shenaz","non-dropping-particle":"","parse-names":false,"suffix":""},{"dropping-particle":"","family":"Jarvis","given":"Janet","non-dropping-particle":"","parse-names":false,"suffix":""},{"dropping-particle":"","family":"Johnson","given":"Carolyn","non-dropping-particle":"","parse-names":false,"suffix":""},{"dropping-particle":"","family":"Jones","given":"Janet","non-dropping-particle":"","parse-names":false,"suffix":""},{"dropping-particle":"","family":"Jones","given":"Kenneth","non-dropping-particle":"","parse-names":false,"suffix":""},{"dropping-particle":"","family":"Khan","given":"Sabera","non-dropping-particle":"","parse-names":false,"suffix":""},{"dropping-particle":"","family":"Khulpateea","given":"Anita","non-dropping-particle":"","parse-names":false,"suffix":""},{"dropping-particle":"","family":"Leonard","given":"Judith","non-dropping-particle":"","parse-names":false,"suffix":""},{"dropping-particle":"","family":"Mani","given":"Hamidreza","non-dropping-particle":"","parse-names":false,"suffix":""},{"dropping-particle":"","family":"Martin-Stacey","given":"Lorraine","non-dropping-particle":"","parse-names":false,"suffix":""},{"dropping-particle":"","family":"Morgan","given":"Val","non-dropping-particle":"","parse-names":false,"suffix":""},{"dropping-particle":"","family":"Morris","given":"Frances","non-dropping-particle":"","parse-names":false,"suffix":""},{"dropping-particle":"","family":"Mostafa","given":"Samiul","non-dropping-particle":"","parse-names":false,"suffix":""},{"dropping-particle":"","family":"Northern","given":"Alison","non-dropping-particle":"","parse-names":false,"suffix":""},{"dropping-particle":"","family":"O'Brien","given":"Kayleigh","non-dropping-particle":"","parse-names":false,"suffix":""},{"dropping-particle":"","family":"Patel","given":"Hersha","non-dropping-particle":"","parse-names":false,"suffix":""},{"dropping-particle":"","family":"Plummer","given":"Rachel","non-dropping-particle":"","parse-names":false,"suffix":""},{"dropping-particle":"","family":"Porter","given":"Sheila","non-dropping-particle":"","parse-names":false,"suffix":""},{"dropping-particle":"","family":"Radia","given":"Mo","non-dropping-particle":"","parse-names":false,"suffix":""},{"dropping-particle":"","family":"Realf","given":"Kathryn","non-dropping-particle":"","parse-names":false,"suffix":""},{"dropping-particle":"","family":"Richmond","given":"Dean","non-dropping-particle":"","parse-names":false,"suffix":""},{"dropping-particle":"","family":"Saker","given":"Rebecca","non-dropping-particle":"","parse-names":false,"suffix":""},{"dropping-particle":"","family":"Sennet","given":"Jane","non-dropping-particle":"","parse-names":false,"suffix":""},{"dropping-particle":"","family":"Stribling","given":"Bernie","non-dropping-particle":"","parse-names":false,"suffix":""},{"dropping-particle":"","family":"Wilmott","given":"Emma","non-dropping-particle":"","parse-names":false,"suffix":""},{"dropping-particle":"","family":"Wilson","given":"Carolina","non-dropping-particle":"","parse-names":false,"suffix":""},{"dropping-particle":"","family":"Wilson","given":"Panna","non-dropping-particle":"","parse-names":false,"suffix":""}],"container-title":"Preventive Medicine","id":"ITEM-1","issued":{"date-parts":[["2016"]]},"page":"48-56","publisher":"Elsevier Inc.","title":"A community based primary prevention programme for type 2 diabetes integrating identification and lifestyle intervention for prevention: the let's prevent diabetes cluster randomised controlled trial","type":"article-journal","volume":"84"},"uris":["http://www.mendeley.com/documents/?uuid=98ec8943-e639-4c92-bc3b-a80a3889c377"]},{"id":"ITEM-2","itemData":{"DOI":"10.2337/dc09-0130.","ISBN":"0149-5992","ISSN":"1935-5548","PMID":"19602539","abstract":"OBJECTIVE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care","id":"ITEM-2","issued":{"date-parts":[["2009"]]},"page":"1404-10","title":"Effectiveness of a pragmatic education program designed to promote walking activity in individuals with impaired glucose tolerance","type":"article-journal","volume":"32"},"uris":["http://www.mendeley.com/documents/?uuid=f022eff7-34b4-4911-8936-eba8ff61941e"]}],"mendeley":{"formattedCitation":"(Davies et al., 2016; Yates et al., 2009)","plainTextFormattedCitation":"(Davies et al., 2016; Yates et al., 2009)","previouslyFormattedCitation":"(Davies et al., 2016;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(Davies et al., 2016; 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Taiwan (n=2) </w:t>
      </w:r>
      <w:r w:rsidRPr="00103A0B">
        <w:rPr>
          <w:rFonts w:ascii="Arial" w:eastAsia="Times New Roman" w:hAnsi="Arial" w:cs="Arial"/>
          <w:sz w:val="24"/>
          <w:szCs w:val="24"/>
          <w:lang w:eastAsia="en-GB"/>
        </w:rPr>
        <w:fldChar w:fldCharType="begin" w:fldLock="1"/>
      </w:r>
      <w:r w:rsidR="00AD1D6B" w:rsidRPr="00103A0B">
        <w:rPr>
          <w:rFonts w:ascii="Arial" w:eastAsia="Times New Roman" w:hAnsi="Arial" w:cs="Arial"/>
          <w:sz w:val="24"/>
          <w:szCs w:val="24"/>
          <w:lang w:eastAsia="en-GB"/>
        </w:rPr>
        <w:instrText>ADDIN CSL_CITATION {"citationItems":[{"id":"ITEM-1","itemData":{"DOI":"10.1097/JNR.0000000000000193","ISBN":"0000000000000","ISSN":"1948965X","PMID":"28277390","abstract":"BACKGROUND: Practicing a health-promoting lifestyle is believed to be effective for delaying or preventing the onset of diabetes. However, although empowerment interventions have proven effective for encouraging the adoption of a health-promoting lifestyle in people with diabetes, these interventions are rarely promoted to people with prediabetes. PURPOSE: The aims of this study were to develop an empowerment program for people with prediabetes and to examine its efficacy in terms of the adoption of a health-promoting lifestyle and improvements in blood sugar, body mass index, and self-efficacy. METHODS: A randomized controlled trial was conducted between May and December 2013. A convenience sample of people with a fasting blood sugar level of 100-125 mg/dl during the previous 3 months was recruited from the health examination center of a hospital in Kaohsiung, Taiwan. Participants were assigned to either the experimental group or the control group using block randomization with a block size of 8. The experimental group (n = 38) participated in a 4-month empowerment program (the ABC empowerment program), which encouraged participants to practice a health-promoting lifestyle in three phases: awareness raising, behavior building, and results checking. The control group (n = 40) received routine clinical care. Statistical analyses included descriptive statistics, independent t test, paired t test, and generalized estimated equations. RESULTS: After controlling for the differences at baseline and considering the interaction between group and time from baseline to 1 week and 3 months after completing the intervention, the generalized estimating equation showed significantly larger improvements in a health-promoting lifestyle, blood sugar, and self-efficacy in the experimental group than in the control group (p &lt; .01). Furthermore, the experimental group achieved a larger reduction in body mass index than the control group at 3 months after completing the intervention (p = .001). CONCLUSIONS/IMPLICATIONS FOR PRACTICE: The empowerment program was shown to have short-term, positive effects on behavioral, physical, and psychosocial outcomes in a Taiwan population with prediabetes. The results of this study provide a useful reference not only for healthcare personnel when implementing empowerment interventions in people with prediabetes but also for nursing educators and healthcare policymakers.","author":[{"dropping-particle":"","family":"Chen","given":"Mei Fang","non-dropping-particle":"","parse-names":false,"suffix":""},{"dropping-particle":"","family":"Hung","given":"Shu Ling","non-dropping-particle":"","parse-names":false,"suffix":""},{"dropping-particle":"","family":"Chen","given":"Shu Lin","non-dropping-particle":"","parse-names":false,"suffix":""}],"container-title":"Journal of Nursing Research","id":"ITEM-1","issue":"2","issued":{"date-parts":[["2017"]]},"page":"99-111","title":"Empowerment program for people with prediabetes: a randomized controlled trial","type":"article-journal","volume":"25"},"uris":["http://www.mendeley.com/documents/?uuid=84db263a-a050-4be7-82d7-ef051548507b"]},{"id":"ITEM-2","itemData":{"DOI":"10.1097/jnr.0000000000000225","ISSN":"1682-3141","abstract":"Background: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Research","id":"ITEM-2","issue":"3","issued":{"date-parts":[["2018"]]},"note":"Accession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mellitus.","type":"article-journal","volume":"26"},"uris":["http://www.mendeley.com/documents/?uuid=7921dfb5-19a6-4219-b142-8d615dab9ad0"]}],"mendeley":{"formattedCitation":"(M. F. Chen et al., 2017; Tsai et al., 2018)","manualFormatting":"(Chen et al., 2017; Tsai et al., 2018)","plainTextFormattedCitation":"(M. F. Chen et al., 2017; Tsai et al., 2018)","previouslyFormattedCitation":"(M. F. Chen et al., 2017; Tsai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(Chen et al., 2017; Tsai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Thailand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10.1177/2150132719847374","author":[{"dropping-particle":"","family":"Aekplakorn","given":"Wichai","non-dropping-particle":"","parse-names":false,"suffix":""},{"dropping-particle":"","family":"Tantayotai","given":"Valla","non-dropping-particle":"","parse-names":false,"suffix":""},{"dropping-particle":"","family":"Numsangkul","given":"Sakawduan","non-dropping-particle":"","parse-names":false,"suffix":""},{"dropping-particle":"","family":"Tatsato","given":"Nutchanat","non-dropping-particle":"","parse-names":false,"suffix":""},{"dropping-particle":"","family":"Luckanajantachote","given":"Pranee","non-dropping-particle":"","parse-names":false,"suffix":""}],"container-title":"Journal of Primary Care and Community Health","id":"ITEM-1","issued":{"date-parts":[["2019"]]},"page":"1-8","title":"Evaluation of a community-based diabetes prevention program in Thailand : a cluster randomized controlled trial","type":"article-journal","volume":"10"},"uris":["http://www.mendeley.com/documents/?uuid=8b3b4c2b-0469-4192-909b-c057fc6c5460"]}],"mendeley":{"formattedCitation":"(Aekplakorn et al., 2019)","plainTextFormattedCitation":"(Aekplakorn et al., 2019)","previouslyFormattedCitation":"(Aekplakorn et al., 2019)"},"properties":{"noteIndex":0},"schema":"https://github.com/citation-style-language/schema/raw/master/csl-citation.json"}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(Aekplakorn et al., 2019)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New Zealand (n=1) </w:t>
      </w:r>
      <w:r w:rsidRPr="00103A0B">
        <w:rPr>
          <w:rFonts w:ascii="Arial" w:eastAsia="Times New Roman" w:hAnsi="Arial" w:cs="Arial"/>
          <w:sz w:val="24"/>
          <w:szCs w:val="24"/>
          <w:lang w:eastAsia="en-GB"/>
        </w:rPr>
        <w:fldChar w:fldCharType="begin" w:fldLock="1"/>
      </w:r>
      <w:r w:rsidR="00AF410C" w:rsidRPr="00103A0B">
        <w:rPr>
          <w:rFonts w:ascii="Arial" w:eastAsia="Times New Roman" w:hAnsi="Arial" w:cs="Arial"/>
          <w:sz w:val="24"/>
          <w:szCs w:val="24"/>
          <w:lang w:eastAsia="en-GB"/>
        </w:rPr>
        <w:instrText>ADDIN CSL_CITATION {"citationItems":[{"id":"ITEM-1","itemData":{"DOI":"10.1186/s12875-017-0671-8","ISSN":"1471-2296","abstract":"Background: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Practice","id":"ITEM-1","issue":"1","issued":{"date-parts":[["2017"]]},"note":"Accession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study.","type":"article-journal","volume":"18"},"uris":["http://www.mendeley.com/documents/?uuid=0c5adc52-ca11-4f07-80d4-bf37e6cec46f"]}],"mendeley":{"formattedCitation":"(Coppell et al., 2017)","plainTextFormattedCitation":"(Coppell et al., 2017)","previouslyFormattedCitation":"(Coppell et al., 2017)"},"properties":{"noteIndex":0},"schema":"https://github.com/citation-style-language/schema/raw/master/csl-citation.json"}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(Coppell et al., 2017)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Netherlands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Diabetes","id":"ITEM-1","issue":"5","issued":{"date-parts":[["2017"]]},"publisher":"Nature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trial","type":"article-journal","volume":"7"},"uris":["http://www.mendeley.com/documents/?uuid=ba6a8911-5dde-419e-ad66-d3475db4b9ce","http://www.mendeley.com/documents/?uuid=a87e0ac4-eae2-41ac-9726-364be8e5c4e8"]}],"mendeley":{"formattedCitation":"(Duijzer et al., 2017)","plainTextFormattedCitation":"(Duijzer et al., 2017)","previouslyFormattedCitation":"(Duijzer et al., 2017)"},"properties":{"noteIndex":0},"schema":"https://github.com/citation-style-language/schema/raw/master/csl-citation.json"}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(Duijzer et al., 2017)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Poland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Health","id":"ITEM-1","issue":"97","issued":{"date-parts":[["2018"]]},"note":"Accession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project).","type":"article-journal","volume":"18"},"uris":["http://www.mendeley.com/documents/?uuid=b3aa252e-2de7-4e59-bd02-07d1564e1b32"]}],"mendeley":{"formattedCitation":"(Gilis-Januszewska, Piwońska-Solska, et al., 2018)","plainTextFormattedCitation":"(Gilis-Januszewska, Piwońska-Solska, et al., 2018)","previouslyFormattedCitation":"(Gilis-Januszewska, Piwońska-Solska,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(Gilis-Januszewska, Piwońska-Solska,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Canada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Metabolism","id":"ITEM-1","issue":"5","issued":{"date-parts":[["2011"]]},"page":"410-418","publisher":"Elsevier Masson SAS","title":"A cost-effective moderate-intensity interdisciplinary weight-management programme for individuals with prediabetes","type":"article-journal","volume":"37"},"uris":["http://www.mendeley.com/documents/?uuid=41ec2ecb-3bf5-4b9a-b2fd-15933532a929"]}],"mendeley":{"formattedCitation":"(Gagnon et al., 2011)","plainTextFormattedCitation":"(Gagnon et al., 2011)","previouslyFormattedCitation":"(Gagnon et al., 2011)"},"properties":{"noteIndex":0},"schema":"https://github.com/citation-style-language/schema/raw/master/csl-citation.json"}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(Gagnon et al., 2011)</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France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One","id":"ITEM-1","issue":"1","issued":{"date-parts":[["2016"]]},"page":"e0146095","title":"Long-term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island","type":"article-journal","volume":"11"},"uris":["http://www.mendeley.com/documents/?uuid=e072a9e3-f17a-48e3-98af-f3db4a1c8ee3"]}],"mendeley":{"formattedCitation":"(Fianu et al., 2016)","plainTextFormattedCitation":"(Fianu et al., 2016)","previouslyFormattedCitation":"(Fianu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(Fianu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Germany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{"citationItems":[{"id":"ITEM-1","itemData":{"DOI":"10.2337/dc08-2141","ISSN":"01495992","PMID":"19509014","abstract":"OBJECTIVE: To evaluate the efficacy of the group program PREDIAS for diabetes prevention.\\n\\nRESEARCH DESIGN AND METHODS: PREDIAS consists of 12 lessons and aims at lifestyle modification. The control group received written information about diabetes prevention. In this study, a total of 182 persons with an elevated diabetes risk participated (aged 56.3 +/- 10.1 years, 43% female, and BMI 31.5 +/- 5.3 kg/m(2)).\\n\\nRESULTS: After 12 months, weight loss was significantly higher (P = 0.001) in PREDIAS than in the control group (-3.8 +/- 5.2 vs. -1.4 +/- 4.09 kg). There were also significant effects (P = 0.001) on fasting glucose (control group 1.8 +/- 13.1 mg/dl vs. PREDIAS -4.3 +/- 11.3 mg/dl), duration of physical activity per week (control group 17.9 +/- 63.8 min vs. PREDIAS 46.6 +/- 95.5 min; P = 0.03), and eating behavior.\\n\\nCONCLUSIONS: PREDIAS significantly modified lifestyle factors associated with an elevated diabetes risk.","author":[{"dropping-particle":"","family":"Kulzer","given":"Bernhard","non-dropping-particle":"","parse-names":false,"suffix":""},{"dropping-particle":"","family":"Hermanns","given":"Norbert","non-dropping-particle":"","parse-names":false,"suffix":""},{"dropping-particle":"","family":"Gorges","given":"Daniela","non-dropping-particle":"","parse-names":false,"suffix":""},{"dropping-particle":"","family":"Schwarz","given":"Peter","non-dropping-particle":"","parse-names":false,"suffix":""},{"dropping-particle":"","family":"Haak","given":"Thomas","non-dropping-particle":"","parse-names":false,"suffix":""}],"container-title":"Diabetes Care","id":"ITEM-1","issue":"7","issued":{"date-parts":[["2009"]]},"page":"1143-1146","title":"Prevention of diabetes self-management program (PREDIAS): effects on weight, metabolic risk factors, and behavioral outcomes","type":"article-journal","volume":"32"},"uris":["http://www.mendeley.com/documents/?uuid=df2278a0-0ae5-40ab-bc80-f2e143b41d86"]}],"mendeley":{"formattedCitation":"(Kulzer et al., 2009)","plainTextFormattedCitation":"(Kulzer et al., 2009)","previouslyFormattedCitation":"(Kulzer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(Kulzer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Greece (n=1)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Medicine","id":"ITEM-1","issue":"4","issued":{"date-parts":[["2010"]]},"page":"459-465","title":"Implementation and effectiveness of the first community lifestyle intervention programme to prevent type 2 diabetes in Greece. The DE-PLAN study","type":"article-journal","volume":"27"},"uris":["http://www.mendeley.com/documents/?uuid=8fa5f81f-3e37-4e03-be5f-801dcd969a98"]}],"mendeley":{"formattedCitation":"(Makrilakis et al., 2010)","plainTextFormattedCitation":"(Makrilakis et al., 2010)","previouslyFormattedCitation":"(Makrilakis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(Makrilakis et al.,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India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Medicine","id":"ITEM-1","issue":"1","issued":{"date-parts":[["2014"]]},"page":"212","title":"A yoga intervention for type 2 diabetes risk reduction: a pilot randomized controlled trial","type":"article-journal","volume":"14"},"uris":["http://www.mendeley.com/documents/?uuid=934d80fb-c55d-4626-908a-2ca578b57990"]}],"mendeley":{"formattedCitation":"(McDermott et al., 2014)","plainTextFormattedCitation":"(McDermott et al., 2014)","previouslyFormattedCitation":"(McDermott et al., 2014)"},"properties":{"noteIndex":0},"schema":"https://github.com/citation-style-language/schema/raw/master/csl-citation.json"}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(McDermott et al., 2014)</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Brazil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Research","id":"ITEM-1","issue":"3","issued":{"date-parts":[["2010"]]},"page":"186-190","publisher":"Elsevier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tolerance","type":"article-journal","volume":"30"},"uris":["http://www.mendeley.com/documents/?uuid=24bc950c-bfd2-4632-8ad0-a20eee1f7dc8"]}],"mendeley":{"formattedCitation":"(Pimentel et al., 2010)","plainTextFormattedCitation":"(Pimentel et al., 2010)","previouslyFormattedCitation":"(Pimentel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(Pimentel et al.,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Japan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health","id":"ITEM-1","issue":"1","issued":{"date-parts":[["2011"]]},"page":"40","title":"Prevention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tolerance","type":"article-journal","volume":"11"},"uris":["http://www.mendeley.com/documents/?uuid=19b949f0-5835-408a-87b0-6bbcfceadb30"]}],"mendeley":{"formattedCitation":"(Sakane et al., 2011)","plainTextFormattedCitation":"(Sakane et al., 2011)","previouslyFormattedCitation":"(Sakane et al., 2011)"},"properties":{"noteIndex":0},"schema":"https://github.com/citation-style-language/schema/raw/master/csl-citation.json"}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(Sakane et al., 2011)</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0DEAD14D" w14:textId="6CA2AAEC" w:rsidR="00324C56" w:rsidRPr="00103A0B" w:rsidRDefault="00324C56" w:rsidP="005D0A3A">
      <w:pPr>
        <w:tabs>
          <w:tab w:val="left" w:pos="1470"/>
        </w:tabs>
        <w:spacing w:line="360" w:lineRule="auto"/>
        <w:rPr>
          <w:rFonts w:ascii="Arial" w:eastAsia="Times New Roman" w:hAnsi="Arial" w:cs="Arial"/>
          <w:sz w:val="24"/>
          <w:szCs w:val="24"/>
          <w:lang w:eastAsia="en-GB"/>
        </w:rPr>
      </w:pPr>
      <w:r w:rsidRPr="00103A0B">
        <w:rPr>
          <w:rFonts w:ascii="Arial" w:eastAsia="Times New Roman" w:hAnsi="Arial" w:cs="Arial"/>
          <w:i/>
          <w:iCs/>
          <w:sz w:val="24"/>
          <w:szCs w:val="24"/>
          <w:lang w:eastAsia="en-GB"/>
        </w:rPr>
        <w:t xml:space="preserve">Group </w:t>
      </w:r>
      <w:r w:rsidR="00181EB6" w:rsidRPr="00103A0B">
        <w:rPr>
          <w:rFonts w:ascii="Arial" w:eastAsia="Times New Roman" w:hAnsi="Arial" w:cs="Arial"/>
          <w:i/>
          <w:iCs/>
          <w:sz w:val="24"/>
          <w:szCs w:val="24"/>
          <w:lang w:eastAsia="en-GB"/>
        </w:rPr>
        <w:t>S</w:t>
      </w:r>
      <w:r w:rsidRPr="00103A0B">
        <w:rPr>
          <w:rFonts w:ascii="Arial" w:eastAsia="Times New Roman" w:hAnsi="Arial" w:cs="Arial"/>
          <w:i/>
          <w:iCs/>
          <w:sz w:val="24"/>
          <w:szCs w:val="24"/>
          <w:lang w:eastAsia="en-GB"/>
        </w:rPr>
        <w:t xml:space="preserve">ize and </w:t>
      </w:r>
      <w:r w:rsidR="00181EB6" w:rsidRPr="00103A0B">
        <w:rPr>
          <w:rFonts w:ascii="Arial" w:eastAsia="Times New Roman" w:hAnsi="Arial" w:cs="Arial"/>
          <w:i/>
          <w:iCs/>
          <w:sz w:val="24"/>
          <w:szCs w:val="24"/>
          <w:lang w:eastAsia="en-GB"/>
        </w:rPr>
        <w:t>F</w:t>
      </w:r>
      <w:r w:rsidRPr="00103A0B">
        <w:rPr>
          <w:rFonts w:ascii="Arial" w:eastAsia="Times New Roman" w:hAnsi="Arial" w:cs="Arial"/>
          <w:i/>
          <w:iCs/>
          <w:sz w:val="24"/>
          <w:szCs w:val="24"/>
          <w:lang w:eastAsia="en-GB"/>
        </w:rPr>
        <w:t>requency</w:t>
      </w:r>
      <w:r w:rsidR="00803D36" w:rsidRPr="00103A0B">
        <w:rPr>
          <w:rFonts w:ascii="Arial" w:eastAsia="Times New Roman" w:hAnsi="Arial" w:cs="Arial"/>
          <w:i/>
          <w:iCs/>
          <w:sz w:val="24"/>
          <w:szCs w:val="24"/>
          <w:lang w:eastAsia="en-GB"/>
        </w:rPr>
        <w:br/>
      </w:r>
      <w:r w:rsidRPr="00103A0B">
        <w:rPr>
          <w:rFonts w:ascii="Arial" w:eastAsia="Times New Roman" w:hAnsi="Arial" w:cs="Arial"/>
          <w:sz w:val="24"/>
          <w:szCs w:val="24"/>
          <w:lang w:eastAsia="en-GB"/>
        </w:rPr>
        <w:t xml:space="preserve">The number of participants in a group session varied from 5-10 participants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care","id":"ITEM-1","issued":{"date-parts":[["2009"]]},"page":"1404-10","title":"Effectiveness of a pragmatic education program designed to promote walking activity in individuals with impaired glucose tolerance","type":"article-journal","volume":"32"},"uris":["http://www.mendeley.com/documents/?uuid=f022eff7-34b4-4911-8936-eba8ff61941e"]}],"mendeley":{"formattedCitation":"(Yates et al., 2009)","plainTextFormattedCitation":"(Yates et al., 2009)","previouslyFormattedCitation":"(Yates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to 15-20 participants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{"citationItems":[{"id":"ITEM-1","itemData":{"DOI":"10.2337/dc08-0152.","author":[{"dropping-particle":"","family":"Payne WR, Walsh KJ., Harvey JT, Livy MF, Mckenzie KJ, Donaldson A","given":"et al.","non-dropping-particle":"","parse-names":false,"suffix":""}],"container-title":"Diabetes Care","id":"ITEM-1","issued":{"date-parts":[["2008"]]},"page":"2244-50","title":"Effect of a low–resource-intensive lifestyle modification program incorporating gymnasium-based and home-based resistance training on type 2 diabetes risk in Australian adults","type":"article-journal","volume":"31"},"uris":["http://www.mendeley.com/documents/?uuid=94025970-6bd0-4bcf-89d4-48f46a796268"]}],"mendeley":{"formattedCitation":"(Payne WR, Walsh KJ., Harvey JT, Livy MF, Mckenzie KJ, Donaldson A, 2008)","manualFormatting":"(Payne, Walsh, Harvey, Livy, Mckenzie, Donaldson, 2008)","plainTextFormattedCitation":"(Payne WR, Walsh KJ., Harvey JT, Livy MF, Mckenzie KJ, Donaldson A, 2008)","previouslyFormattedCitation":"(Payne WR, Walsh KJ., Harvey JT, Livy MF, Mckenzie KJ, Donaldson A, 2008)"},"properties":{"noteIndex":0},"schema":"https://github.com/citation-style-language/schema/raw/master/csl-citation.json"}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(Payne, Walsh, Harvey, Livy, Mckenzie, Donaldson, 2008)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in the 17 papers in which they were reported.</w:t>
      </w:r>
    </w:p>
    <w:p w14:paraId="469978F2" w14:textId="613A8DF6" w:rsidR="00324C56" w:rsidRPr="00103A0B" w:rsidRDefault="00324C56" w:rsidP="005D0A3A">
      <w:pPr>
        <w:tabs>
          <w:tab w:val="left" w:pos="1470"/>
        </w:tabs>
        <w:spacing w:line="360" w:lineRule="auto"/>
        <w:jc w:val="both"/>
        <w:rPr>
          <w:rFonts w:ascii="Arial" w:eastAsia="Times New Roman" w:hAnsi="Arial" w:cs="Arial"/>
          <w:i/>
          <w:iCs/>
          <w:sz w:val="24"/>
          <w:szCs w:val="24"/>
          <w:lang w:eastAsia="en-GB"/>
        </w:rPr>
      </w:pPr>
      <w:r w:rsidRPr="00103A0B">
        <w:rPr>
          <w:rFonts w:ascii="Arial" w:eastAsia="Times New Roman" w:hAnsi="Arial" w:cs="Arial"/>
          <w:i/>
          <w:iCs/>
          <w:sz w:val="24"/>
          <w:szCs w:val="24"/>
          <w:lang w:eastAsia="en-GB"/>
        </w:rPr>
        <w:t xml:space="preserve">Timing and </w:t>
      </w:r>
      <w:r w:rsidR="00181EB6" w:rsidRPr="00103A0B">
        <w:rPr>
          <w:rFonts w:ascii="Arial" w:eastAsia="Times New Roman" w:hAnsi="Arial" w:cs="Arial"/>
          <w:i/>
          <w:iCs/>
          <w:sz w:val="24"/>
          <w:szCs w:val="24"/>
          <w:lang w:eastAsia="en-GB"/>
        </w:rPr>
        <w:t>N</w:t>
      </w:r>
      <w:r w:rsidRPr="00103A0B">
        <w:rPr>
          <w:rFonts w:ascii="Arial" w:eastAsia="Times New Roman" w:hAnsi="Arial" w:cs="Arial"/>
          <w:i/>
          <w:iCs/>
          <w:sz w:val="24"/>
          <w:szCs w:val="24"/>
          <w:lang w:eastAsia="en-GB"/>
        </w:rPr>
        <w:t xml:space="preserve">umber of </w:t>
      </w:r>
      <w:r w:rsidR="00181EB6" w:rsidRPr="00103A0B">
        <w:rPr>
          <w:rFonts w:ascii="Arial" w:eastAsia="Times New Roman" w:hAnsi="Arial" w:cs="Arial"/>
          <w:i/>
          <w:iCs/>
          <w:sz w:val="24"/>
          <w:szCs w:val="24"/>
          <w:lang w:eastAsia="en-GB"/>
        </w:rPr>
        <w:t>G</w:t>
      </w:r>
      <w:r w:rsidRPr="00103A0B">
        <w:rPr>
          <w:rFonts w:ascii="Arial" w:eastAsia="Times New Roman" w:hAnsi="Arial" w:cs="Arial"/>
          <w:i/>
          <w:iCs/>
          <w:sz w:val="24"/>
          <w:szCs w:val="24"/>
          <w:lang w:eastAsia="en-GB"/>
        </w:rPr>
        <w:t xml:space="preserve">roup </w:t>
      </w:r>
      <w:r w:rsidR="00181EB6" w:rsidRPr="00103A0B">
        <w:rPr>
          <w:rFonts w:ascii="Arial" w:eastAsia="Times New Roman" w:hAnsi="Arial" w:cs="Arial"/>
          <w:i/>
          <w:iCs/>
          <w:sz w:val="24"/>
          <w:szCs w:val="24"/>
          <w:lang w:eastAsia="en-GB"/>
        </w:rPr>
        <w:t>S</w:t>
      </w:r>
      <w:r w:rsidRPr="00103A0B">
        <w:rPr>
          <w:rFonts w:ascii="Arial" w:eastAsia="Times New Roman" w:hAnsi="Arial" w:cs="Arial"/>
          <w:i/>
          <w:iCs/>
          <w:sz w:val="24"/>
          <w:szCs w:val="24"/>
          <w:lang w:eastAsia="en-GB"/>
        </w:rPr>
        <w:t>essions</w:t>
      </w:r>
    </w:p>
    <w:p w14:paraId="08C1C125" w14:textId="74B0531B"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lastRenderedPageBreak/>
        <w:t xml:space="preserve">Out of the 23 papers in which it was specified, duration of group sessions ranged from 45 minutes </w:t>
      </w:r>
      <w:r w:rsidRPr="00103A0B">
        <w:rPr>
          <w:rFonts w:ascii="Arial" w:hAnsi="Arial" w:cs="Arial"/>
        </w:rPr>
        <w:fldChar w:fldCharType="begin" w:fldLock="1"/>
      </w:r>
      <w:r w:rsidR="008D109C" w:rsidRPr="00103A0B">
        <w:rPr>
          <w:rFonts w:ascii="Arial" w:eastAsia="Times New Roman" w:hAnsi="Arial" w:cs="Arial"/>
          <w:sz w:val="24"/>
          <w:szCs w:val="24"/>
          <w:lang w:eastAsia="en-GB"/>
        </w:rPr>
        <w:instrText>ADDIN CSL_CITATION {"citationItems":[{"id":"ITEM-1","itemData":{"DOI":"10.1016/j.diabet.2011.01.003","ISBN":"1262-3636","ISSN":"12623636","PMID":"21489843","abstract":"Aim: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Metabolism","id":"ITEM-1","issue":"5","issued":{"date-parts":[["2011"]]},"page":"410-418","publisher":"Elsevier Masson SAS","title":"A cost-effective moderate-intensity interdisciplinary weight-management programme for individuals with prediabetes","type":"article-journal","volume":"37"},"uris":["http://www.mendeley.com/documents/?uuid=41ec2ecb-3bf5-4b9a-b2fd-15933532a929"]}],"mendeley":{"formattedCitation":"(Gagnon et al., 2011)","plainTextFormattedCitation":"(Gagnon et al., 2011)","previouslyFormattedCitation":"(Gagnon et al., 2011)"},"properties":{"noteIndex":0},"schema":"https://github.com/citation-style-language/schema/raw/master/csl-citation.json"}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(Gagnon et al., 2011)</w:t>
      </w:r>
      <w:r w:rsidRPr="00103A0B">
        <w:rPr>
          <w:rFonts w:ascii="Arial" w:hAnsi="Arial" w:cs="Arial"/>
        </w:rPr>
        <w:fldChar w:fldCharType="end"/>
      </w:r>
      <w:r w:rsidRPr="00103A0B">
        <w:rPr>
          <w:rFonts w:ascii="Arial" w:eastAsia="Times New Roman" w:hAnsi="Arial" w:cs="Arial"/>
          <w:sz w:val="24"/>
          <w:szCs w:val="24"/>
          <w:lang w:eastAsia="en-GB"/>
        </w:rPr>
        <w:t xml:space="preserve">, to 8 hours </w:t>
      </w:r>
      <w:r w:rsidRPr="00103A0B">
        <w:rPr>
          <w:rFonts w:ascii="Arial" w:hAnsi="Arial" w:cs="Arial"/>
        </w:rPr>
        <w:fldChar w:fldCharType="begin" w:fldLock="1"/>
      </w:r>
      <w:r w:rsidR="008D109C" w:rsidRPr="00103A0B">
        <w:rPr>
          <w:rFonts w:ascii="Arial" w:eastAsia="Times New Roman" w:hAnsi="Arial" w:cs="Arial"/>
          <w:sz w:val="24"/>
          <w:szCs w:val="24"/>
          <w:lang w:eastAsia="en-GB"/>
        </w:rPr>
        <w:instrText>ADDIN CSL_CITATION {"citationItems":[{"id":"ITEM-1","itemData":{"DOI":"10.1186/1472-6882-14-212","ISBN":"1472-6882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Medicine","id":"ITEM-1","issue":"1","issued":{"date-parts":[["2014"]]},"page":"212","title":"A yoga intervention for type 2 diabetes risk reduction: a pilot randomized controlled trial","type":"article-journal","volume":"14"},"uris":["http://www.mendeley.com/documents/?uuid=934d80fb-c55d-4626-908a-2ca578b57990"]}],"mendeley":{"formattedCitation":"(McDermott et al., 2014)","plainTextFormattedCitation":"(McDermott et al., 2014)","previouslyFormattedCitation":"(McDermott et al., 2014)"},"properties":{"noteIndex":0},"schema":"https://github.com/citation-style-language/schema/raw/master/csl-citation.json"}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(McDermott et al., 2014)</w:t>
      </w:r>
      <w:r w:rsidRPr="00103A0B">
        <w:rPr>
          <w:rFonts w:ascii="Arial" w:hAnsi="Arial" w:cs="Arial"/>
        </w:rPr>
        <w:fldChar w:fldCharType="end"/>
      </w:r>
      <w:r w:rsidRPr="00103A0B">
        <w:rPr>
          <w:rFonts w:ascii="Arial" w:eastAsia="Times New Roman" w:hAnsi="Arial" w:cs="Arial"/>
          <w:sz w:val="24"/>
          <w:szCs w:val="24"/>
          <w:lang w:eastAsia="en-GB"/>
        </w:rPr>
        <w:t xml:space="preserve">, with a mean of 2 hours. All papers stated the number of group sessions in their intervention, which varied from 1 (or 2 half days) </w:t>
      </w:r>
      <w:r w:rsidRPr="00103A0B">
        <w:rPr>
          <w:rFonts w:ascii="Arial" w:hAnsi="Arial" w:cs="Arial"/>
        </w:rPr>
        <w:fldChar w:fldCharType="begin" w:fldLock="1"/>
      </w:r>
      <w:r w:rsidR="00BA4374" w:rsidRPr="00103A0B">
        <w:rPr>
          <w:rFonts w:ascii="Arial" w:eastAsia="Times New Roman" w:hAnsi="Arial" w:cs="Arial"/>
          <w:sz w:val="24"/>
          <w:szCs w:val="24"/>
          <w:lang w:eastAsia="en-GB"/>
        </w:rPr>
        <w:instrText>ADDIN CSL_CITATION {"citationItems":[{"id":"ITEM-1","itemData":{"DOI":"10.1186/1472-6882-14-212","ISBN":"1472-6882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Medicine","id":"ITEM-1","issue":"1","issued":{"date-parts":[["2014"]]},"page":"212","title":"A yoga intervention for type 2 diabetes risk reduction: a pilot randomized controlled trial","type":"article-journal","volume":"14"},"uris":["http://www.mendeley.com/documents/?uuid=934d80fb-c55d-4626-908a-2ca578b57990"]},{"id":"ITEM-2","itemData":{"DOI":"10.2337/dc09-0130.","ISBN":"0149-5992","ISSN":"1935-5548","PMID":"19602539","abstract":"OBJECTIVE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care","id":"ITEM-2","issued":{"date-parts":[["2009"]]},"page":"1404-10","title":"Effectiveness of a pragmatic education program designed to promote walking activity in individuals with impaired glucose tolerance","type":"article-journal","volume":"32"},"uris":["http://www.mendeley.com/documents/?uuid=f022eff7-34b4-4911-8936-eba8ff61941e"]},{"id":"ITEM-3","itemData":{"DOI":"10.1016/j.ypmed.2015.12.012","ISBN":"0091-7435","ISSN":"10960260","PMID":"26740346","abstract":"Objectives: Prevention of type 2 diabetes (T2DM) is a priority in healthcare, but there is a lack of evidence investigating how to effectively translate prevention research into a UK primary care setting. We assessed whether a structured education programme targeting lifestyle and behaviour change was effective at preventing progression to T2DM in people with pre-diabetes. Materials and methods: Forty-four general practices were randomised to receive either standard care or a 6. hour group structured education programme with an annual refresher course, and regular phone contact. Participants were followed up for 3. years. The primary outcome was progression to T2DM. Results: Eight hundred and eighty participants were included (36% female, mean age 64. years, 16% ethnic minority group); 131 participants developed T2DM. There was a non-significant 26% reduced risk of developing T2DM in the intervention arm compared to standard care (HR 0.74, 95% CI 0.48, 1.14, p= 0.18). The reduction in T2DM risk when excluding those who did not attend the initial education session was also non-significant (HR 0.65, 0.41, 1.03, p= 0.07). There were statistically significant improvements in HbA1c (- 0.06, - 0.11, - 0.01), LDL cholesterol (- 0.08, - 0.15, - 0.01), sedentary time (- 26.29, - 45.26, - 7.32) and step count (498.15, 162.10, 834.20) when data were analysed across all time points. Conclusions: This study suggests that a relatively low resource, pragmatic diabetes prevention programme resulted in modest benefits to biomedical, lifestyle and psychosocial outcomes, however the reduction to the risk of T2DM did not reach significance. The findings have important implications for future research and primary care.","author":[{"dropping-particle":"","family":"Davies","given":"Melanie J.","non-dropping-particle":"","parse-names":false,"suffix":""},{"dropping-particle":"","family":"Gray","given":"Laura J.","non-dropping-particle":"","parse-names":false,"suffix":""},{"dropping-particle":"","family":"Troughton","given":"Jacqui","non-dropping-particle":"","parse-names":false,"suffix":""},{"dropping-particle":"","family":"Gray","given":"Alastair","non-dropping-particle":"","parse-names":false,"suffix":""},{"dropping-particle":"","family":"Tuomilehto","given":"Jaakko","non-dropping-particle":"","parse-names":false,"suffix":""},{"dropping-particle":"","family":"Farooqi","given":"Azhar","non-dropping-particle":"","parse-names":false,"suffix":""},{"dropping-particle":"","family":"Khunti","given":"Kamlesh","non-dropping-particle":"","parse-names":false,"suffix":""},{"dropping-particle":"","family":"Yates","given":"Thomas","non-dropping-particle":"","parse-names":false,"suffix":""},{"dropping-particle":"","family":"Bancroft","given":"Mary","non-dropping-particle":"","parse-names":false,"suffix":""},{"dropping-particle":"","family":"Ahrabian","given":"Dariush","non-dropping-particle":"","parse-names":false,"suffix":""},{"dropping-particle":"","family":"Cowling","given":"Pauline","non-dropping-particle":"","parse-names":false,"suffix":""},{"dropping-particle":"","family":"Greaves","given":"Colin","non-dropping-particle":"","parse-names":false,"suffix":""},{"dropping-particle":"","family":"Sheppard","given":"David","non-dropping-particle":"","parse-names":false,"suffix":""},{"dropping-particle":"","family":"Leal","given":"Jose","non-dropping-particle":"","parse-names":false,"suffix":""},{"dropping-particle":"","family":"Abrams","given":"Keith","non-dropping-particle":"","parse-names":false,"suffix":""},{"dropping-particle":"","family":"Bodicoat","given":"Danielle","non-dropping-particle":"","parse-names":false,"suffix":""},{"dropping-particle":"","family":"Carter","given":"Patrice","non-dropping-particle":"","parse-names":false,"suffix":""},{"dropping-particle":"","family":"Dunkley","given":"Alison","non-dropping-particle":"","parse-names":false,"suffix":""},{"dropping-particle":"","family":"Patel","given":"Naina","non-dropping-particle":"","parse-names":false,"suffix":""},{"dropping-particle":"","family":"Russell","given":"Clare","non-dropping-particle":"","parse-names":false,"suffix":""},{"dropping-particle":"","family":"Horne","given":"Rosie","non-dropping-particle":"","parse-names":false,"suffix":""},{"dropping-particle":"","family":"Spong","given":"Rebecca","non-dropping-particle":"","parse-names":false,"suffix":""},{"dropping-particle":"","family":"Stone","given":"Margaret","non-dropping-particle":"","parse-names":false,"suffix":""},{"dropping-particle":"","family":"Taub","given":"Nick","non-dropping-particle":"","parse-names":false,"suffix":""},{"dropping-particle":"","family":"Webb","given":"David","non-dropping-particle":"","parse-names":false,"suffix":""},{"dropping-particle":"","family":"Amin","given":"Sayjal","non-dropping-particle":"","parse-names":false,"suffix":""},{"dropping-particle":"","family":"Barnett","given":"Janette","non-dropping-particle":"","parse-names":false,"suffix":""},{"dropping-particle":"","family":"Berkeley","given":"Hannah","non-dropping-particle":"","parse-names":false,"suffix":""},{"dropping-particle":"","family":"Bonar","given":"Michael","non-dropping-particle":"","parse-names":false,"suffix":""},{"dropping-particle":"","family":"Boyles","given":"Louise","non-dropping-particle":"","parse-names":false,"suffix":""},{"dropping-particle":"","family":"Bray","given":"Paul","non-dropping-particle":"","parse-names":false,"suffix":""},{"dropping-particle":"","family":"Cairns","given":"Nichola","non-dropping-particle":"","parse-names":false,"suffix":""},{"dropping-particle":"","family":"Campbell","given":"Sandra","non-dropping-particle":"","parse-names":false,"suffix":""},{"dropping-particle":"","family":"Carey","given":"Marian","non-dropping-particle":"","parse-names":false,"suffix":""},{"dropping-particle":"","family":"Chatterjee","given":"Sudesna","non-dropping-particle":"","parse-names":false,"suffix":""},{"dropping-particle":"","family":"Currie","given":"Carolyn","non-dropping-particle":"","parse-names":false,"suffix":""},{"dropping-particle":"","family":"Daly","given":"Heather","non-dropping-particle":"","parse-names":false,"suffix":""},{"dropping-particle":"","family":"Enright","given":"Sue","non-dropping-particle":"","parse-names":false,"suffix":""},{"dropping-particle":"","family":"Goldby","given":"Stephanie","non-dropping-particle":"","parse-names":false,"suffix":""},{"dropping-particle":"","family":"Gray","given":"Geri","non-dropping-particle":"","parse-names":false,"suffix":""},{"dropping-particle":"","family":"Henson","given":"Joe","non-dropping-particle":"","parse-names":false,"suffix":""},{"dropping-particle":"","family":"Hiles","given":"Stephen","non-dropping-particle":"","parse-names":false,"suffix":""},{"dropping-particle":"","family":"Hill","given":"Sian","non-dropping-particle":"","parse-names":false,"suffix":""},{"dropping-particle":"","family":"Hill","given":"Jayne","non-dropping-particle":"","parse-names":false,"suffix":""},{"dropping-particle":"","family":"Holdsworth","given":"Hannah","non-dropping-particle":"","parse-names":false,"suffix":""},{"dropping-particle":"","family":"Htike","given":"Zin Zin","non-dropping-particle":"","parse-names":false,"suffix":""},{"dropping-particle":"","family":"Jamal","given":"Shenaz","non-dropping-particle":"","parse-names":false,"suffix":""},{"dropping-particle":"","family":"Jarvis","given":"Janet","non-dropping-particle":"","parse-names":false,"suffix":""},{"dropping-particle":"","family":"Johnson","given":"Carolyn","non-dropping-particle":"","parse-names":false,"suffix":""},{"dropping-particle":"","family":"Jones","given":"Janet","non-dropping-particle":"","parse-names":false,"suffix":""},{"dropping-particle":"","family":"Jones","given":"Kenneth","non-dropping-particle":"","parse-names":false,"suffix":""},{"dropping-particle":"","family":"Khan","given":"Sabera","non-dropping-particle":"","parse-names":false,"suffix":""},{"dropping-particle":"","family":"Khulpateea","given":"Anita","non-dropping-particle":"","parse-names":false,"suffix":""},{"dropping-particle":"","family":"Leonard","given":"Judith","non-dropping-particle":"","parse-names":false,"suffix":""},{"dropping-particle":"","family":"Mani","given":"Hamidreza","non-dropping-particle":"","parse-names":false,"suffix":""},{"dropping-particle":"","family":"Martin-Stacey","given":"Lorraine","non-dropping-particle":"","parse-names":false,"suffix":""},{"dropping-particle":"","family":"Morgan","given":"Val","non-dropping-particle":"","parse-names":false,"suffix":""},{"dropping-particle":"","family":"Morris","given":"Frances","non-dropping-particle":"","parse-names":false,"suffix":""},{"dropping-particle":"","family":"Mostafa","given":"Samiul","non-dropping-particle":"","parse-names":false,"suffix":""},{"dropping-particle":"","family":"Northern","given":"Alison","non-dropping-particle":"","parse-names":false,"suffix":""},{"dropping-particle":"","family":"O'Brien","given":"Kayleigh","non-dropping-particle":"","parse-names":false,"suffix":""},{"dropping-particle":"","family":"Patel","given":"Hersha","non-dropping-particle":"","parse-names":false,"suffix":""},{"dropping-particle":"","family":"Plummer","given":"Rachel","non-dropping-particle":"","parse-names":false,"suffix":""},{"dropping-particle":"","family":"Porter","given":"Sheila","non-dropping-particle":"","parse-names":false,"suffix":""},{"dropping-particle":"","family":"Radia","given":"Mo","non-dropping-particle":"","parse-names":false,"suffix":""},{"dropping-particle":"","family":"Realf","given":"Kathryn","non-dropping-particle":"","parse-names":false,"suffix":""},{"dropping-particle":"","family":"Richmond","given":"Dean","non-dropping-particle":"","parse-names":false,"suffix":""},{"dropping-particle":"","family":"Saker","given":"Rebecca","non-dropping-particle":"","parse-names":false,"suffix":""},{"dropping-particle":"","family":"Sennet","given":"Jane","non-dropping-particle":"","parse-names":false,"suffix":""},{"dropping-particle":"","family":"Stribling","given":"Bernie","non-dropping-particle":"","parse-names":false,"suffix":""},{"dropping-particle":"","family":"Wilmott","given":"Emma","non-dropping-particle":"","parse-names":false,"suffix":""},{"dropping-particle":"","family":"Wilson","given":"Carolina","non-dropping-particle":"","parse-names":false,"suffix":""},{"dropping-particle":"","family":"Wilson","given":"Panna","non-dropping-particle":"","parse-names":false,"suffix":""}],"container-title":"Preventive Medicine","id":"ITEM-3","issued":{"date-parts":[["2016"]]},"page":"48-56","publisher":"Elsevier Inc.","title":"A community based primary prevention programme for type 2 diabetes integrating identification and lifestyle intervention for prevention: the let's prevent diabetes cluster randomised controlled trial","type":"article-journal","volume":"84"},"uris":["http://www.mendeley.com/documents/?uuid=98ec8943-e639-4c92-bc3b-a80a3889c377"]}],"mendeley":{"formattedCitation":"(Davies et al., 2016; McDermott et al., 2014; Yates et al., 2009)","plainTextFormattedCitation":"(Davies et al., 2016; McDermott et al., 2014; Yates et al., 2009)","previouslyFormattedCitation":"(Davies et al., 2016; McDermott et al., 2014;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F3B33" w:rsidRPr="00103A0B">
        <w:rPr>
          <w:rFonts w:ascii="Arial" w:eastAsia="Times New Roman" w:hAnsi="Arial" w:cs="Arial"/>
          <w:noProof/>
          <w:sz w:val="24"/>
          <w:szCs w:val="24"/>
          <w:lang w:eastAsia="en-GB"/>
        </w:rPr>
        <w:t>(Davies et al., 2016; McDermott et al., 2014; Yates et al., 2009)</w:t>
      </w:r>
      <w:r w:rsidRPr="00103A0B">
        <w:rPr>
          <w:rFonts w:ascii="Arial" w:hAnsi="Arial" w:cs="Arial"/>
        </w:rPr>
        <w:fldChar w:fldCharType="end"/>
      </w:r>
      <w:r w:rsidRPr="00103A0B">
        <w:rPr>
          <w:rFonts w:ascii="Arial" w:eastAsia="Times New Roman" w:hAnsi="Arial" w:cs="Arial"/>
          <w:sz w:val="24"/>
          <w:szCs w:val="24"/>
          <w:lang w:eastAsia="en-GB"/>
        </w:rPr>
        <w:t xml:space="preserve">  to 74 sessions </w:t>
      </w:r>
      <w:r w:rsidRPr="00103A0B">
        <w:rPr>
          <w:rFonts w:ascii="Arial" w:hAnsi="Arial" w:cs="Arial"/>
        </w:rPr>
        <w:fldChar w:fldCharType="begin" w:fldLock="1"/>
      </w:r>
      <w:r w:rsidR="008D109C" w:rsidRPr="00103A0B">
        <w:rPr>
          <w:rFonts w:ascii="Arial" w:eastAsia="Times New Roman" w:hAnsi="Arial" w:cs="Arial"/>
          <w:sz w:val="24"/>
          <w:szCs w:val="24"/>
          <w:lang w:eastAsia="en-GB"/>
        </w:rPr>
        <w:instrText>ADDIN CSL_CITATION {"citationItems":[{"id":"ITEM-1","itemData":{"DOI":"10.1371/journal.pone.0146095","ISBN":"1932-6203","ISSN":"1932-6203","PMID":"26731676","abstract":"In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One","id":"ITEM-1","issue":"1","issued":{"date-parts":[["2016"]]},"page":"e0146095","title":"Long-term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island","type":"article-journal","volume":"11"},"uris":["http://www.mendeley.com/documents/?uuid=e072a9e3-f17a-48e3-98af-f3db4a1c8ee3"]}],"mendeley":{"formattedCitation":"(Fianu et al., 2016)","plainTextFormattedCitation":"(Fianu et al., 2016)","previouslyFormattedCitation":"(Fianu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(Fianu et al., 2016)</w:t>
      </w:r>
      <w:r w:rsidRPr="00103A0B">
        <w:rPr>
          <w:rFonts w:ascii="Arial" w:hAnsi="Arial" w:cs="Arial"/>
        </w:rPr>
        <w:fldChar w:fldCharType="end"/>
      </w:r>
      <w:r w:rsidRPr="00103A0B">
        <w:rPr>
          <w:rFonts w:ascii="Arial" w:eastAsia="Times New Roman" w:hAnsi="Arial" w:cs="Arial"/>
          <w:sz w:val="24"/>
          <w:szCs w:val="24"/>
          <w:lang w:eastAsia="en-GB"/>
        </w:rPr>
        <w:t xml:space="preserve">, with a mean of 19 sessions.    </w:t>
      </w:r>
    </w:p>
    <w:p w14:paraId="12E99DCB" w14:textId="0CB95165" w:rsidR="00324C56" w:rsidRPr="00103A0B" w:rsidRDefault="00324C56" w:rsidP="005D0A3A">
      <w:pPr>
        <w:tabs>
          <w:tab w:val="left" w:pos="1470"/>
        </w:tabs>
        <w:spacing w:line="360" w:lineRule="auto"/>
        <w:jc w:val="both"/>
        <w:rPr>
          <w:rFonts w:ascii="Arial" w:eastAsia="Times New Roman" w:hAnsi="Arial" w:cs="Arial"/>
          <w:i/>
          <w:iCs/>
          <w:sz w:val="24"/>
          <w:szCs w:val="24"/>
          <w:lang w:eastAsia="en-GB"/>
        </w:rPr>
      </w:pPr>
      <w:r w:rsidRPr="00103A0B">
        <w:rPr>
          <w:rFonts w:ascii="Arial" w:eastAsia="Times New Roman" w:hAnsi="Arial" w:cs="Arial"/>
          <w:i/>
          <w:iCs/>
          <w:sz w:val="24"/>
          <w:szCs w:val="24"/>
          <w:lang w:eastAsia="en-GB"/>
        </w:rPr>
        <w:t xml:space="preserve">Length of </w:t>
      </w:r>
      <w:r w:rsidR="00181EB6" w:rsidRPr="00103A0B">
        <w:rPr>
          <w:rFonts w:ascii="Arial" w:eastAsia="Times New Roman" w:hAnsi="Arial" w:cs="Arial"/>
          <w:i/>
          <w:iCs/>
          <w:sz w:val="24"/>
          <w:szCs w:val="24"/>
          <w:lang w:eastAsia="en-GB"/>
        </w:rPr>
        <w:t>F</w:t>
      </w:r>
      <w:r w:rsidRPr="00103A0B">
        <w:rPr>
          <w:rFonts w:ascii="Arial" w:eastAsia="Times New Roman" w:hAnsi="Arial" w:cs="Arial"/>
          <w:i/>
          <w:iCs/>
          <w:sz w:val="24"/>
          <w:szCs w:val="24"/>
          <w:lang w:eastAsia="en-GB"/>
        </w:rPr>
        <w:t>ollow-</w:t>
      </w:r>
      <w:r w:rsidR="00181EB6" w:rsidRPr="00103A0B">
        <w:rPr>
          <w:rFonts w:ascii="Arial" w:eastAsia="Times New Roman" w:hAnsi="Arial" w:cs="Arial"/>
          <w:i/>
          <w:iCs/>
          <w:sz w:val="24"/>
          <w:szCs w:val="24"/>
          <w:lang w:eastAsia="en-GB"/>
        </w:rPr>
        <w:t>U</w:t>
      </w:r>
      <w:r w:rsidRPr="00103A0B">
        <w:rPr>
          <w:rFonts w:ascii="Arial" w:eastAsia="Times New Roman" w:hAnsi="Arial" w:cs="Arial"/>
          <w:i/>
          <w:iCs/>
          <w:sz w:val="24"/>
          <w:szCs w:val="24"/>
          <w:lang w:eastAsia="en-GB"/>
        </w:rPr>
        <w:t xml:space="preserve">p </w:t>
      </w:r>
    </w:p>
    <w:p w14:paraId="56BA385A" w14:textId="4B6A3783"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All DPPs had a baseline measure and most had assessments immediately after the programme to monitor changes in outcomes (n=23) </w:t>
      </w:r>
      <w:r w:rsidRPr="00103A0B">
        <w:rPr>
          <w:rFonts w:ascii="Arial" w:eastAsia="Times New Roman" w:hAnsi="Arial" w:cs="Arial"/>
          <w:sz w:val="24"/>
          <w:szCs w:val="24"/>
          <w:lang w:eastAsia="en-GB"/>
        </w:rPr>
        <w:fldChar w:fldCharType="begin" w:fldLock="1"/>
      </w:r>
      <w:r w:rsidR="007C3391"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Health","id":"ITEM-2","issued":{"date-parts":[["2014"]]},"page":"674-77","publisher":"The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trial","type":"article-journal","volume":"128"},"uris":["http://www.mendeley.com/documents/?uuid=1abeaa8a-5178-4243-9733-7fd8d5ef92d5"]},{"id":"ITEM-3","itemData":{"author":[{"dropping-particle":"","family":"Boltri","given":"John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Association","id":"ITEM-3","issue":"3","issued":{"date-parts":[["2011"]]},"page":"194-202","title":"Translation of the national institutes of health diabetes prevention program in African American churches","type":"article-journal","volume":"103"},"uris":["http://www.mendeley.com/documents/?uuid=9a9d913a-7043-4df3-a05c-f50fa2ed8eff"]},{"id":"ITEM-4","itemData":{"DOI":"10.1016/j.diabet.2011.01.003","ISBN":"1262-3636","ISSN":"12623636","PMID":"21489843","abstract":"Aim: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Metabolism","id":"ITEM-4","issue":"5","issued":{"date-parts":[["2011"]]},"page":"410-418","publisher":"Elsevier Masson SAS","title":"A cost-effective moderate-intensity interdisciplinary weight-management programme for individuals with prediabetes","type":"article-journal","volume":"37"},"uris":["http://www.mendeley.com/documents/?uuid=41ec2ecb-3bf5-4b9a-b2fd-15933532a929"]},{"id":"ITEM-5","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Care","id":"ITEM-5","issue":"7","issued":{"date-parts":[["2013"]]},"page":"2027-2034","title":"Translating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project","type":"article-journal","volume":"36"},"uris":["http://www.mendeley.com/documents/?uuid=6fb8d6ab-39ae-48b6-b78a-5dcf85b9cf0a"]},{"id":"ITEM-6","itemData":{"DOI":"10.1016/j.amepre.2012.12.015","ISBN":"1873-2607 (Electronic)\\r0749-3797 (Linking)","ISSN":"18732607","PMID":"23498294","abstract":"Background: Since the Diabetes Prevention Project (DPP) demonstrated that lifestyle weight-loss interventions can reduce the incidence of diabetes by 58%, several studies have translated the DPP methods to public health - friendly contexts. Although these studies have demonstrated short-term effects, no study to date has examined the impact of a translated DPP intervention on blood glucose and adiposity beyond 12 months of follow-up. Purpose: To examine the impact of a 24-month, community-based diabetes prevention program on fasting blood glucose, insulin, insulin resistance as well as body weight, waist circumference, and BMI in the second year of follow-up. Design: An RCT comparing a 24-month lifestyle weight-loss program (LWL) to an enhanced usual care condition (UCC) in participants with prediabetes (fasting blood glucose = 95 - 125 mg/dL). Data were collected in 2007-2011; analyses were conducted in 2011-2012. Setting/participants: 301 participants with prediabetes were randomized; 261 completed the study. The intervention was held in community-based sites. Intervention: The LWL program was led by community health workers and sought to induce 7% weight loss at 6 months that would be maintained over time through decreased caloric intake and increased physical activity. The UCC received two visits with a registered dietitian and a monthly newsletter. Main outcome measures: The main measures were fasting blood glucose, insulin, insulin resistance, body weight, waist circumference, and BMI. Results: Intent-to-treat analyses of between-group differences in the average of 18- and 24-month measures of outcomes (controlling for baseline values) revealed that the LWL participants experienced greater decreases in fasting glucose (- 4.35 mg/dL); insulin (- 3.01 μU/ml); insulin resistance (- 0.97); body weight (- 4.19 kg); waist circumference (- 3.23 cm); and BMI (- 1.40), allp-values &lt;0.01. Conclusions: A diabetes prevention program administered through an existing community-based system and delivered by community health workers is effective at inducing significant long-term reductions in metabolic indicators and adiposity. © 2013 American Journal of Preventive Medicine.","author":[{"dropping-particle":"","family":"Katula","given":"Jeffrey A.","non-dropping-particle":"","parse-names":false,"suffix":""},{"dropping-particle":"","family":"Vitolins","given":"Mara Z.","non-dropping-particle":"","parse-names":false,"suffix":""},{"dropping-particle":"","family":"Morgan","given":"Timothy M.","non-dropping-particle":"","parse-names":false,"suffix":""},{"dropping-particle":"","family":"Lawlor","given":"Michael S.","non-dropping-particle":"","parse-names":false,"suffix":""},{"dropping-particle":"","family":"Blackwell","given":"Caroline S.","non-dropping-particle":"","parse-names":false,"suffix":""},{"dropping-particle":"","family":"Isom","given":"Scott P.","non-dropping-particle":"","parse-names":false,"suffix":""},{"dropping-particle":"","family":"Pedley","given":"Carolyn F.","non-dropping-particle":"","parse-names":false,"suffix":""},{"dropping-particle":"","family":"Goff","given":"David C.","non-dropping-particle":"","parse-names":false,"suffix":""}],"container-title":"American Journal of Preventive Medicine","id":"ITEM-6","issue":"4S4","issued":{"date-parts":[["2013"]]},"page":"S324-S332","publisher":"Elsevier Inc.","title":"The healthy living partnerships to prevent diabetes study: 2-year outcomes of a randomized controlled trial","type":"article-journal","volume":"44"},"uris":["http://www.mendeley.com/documents/?uuid=622c5a69-cd33-454b-a85e-af4bc359d8a1"]},{"id":"ITEM-7","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Medicine","id":"ITEM-7","issue":"4","issued":{"date-parts":[["2010"]]},"page":"459-465","title":"Implementation and effectiveness of the first community lifestyle intervention programme to prevent type 2 diabetes in Greece. The DE-PLAN study","type":"article-journal","volume":"27"},"uris":["http://www.mendeley.com/documents/?uuid=8fa5f81f-3e37-4e03-be5f-801dcd969a98"]},{"id":"ITEM-8","itemData":{"DOI":"10.2105/AJPH.2015.303035","ISBN":"0090-0036","ISSN":"15410048","PMID":"26890171","abstract":"OBJECTIVES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Health","id":"ITEM-8","issue":"5","issued":{"date-parts":[["2016"]]},"page":"949-956","title":"Comparison of commercial and self-initiated weight loss programs in people with prediabetes: a randomized control trial","type":"article-journal","volume":"106"},"uris":["http://www.mendeley.com/documents/?uuid=e4e3235a-a86a-4b63-ad04-9e4c2402dc1e"]},{"id":"ITEM-9","itemData":{"DOI":"10.1186/1472-6882-14-212","ISBN":"1472-6882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Medicine","id":"ITEM-9","issue":"1","issued":{"date-parts":[["2014"]]},"page":"212","title":"A yoga intervention for type 2 diabetes risk reduction: a pilot randomized controlled trial","type":"article-journal","volume":"14"},"uris":["http://www.mendeley.com/documents/?uuid=934d80fb-c55d-4626-908a-2ca578b57990"]},{"id":"ITEM-10","itemData":{"DOI":"10.1016/j.jneb.2015.12.002","ISBN":"1499-4046","ISSN":"14994046","PMID":"26787601","abstract":"Objective: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Behavior","id":"ITEM-10","issue":"3","issued":{"date-parts":[["2016"]]},"page":"160-69","publisher":"Elsevier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trial","type":"article-journal","volume":"48"},"uris":["http://www.mendeley.com/documents/?uuid=2d8c03a8-0024-4655-930b-c43e21a3fdf8"]},{"id":"ITEM-11","itemData":{"DOI":"10.1080/08870440903548749","ISBN":"0887044090354","ISSN":"0887-0446","PMID":"20945253","abstract":"This study was a randomised control trial with a waiting control group. It was designed to evaluate the effectiveness of a 6-month, group-based diabetes prevention programme, The Healthy Living Course and assess whether participation in the programme led to changes in modifiable risk factors for type 2 diabetes among an already at-risk pre-diabetic population. Individuals designated at risk for diabetes by their general practitioners (GPs) were screened using an Oral Glucose Tolerance Test. Volunteers (N = 307) with pre-diabetes were assigned to an intervention or wait-control group in the ratio of approximately 2 : 1. The sample was pre-tested on biochemical, anthropometric and self-report behavioural, cognitive and mood variables and post-tested either at the end of the educational/support-based lifestyle programme or the end of the wait period. The intervention group significantly improved their diabetes knowledge, motivation to change, positive affect, healthy eating and activity levels and showed significantly greater reductions in weight, body mass index, waist circumference, diastolic blood pressure and fasting plasma glucose in comparison with controls. The intervention group also changed their diagnostic status from pre-diabetes to non-diabetes at a greater rate than the wait group (43% vs. 26%) who received standard care from their GPs.","author":[{"dropping-particle":"","family":"Moore","given":"Susan M.","non-dropping-particle":"","parse-names":false,"suffix":""},{"dropping-particle":"","family":"Hardie","given":"Elizabeth A.","non-dropping-particle":"","parse-names":false,"suffix":""},{"dropping-particle":"","family":"Hackworth","given":"Naomi J.","non-dropping-particle":"","parse-names":false,"suffix":""},{"dropping-particle":"","family":"Critchley","given":"Christine R.","non-dropping-particle":"","parse-names":false,"suffix":""},{"dropping-particle":"","family":"Kyrios","given":"Michael","non-dropping-particle":"","parse-names":false,"suffix":""},{"dropping-particle":"","family":"Buzwell","given":"Simone A.","non-dropping-particle":"","parse-names":false,"suffix":""},{"dropping-particle":"","family":"Crafti","given":"Naomi A.","non-dropping-particle":"","parse-names":false,"suffix":""}],"container-title":"Psychology &amp; Health","id":"ITEM-11","issue":"4","issued":{"date-parts":[["2011"]]},"page":"485-499","title":"Can the onset of type 2 diabetes be delayed by a group-based lifestyle intervention? a randomised control trial","type":"article-journal","volume":"26"},"uris":["http://www.mendeley.com/documents/?uuid=f731fbbd-3174-40ae-b00f-158e50237e1f"]},{"id":"ITEM-12","itemData":{"DOI":"10.2105/AJPH.2011.300357","ISBN":"1541-0048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Health","id":"ITEM-12","issue":"2","issued":{"date-parts":[["2012"]]},"page":"336-342","title":"Outcomes of a Latino community-based intervention for the prevention of diabetes: the lawrence Latino diabetes prevention project","type":"article-journal","volume":"102"},"uris":["http://www.mendeley.com/documents/?uuid=6b9cb080-dc52-4e71-a5c6-bb5e3c90945b"]},{"id":"ITEM-13","itemData":{"DOI":"10.2337/dc08-0152.","author":[{"dropping-particle":"","family":"Payne WR, Walsh KJ., Harvey JT, Livy MF, Mckenzie KJ, Donaldson A","given":"et al.","non-dropping-particle":"","parse-names":false,"suffix":""}],"container-title":"Diabetes Care","id":"ITEM-13","issued":{"date-parts":[["2008"]]},"page":"2244-50","title":"Effect of a low–resource-intensive lifestyle modification program incorporating gymnasium-based and home-based resistance training on type 2 diabetes risk in Australian adults","type":"article-journal","volume":"31"},"uris":["http://www.mendeley.com/documents/?uuid=94025970-6bd0-4bcf-89d4-48f46a796268"]},{"id":"ITEM-14","itemData":{"DOI":"10.1016/j.nutres.2010.03.003","ISBN":"0271-5317","ISSN":"02715317","PMID":"20417879","abstract":"The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Research","id":"ITEM-14","issue":"3","issued":{"date-parts":[["2010"]]},"page":"186-190","publisher":"Elsevier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tolerance","type":"article-journal","volume":"30"},"uris":["http://www.mendeley.com/documents/?uuid=24bc950c-bfd2-4632-8ad0-a20eee1f7dc8"]},{"id":"ITEM-15","itemData":{"DOI":"10.1186/1471-2458-11-40","ISBN":"1471-2458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health","id":"ITEM-15","issue":"1","issued":{"date-parts":[["2011"]]},"page":"40","title":"Prevention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tolerance","type":"article-journal","volume":"11"},"uris":["http://www.mendeley.com/documents/?uuid=19b949f0-5835-408a-87b0-6bbcfceadb30"]},{"id":"ITEM-16","itemData":{"DOI":"10.1177/0145721714521020","ISBN":"0145-7217","ISSN":"15546063","PMID":"24510942","abstract":"Purpose: This article reports the results of a community-based, culturally tailored diabetes prevention program for overweight Mexican American adults on weight loss, waist circumference, diet and physical activity self-efficacy, and diet behaviors., Methods: The intervention used content from the Diabetes Prevention Program but culturally tailored the delivery methods into a community-based program for Spanishspeaking adults of Mexican descent. The design was a randomized controlled trial (N = 58) comparing the effects of a 5-month educational intervention with an attention control group. The primary study outcome was weight loss. Secondary outcomes included change in waist circumference, body mass index, diet self-efficacy, and physical activity self-efficacy., Results: There were significant intervention effects for weight, waist circumference, body mass index, and diet selfefficacy, with the intervention group doing better than the control group. These effects did not change over time., Conclusions: Findings support the conclusion that a community-based, culturally tailored intervention is effective in reducing diabetes risk factors in a 5-month program., (C) 2014 Sage Publishing","author":[{"dropping-particle":"","family":"Vincent","given":"Deborah","non-dropping-particle":"","parse-names":false,"suffix":""},{"dropping-particle":"","family":"McEwen","given":"Marylyn M.","non-dropping-particle":"","parse-names":false,"suffix":""},{"dropping-particle":"","family":"Hepworth","given":"Joseph T.","non-dropping-particle":"","parse-names":false,"suffix":""},{"dropping-particle":"","family":"Stump","given":"Craig S.","non-dropping-particle":"","parse-names":false,"suffix":""}],"container-title":"The Diabetes Educator","id":"ITEM-16","issue":"2","issued":{"date-parts":[["2014"]]},"page":"202-213","title":"The effects of a community-based, culturally tailored diabetes prevention intervention for high-risk adults of Mexican descent","type":"article-journal","volume":"40"},"uris":["http://www.mendeley.com/documents/?uuid=45a67a3a-a21d-4e1b-b15e-e4fcd00a23e0"]},{"id":"ITEM-17","itemData":{"DOI":"10.1111/dme.12848","ISBN":"0742-3071","ISSN":"14645491","PMID":"26179569","abstract":"METHODS: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Medicine","id":"ITEM-17","issue":"4","issued":{"date-parts":[["2015"]]},"page":"547-551","title":"Translation of the diabetes prevention program for diabetes risk reduction in Chinese immigrants in New York city","type":"article-journal","volume":"33"},"uris":["http://www.mendeley.com/documents/?uuid=05391168-7679-4063-baae-26f96e47d08a"]},{"id":"ITEM-18","itemData":{"DOI":"10.1186/s12875-017-0671-8","ISSN":"1471-2296","abstract":"Background: Primary care nurse-led prediabetes interventions are seldom reported. We examined the implementation and feasibility of a 6-month multilevel primary care nurse-led prediabetes lifestyle intervention compared with current practice in patients with prediabetes, with weight and glycated haemoglobin (HbA1c) as outcomes.; Methods: This study used a convergent mixed methods design involving a 6-month pragmatic non-randomised pilot study with a qualitative process evaluation, and was conducted in two neighbouring provincial cities in New Zealand, with indigenous Māori populations comprising 18.2% and 23.0%, respectively. Participants were non-pregnant adults aged ≤ 70 years with newly diagnosed prediabetes (HbA1c 41-49 mmol/mol), body mass index (BMI) ≥ 25 kg/m2 and not prescribed Metformin. A structured dietary intervention tool delivered by primary care nurses with visits at baseline, 2-3 weeks, 3 months and 6 months was implemented in four intervention practices. Four control practices continued to provide usual care. Primary quantitative outcome measures were weight and HbA1c. Linear and quantile regression models were used to compare each outcome between the two groups at follow-up. Qualitative data included: observations of nurse training sessions and steering group meetings; document review; semi-structured interviews with a purposive sample of key informants (n = 17) and intervention patients (n = 20). Thematic analysis was used.; Results: One hundred fifty-seven patients with prediabetes enrolled (85 intervention, 72 control), 47.8% female and 31.2% Māori. Co-morbidities were common, particularly hypertension (49.7%), dyslipidaemia (40.1%) and gout (15.9%). Baseline and 6 month measures were available for 91% control and 79% intervention participants. After adjustment, the intervention group lost a mean 1.3 kg more than the control group (p &lt; 0.001). Mean HbA1c, BMI and waist circumference decreased in the intervention group and increased in the control group, but differences were not statistically significant. Implementation fidelity was high, and it was feasible to implement the intervention in busy general practice settings. The intervention was highly acceptable to both patients and key stakeholders, especially primary care nurses.; Conclusions: Study findings confirm the feasibility and acceptability of primary care nurses providing structured dietary advice to patients with prediabetes in busy general practice settings. The small but…","author":[{"dropping-particle":"","family":"Coppell","given":"Kirsten J","non-dropping-particle":"","parse-names":false,"suffix":""},{"dropping-particle":"","family":"Abel","given":"Sally L","non-dropping-particle":"","parse-names":false,"suffix":""},{"dropping-particle":"","family":"Freer","given":"Trish","non-dropping-particle":"","parse-names":false,"suffix":""},{"dropping-particle":"","family":"Gray","given":"Andrew","non-dropping-particle":"","parse-names":false,"suffix":""},{"dropping-particle":"","family":"Sharp","given":"Kiri","non-dropping-particle":"","parse-names":false,"suffix":""},{"dropping-particle":"","family":"Norton","given":"Joanna K","non-dropping-particle":"","parse-names":false,"suffix":""},{"dropping-particle":"","family":"Spedding","given":"Terrie","non-dropping-particle":"","parse-names":false,"suffix":""},{"dropping-particle":"","family":"Ward","given":"Lillian","non-dropping-particle":"","parse-names":false,"suffix":""},{"dropping-particle":"","family":"Whitehead","given":"Lisa C","non-dropping-particle":"","parse-names":false,"suffix":""}],"container-title":"BMC Family Practice","id":"ITEM-18","issue":"1","issued":{"date-parts":[["2017"]]},"note":"Accession Number: 29268719. Language: English. Date Revised: 20180730. Date Created: 20171223. Date Completed: 20180730. Update Code: 20180731. Publication Type: Controlled Clinical Trial. Journal ID: 100967792. Publication Model: Electronic. Cited Medium: Internet. NLM ISO Abbr: BMC Fam Pract. Comment: Cites: Am J Prev Med. 2011 Jan;40(1):67-71. (PMID: 21146770). Cites: Diabetes Res Clin Pract. 2006 Mar;71(3):345-52. (PMID: 16183162). Cites: Diabetes Res Clin Pract. 2014 Apr;104(1):e16-9. (PMID: 24507868). Cites: Implement Sci. 2015 Dec 15;10:172. (PMID: 26670418). Cites: N Z Med J. 2013 Mar 01;126(1370):23-42. (PMID: 23474511). Cites: Lancet. 2012 Jun 16;379(9833):2279-90. (PMID: 22683128). Cites: Am J Psychiatry. 2001 Jan;158(1):29-35. (PMID: 11136630). Cites: Lancet. 2011 Jul 2;378(9785):31-40. (PMID: 21705069). Cites: N Engl J Med. 2011 Nov 24;365(21):1969-79. (PMID: 22082239). Cites: Annu Rev Public Health. 2014;35:29-45. (PMID: 24188053). Cites: Diabetes Care. 2012 Apr;35(4):663-5. (PMID: 22442393). Cites: Patient Prefer Adherence. 2015 Feb 26;9:347-54. (PMID: 25750523). Cites: BMC Public Health. 2009 May 29;9:166. (PMID: 19480671). Cites: J Gen Intern Med. 2013 Dec;28(12):1629-36. (PMID: 23860722). Cites: BMC Public Health. 2017 Feb 15;17 (1):198. (PMID: 28202029). Cites: J Eval Clin Pract. 2017 Apr;23 (2):264-271. (PMID: 27417302). Cites: Diabetes Care. 2007 Oct;30(10):2465-70. (PMID: 17586741). Cites: BMJ. 2000 Jun 10;320(7249):1580-3. (PMID: 10845968). Cites: Patient Educ Couns. 2009 Jul;76(1):31-7. (PMID: 19157762). Cites: BMJ. 2015 Feb 05;350:g7846. (PMID: 25656059). Cites: Diabet Med. 2007 Jul;24(7):770-7. (PMID: 17403125). Cites: Diabetes Res Clin Pract. 2007 Jun;76(3):460-2. (PMID: 17069921). Cites: Int J Epidemiol. 2006 Apr;35(2):409-15. (PMID: 16157616). Cites: J Acad Nutr Diet. 2015 Jun;115(6):947-53. (PMID: 25634092). Cites: Prim Care Diabetes. 2014 Dec;8(4):301-7. (PMID: 24582002). Cites: BMJ. 2010 Jul 20;341:c3337. (PMID: 20647285). Cites: Diabetologia. 2012 May;55(5):1319-28. (PMID: 22322921). Cites: Patient Educ Couns. 2011 Aug;84(2):185-90. (PMID: 20702058). Cites: BMC Fam Pract. 2015 Dec 22;16:183. (PMID: 26695176). Cites: Prim Care Diabetes. 2014 Apr;8(1):23-9. (PMID: 24361372). Cites: Ann Behav Med. 2009 Dec;38 Suppl 1:S56-73. (PMID: 19802648). Cites: BMJ. 2003 Apr 12;326(7393):793. (PMID: 12689976). Cites: Am J Public Health. 2004 Mar;94(3):400-5. (PMID: 14998803). Cites: N Engl J Med. 2001 May 3;344(18):1343-50. (PMID: 11333990). Cites: Soc Sci Med. 2016 Dec;171:18-29. (PMID: 27863286). Cites: Diabetes Care. 2006 Sep;29(9):2102-7. (PMID: 16936160). Cites: N Engl J Med. 2002 Feb 7;346(6):393-403. (PMID: 11832527). Cites: Br J Gen Pract. 2006 Sep;56(530):666-72. (PMID: 16953998). Cites: Lancet. 2015 Aug 22;386(9995):743-800. (PMID: 26063472). Cites: Diabetes Care. 2007 Mar;30(3):753-9. (PMID: 17327355). Cites: Am J Clin Nutr. 2014 May;99(5 Suppl):1153S-66S. (PMID: 24717343). Cites: BMJ. 1995 Mar 4;310(6979):569-73. (PMID: 7888933). Cites: J Hum Nutr Diet. 2016 Aug;29(4):487-94. (PMID: 26785827). Linking ISSN: 14712296. Subset: IM; Date of Electronic Publication: 2017 Dec 21. ; Original Imprints: Publication: London : BioMed Central, [2000-","page":"106","publisher":"BioMed Central","publisher-place":"Edgar Diabetes and Obesity Research, Department of Medicine, Dunedin School of Medicine, University of Otago, PO Box 56, Dunedin, 9054, New Zealand. kirsten.coppell@otago.ac.nz.","title":"The effectiveness of a primary care nursing-led dietary intervention for prediabetes: a mixed methods pilot study.","type":"article-journal","volume":"18"},"uris":["http://www.mendeley.com/documents/?uuid=0c5adc52-ca11-4f07-80d4-bf37e6cec46f"]},{"id":"ITEM-19","itemData":{"DOI":"10.1093/tbm/ibx064","ISSN":"1613-9860","abstract":"The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Medicine","id":"ITEM-19","issue":"2","issued":{"date-parts":[["2018"]]},"note":"Accession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illness.","type":"article-journal","volume":"8"},"uris":["http://www.mendeley.com/documents/?uuid=25ddcc05-70f1-4333-9e99-b9d202b84d0d"]},{"id":"ITEM-20","itemData":{"DOI":"10.1038/nutd.2017.21","ISSN":"20444052","PMID":"28481335","abstract":"BACKGROUND/OBJECTIVES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Diabetes","id":"ITEM-20","issue":"5","issued":{"date-parts":[["2017"]]},"publisher":"Nature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id":"ITEM-21","itemData":{"DOI":"10.1016/j.amepre.2016.11.009","ISBN":"0749-3797 1873-2607","ISSN":"18732607","PMID":"28094135","abstract":"Introduction This clinical demonstration trial compared the effectiveness of the Veterans Affairs Diabetes Prevention Program (VA-DPP) with an evidence-based usual care weight management program (MOVE!®) in the Veterans Health Administration health system. Design Prospective, pragmatic, non-randomized comparative effectiveness study of two behavioral weight management interventions. Setting/participants Obese/overweight Veterans with prediabetes were recruited from three geographically diverse VA sites between 2012 and 2014. Intervention VA-DPP included 22 group-based intensive lifestyle change sessions. Main outcome measures Weight change at 6 and 12 months, hemoglobin A1c (HbA1c) at 12 months, and VA health expenditure changes at 15 months were assessed using VA electronic health record and claims data. Between- and within-group comparisons for weight and HbA1c were done using linear mixed-effects models controlling for age, gender, race/ethnicity, baseline outcome values, and site. Analyses were conducted in 2015–2016. Results A total of 387 participants enrolled (273 VA-DPP, 114 MOVE!). More VA-DPP participants completed at least one (73.3% VA-DPP vs 57.5% MOVE! p=0.002); four (57.5% VA-DPP vs 42.5% MOVE!, p=0.007); and eight or more sessions (42.5% VA-DPP vs 31% MOVE!, p=0.035). Weight loss from baseline was significant at both 6 (p&lt;0.001) and 12 months (p&lt;0.001) for VA-DPP participants, but only significant at 6 months for MOVE! participants (p=0.004). Between groups, there were significant differences in 6-month weight loss (–4.1 kg VA-DPP vs –1.9 kg MOVE!, p&lt;0.001), but not 12-month weight loss (–3.4 kg VA-DPP vs –2.0 kg MOVE!, p=0.16). There were no significant differences in HbA1c change or outpatient, inpatient, and total VA expenditures. Conclusions VA-DPP participants had higher participation rates and weight loss at 6 months, but similar weight, HbA1c, and health expenditures at 12 months compared to MOVE! participants. Features of VA-DPP may help enhance the capability of MOVE! to reach a larger proportion of the served population and promote individual-level weight maintenance.","author":[{"dropping-particle":"","family":"Moin","given":"Tannaz","non-dropping-particle":"","parse-names":false,"suffix":""},{"dropping-particle":"","family":"Damschroder","given":"Laura J.","non-dropping-particle":"","parse-names":false,"suffix":""},{"dropping-particle":"","family":"AuYoung","given":"Mona","non-dropping-particle":"","parse-names":false,"suffix":""},{"dropping-particle":"","family":"Maciejewski","given":"Matthew L.","non-dropping-particle":"","parse-names":false,"suffix":""},{"dropping-particle":"","family":"Datta","given":"Santanu K.","non-dropping-particle":"","parse-names":false,"suffix":""},{"dropping-particle":"","family":"Weinreb","given":"Jane E.","non-dropping-particle":"","parse-names":false,"suffix":""},{"dropping-particle":"","family":"Steinle","given":"Nanette I.","non-dropping-particle":"","parse-names":false,"suffix":""},{"dropping-particle":"","family":"Billington","given":"Charles","non-dropping-particle":"","parse-names":false,"suffix":""},{"dropping-particle":"","family":"Hughes","given":"Maria","non-dropping-particle":"","parse-names":false,"suffix":""},{"dropping-particle":"","family":"Makki","given":"Fatima","non-dropping-particle":"","parse-names":false,"suffix":""},{"dropping-particle":"","family":"Holleman","given":"Robert G.","non-dropping-particle":"","parse-names":false,"suffix":""},{"dropping-particle":"","family":"Kim","given":"H. Myra","non-dropping-particle":"","parse-names":false,"suffix":""},{"dropping-particle":"","family":"Jeffreys","given":"Amy S.","non-dropping-particle":"","parse-names":false,"suffix":""},{"dropping-particle":"","family":"Kinsinger","given":"Linda S.","non-dropping-particle":"","parse-names":false,"suffix":""},{"dropping-particle":"","family":"Burns","given":"Jennifer A.","non-dropping-particle":"","parse-names":false,"suffix":""},{"dropping-particle":"","family":"Richardson","given":"Caroline R.","non-dropping-particle":"","parse-names":false,"suffix":""}],"container-title":"American Journal of Preventive Medicine","id":"ITEM-21","issue":"1","issued":{"date-parts":[["2017"]]},"page":"70-77","publisher":"Elsevier Inc.","title":"Diabetes prevention program translation in the veterans health administration","type":"article-journal","volume":"53"},"uris":["http://www.mendeley.com/documents/?uuid=0b49d9c8-fcae-49b9-b371-d81d371b6825","http://www.mendeley.com/documents/?uuid=c50de4a3-0ca0-411d-8a86-7e096e4ae38f","http://www.mendeley.com/documents/?uuid=0729f160-76ee-4618-b742-38697e20af65"]},{"id":"ITEM-22","itemData":{"author":[{"dropping-particle":"","family":"Alva","given":"M.L.","non-dropping-particle":"","parse-names":false,"suffix":""}],"container-title":"American Journal of Health Promotion","id":"ITEM-22","issue":"7","issued":{"date-parts":[["2019"]]},"page":"1067-72","title":"How much does attendance impact weight loss and health care spending in a diabetes prevention program serving older adults?","type":"article-journal","volume":"33"},"uris":["http://www.mendeley.com/documents/?uuid=f1207552-91e1-416b-bc68-b0587dd06592"]},{"id":"ITEM-23","itemData":{"DOI":"10.1177/2150132719847374","author":[{"dropping-particle":"","family":"Aekplakorn","given":"Wichai","non-dropping-particle":"","parse-names":false,"suffix":""},{"dropping-particle":"","family":"Tantayotai","given":"Valla","non-dropping-particle":"","parse-names":false,"suffix":""},{"dropping-particle":"","family":"Numsangkul","given":"Sakawduan","non-dropping-particle":"","parse-names":false,"suffix":""},{"dropping-particle":"","family":"Tatsato","given":"Nutchanat","non-dropping-particle":"","parse-names":false,"suffix":""},{"dropping-particle":"","family":"Luckanajantachote","given":"Pranee","non-dropping-particle":"","parse-names":false,"suffix":""}],"container-title":"Journal of Primary Care and Community Health","id":"ITEM-23","issued":{"date-parts":[["2019"]]},"page":"1-8","title":"Evaluation of a community-based diabetes prevention program in Thailand : a cluster randomized controlled trial","type":"article-journal","volume":"10"},"uris":["http://www.mendeley.com/documents/?uuid=8b3b4c2b-0469-4192-909b-c057fc6c5460"]}],"mendeley":{"formattedCitation":"(Aekplakorn et al., 2019; Almeida, F.A., Shetterly, S., Smith-Ray, R.L., Estabrooks, 2010; Alva, 2019b; Bernstein, A.M., Gendy, G., Rudd, N., Doyle, J., Fay, S., Moffett, K., 2014; Boltri et al., 2011; Coppell et al., 2017; Duijzer et al., 2017; Gagnon et al., 2011; Jiang et al., 2013; Katula et al., 2013; Makrilakis et al., 2010; Marrero et al., 2016; McDermott et al., 2014; Miller et al., 2016; Moin et al., 2017; Moore et al., 2011; Ockene et al., 2012; Payne WR, Walsh KJ., Harvey JT, Livy MF, Mckenzie KJ, Donaldson A, 2008; Pimentel et al., 2010; Quiñones et al., 2018; Sakane et al., 2011; Vincent et al., 2014; Yeh et al., 2015)","manualFormatting":"(Aekplakorn et al., 2019; Almeida, Shetterly, Smith-Ray, Estabrooks, 2010; Alva, 2019; Bernstein, Gendy, Rudd, Doyle, Fay, Moffett, 2014; Boltri et al., 2011; Coppell et al., 2017; Duijzer et al., 2017; Gagnon et al., 2011; Jiang et al., 2013; Katula et al., 2013; Makrilakis et al., 2010; Marrero et al., 2016; McDermott et al., 2014; Miller et al., 2016; Moin et al., 2017; Moore et al., 2011; Ockene et al., 2012; Payne, Walsh, Harvey, Livy, Mckenzie, Donaldson, 2008; Pimentel et al., 2010; Quiñones et al., 2018; Sakane et al., 2011; Vincent et al., 2014b; Yeh et al., 2015)","plainTextFormattedCitation":"(Aekplakorn et al., 2019; Almeida, F.A., Shetterly, S., Smith-Ray, R.L., Estabrooks, 2010; Alva, 2019b; Bernstein, A.M., Gendy, G., Rudd, N., Doyle, J., Fay, S., Moffett, K., 2014; Boltri et al., 2011; Coppell et al., 2017; Duijzer et al., 2017; Gagnon et al., 2011; Jiang et al., 2013; Katula et al., 2013; Makrilakis et al., 2010; Marrero et al., 2016; McDermott et al., 2014; Miller et al., 2016; Moin et al., 2017; Moore et al., 2011; Ockene et al., 2012; Payne WR, Walsh KJ., Harvey JT, Livy MF, Mckenzie KJ, Donaldson A, 2008; Pimentel et al., 2010; Quiñones et al., 2018; Sakane et al., 2011; Vincent et al., 2014; Yeh et al., 2015)","previouslyFormattedCitation":"(Aekplakorn et al., 2019; Almeida, F.A., Shetterly, S., Smith-Ray, R.L., Estabrooks, 2010; Alva, 2019b; Bernstein, A.M., Gendy, G., Rudd, N., Doyle, J., Fay, S., Moffett, K., 2014; Boltri et al., 2011; Coppell et al., 2017; Duijzer et al., 2017; Gagnon et al., 2011; Jiang et al., 2013; Katula et al., 2013; Makrilakis et al., 2010; Marrero et al., 2016; McDermott et al., 2014; Miller et al., 2016; Moin et al., 2017; Moore et al., 2011; Ockene et al., 2012; Payne WR, Walsh KJ., Harvey JT, Livy MF, Mckenzie KJ, Donaldson A, 2008; Pimentel et al., 2010; Quiñones et al., 2018; Sakane et al., 2011; Vincent et al., 2014; Yeh et al., 2015)"},"properties":{"noteIndex":0},"schema":"https://github.com/citation-style-language/schema/raw/master/csl-citation.json"}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(Aekplakorn et al., 2019; Almeida, Shetterly, Smith-Ray, Estabrooks, 2010; Alva, 2019; Bernstein, Gendy, Rudd, Doyle, Fay, Moffett, 2014; Boltri et al., 2011; Coppell et al., 2017; Duijzer et al., 2017; Gagnon et al., 2011; Jiang et al., 2013; Katula et al., 2013; Makrilakis et al., 2010; Marrero et al., 2016; McDermott et al., 2014; Miller et al., 2016; Moin et al., 2017; Moore et al., 2011; Ockene et al., 2012; Payne, Walsh, Harvey, Livy, Mckenzie, Donaldson, 2008; Pimentel et al., 2010; Quiñones et al., 2018; Sakane et al., 2011; Vincent et al., 2014b; Yeh et al., 2015)</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Time of follow-up varied from 2 weeks (n=1)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Health","id":"ITEM-1","issued":{"date-parts":[["2010"]]},"page":"232-39","title":"Results of a pilot diabetes prevention intervention in East Harlem, New York city: project HEED","type":"article-journal","volume":"100"},"uris":["http://www.mendeley.com/documents/?uuid=6ca00620-5eb7-44be-86f5-e0fe0414de89"]}],"mendeley":{"formattedCitation":"(Parikh et al., 2010)","plainTextFormattedCitation":"(Parikh et al., 2010)","previouslyFormattedCitation":"(Parikh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(Parikh et al.,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to 7 years (n=1)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One","id":"ITEM-1","issue":"1","issued":{"date-parts":[["2016"]]},"page":"e0146095","title":"Long-term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island","type":"article-journal","volume":"11"},"uris":["http://www.mendeley.com/documents/?uuid=e072a9e3-f17a-48e3-98af-f3db4a1c8ee3"]}],"mendeley":{"formattedCitation":"(Fianu et al., 2016)","plainTextFormattedCitation":"(Fianu et al., 2016)","previouslyFormattedCitation":"(Fianu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(Fianu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with follow-up after 1 year of the intervention being most common (n=8)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Association","id":"ITEM-1","issue":"3","issued":{"date-parts":[["2011"]]},"page":"194-202","title":"Translation of the national institutes of health diabetes prevention program in African American churches","type":"article-journal","volume":"103"},"uris":["http://www.mendeley.com/documents/?uuid=9a9d913a-7043-4df3-a05c-f50fa2ed8eff"]},{"id":"ITEM-2","itemData":{"author":[{"dropping-particle":"","family":"Davis-Smith","given":"Monique","non-dropping-particle":"","parse-names":false,"suffix":""}],"container-title":"Journal of the National Medical Association","id":"ITEM-2","issue":"4","issued":{"date-parts":[["2007"]]},"page":"440-47","title":"Implementing a diabetes prevention program in a rural African-American church","type":"article-journal","volume":"99"},"uris":["http://www.mendeley.com/documents/?uuid=0ddb0a52-0cf9-48e8-a66c-340f5fa47213"]},{"id":"ITEM-3","itemData":{"DOI":"10.1016/j.ypmed.2015.12.012","ISBN":"0091-7435","ISSN":"10960260","PMID":"26740346","abstract":"Objectives: Prevention of type 2 diabetes (T2DM) is a priority in healthcare, but there is a lack of evidence investigating how to effectively translate prevention research into a UK primary care setting. We assessed whether a structured education programme targeting lifestyle and behaviour change was effective at preventing progression to T2DM in people with pre-diabetes. Materials and methods: Forty-four general practices were randomised to receive either standard care or a 6. hour group structured education programme with an annual refresher course, and regular phone contact. Participants were followed up for 3. years. The primary outcome was progression to T2DM. Results: Eight hundred and eighty participants were included (36% female, mean age 64. years, 16% ethnic minority group); 131 participants developed T2DM. There was a non-significant 26% reduced risk of developing T2DM in the intervention arm compared to standard care (HR 0.74, 95% CI 0.48, 1.14, p= 0.18). The reduction in T2DM risk when excluding those who did not attend the initial education session was also non-significant (HR 0.65, 0.41, 1.03, p= 0.07). There were statistically significant improvements in HbA1c (- 0.06, - 0.11, - 0.01), LDL cholesterol (- 0.08, - 0.15, - 0.01), sedentary time (- 26.29, - 45.26, - 7.32) and step count (498.15, 162.10, 834.20) when data were analysed across all time points. Conclusions: This study suggests that a relatively low resource, pragmatic diabetes prevention programme resulted in modest benefits to biomedical, lifestyle and psychosocial outcomes, however the reduction to the risk of T2DM did not reach significance. The findings have important implications for future research and primary care.","author":[{"dropping-particle":"","family":"Davies","given":"Melanie J.","non-dropping-particle":"","parse-names":false,"suffix":""},{"dropping-particle":"","family":"Gray","given":"Laura J.","non-dropping-particle":"","parse-names":false,"suffix":""},{"dropping-particle":"","family":"Troughton","given":"Jacqui","non-dropping-particle":"","parse-names":false,"suffix":""},{"dropping-particle":"","family":"Gray","given":"Alastair","non-dropping-particle":"","parse-names":false,"suffix":""},{"dropping-particle":"","family":"Tuomilehto","given":"Jaakko","non-dropping-particle":"","parse-names":false,"suffix":""},{"dropping-particle":"","family":"Farooqi","given":"Azhar","non-dropping-particle":"","parse-names":false,"suffix":""},{"dropping-particle":"","family":"Khunti","given":"Kamlesh","non-dropping-particle":"","parse-names":false,"suffix":""},{"dropping-particle":"","family":"Yates","given":"Thomas","non-dropping-particle":"","parse-names":false,"suffix":""},{"dropping-particle":"","family":"Bancroft","given":"Mary","non-dropping-particle":"","parse-names":false,"suffix":""},{"dropping-particle":"","family":"Ahrabian","given":"Dariush","non-dropping-particle":"","parse-names":false,"suffix":""},{"dropping-particle":"","family":"Cowling","given":"Pauline","non-dropping-particle":"","parse-names":false,"suffix":""},{"dropping-particle":"","family":"Greaves","given":"Colin","non-dropping-particle":"","parse-names":false,"suffix":""},{"dropping-particle":"","family":"Sheppard","given":"David","non-dropping-particle":"","parse-names":false,"suffix":""},{"dropping-particle":"","family":"Leal","given":"Jose","non-dropping-particle":"","parse-names":false,"suffix":""},{"dropping-particle":"","family":"Abrams","given":"Keith","non-dropping-particle":"","parse-names":false,"suffix":""},{"dropping-particle":"","family":"Bodicoat","given":"Danielle","non-dropping-particle":"","parse-names":false,"suffix":""},{"dropping-particle":"","family":"Carter","given":"Patrice","non-dropping-particle":"","parse-names":false,"suffix":""},{"dropping-particle":"","family":"Dunkley","given":"Alison","non-dropping-particle":"","parse-names":false,"suffix":""},{"dropping-particle":"","family":"Patel","given":"Naina","non-dropping-particle":"","parse-names":false,"suffix":""},{"dropping-particle":"","family":"Russell","given":"Clare","non-dropping-particle":"","parse-names":false,"suffix":""},{"dropping-particle":"","family":"Horne","given":"Rosie","non-dropping-particle":"","parse-names":false,"suffix":""},{"dropping-particle":"","family":"Spong","given":"Rebecca","non-dropping-particle":"","parse-names":false,"suffix":""},{"dropping-particle":"","family":"Stone","given":"Margaret","non-dropping-particle":"","parse-names":false,"suffix":""},{"dropping-particle":"","family":"Taub","given":"Nick","non-dropping-particle":"","parse-names":false,"suffix":""},{"dropping-particle":"","family":"Webb","given":"David","non-dropping-particle":"","parse-names":false,"suffix":""},{"dropping-particle":"","family":"Amin","given":"Sayjal","non-dropping-particle":"","parse-names":false,"suffix":""},{"dropping-particle":"","family":"Barnett","given":"Janette","non-dropping-particle":"","parse-names":false,"suffix":""},{"dropping-particle":"","family":"Berkeley","given":"Hannah","non-dropping-particle":"","parse-names":false,"suffix":""},{"dropping-particle":"","family":"Bonar","given":"Michael","non-dropping-particle":"","parse-names":false,"suffix":""},{"dropping-particle":"","family":"Boyles","given":"Louise","non-dropping-particle":"","parse-names":false,"suffix":""},{"dropping-particle":"","family":"Bray","given":"Paul","non-dropping-particle":"","parse-names":false,"suffix":""},{"dropping-particle":"","family":"Cairns","given":"Nichola","non-dropping-particle":"","parse-names":false,"suffix":""},{"dropping-particle":"","family":"Campbell","given":"Sandra","non-dropping-particle":"","parse-names":false,"suffix":""},{"dropping-particle":"","family":"Carey","given":"Marian","non-dropping-particle":"","parse-names":false,"suffix":""},{"dropping-particle":"","family":"Chatterjee","given":"Sudesna","non-dropping-particle":"","parse-names":false,"suffix":""},{"dropping-particle":"","family":"Currie","given":"Carolyn","non-dropping-particle":"","parse-names":false,"suffix":""},{"dropping-particle":"","family":"Daly","given":"Heather","non-dropping-particle":"","parse-names":false,"suffix":""},{"dropping-particle":"","family":"Enright","given":"Sue","non-dropping-particle":"","parse-names":false,"suffix":""},{"dropping-particle":"","family":"Goldby","given":"Stephanie","non-dropping-particle":"","parse-names":false,"suffix":""},{"dropping-particle":"","family":"Gray","given":"Geri","non-dropping-particle":"","parse-names":false,"suffix":""},{"dropping-particle":"","family":"Henson","given":"Joe","non-dropping-particle":"","parse-names":false,"suffix":""},{"dropping-particle":"","family":"Hiles","given":"Stephen","non-dropping-particle":"","parse-names":false,"suffix":""},{"dropping-particle":"","family":"Hill","given":"Sian","non-dropping-particle":"","parse-names":false,"suffix":""},{"dropping-particle":"","family":"Hill","given":"Jayne","non-dropping-particle":"","parse-names":false,"suffix":""},{"dropping-particle":"","family":"Holdsworth","given":"Hannah","non-dropping-particle":"","parse-names":false,"suffix":""},{"dropping-particle":"","family":"Htike","given":"Zin Zin","non-dropping-particle":"","parse-names":false,"suffix":""},{"dropping-particle":"","family":"Jamal","given":"Shenaz","non-dropping-particle":"","parse-names":false,"suffix":""},{"dropping-particle":"","family":"Jarvis","given":"Janet","non-dropping-particle":"","parse-names":false,"suffix":""},{"dropping-particle":"","family":"Johnson","given":"Carolyn","non-dropping-particle":"","parse-names":false,"suffix":""},{"dropping-particle":"","family":"Jones","given":"Janet","non-dropping-particle":"","parse-names":false,"suffix":""},{"dropping-particle":"","family":"Jones","given":"Kenneth","non-dropping-particle":"","parse-names":false,"suffix":""},{"dropping-particle":"","family":"Khan","given":"Sabera","non-dropping-particle":"","parse-names":false,"suffix":""},{"dropping-particle":"","family":"Khulpateea","given":"Anita","non-dropping-particle":"","parse-names":false,"suffix":""},{"dropping-particle":"","family":"Leonard","given":"Judith","non-dropping-particle":"","parse-names":false,"suffix":""},{"dropping-particle":"","family":"Mani","given":"Hamidreza","non-dropping-particle":"","parse-names":false,"suffix":""},{"dropping-particle":"","family":"Martin-Stacey","given":"Lorraine","non-dropping-particle":"","parse-names":false,"suffix":""},{"dropping-particle":"","family":"Morgan","given":"Val","non-dropping-particle":"","parse-names":false,"suffix":""},{"dropping-particle":"","family":"Morris","given":"Frances","non-dropping-particle":"","parse-names":false,"suffix":""},{"dropping-particle":"","family":"Mostafa","given":"Samiul","non-dropping-particle":"","parse-names":false,"suffix":""},{"dropping-particle":"","family":"Northern","given":"Alison","non-dropping-particle":"","parse-names":false,"suffix":""},{"dropping-particle":"","family":"O'Brien","given":"Kayleigh","non-dropping-particle":"","parse-names":false,"suffix":""},{"dropping-particle":"","family":"Patel","given":"Hersha","non-dropping-particle":"","parse-names":false,"suffix":""},{"dropping-particle":"","family":"Plummer","given":"Rachel","non-dropping-particle":"","parse-names":false,"suffix":""},{"dropping-particle":"","family":"Porter","given":"Sheila","non-dropping-particle":"","parse-names":false,"suffix":""},{"dropping-particle":"","family":"Radia","given":"Mo","non-dropping-particle":"","parse-names":false,"suffix":""},{"dropping-particle":"","family":"Realf","given":"Kathryn","non-dropping-particle":"","parse-names":false,"suffix":""},{"dropping-particle":"","family":"Richmond","given":"Dean","non-dropping-particle":"","parse-names":false,"suffix":""},{"dropping-particle":"","family":"Saker","given":"Rebecca","non-dropping-particle":"","parse-names":false,"suffix":""},{"dropping-particle":"","family":"Sennet","given":"Jane","non-dropping-particle":"","parse-names":false,"suffix":""},{"dropping-particle":"","family":"Stribling","given":"Bernie","non-dropping-particle":"","parse-names":false,"suffix":""},{"dropping-particle":"","family":"Wilmott","given":"Emma","non-dropping-particle":"","parse-names":false,"suffix":""},{"dropping-particle":"","family":"Wilson","given":"Carolina","non-dropping-particle":"","parse-names":false,"suffix":""},{"dropping-particle":"","family":"Wilson","given":"Panna","non-dropping-particle":"","parse-names":false,"suffix":""}],"container-title":"Preventive Medicine","id":"ITEM-3","issued":{"date-parts":[["2016"]]},"page":"48-56","publisher":"Elsevier Inc.","title":"A community based primary prevention programme for type 2 diabetes integrating identification and lifestyle intervention for prevention: the let's prevent diabetes cluster randomised controlled trial","type":"article-journal","volume":"84"},"uris":["http://www.mendeley.com/documents/?uuid=98ec8943-e639-4c92-bc3b-a80a3889c377"]},{"id":"ITEM-4","itemData":{"DOI":"10.2337/dc12-1250","ISBN":"0149-5992\\r1935-5548","ISSN":"01495992","PMID":"23275375","abstract":"OBJECTIVE: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Care","id":"ITEM-4","issue":"7","issued":{"date-parts":[["2013"]]},"page":"2027-2034","title":"Translating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project","type":"article-journal","volume":"36"},"uris":["http://www.mendeley.com/documents/?uuid=6fb8d6ab-39ae-48b6-b78a-5dcf85b9cf0a"]},{"id":"ITEM-5","itemData":{"DOI":"10.2337/dc08-2141","ISSN":"01495992","PMID":"19509014","abstract":"OBJECTIVE: To evaluate the efficacy of the group program PREDIAS for diabetes prevention.\\n\\nRESEARCH DESIGN AND METHODS: PREDIAS consists of 12 lessons and aims at lifestyle modification. The control group received written information about diabetes prevention. In this study, a total of 182 persons with an elevated diabetes risk participated (aged 56.3 +/- 10.1 years, 43% female, and BMI 31.5 +/- 5.3 kg/m(2)).\\n\\nRESULTS: After 12 months, weight loss was significantly higher (P = 0.001) in PREDIAS than in the control group (-3.8 +/- 5.2 vs. -1.4 +/- 4.09 kg). There were also significant effects (P = 0.001) on fasting glucose (control group 1.8 +/- 13.1 mg/dl vs. PREDIAS -4.3 +/- 11.3 mg/dl), duration of physical activity per week (control group 17.9 +/- 63.8 min vs. PREDIAS 46.6 +/- 95.5 min; P = 0.03), and eating behavior.\\n\\nCONCLUSIONS: PREDIAS significantly modified lifestyle factors associated with an elevated diabetes risk.","author":[{"dropping-particle":"","family":"Kulzer","given":"Bernhard","non-dropping-particle":"","parse-names":false,"suffix":""},{"dropping-particle":"","family":"Hermanns","given":"Norbert","non-dropping-particle":"","parse-names":false,"suffix":""},{"dropping-particle":"","family":"Gorges","given":"Daniela","non-dropping-particle":"","parse-names":false,"suffix":""},{"dropping-particle":"","family":"Schwarz","given":"Peter","non-dropping-particle":"","parse-names":false,"suffix":""},{"dropping-particle":"","family":"Haak","given":"Thomas","non-dropping-particle":"","parse-names":false,"suffix":""}],"container-title":"Diabetes Care","id":"ITEM-5","issue":"7","issued":{"date-parts":[["2009"]]},"page":"1143-1146","title":"Prevention of diabetes self-management program (PREDIAS): effects on weight, metabolic risk factors, and behavioral outcomes","type":"article-journal","volume":"32"},"uris":["http://www.mendeley.com/documents/?uuid=df2278a0-0ae5-40ab-bc80-f2e143b41d86"]},{"id":"ITEM-6","itemData":{"DOI":"10.1186/1471-2458-7-249","ISBN":"1471-2458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Health","id":"ITEM-6","issue":"249","issued":{"date-parts":[["2007"]]},"title":"Prevention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project","type":"article-journal","volume":"7"},"uris":["http://www.mendeley.com/documents/?uuid=ef090087-0d56-42cf-8079-ddbfceb8d350"]},{"id":"ITEM-7","itemData":{"DOI":"10.2337/dc09-0130.","ISBN":"0149-5992","ISSN":"1935-5548","PMID":"19602539","abstract":"OBJECTIVE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care","id":"ITEM-7","issued":{"date-parts":[["2009"]]},"page":"1404-10","title":"Effectiveness of a pragmatic education program designed to promote walking activity in individuals with impaired glucose tolerance","type":"article-journal","volume":"32"},"uris":["http://www.mendeley.com/documents/?uuid=f022eff7-34b4-4911-8936-eba8ff61941e"]},{"id":"ITEM-8","itemData":{"DOI":"10.1097/jnr.0000000000000225","ISSN":"1682-3141","abstract":"Background: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Research","id":"ITEM-8","issue":"3","issued":{"date-parts":[["2018"]]},"note":"Accession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mellitus.","type":"article-journal","volume":"26"},"uris":["http://www.mendeley.com/documents/?uuid=7921dfb5-19a6-4219-b142-8d615dab9ad0"]}],"mendeley":{"formattedCitation":"(Boltri et al., 2011; Davies et al., 2016; Davis-Smith, 2007; Jiang et al., 2013; Kulzer et al., 2009; Laatikainen et al., 2007; Tsai et al., 2018; Yates et al., 2009)","plainTextFormattedCitation":"(Boltri et al., 2011; Davies et al., 2016; Davis-Smith, 2007; Jiang et al., 2013; Kulzer et al., 2009; Laatikainen et al., 2007; Tsai et al., 2018; Yates et al., 2009)","previouslyFormattedCitation":"(Boltri et al., 2011; Davies et al., 2016; Davis-Smith, 2007; Jiang et al., 2013; Kulzer et al., 2009; Laatikainen et al., 2007; Tsai et al., 2018;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(Boltri et al., 2011; Davies et al., 2016; Davis-Smith, 2007; Jiang et al., 2013; Kulzer et al., 2009; Laatikainen et al., 2007; Tsai et al., 2018; 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3801AF92" w14:textId="53D71391" w:rsidR="00324C56" w:rsidRPr="00103A0B" w:rsidRDefault="004B3096" w:rsidP="005D0A3A">
      <w:pPr>
        <w:keepLines/>
        <w:jc w:val="both"/>
        <w:rPr>
          <w:rFonts w:ascii="Arial" w:hAnsi="Arial" w:cs="Arial"/>
          <w:b/>
          <w:bCs/>
          <w:sz w:val="24"/>
          <w:szCs w:val="24"/>
        </w:rPr>
      </w:pPr>
      <w:bookmarkStart w:id="99" w:name="_Toc41404593"/>
      <w:r w:rsidRPr="00103A0B">
        <w:rPr>
          <w:rFonts w:ascii="Arial" w:hAnsi="Arial" w:cs="Arial"/>
          <w:b/>
          <w:bCs/>
          <w:sz w:val="24"/>
          <w:szCs w:val="24"/>
        </w:rPr>
        <w:t xml:space="preserve">2.3.5 </w:t>
      </w:r>
      <w:r w:rsidR="00324C56" w:rsidRPr="00103A0B">
        <w:rPr>
          <w:rFonts w:ascii="Arial" w:hAnsi="Arial" w:cs="Arial"/>
          <w:b/>
          <w:bCs/>
          <w:sz w:val="24"/>
          <w:szCs w:val="24"/>
        </w:rPr>
        <w:t xml:space="preserve">Reasons for </w:t>
      </w:r>
      <w:r w:rsidR="00181EB6" w:rsidRPr="00103A0B">
        <w:rPr>
          <w:rFonts w:ascii="Arial" w:hAnsi="Arial" w:cs="Arial"/>
          <w:b/>
          <w:bCs/>
          <w:sz w:val="24"/>
          <w:szCs w:val="24"/>
        </w:rPr>
        <w:t>D</w:t>
      </w:r>
      <w:r w:rsidR="00324C56" w:rsidRPr="00103A0B">
        <w:rPr>
          <w:rFonts w:ascii="Arial" w:hAnsi="Arial" w:cs="Arial"/>
          <w:b/>
          <w:bCs/>
          <w:sz w:val="24"/>
          <w:szCs w:val="24"/>
        </w:rPr>
        <w:t>ropout</w:t>
      </w:r>
      <w:bookmarkEnd w:id="99"/>
    </w:p>
    <w:p w14:paraId="7380DF3F" w14:textId="6BE5096F" w:rsidR="00D613D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Eighteen DPPs reported reasons for participant dropout. These included: lost interest </w:t>
      </w:r>
      <w:r w:rsidRPr="00103A0B">
        <w:rPr>
          <w:rFonts w:ascii="Arial" w:eastAsia="Times New Roman" w:hAnsi="Arial" w:cs="Arial"/>
          <w:sz w:val="24"/>
          <w:szCs w:val="24"/>
          <w:lang w:eastAsia="en-GB"/>
        </w:rPr>
        <w:fldChar w:fldCharType="begin" w:fldLock="1"/>
      </w:r>
      <w:r w:rsidR="00643C08" w:rsidRPr="00103A0B">
        <w:rPr>
          <w:rFonts w:ascii="Arial" w:eastAsia="Times New Roman" w:hAnsi="Arial" w:cs="Arial"/>
          <w:sz w:val="24"/>
          <w:szCs w:val="24"/>
          <w:lang w:eastAsia="en-GB"/>
        </w:rPr>
        <w:instrText>ADDIN CSL_CITATION {"citationItems":[{"id":"ITEM-1","itemData":{"DOI":"10.1016/j.puhe.2014.11.001","ISBN":"1476-5616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Health","id":"ITEM-1","issued":{"date-parts":[["2014"]]},"page":"674-77","publisher":"The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trial","type":"article-journal","volume":"128"},"uris":["http://www.mendeley.com/documents/?uuid=1abeaa8a-5178-4243-9733-7fd8d5ef92d5"]},{"id":"ITEM-2","itemData":{"DOI":"10.2105/AJPH.2015.303035","ISBN":"0090-0036","ISSN":"15410048","PMID":"26890171","abstract":"OBJECTIVES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Health","id":"ITEM-2","issue":"5","issued":{"date-parts":[["2016"]]},"page":"949-956","title":"Comparison of commercial and self-initiated weight loss programs in people with prediabetes: a randomized control trial","type":"article-journal","volume":"106"},"uris":["http://www.mendeley.com/documents/?uuid=e4e3235a-a86a-4b63-ad04-9e4c2402dc1e"]},{"id":"ITEM-3","itemData":{"DOI":"10.1038/nutd.2017.21","ISSN":"20444052","PMID":"28481335","abstract":"BACKGROUND/OBJECTIVES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Diabetes","id":"ITEM-3","issue":"5","issued":{"date-parts":[["2017"]]},"publisher":"Nature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trial","type":"article-journal","volume":"7"},"uris":["http://www.mendeley.com/documents/?uuid=ba6a8911-5dde-419e-ad66-d3475db4b9ce","http://www.mendeley.com/documents/?uuid=a87e0ac4-eae2-41ac-9726-364be8e5c4e8"]}],"mendeley":{"formattedCitation":"(Bernstein, A.M., Gendy, G., Rudd, N., Doyle, J., Fay, S., Moffett, K., 2014; Duijzer et al., 2017; Marrero et al., 2016)","manualFormatting":"(Bernstein, Gendy, Rudd, Doyle, Fay, Moffett, 2014; Duijzer et al., 2017; Marrero et al., 2016)","plainTextFormattedCitation":"(Bernstein, A.M., Gendy, G., Rudd, N., Doyle, J., Fay, S., Moffett, K., 2014; Duijzer et al., 2017; Marrero et al., 2016)","previouslyFormattedCitation":"(Bernstein, A.M., Gendy, G., Rudd, N., Doyle, J., Fay, S., Moffett, K., 2014; Duijzer et al., 2017; Marrero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(Bernstein, Gendy, Rudd, Doyle, Fay, Moffett, 2014; Duijzer et al., 2017; Marrero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doctors specifying that participant’s raised blood sugar does not need attention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Health","id":"ITEM-1","issued":{"date-parts":[["2010"]]},"page":"232-39","title":"Results of a pilot diabetes prevention intervention in East Harlem, New York city: project HEED","type":"article-journal","volume":"100"},"uris":["http://www.mendeley.com/documents/?uuid=6ca00620-5eb7-44be-86f5-e0fe0414de89"]}],"mendeley":{"formattedCitation":"(Parikh et al., 2010)","plainTextFormattedCitation":"(Parikh et al., 2010)","previouslyFormattedCitation":"(Parikh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(Parikh et al.,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unable to commit to intervention schedule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Health","id":"ITEM-1","issued":{"date-parts":[["2014"]]},"page":"674-77","publisher":"The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trial","type":"article-journal","volume":"128"},"uris":["http://www.mendeley.com/documents/?uuid=1abeaa8a-5178-4243-9733-7fd8d5ef92d5"]},{"id":"ITEM-2","itemData":{"DOI":"10.2337/dc12-1250","ISBN":"0149-5992\\r1935-5548","ISSN":"01495992","PMID":"23275375","abstract":"OBJECTIVE: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Care","id":"ITEM-2","issue":"7","issued":{"date-parts":[["2013"]]},"page":"2027-2034","title":"Translating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project","type":"article-journal","volume":"36"},"uris":["http://www.mendeley.com/documents/?uuid=6fb8d6ab-39ae-48b6-b78a-5dcf85b9cf0a"]},{"id":"ITEM-3","itemData":{"DOI":"10.2105/AJPH.2015.303035","ISBN":"0090-0036","ISSN":"15410048","PMID":"26890171","abstract":"OBJECTIVES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Health","id":"ITEM-3","issue":"5","issued":{"date-parts":[["2016"]]},"page":"949-956","title":"Comparison of commercial and self-initiated weight loss programs in people with prediabetes: a randomized control trial","type":"article-journal","volume":"106"},"uris":["http://www.mendeley.com/documents/?uuid=e4e3235a-a86a-4b63-ad04-9e4c2402dc1e"]},{"id":"ITEM-4","itemData":{"DOI":"10.1016/j.jneb.2015.12.002","ISBN":"1499-4046","ISSN":"14994046","PMID":"26787601","abstract":"Objective: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Behavior","id":"ITEM-4","issue":"3","issued":{"date-parts":[["2016"]]},"page":"160-69","publisher":"Elsevier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trial","type":"article-journal","volume":"48"},"uris":["http://www.mendeley.com/documents/?uuid=2d8c03a8-0024-4655-930b-c43e21a3fdf8"]},{"id":"ITEM-5","itemData":{"DOI":"10.1186/s12889-017-4977-1","ISSN":"1471-2458","abstract":"Background: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Health","id":"ITEM-5","issue":"97","issued":{"date-parts":[["2018"]]},"note":"Accession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project).","type":"article-journal","volume":"18"},"uris":["http://www.mendeley.com/documents/?uuid=b3aa252e-2de7-4e59-bd02-07d1564e1b32"]},{"id":"ITEM-6","itemData":{"DOI":"10.1093/tbm/ibx064","ISSN":"1613-9860","abstract":"The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Medicine","id":"ITEM-6","issue":"2","issued":{"date-parts":[["2018"]]},"note":"Accession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illness.","type":"article-journal","volume":"8"},"uris":["http://www.mendeley.com/documents/?uuid=25ddcc05-70f1-4333-9e99-b9d202b84d0d"]},{"id":"ITEM-7","itemData":{"DOI":"10.1097/jnr.0000000000000225","ISSN":"1682-3141","abstract":"Background: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Research","id":"ITEM-7","issue":"3","issued":{"date-parts":[["2018"]]},"note":"Accession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mellitus.","type":"article-journal","volume":"26"},"uris":["http://www.mendeley.com/documents/?uuid=7921dfb5-19a6-4219-b142-8d615dab9ad0"]}],"mendeley":{"formattedCitation":"(Bernstein, A.M., Gendy, G., Rudd, N., Doyle, J., Fay, S., Moffett, K., 2014; Gilis-Januszewska, Piwońska-Solska, et al., 2018; Jiang et al., 2013; Marrero et al., 2016; Miller et al., 2016; Quiñones et al., 2018; Tsai et al., 2018)","manualFormatting":"(Bernstein, Gendy, Rudd, Doyle, Fay, Moffett, 2014; Gilis-Januszewska, Piwońska-Solska, et al., 2018; Jiang et al., 2013; Marrero et al., 2016; Miller et al., 2016; Quiñones et al., 2018; Tsai et al., 2018)","plainTextFormattedCitation":"(Bernstein, A.M., Gendy, G., Rudd, N., Doyle, J., Fay, S., Moffett, K., 2014; Gilis-Januszewska, Piwońska-Solska, et al., 2018; Jiang et al., 2013; Marrero et al., 2016; Miller et al., 2016; Quiñones et al., 2018; Tsai et al., 2018)","previouslyFormattedCitation":"(Bernstein, A.M., Gendy, G., Rudd, N., Doyle, J., Fay, S., Moffett, K., 2014; Gilis-Januszewska, Piwońska-Solska, et al., 2018; Jiang et al., 2013; Marrero et al., 2016; Miller et al., 2016; Quiñones et al., 2018; Tsai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(Bernstein, Gendy, Rud</w:t>
      </w:r>
      <w:r w:rsidR="00ED6AB2" w:rsidRPr="00103A0B">
        <w:rPr>
          <w:rFonts w:ascii="Arial" w:eastAsia="Times New Roman" w:hAnsi="Arial" w:cs="Arial"/>
          <w:noProof/>
          <w:sz w:val="24"/>
          <w:szCs w:val="24"/>
          <w:lang w:eastAsia="en-GB"/>
        </w:rPr>
        <w:t>d</w:t>
      </w:r>
      <w:r w:rsidR="001B5F7B" w:rsidRPr="00103A0B">
        <w:rPr>
          <w:rFonts w:ascii="Arial" w:eastAsia="Times New Roman" w:hAnsi="Arial" w:cs="Arial"/>
          <w:noProof/>
          <w:sz w:val="24"/>
          <w:szCs w:val="24"/>
          <w:lang w:eastAsia="en-GB"/>
        </w:rPr>
        <w:t>, Doyle, Fay, Moffett, 2014; Gilis-Januszewska, Piwońska-Solska, et al., 2018; Jiang et al., 2013; Marrero et al., 2016; Miller et al., 2016; Quiñones et al., 2018; Tsai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time constraints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Health","id":"ITEM-1","issue":"249","issued":{"date-parts":[["2007"]]},"title":"Prevention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project","type":"article-journal","volume":"7"},"uris":["http://www.mendeley.com/documents/?uuid=ef090087-0d56-42cf-8079-ddbfceb8d350"]},{"id":"ITEM-2","itemData":{"DOI":"10.2105/AJPH.2011.300357","ISBN":"1541-0048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Health","id":"ITEM-2","issue":"2","issued":{"date-parts":[["2012"]]},"page":"336-342","title":"Outcomes of a Latino community-based intervention for the prevention of diabetes: the lawrence Latino diabetes prevention project","type":"article-journal","volume":"102"},"uris":["http://www.mendeley.com/documents/?uuid=6b9cb080-dc52-4e71-a5c6-bb5e3c90945b"]},{"id":"ITEM-3","itemData":{"DOI":"10.2337/dc09-0130.","ISBN":"0149-5992","ISSN":"1935-5548","PMID":"19602539","abstract":"OBJECTIVE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care","id":"ITEM-3","issued":{"date-parts":[["2009"]]},"page":"1404-10","title":"Effectiveness of a pragmatic education program designed to promote walking activity in individuals with impaired glucose tolerance","type":"article-journal","volume":"32"},"uris":["http://www.mendeley.com/documents/?uuid=f022eff7-34b4-4911-8936-eba8ff61941e"]},{"id":"ITEM-4","itemData":{"DOI":"10.1186/s12889-017-4977-1","ISSN":"1471-2458","abstract":"Background: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Health","id":"ITEM-4","issue":"97","issued":{"date-parts":[["2018"]]},"note":"Accession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project).","type":"article-journal","volume":"18"},"uris":["http://www.mendeley.com/documents/?uuid=b3aa252e-2de7-4e59-bd02-07d1564e1b32"]},{"id":"ITEM-5","itemData":{"DOI":"10.1038/nutd.2017.21","ISSN":"20444052","PMID":"28481335","abstract":"BACKGROUND/OBJECTIVES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Diabetes","id":"ITEM-5","issue":"5","issued":{"date-parts":[["2017"]]},"publisher":"Nature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trial","type":"article-journal","volume":"7"},"uris":["http://www.mendeley.com/documents/?uuid=ba6a8911-5dde-419e-ad66-d3475db4b9ce","http://www.mendeley.com/documents/?uuid=a87e0ac4-eae2-41ac-9726-364be8e5c4e8"]}],"mendeley":{"formattedCitation":"(Duijzer et al., 2017; Gilis-Januszewska, Piwońska-Solska, et al., 2018; Laatikainen et al., 2007; Ockene et al., 2012; Yates et al., 2009)","plainTextFormattedCitation":"(Duijzer et al., 2017; Gilis-Januszewska, Piwońska-Solska, et al., 2018; Laatikainen et al., 2007; Ockene et al., 2012; Yates et al., 2009)","previouslyFormattedCitation":"(Duijzer et al., 2017; Gilis-Januszewska, Piwońska-Solska, et al., 2018; Laatikainen et al., 2007; Ockene et al., 2012;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(Duijzer et al., 2017; Gilis-Januszewska, Piwońska-Solska, et al., 2018; Laatikainen et al., 2007; Ockene et al., 2012; 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caring for ill family member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trial","type":"article-journal","volume":"48"},"uris":["http://www.mendeley.com/documents/?uuid=2d8c03a8-0024-4655-930b-c43e21a3fdf8"]}],"mendeley":{"formattedCitation":"(Miller et al., 2016)","plainTextFormattedCitation":"(Miller et al., 2016)","previouslyFormattedCitation":"(Miller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(Miller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distance was too far </w:t>
      </w:r>
      <w:r w:rsidRPr="00103A0B">
        <w:rPr>
          <w:rFonts w:ascii="Arial" w:eastAsia="Times New Roman" w:hAnsi="Arial" w:cs="Arial"/>
          <w:sz w:val="24"/>
          <w:szCs w:val="24"/>
          <w:lang w:eastAsia="en-GB"/>
        </w:rPr>
        <w:fldChar w:fldCharType="begin" w:fldLock="1"/>
      </w:r>
      <w:r w:rsidR="00643C08" w:rsidRPr="00103A0B">
        <w:rPr>
          <w:rFonts w:ascii="Arial" w:eastAsia="Times New Roman" w:hAnsi="Arial" w:cs="Arial"/>
          <w:sz w:val="24"/>
          <w:szCs w:val="24"/>
          <w:lang w:eastAsia="en-GB"/>
        </w:rPr>
        <w:instrText>ADDIN CSL_CITATION {"citationItems":[{"id":"ITEM-1","itemData":{"DOI":"10.1016/j.puhe.2014.11.001","ISBN":"1476-5616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Health","id":"ITEM-1","issued":{"date-parts":[["2014"]]},"page":"674-77","publisher":"The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trial","type":"article-journal","volume":"128"},"uris":["http://www.mendeley.com/documents/?uuid=1abeaa8a-5178-4243-9733-7fd8d5ef92d5"]}],"mendeley":{"formattedCitation":"(Bernstein, A.M., Gendy, G., Rudd, N., Doyle, J., Fay, S., Moffett, K., 2014)","manualFormatting":"(Bernstein, Gendy, Rudd, Doyle, Fay, Moffett, 2014)","plainTextFormattedCitation":"(Bernstein, A.M., Gendy, G., Rudd, N., Doyle, J., Fay, S., Moffett, K., 2014)","previouslyFormattedCitation":"(Bernstein, A.M., Gendy, G., Rudd, N., Doyle, J., Fay, S., Moffett, K., 2014)"},"properties":{"noteIndex":0},"schema":"https://github.com/citation-style-language/schema/raw/master/csl-citation.json"}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(Bernstein, Gendy, Rudd, Doyle, Fay, Moffett, 2014)</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lack of transport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Health","id":"ITEM-1","issue":"249","issued":{"date-parts":[["2007"]]},"title":"Prevention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project","type":"article-journal","volume":"7"},"uris":["http://www.mendeley.com/documents/?uuid=ef090087-0d56-42cf-8079-ddbfceb8d350"]},{"id":"ITEM-2","itemData":{"DOI":"10.2105/AJPH.2015.303035","ISBN":"0090-0036","ISSN":"15410048","PMID":"26890171","abstract":"OBJECTIVES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Health","id":"ITEM-2","issue":"5","issued":{"date-parts":[["2016"]]},"page":"949-956","title":"Comparison of commercial and self-initiated weight loss programs in people with prediabetes: a randomized control trial","type":"article-journal","volume":"106"},"uris":["http://www.mendeley.com/documents/?uuid=e4e3235a-a86a-4b63-ad04-9e4c2402dc1e"]}],"mendeley":{"formattedCitation":"(Laatikainen et al., 2007; Marrero et al., 2016)","plainTextFormattedCitation":"(Laatikainen et al., 2007; Marrero et al., 2016)","previouslyFormattedCitation":"(Laatikainen et al., 2007; Marrero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(Laatikainen et al., 2007; Marrero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fuel costs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Health","id":"ITEM-1","issue":"249","issued":{"date-parts":[["2007"]]},"title":"Prevention of type 2 diabetes by lifestyle intervention in an Australian primary health care setting: greater green triangle (GGT) diabetes prevention project","type":"article-journal","volume":"7"},"uris":["http://www.mendeley.com/documents/?uuid=ef090087-0d56-42cf-8079-ddbfceb8d350"]}],"mendeley":{"formattedCitation":"(Laatikainen et al., 2007)","plainTextFormattedCitation":"(Laatikainen et al., 2007)","previouslyFormattedCitation":"(Laatikainen et al., 2007)"},"properties":{"noteIndex":0},"schema":"https://github.com/citation-style-language/schema/raw/master/csl-citation.json"}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(Laatikainen et al., 2007)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relocation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Metabolism","id":"ITEM-1","issue":"5","issued":{"date-parts":[["2011"]]},"page":"410-418","publisher":"Elsevier Masson SAS","title":"A cost-effective moderate-intensity interdisciplinary weight-management programme for individuals with prediabetes","type":"article-journal","volume":"37"},"uris":["http://www.mendeley.com/documents/?uuid=41ec2ecb-3bf5-4b9a-b2fd-15933532a929"]},{"id":"ITEM-2","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Care","id":"ITEM-2","issue":"7","issued":{"date-parts":[["2013"]]},"page":"2027-2034","title":"Translating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project","type":"article-journal","volume":"36"},"uris":["http://www.mendeley.com/documents/?uuid=6fb8d6ab-39ae-48b6-b78a-5dcf85b9cf0a"]},{"id":"ITEM-3","itemData":{"DOI":"10.2105/AJPH.2015.303035","ISBN":"0090-0036","ISSN":"15410048","PMID":"26890171","abstract":"OBJECTIVES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Health","id":"ITEM-3","issue":"5","issued":{"date-parts":[["2016"]]},"page":"949-956","title":"Comparison of commercial and self-initiated weight loss programs in people with prediabetes: a randomized control trial","type":"article-journal","volume":"106"},"uris":["http://www.mendeley.com/documents/?uuid=e4e3235a-a86a-4b63-ad04-9e4c2402dc1e"]},{"id":"ITEM-4","itemData":{"DOI":"10.2105/AJPH.2011.300357","ISBN":"1541-0048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Health","id":"ITEM-4","issue":"2","issued":{"date-parts":[["2012"]]},"page":"336-342","title":"Outcomes of a Latino community-based intervention for the prevention of diabetes: the lawrence Latino diabetes prevention project","type":"article-journal","volume":"102"},"uris":["http://www.mendeley.com/documents/?uuid=6b9cb080-dc52-4e71-a5c6-bb5e3c90945b"]},{"id":"ITEM-5","itemData":{"DOI":"10.1016/j.nutres.2010.03.003","ISBN":"0271-5317","ISSN":"02715317","PMID":"20417879","abstract":"The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Research","id":"ITEM-5","issue":"3","issued":{"date-parts":[["2010"]]},"page":"186-190","publisher":"Elsevier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tolerance","type":"article-journal","volume":"30"},"uris":["http://www.mendeley.com/documents/?uuid=24bc950c-bfd2-4632-8ad0-a20eee1f7dc8"]},{"id":"ITEM-6","itemData":{"DOI":"10.1186/1471-2458-11-40","ISBN":"1471-2458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health","id":"ITEM-6","issue":"1","issued":{"date-parts":[["2011"]]},"page":"40","title":"Prevention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tolerance","type":"article-journal","volume":"11"},"uris":["http://www.mendeley.com/documents/?uuid=19b949f0-5835-408a-87b0-6bbcfceadb30"]},{"id":"ITEM-7","itemData":{"DOI":"10.2337/dc09-0130.","ISBN":"0149-5992","ISSN":"1935-5548","PMID":"19602539","abstract":"OBJECTIVE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care","id":"ITEM-7","issued":{"date-parts":[["2009"]]},"page":"1404-10","title":"Effectiveness of a pragmatic education program designed to promote walking activity in individuals with impaired glucose tolerance","type":"article-journal","volume":"32"},"uris":["http://www.mendeley.com/documents/?uuid=f022eff7-34b4-4911-8936-eba8ff61941e"]},{"id":"ITEM-8","itemData":{"ISBN":"00900036","ISSN":"00900036","PMID":"52016494","abstract":"Objectives.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Health","id":"ITEM-8","issued":{"date-parts":[["2010"]]},"page":"232-39","title":"Results of a pilot diabetes prevention intervention in East Harlem, New York city: project HEED","type":"article-journal","volume":"100"},"uris":["http://www.mendeley.com/documents/?uuid=6ca00620-5eb7-44be-86f5-e0fe0414de89"]},{"id":"ITEM-9","itemData":{"DOI":"10.1177/2150132719847374","author":[{"dropping-particle":"","family":"Aekplakorn","given":"Wichai","non-dropping-particle":"","parse-names":false,"suffix":""},{"dropping-particle":"","family":"Tantayotai","given":"Valla","non-dropping-particle":"","parse-names":false,"suffix":""},{"dropping-particle":"","family":"Numsangkul","given":"Sakawduan","non-dropping-particle":"","parse-names":false,"suffix":""},{"dropping-particle":"","family":"Tatsato","given":"Nutchanat","non-dropping-particle":"","parse-names":false,"suffix":""},{"dropping-particle":"","family":"Luckanajantachote","given":"Pranee","non-dropping-particle":"","parse-names":false,"suffix":""}],"container-title":"Journal of Primary Care and Community Health","id":"ITEM-9","issued":{"date-parts":[["2019"]]},"page":"1-8","title":"Evaluation of a community-based diabetes prevention program in Thailand : a cluster randomized controlled trial","type":"article-journal","volume":"10"},"uris":["http://www.mendeley.com/documents/?uuid=8b3b4c2b-0469-4192-909b-c057fc6c5460"]}],"mendeley":{"formattedCitation":"(Aekplakorn et al., 2019; Gagnon et al., 2011; Jiang et al., 2013; Marrero et al., 2016; Ockene et al., 2012; Parikh et al., 2010; Pimentel et al., 2010; Sakane et al., 2011; Yates et al., 2009)","plainTextFormattedCitation":"(Aekplakorn et al., 2019; Gagnon et al., 2011; Jiang et al., 2013; Marrero et al., 2016; Ockene et al., 2012; Parikh et al., 2010; Pimentel et al., 2010; Sakane et al., 2011; Yates et al., 2009)","previouslyFormattedCitation":"(Aekplakorn et al., 2019; Gagnon et al., 2011; Jiang et al., 2013; Marrero et al., 2016; Ockene et al., 2012; Parikh et al., 2010; Pimentel et al., 2010; Sakane et al., 2011;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 xml:space="preserve">(Aekplakorn et al., 2019; Gagnon et al., 2011; Jiang et al., 2013; Marrero et al., 2016; Ockene et al., 2012; </w:t>
      </w:r>
      <w:r w:rsidR="001B5F7B" w:rsidRPr="00103A0B">
        <w:rPr>
          <w:rFonts w:ascii="Arial" w:eastAsia="Times New Roman" w:hAnsi="Arial" w:cs="Arial"/>
          <w:noProof/>
          <w:sz w:val="24"/>
          <w:szCs w:val="24"/>
          <w:lang w:eastAsia="en-GB"/>
        </w:rPr>
        <w:lastRenderedPageBreak/>
        <w:t>Parikh et al., 2010; Pimentel et al., 2010; Sakane et al., 2011; 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holiday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care","id":"ITEM-1","issued":{"date-parts":[["2009"]]},"page":"1404-10","title":"Effectiveness of a pragmatic education program designed to promote walking activity in individuals with impaired glucose tolerance","type":"article-journal","volume":"32"},"uris":["http://www.mendeley.com/documents/?uuid=f022eff7-34b4-4911-8936-eba8ff61941e"]}],"mendeley":{"formattedCitation":"(Yates et al., 2009)","plainTextFormattedCitation":"(Yates et al., 2009)","previouslyFormattedCitation":"(Yates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work commitments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care","id":"ITEM-1","issued":{"date-parts":[["2009"]]},"page":"1404-10","title":"Effectiveness of a pragmatic education program designed to promote walking activity in individuals with impaired glucose tolerance","type":"article-journal","volume":"32"},"uris":["http://www.mendeley.com/documents/?uuid=f022eff7-34b4-4911-8936-eba8ff61941e"]}],"mendeley":{"formattedCitation":"(Yates et al., 2009)","plainTextFormattedCitation":"(Yates et al., 2009)","previouslyFormattedCitation":"(Yates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family/health related issues or conditions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Health","id":"ITEM-1","issue":"249","issued":{"date-parts":[["2007"]]},"title":"Prevention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project","type":"article-journal","volume":"7"},"uris":["http://www.mendeley.com/documents/?uuid=ef090087-0d56-42cf-8079-ddbfceb8d350"]},{"id":"ITEM-2","itemData":{"DOI":"10.2105/AJPH.2015.303035","ISBN":"0090-0036","ISSN":"15410048","PMID":"26890171","abstract":"OBJECTIVES To determine if a widely available weight-management program (Weight Watchers) could achieve sufficient weight loss in persons with prediabetes compared with a Diabetes Prevention Program-based individual counseling program supported by National Diabetes Education Program materials. METHODS We conducted an individual, randomized intervention trial in Indianapolis, Indiana, in 2013 to 2014, in 225 persons with prediabetes. We compared the Weight Watchers weight-management program (n = 112) with Your Game Plan to Prevent Type 2 Diabetes, a program developed by the National Diabetes Education Program. Outcomes were weight and metabolic markers measured at baseline, 6 months, and 12 months. RESULTS Intervention participants lost significantly more weight than controls at 6 months (5.5% vs 0.8%) and 12 months (5.5% vs 0.2%; both P &lt; .001). The intervention group also had significantly greater improvements in hemoglobin A1c and high-density lipoprotein cholesterol level than did controls. CONCLUSIONS A large weight-management program is effective for achieving lifestyle changes associated with diabetes prevention. Such programs could significantly increase the availability of diabetes prevention programs worldwide making an immediate and significant public health impact. (Am J Public Health. Published online ahead of print February 18, 2016: e1-e8. doi:10.2105/AJPH.2015.303035).","author":[{"dropping-particle":"","family":"Marrero","given":"David G.","non-dropping-particle":"","parse-names":false,"suffix":""},{"dropping-particle":"","family":"Palmer","given":"Kelly N B","non-dropping-particle":"","parse-names":false,"suffix":""},{"dropping-particle":"","family":"Phillips","given":"Erin O.","non-dropping-particle":"","parse-names":false,"suffix":""},{"dropping-particle":"","family":"Miller-Kovach","given":"Karen","non-dropping-particle":"","parse-names":false,"suffix":""},{"dropping-particle":"","family":"Foster","given":"Gary D.","non-dropping-particle":"","parse-names":false,"suffix":""},{"dropping-particle":"","family":"Saha","given":"Chandan K.","non-dropping-particle":"","parse-names":false,"suffix":""}],"container-title":"American Journal of Public Health","id":"ITEM-2","issue":"5","issued":{"date-parts":[["2016"]]},"page":"949-956","title":"Comparison of commercial and self-initiated weight loss programs in people with prediabetes: a randomized control trial","type":"article-journal","volume":"106"},"uris":["http://www.mendeley.com/documents/?uuid=e4e3235a-a86a-4b63-ad04-9e4c2402dc1e"]},{"id":"ITEM-3","itemData":{"DOI":"10.2105/AJPH.2011.300357","ISBN":"1541-0048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Health","id":"ITEM-3","issue":"2","issued":{"date-parts":[["2012"]]},"page":"336-342","title":"Outcomes of a Latino community-based intervention for the prevention of diabetes: the lawrence Latino diabetes prevention project","type":"article-journal","volume":"102"},"uris":["http://www.mendeley.com/documents/?uuid=6b9cb080-dc52-4e71-a5c6-bb5e3c90945b"]},{"id":"ITEM-4","itemData":{"DOI":"10.1186/1471-2458-11-40","ISBN":"1471-2458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health","id":"ITEM-4","issue":"1","issued":{"date-parts":[["2011"]]},"page":"40","title":"Prevention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tolerance","type":"article-journal","volume":"11"},"uris":["http://www.mendeley.com/documents/?uuid=19b949f0-5835-408a-87b0-6bbcfceadb30"]},{"id":"ITEM-5","itemData":{"DOI":"10.2337/dc09-0130.","ISBN":"0149-5992","ISSN":"1935-5548","PMID":"19602539","abstract":"OBJECTIVE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care","id":"ITEM-5","issued":{"date-parts":[["2009"]]},"page":"1404-10","title":"Effectiveness of a pragmatic education program designed to promote walking activity in individuals with impaired glucose tolerance","type":"article-journal","volume":"32"},"uris":["http://www.mendeley.com/documents/?uuid=f022eff7-34b4-4911-8936-eba8ff61941e"]},{"id":"ITEM-6","itemData":{"ISBN":"00900036","ISSN":"00900036","PMID":"52016494","abstract":"Objectives.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Health","id":"ITEM-6","issued":{"date-parts":[["2010"]]},"page":"232-39","title":"Results of a pilot diabetes prevention intervention in East Harlem, New York city: project HEED","type":"article-journal","volume":"100"},"uris":["http://www.mendeley.com/documents/?uuid=6ca00620-5eb7-44be-86f5-e0fe0414de89"]},{"id":"ITEM-7","itemData":{"DOI":"10.1093/tbm/ibx064","ISSN":"1613-9860","abstract":"The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Medicine","id":"ITEM-7","issue":"2","issued":{"date-parts":[["2018"]]},"note":"Accession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illness.","type":"article-journal","volume":"8"},"uris":["http://www.mendeley.com/documents/?uuid=25ddcc05-70f1-4333-9e99-b9d202b84d0d"]},{"id":"ITEM-8","itemData":{"DOI":"10.1097/jnr.0000000000000225","ISSN":"1682-3141","abstract":"Background: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Research","id":"ITEM-8","issue":"3","issued":{"date-parts":[["2018"]]},"note":"Accession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mellitus.","type":"article-journal","volume":"26"},"uris":["http://www.mendeley.com/documents/?uuid=7921dfb5-19a6-4219-b142-8d615dab9ad0"]},{"id":"ITEM-9","itemData":{"DOI":"10.1038/nutd.2017.21","ISSN":"20444052","PMID":"28481335","abstract":"BACKGROUND/OBJECTIVES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Diabetes","id":"ITEM-9","issue":"5","issued":{"date-parts":[["2017"]]},"publisher":"Nature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trial","type":"article-journal","volume":"7"},"uris":["http://www.mendeley.com/documents/?uuid=ba6a8911-5dde-419e-ad66-d3475db4b9ce","http://www.mendeley.com/documents/?uuid=a87e0ac4-eae2-41ac-9726-364be8e5c4e8"]}],"mendeley":{"formattedCitation":"(Duijzer et al., 2017; Laatikainen et al., 2007; Marrero et al., 2016; Ockene et al., 2012; Parikh et al., 2010; Quiñones et al., 2018; Sakane et al., 2011; Tsai et al., 2018; Yates et al., 2009)","manualFormatting":"(Duijzer et al., 2017; Laatikainen et al., 2007; Marrero et al., 2016; Ockene et al., 2012; Parikh et al., 2010; Quiñones et al., 2018; Sakane et al., 2011; Tsai et al., 2018; Yates et al., 2009)","plainTextFormattedCitation":"(Duijzer et al., 2017; Laatikainen et al., 2007; Marrero et al., 2016; Ockene et al., 2012; Parikh et al., 2010; Quiñones et al., 2018; Sakane et al., 2011; Tsai et al., 2018; Yates et al., 2009)","previouslyFormattedCitation":"(Duijzer et al., 2017; Laatikainen et al., 2007; Marrero et al., 2016; Ockene et al., 2012; Parikh et al., 2010; Quiñones et al., 2018; Sakane et al., 2011; Tsai et al., 2018;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(Duijzer et al., 2017; Laatikainen et al., 2007; Marrero et al., 2016; Ockene et al., 2012; Parikh et al., 2010; Quiñones et al., 2018; Sakane et al., 2011; Tsai et al., 2018; 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hospitalisation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Medicine","id":"ITEM-1","issue":"2","issued":{"date-parts":[["2018"]]},"note":"Accession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illness.","type":"article-journal","volume":"8"},"uris":["http://www.mendeley.com/documents/?uuid=25ddcc05-70f1-4333-9e99-b9d202b84d0d"]}],"mendeley":{"formattedCitation":"(Quiñones et al., 2018)","manualFormatting":"(Quiñones et al., 2018)","plainTextFormattedCitation":"(Quiñones et al., 2018)","previouslyFormattedCitation":"(Quiñones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(Quiñones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stress due to weight gain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trial","type":"article-journal","volume":"48"},"uris":["http://www.mendeley.com/documents/?uuid=2d8c03a8-0024-4655-930b-c43e21a3fdf8"]}],"mendeley":{"formattedCitation":"(Miller et al., 2016)","plainTextFormattedCitation":"(Miller et al., 2016)","previouslyFormattedCitation":"(Miller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(Miller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pregnancy/disability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One","id":"ITEM-1","issue":"1","issued":{"date-parts":[["2016"]]},"page":"e0146095","title":"Long-term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island","type":"article-journal","volume":"11"},"uris":["http://www.mendeley.com/documents/?uuid=e072a9e3-f17a-48e3-98af-f3db4a1c8ee3"]},{"id":"ITEM-2","itemData":{"DOI":"10.2337/dc09-0130.","ISBN":"0149-5992","ISSN":"1935-5548","PMID":"19602539","abstract":"OBJECTIVE To investigate whether a pragmatic structured education program with and without pedometer use is effective for promoting physical activity and improving glucose tolerance in those with impaired glucose tolerance (IGT). RESEARCH DESIGN AND METHODS Overweight and obese individuals with IGT were recruited from ongoing screening studies at the University Hospitals of Leicester, U.K. Participants were randomly assigned to one of three groups. Group 1 received a 3-h group-based structured education program designed to promote walking activity using personalized steps-per-day goals and pedometers. Group 2 received a 3-h group-based structured education program designed to promote walking activity using generic time-based goals. Group 3 received a brief information leaflet (control condition). Outcomes included an oral glucose tolerance test, standard anthropometric measures, ambulatory activity, and psychological variables. Follow-up was conducted at 3, 6, and 12 months. RESULTS A total of 87 individuals (66% male, mean age 65 years) were included in this study. At 12 months, significant decreases in 2-h postchallenge glucose and fasting glucose of -1.31 mmol/l (95% CI -2.20 to -0.43) and -0.32 mmol/l (-0.59 to -0.03), respectively, were seen in the pedometer group compared with the control group. No significant improvements in glucose control were seen in those given the standard education program. CONCLUSIONS This study suggests that a pragmatic structured education program that incorporates pedometer use is effective for improving glucose tolerance in those with IGT. This result is likely to have important implications for future primary care-based diabetes prevention initiatives.","author":[{"dropping-particle":"","family":"Yates","given":"Thomas","non-dropping-particle":"","parse-names":false,"suffix":""},{"dropping-particle":"","family":"Davies","given":"Melanie","non-dropping-particle":"","parse-names":false,"suffix":""},{"dropping-particle":"","family":"Gorley","given":"Trish","non-dropping-particle":"","parse-names":false,"suffix":""},{"dropping-particle":"","family":"Bull","given":"Fiona","non-dropping-particle":"","parse-names":false,"suffix":""},{"dropping-particle":"","family":"Khunti","given":"Kamlesh","non-dropping-particle":"","parse-names":false,"suffix":""}],"container-title":"Diabetes care","id":"ITEM-2","issued":{"date-parts":[["2009"]]},"page":"1404-10","title":"Effectiveness of a pragmatic education program designed to promote walking activity in individuals with impaired glucose tolerance","type":"article-journal","volume":"32"},"uris":["http://www.mendeley.com/documents/?uuid=f022eff7-34b4-4911-8936-eba8ff61941e"]},{"id":"ITEM-3","itemData":{"ISBN":"00900036","ISSN":"00900036","PMID":"52016494","abstract":"Objectives.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Health","id":"ITEM-3","issued":{"date-parts":[["2010"]]},"page":"232-39","title":"Results of a pilot diabetes prevention intervention in East Harlem, New York city: project HEED","type":"article-journal","volume":"100"},"uris":["http://www.mendeley.com/documents/?uuid=6ca00620-5eb7-44be-86f5-e0fe0414de89"]},{"id":"ITEM-4","itemData":{"DOI":"10.1038/nutd.2017.21","ISSN":"20444052","PMID":"28481335","abstract":"BACKGROUND/OBJECTIVES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Diabetes","id":"ITEM-4","issue":"5","issued":{"date-parts":[["2017"]]},"publisher":"Nature Publishing Group","title":"Effect and maintenance of the SLIMMER diabetes prevention lifestyle intervention in Dutch primary healthcare: a randomised controlled trial","type":"article-journal","volume":"7"},"uris":["http://www.mendeley.com/documents/?uuid=ba6a8911-5dde-419e-ad66-d3475db4b9ce","http://www.mendeley.com/documents/?uuid=a87e0ac4-eae2-41ac-9726-364be8e5c4e8"]}],"mendeley":{"formattedCitation":"(Duijzer et al., 2017; Fianu et al., 2016; Parikh et al., 2010; Yates et al., 2009)","plainTextFormattedCitation":"(Duijzer et al., 2017; Fianu et al., 2016; Parikh et al., 2010; Yates et al., 2009)","previouslyFormattedCitation":"(Duijzer et al., 2017; Fianu et al., 2016; Parikh et al., 2010; Yates et al., 2009)"},"properties":{"noteIndex":0},"schema":"https://github.com/citation-style-language/schema/raw/master/csl-citation.json"}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(Duijzer et al., 2017; Fianu et al., 2016; Parikh et al., 2010; Yates et al., 2009)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or poor literacy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Health","id":"ITEM-1","issue":"249","issued":{"date-parts":[["2007"]]},"title":"Prevention of type 2 diabetes by lifestyle intervention in an Australian primary health care setting: greater green triangle (GGT) diabetes prevention project","type":"article-journal","volume":"7"},"uris":["http://www.mendeley.com/documents/?uuid=ef090087-0d56-42cf-8079-ddbfceb8d350"]}],"mendeley":{"formattedCitation":"(Laatikainen et al., 2007)","plainTextFormattedCitation":"(Laatikainen et al., 2007)","previouslyFormattedCitation":"(Laatikainen et al., 2007)"},"properties":{"noteIndex":0},"schema":"https://github.com/citation-style-language/schema/raw/master/csl-citation.json"}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(Laatikainen et al., 2007)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Compared with completers, non-completers were more likely to be male </w:t>
      </w:r>
      <w:r w:rsidRPr="00103A0B">
        <w:rPr>
          <w:rFonts w:ascii="Arial" w:hAnsi="Arial" w:cs="Arial"/>
        </w:rPr>
        <w:fldChar w:fldCharType="begin" w:fldLock="1"/>
      </w:r>
      <w:r w:rsidR="00810F86" w:rsidRPr="00103A0B">
        <w:rPr>
          <w:rFonts w:ascii="Arial" w:eastAsia="Times New Roman" w:hAnsi="Arial" w:cs="Arial"/>
          <w:sz w:val="24"/>
          <w:szCs w:val="24"/>
          <w:lang w:eastAsia="en-GB"/>
        </w:rPr>
        <w:instrText>ADDIN CSL_CITATION {"citationItems":[{"id":"ITEM-1","itemData":{"DOI":"10.1016/j.ypmed.2015.12.012","ISBN":"0091-7435","ISSN":"10960260","PMID":"26740346","abstract":"Objectives: Prevention of type 2 diabetes (T2DM) is a priority in healthcare, but there is a lack of evidence investigating how to effectively translate prevention research into a UK primary care setting. We assessed whether a structured education programme targeting lifestyle and behaviour change was effective at preventing progression to T2DM in people with pre-diabetes. Materials and methods: Forty-four general practices were randomised to receive either standard care or a 6. hour group structured education programme with an annual refresher course, and regular phone contact. Participants were followed up for 3. years. The primary outcome was progression to T2DM. Results: Eight hundred and eighty participants were included (36% female, mean age 64. years, 16% ethnic minority group); 131 participants developed T2DM. There was a non-significant 26% reduced risk of developing T2DM in the intervention arm compared to standard care (HR 0.74, 95% CI 0.48, 1.14, p= 0.18). The reduction in T2DM risk when excluding those who did not attend the initial education session was also non-significant (HR 0.65, 0.41, 1.03, p= 0.07). There were statistically significant improvements in HbA1c (- 0.06, - 0.11, - 0.01), LDL cholesterol (- 0.08, - 0.15, - 0.01), sedentary time (- 26.29, - 45.26, - 7.32) and step count (498.15, 162.10, 834.20) when data were analysed across all time points. Conclusions: This study suggests that a relatively low resource, pragmatic diabetes prevention programme resulted in modest benefits to biomedical, lifestyle and psychosocial outcomes, however the reduction to the risk of T2DM did not reach significance. The findings have important implications for future research and primary care.","author":[{"dropping-particle":"","family":"Davies","given":"Melanie J.","non-dropping-particle":"","parse-names":false,"suffix":""},{"dropping-particle":"","family":"Gray","given":"Laura J.","non-dropping-particle":"","parse-names":false,"suffix":""},{"dropping-particle":"","family":"Troughton","given":"Jacqui","non-dropping-particle":"","parse-names":false,"suffix":""},{"dropping-particle":"","family":"Gray","given":"Alastair","non-dropping-particle":"","parse-names":false,"suffix":""},{"dropping-particle":"","family":"Tuomilehto","given":"Jaakko","non-dropping-particle":"","parse-names":false,"suffix":""},{"dropping-particle":"","family":"Farooqi","given":"Azhar","non-dropping-particle":"","parse-names":false,"suffix":""},{"dropping-particle":"","family":"Khunti","given":"Kamlesh","non-dropping-particle":"","parse-names":false,"suffix":""},{"dropping-particle":"","family":"Yates","given":"Thomas","non-dropping-particle":"","parse-names":false,"suffix":""},{"dropping-particle":"","family":"Bancroft","given":"Mary","non-dropping-particle":"","parse-names":false,"suffix":""},{"dropping-particle":"","family":"Ahrabian","given":"Dariush","non-dropping-particle":"","parse-names":false,"suffix":""},{"dropping-particle":"","family":"Cowling","given":"Pauline","non-dropping-particle":"","parse-names":false,"suffix":""},{"dropping-particle":"","family":"Greaves","given":"Colin","non-dropping-particle":"","parse-names":false,"suffix":""},{"dropping-particle":"","family":"Sheppard","given":"David","non-dropping-particle":"","parse-names":false,"suffix":""},{"dropping-particle":"","family":"Leal","given":"Jose","non-dropping-particle":"","parse-names":false,"suffix":""},{"dropping-particle":"","family":"Abrams","given":"Keith","non-dropping-particle":"","parse-names":false,"suffix":""},{"dropping-particle":"","family":"Bodicoat","given":"Danielle","non-dropping-particle":"","parse-names":false,"suffix":""},{"dropping-particle":"","family":"Carter","given":"Patrice","non-dropping-particle":"","parse-names":false,"suffix":""},{"dropping-particle":"","family":"Dunkley","given":"Alison","non-dropping-particle":"","parse-names":false,"suffix":""},{"dropping-particle":"","family":"Patel","given":"Naina","non-dropping-particle":"","parse-names":false,"suffix":""},{"dropping-particle":"","family":"Russell","given":"Clare","non-dropping-particle":"","parse-names":false,"suffix":""},{"dropping-particle":"","family":"Horne","given":"Rosie","non-dropping-particle":"","parse-names":false,"suffix":""},{"dropping-particle":"","family":"Spong","given":"Rebecca","non-dropping-particle":"","parse-names":false,"suffix":""},{"dropping-particle":"","family":"Stone","given":"Margaret","non-dropping-particle":"","parse-names":false,"suffix":""},{"dropping-particle":"","family":"Taub","given":"Nick","non-dropping-particle":"","parse-names":false,"suffix":""},{"dropping-particle":"","family":"Webb","given":"David","non-dropping-particle":"","parse-names":false,"suffix":""},{"dropping-particle":"","family":"Amin","given":"Sayjal","non-dropping-particle":"","parse-names":false,"suffix":""},{"dropping-particle":"","family":"Barnett","given":"Janette","non-dropping-particle":"","parse-names":false,"suffix":""},{"dropping-particle":"","family":"Berkeley","given":"Hannah","non-dropping-particle":"","parse-names":false,"suffix":""},{"dropping-particle":"","family":"Bonar","given":"Michael","non-dropping-particle":"","parse-names":false,"suffix":""},{"dropping-particle":"","family":"Boyles","given":"Louise","non-dropping-particle":"","parse-names":false,"suffix":""},{"dropping-particle":"","family":"Bray","given":"Paul","non-dropping-particle":"","parse-names":false,"suffix":""},{"dropping-particle":"","family":"Cairns","given":"Nichola","non-dropping-particle":"","parse-names":false,"suffix":""},{"dropping-particle":"","family":"Campbell","given":"Sandra","non-dropping-particle":"","parse-names":false,"suffix":""},{"dropping-particle":"","family":"Carey","given":"Marian","non-dropping-particle":"","parse-names":false,"suffix":""},{"dropping-particle":"","family":"Chatterjee","given":"Sudesna","non-dropping-particle":"","parse-names":false,"suffix":""},{"dropping-particle":"","family":"Currie","given":"Carolyn","non-dropping-particle":"","parse-names":false,"suffix":""},{"dropping-particle":"","family":"Daly","given":"Heather","non-dropping-particle":"","parse-names":false,"suffix":""},{"dropping-particle":"","family":"Enright","given":"Sue","non-dropping-particle":"","parse-names":false,"suffix":""},{"dropping-particle":"","family":"Goldby","given":"Stephanie","non-dropping-particle":"","parse-names":false,"suffix":""},{"dropping-particle":"","family":"Gray","given":"Geri","non-dropping-particle":"","parse-names":false,"suffix":""},{"dropping-particle":"","family":"Henson","given":"Joe","non-dropping-particle":"","parse-names":false,"suffix":""},{"dropping-particle":"","family":"Hiles","given":"Stephen","non-dropping-particle":"","parse-names":false,"suffix":""},{"dropping-particle":"","family":"Hill","given":"Sian","non-dropping-particle":"","parse-names":false,"suffix":""},{"dropping-particle":"","family":"Hill","given":"Jayne","non-dropping-particle":"","parse-names":false,"suffix":""},{"dropping-particle":"","family":"Holdsworth","given":"Hannah","non-dropping-particle":"","parse-names":false,"suffix":""},{"dropping-particle":"","family":"Htike","given":"Zin Zin","non-dropping-particle":"","parse-names":false,"suffix":""},{"dropping-particle":"","family":"Jamal","given":"Shenaz","non-dropping-particle":"","parse-names":false,"suffix":""},{"dropping-particle":"","family":"Jarvis","given":"Janet","non-dropping-particle":"","parse-names":false,"suffix":""},{"dropping-particle":"","family":"Johnson","given":"Carolyn","non-dropping-particle":"","parse-names":false,"suffix":""},{"dropping-particle":"","family":"Jones","given":"Janet","non-dropping-particle":"","parse-names":false,"suffix":""},{"dropping-particle":"","family":"Jones","given":"Kenneth","non-dropping-particle":"","parse-names":false,"suffix":""},{"dropping-particle":"","family":"Khan","given":"Sabera","non-dropping-particle":"","parse-names":false,"suffix":""},{"dropping-particle":"","family":"Khulpateea","given":"Anita","non-dropping-particle":"","parse-names":false,"suffix":""},{"dropping-particle":"","family":"Leonard","given":"Judith","non-dropping-particle":"","parse-names":false,"suffix":""},{"dropping-particle":"","family":"Mani","given":"Hamidreza","non-dropping-particle":"","parse-names":false,"suffix":""},{"dropping-particle":"","family":"Martin-Stacey","given":"Lorraine","non-dropping-particle":"","parse-names":false,"suffix":""},{"dropping-particle":"","family":"Morgan","given":"Val","non-dropping-particle":"","parse-names":false,"suffix":""},{"dropping-particle":"","family":"Morris","given":"Frances","non-dropping-particle":"","parse-names":false,"suffix":""},{"dropping-particle":"","family":"Mostafa","given":"Samiul","non-dropping-particle":"","parse-names":false,"suffix":""},{"dropping-particle":"","family":"Northern","given":"Alison","non-dropping-particle":"","parse-names":false,"suffix":""},{"dropping-particle":"","family":"O'Brien","given":"Kayleigh","non-dropping-particle":"","parse-names":false,"suffix":""},{"dropping-particle":"","family":"Patel","given":"Hersha","non-dropping-particle":"","parse-names":false,"suffix":""},{"dropping-particle":"","family":"Plummer","given":"Rachel","non-dropping-particle":"","parse-names":false,"suffix":""},{"dropping-particle":"","family":"Porter","given":"Sheila","non-dropping-particle":"","parse-names":false,"suffix":""},{"dropping-particle":"","family":"Radia","given":"Mo","non-dropping-particle":"","parse-names":false,"suffix":""},{"dropping-particle":"","family":"Realf","given":"Kathryn","non-dropping-particle":"","parse-names":false,"suffix":""},{"dropping-particle":"","family":"Richmond","given":"Dean","non-dropping-particle":"","parse-names":false,"suffix":""},{"dropping-particle":"","family":"Saker","given":"Rebecca","non-dropping-particle":"","parse-names":false,"suffix":""},{"dropping-particle":"","family":"Sennet","given":"Jane","non-dropping-particle":"","parse-names":false,"suffix":""},{"dropping-particle":"","family":"Stribling","given":"Bernie","non-dropping-particle":"","parse-names":false,"suffix":""},{"dropping-particle":"","family":"Wilmott","given":"Emma","non-dropping-particle":"","parse-names":false,"suffix":""},{"dropping-particle":"","family":"Wilson","given":"Carolina","non-dropping-particle":"","parse-names":false,"suffix":""},{"dropping-particle":"","family":"Wilson","given":"Panna","non-dropping-particle":"","parse-names":false,"suffix":""}],"container-title":"Preventive Medicine","id":"ITEM-1","issued":{"date-parts":[["2016"]]},"page":"48-56","publisher":"Elsevier Inc.","title":"A community based primary prevention programme for type 2 diabetes integrating identification and lifestyle intervention for prevention: the let's prevent diabetes cluster randomised controlled trial","type":"article-journal","volume":"84"},"uris":["http://www.mendeley.com/documents/?uuid=98ec8943-e639-4c92-bc3b-a80a3889c377"]},{"id":"ITEM-2","itemData":{"DOI":"10.2105/AJPH.2011.300357","ISBN":"1541-0048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Health","id":"ITEM-2","issue":"2","issued":{"date-parts":[["2012"]]},"page":"336-342","title":"Outcomes of a Latino community-based intervention for the prevention of diabetes: the lawrence Latino diabetes prevention project","type":"article-journal","volume":"102"},"uris":["http://www.mendeley.com/documents/?uuid=6b9cb080-dc52-4e71-a5c6-bb5e3c90945b"]},{"id":"ITEM-3","itemData":{"DOI":"10.1186/1471-2458-11-40","ISBN":"1471-2458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health","id":"ITEM-3","issue":"1","issued":{"date-parts":[["2011"]]},"page":"40","title":"Prevention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tolerance","type":"article-journal","volume":"11"},"uris":["http://www.mendeley.com/documents/?uuid=19b949f0-5835-408a-87b0-6bbcfceadb30"]}],"mendeley":{"formattedCitation":"(Davies et al., 2016; Ockene et al., 2012; Sakane et al., 2011)","plainTextFormattedCitation":"(Davies et al., 2016; Ockene et al., 2012; Sakane et al., 2011)","previouslyFormattedCitation":"(Davies et al., 2016; Ockene et al., 2012; Sakane et al., 2011)"},"properties":{"noteIndex":0},"schema":"https://github.com/citation-style-language/schema/raw/master/csl-citation.json"}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(Davies et al., 2016; Ockene et al., 2012; Sakane et al., 2011)</w:t>
      </w:r>
      <w:r w:rsidRPr="00103A0B">
        <w:rPr>
          <w:rFonts w:ascii="Arial" w:hAnsi="Arial" w:cs="Arial"/>
        </w:rPr>
        <w:fldChar w:fldCharType="end"/>
      </w:r>
      <w:r w:rsidRPr="00103A0B">
        <w:rPr>
          <w:rFonts w:ascii="Arial" w:eastAsia="Times New Roman" w:hAnsi="Arial" w:cs="Arial"/>
          <w:sz w:val="24"/>
          <w:szCs w:val="24"/>
          <w:lang w:eastAsia="en-GB"/>
        </w:rPr>
        <w:t xml:space="preserve">, have higher BMI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{"citationItems":[{"id":"ITEM-1","itemData":{"DOI":"10.1080/08870440903548749","ISBN":"0887044090354","ISSN":"0887-0446","PMID":"20945253","abstract":"This study was a randomised control trial with a waiting control group. It was designed to evaluate the effectiveness of a 6-month, group-based diabetes prevention programme, The Healthy Living Course and assess whether participation in the programme led to changes in modifiable risk factors for type 2 diabetes among an already at-risk pre-diabetic population. Individuals designated at risk for diabetes by their general practitioners (GPs) were screened using an Oral Glucose Tolerance Test. Volunteers (N = 307) with pre-diabetes were assigned to an intervention or wait-control group in the ratio of approximately 2 : 1. The sample was pre-tested on biochemical, anthropometric and self-report behavioural, cognitive and mood variables and post-tested either at the end of the educational/support-based lifestyle programme or the end of the wait period. The intervention group significantly improved their diabetes knowledge, motivation to change, positive affect, healthy eating and activity levels and showed significantly greater reductions in weight, body mass index, waist circumference, diastolic blood pressure and fasting plasma glucose in comparison with controls. The intervention group also changed their diagnostic status from pre-diabetes to non-diabetes at a greater rate than the wait group (43% vs. 26%) who received standard care from their GPs.","author":[{"dropping-particle":"","family":"Moore","given":"Susan M.","non-dropping-particle":"","parse-names":false,"suffix":""},{"dropping-particle":"","family":"Hardie","given":"Elizabeth A.","non-dropping-particle":"","parse-names":false,"suffix":""},{"dropping-particle":"","family":"Hackworth","given":"Naomi J.","non-dropping-particle":"","parse-names":false,"suffix":""},{"dropping-particle":"","family":"Critchley","given":"Christine R.","non-dropping-particle":"","parse-names":false,"suffix":""},{"dropping-particle":"","family":"Kyrios","given":"Michael","non-dropping-particle":"","parse-names":false,"suffix":""},{"dropping-particle":"","family":"Buzwell","given":"Simone A.","non-dropping-particle":"","parse-names":false,"suffix":""},{"dropping-particle":"","family":"Crafti","given":"Naomi A.","non-dropping-particle":"","parse-names":false,"suffix":""}],"container-title":"Psychology &amp; Health","id":"ITEM-1","issue":"4","issued":{"date-parts":[["2011"]]},"page":"485-499","title":"Can the onset of type 2 diabetes be delayed by a group-based lifestyle intervention? a randomised control trial","type":"article-journal","volume":"26"},"uris":["http://www.mendeley.com/documents/?uuid=f731fbbd-3174-40ae-b00f-158e50237e1f"]},{"id":"ITEM-2","itemData":{"DOI":"10.1186/s12889-017-4977-1","ISSN":"1471-2458","abstract":"Background: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Health","id":"ITEM-2","issue":"97","issued":{"date-parts":[["2018"]]},"note":"Accession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project).","type":"article-journal","volume":"18"},"uris":["http://www.mendeley.com/documents/?uuid=b3aa252e-2de7-4e59-bd02-07d1564e1b32"]}],"mendeley":{"formattedCitation":"(Gilis-Januszewska, Piwońska-Solska, et al., 2018; Moore et al., 2011)","plainTextFormattedCitation":"(Gilis-Januszewska, Piwońska-Solska, et al., 2018; Moore et al., 2011)","previouslyFormattedCitation":"(Gilis-Januszewska, Piwońska-Solska, et al., 2018; Moore et al., 2011)"},"properties":{"noteIndex":0},"schema":"https://github.com/citation-style-language/schema/raw/master/csl-citation.json"}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(Gilis-Januszewska, Piwońska-Solska, et al., 2018; Moore et al., 2011)</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waist circumference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Health","id":"ITEM-1","issue":"97","issued":{"date-parts":[["2018"]]},"note":"Accession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project).","type":"article-journal","volume":"18"},"uris":["http://www.mendeley.com/documents/?uuid=b3aa252e-2de7-4e59-bd02-07d1564e1b32"]},{"id":"ITEM-2","itemData":{"DOI":"10.1080/08870440903548749","ISBN":"0887044090354","ISSN":"0887-0446","PMID":"20945253","abstract":"This study was a randomised control trial with a waiting control group. It was designed to evaluate the effectiveness of a 6-month, group-based diabetes prevention programme, The Healthy Living Course and assess whether participation in the programme led to changes in modifiable risk factors for type 2 diabetes among an already at-risk pre-diabetic population. Individuals designated at risk for diabetes by their general practitioners (GPs) were screened using an Oral Glucose Tolerance Test. Volunteers (N = 307) with pre-diabetes were assigned to an intervention or wait-control group in the ratio of approximately 2 : 1. The sample was pre-tested on biochemical, anthropometric and self-report behavioural, cognitive and mood variables and post-tested either at the end of the educational/support-based lifestyle programme or the end of the wait period. The intervention group significantly improved their diabetes knowledge, motivation to change, positive affect, healthy eating and activity levels and showed significantly greater reductions in weight, body mass index, waist circumference, diastolic blood pressure and fasting plasma glucose in comparison with controls. The intervention group also changed their diagnostic status from pre-diabetes to non-diabetes at a greater rate than the wait group (43% vs. 26%) who received standard care from their GPs.","author":[{"dropping-particle":"","family":"Moore","given":"Susan M.","non-dropping-particle":"","parse-names":false,"suffix":""},{"dropping-particle":"","family":"Hardie","given":"Elizabeth A.","non-dropping-particle":"","parse-names":false,"suffix":""},{"dropping-particle":"","family":"Hackworth","given":"Naomi J.","non-dropping-particle":"","parse-names":false,"suffix":""},{"dropping-particle":"","family":"Critchley","given":"Christine R.","non-dropping-particle":"","parse-names":false,"suffix":""},{"dropping-particle":"","family":"Kyrios","given":"Michael","non-dropping-particle":"","parse-names":false,"suffix":""},{"dropping-particle":"","family":"Buzwell","given":"Simone A.","non-dropping-particle":"","parse-names":false,"suffix":""},{"dropping-particle":"","family":"Crafti","given":"Naomi A.","non-dropping-particle":"","parse-names":false,"suffix":""}],"container-title":"Psychology &amp; Health","id":"ITEM-2","issue":"4","issued":{"date-parts":[["2011"]]},"page":"485-499","title":"Can the onset of type 2 diabetes be delayed by a group-based lifestyle intervention? a randomised control trial","type":"article-journal","volume":"26"},"uris":["http://www.mendeley.com/documents/?uuid=f731fbbd-3174-40ae-b00f-158e50237e1f"]}],"mendeley":{"formattedCitation":"(Gilis-Januszewska, Piwońska-Solska, et al., 2018; Moore et al., 2011)","plainTextFormattedCitation":"(Gilis-Januszewska, Piwońska-Solska, et al., 2018; Moore et al., 2011)","previouslyFormattedCitation":"(Gilis-Januszewska, Piwońska-Solska, et al., 2018; Moore et al., 2011)"},"properties":{"noteIndex":0},"schema":"https://github.com/citation-style-language/schema/raw/master/csl-citation.json"}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(Gilis-Januszewska, Piwońska-Solska, et al., 2018; Moore et al., 2011)</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were younger </w:t>
      </w:r>
      <w:r w:rsidRPr="00103A0B">
        <w:rPr>
          <w:rFonts w:ascii="Arial" w:hAnsi="Arial" w:cs="Arial"/>
        </w:rPr>
        <w:fldChar w:fldCharType="begin" w:fldLock="1"/>
      </w:r>
      <w:r w:rsidR="008D109C" w:rsidRPr="00103A0B">
        <w:rPr>
          <w:rFonts w:ascii="Arial" w:eastAsia="Times New Roman" w:hAnsi="Arial" w:cs="Arial"/>
          <w:sz w:val="24"/>
          <w:szCs w:val="24"/>
          <w:lang w:eastAsia="en-GB"/>
        </w:rPr>
        <w:instrText>ADDIN CSL_CITATION {"citationItems":[{"id":"ITEM-1","itemData":{"DOI":"10.2337/dc12-1250","ISBN":"0149-5992\\r1935-5548","ISSN":"01495992","PMID":"23275375","abstract":"OBJECTIVE: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Care","id":"ITEM-1","issue":"7","issued":{"date-parts":[["2013"]]},"page":"2027-2034","title":"Translating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project","type":"article-journal","volume":"36"},"uris":["http://www.mendeley.com/documents/?uuid=6fb8d6ab-39ae-48b6-b78a-5dcf85b9cf0a"]},{"id":"ITEM-2","itemData":{"DOI":"10.1371/journal.pone.0146095","ISBN":"1932-6203","ISSN":"1932-6203","PMID":"26731676","abstract":"In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One","id":"ITEM-2","issue":"1","issued":{"date-parts":[["2016"]]},"page":"e0146095","title":"Long-term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island","type":"article-journal","volume":"11"},"uris":["http://www.mendeley.com/documents/?uuid=e072a9e3-f17a-48e3-98af-f3db4a1c8ee3"]}],"mendeley":{"formattedCitation":"(Fianu et al., 2016; Jiang et al., 2013)","plainTextFormattedCitation":"(Fianu et al., 2016; Jiang et al., 2013)","previouslyFormattedCitation":"(Fianu et al., 2016; Jiang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(Fianu et al., 2016; Jiang et al., 2013)</w:t>
      </w:r>
      <w:r w:rsidRPr="00103A0B">
        <w:rPr>
          <w:rFonts w:ascii="Arial" w:hAnsi="Arial" w:cs="Arial"/>
        </w:rPr>
        <w:fldChar w:fldCharType="end"/>
      </w:r>
      <w:r w:rsidRPr="00103A0B">
        <w:rPr>
          <w:rFonts w:ascii="Arial" w:hAnsi="Arial" w:cs="Arial"/>
        </w:rPr>
        <w:t>.</w:t>
      </w:r>
    </w:p>
    <w:p w14:paraId="7BB1E2ED" w14:textId="4D24656D" w:rsidR="00324C56" w:rsidRPr="00103A0B" w:rsidRDefault="00C054AD" w:rsidP="005D0A3A">
      <w:pPr>
        <w:keepLines/>
        <w:jc w:val="both"/>
        <w:rPr>
          <w:rFonts w:ascii="Arial" w:hAnsi="Arial" w:cs="Arial"/>
          <w:b/>
          <w:bCs/>
          <w:sz w:val="24"/>
          <w:szCs w:val="24"/>
        </w:rPr>
      </w:pPr>
      <w:bookmarkStart w:id="100" w:name="_Toc41404594"/>
      <w:r w:rsidRPr="00103A0B">
        <w:rPr>
          <w:rFonts w:ascii="Arial" w:hAnsi="Arial" w:cs="Arial"/>
          <w:b/>
          <w:bCs/>
          <w:sz w:val="24"/>
          <w:szCs w:val="24"/>
        </w:rPr>
        <w:t xml:space="preserve">2.3.6 </w:t>
      </w:r>
      <w:r w:rsidR="00324C56" w:rsidRPr="00103A0B">
        <w:rPr>
          <w:rFonts w:ascii="Arial" w:hAnsi="Arial" w:cs="Arial"/>
          <w:b/>
          <w:bCs/>
          <w:sz w:val="24"/>
          <w:szCs w:val="24"/>
        </w:rPr>
        <w:t xml:space="preserve">Recruitment </w:t>
      </w:r>
      <w:r w:rsidR="00181EB6" w:rsidRPr="00103A0B">
        <w:rPr>
          <w:rFonts w:ascii="Arial" w:hAnsi="Arial" w:cs="Arial"/>
          <w:b/>
          <w:bCs/>
          <w:sz w:val="24"/>
          <w:szCs w:val="24"/>
        </w:rPr>
        <w:t>M</w:t>
      </w:r>
      <w:r w:rsidR="00324C56" w:rsidRPr="00103A0B">
        <w:rPr>
          <w:rFonts w:ascii="Arial" w:hAnsi="Arial" w:cs="Arial"/>
          <w:b/>
          <w:bCs/>
          <w:sz w:val="24"/>
          <w:szCs w:val="24"/>
        </w:rPr>
        <w:t xml:space="preserve">ethods, </w:t>
      </w:r>
      <w:r w:rsidR="00181EB6" w:rsidRPr="00103A0B">
        <w:rPr>
          <w:rFonts w:ascii="Arial" w:hAnsi="Arial" w:cs="Arial"/>
          <w:b/>
          <w:bCs/>
          <w:sz w:val="24"/>
          <w:szCs w:val="24"/>
        </w:rPr>
        <w:t>R</w:t>
      </w:r>
      <w:r w:rsidR="00324C56" w:rsidRPr="00103A0B">
        <w:rPr>
          <w:rFonts w:ascii="Arial" w:hAnsi="Arial" w:cs="Arial"/>
          <w:b/>
          <w:bCs/>
          <w:sz w:val="24"/>
          <w:szCs w:val="24"/>
        </w:rPr>
        <w:t xml:space="preserve">esponse </w:t>
      </w:r>
      <w:r w:rsidR="00181EB6" w:rsidRPr="00103A0B">
        <w:rPr>
          <w:rFonts w:ascii="Arial" w:hAnsi="Arial" w:cs="Arial"/>
          <w:b/>
          <w:bCs/>
          <w:sz w:val="24"/>
          <w:szCs w:val="24"/>
        </w:rPr>
        <w:t>R</w:t>
      </w:r>
      <w:r w:rsidR="00324C56" w:rsidRPr="00103A0B">
        <w:rPr>
          <w:rFonts w:ascii="Arial" w:hAnsi="Arial" w:cs="Arial"/>
          <w:b/>
          <w:bCs/>
          <w:sz w:val="24"/>
          <w:szCs w:val="24"/>
        </w:rPr>
        <w:t xml:space="preserve">ates (RR) and </w:t>
      </w:r>
      <w:r w:rsidR="00181EB6" w:rsidRPr="00103A0B">
        <w:rPr>
          <w:rFonts w:ascii="Arial" w:hAnsi="Arial" w:cs="Arial"/>
          <w:b/>
          <w:bCs/>
          <w:sz w:val="24"/>
          <w:szCs w:val="24"/>
        </w:rPr>
        <w:t>U</w:t>
      </w:r>
      <w:r w:rsidR="00324C56" w:rsidRPr="00103A0B">
        <w:rPr>
          <w:rFonts w:ascii="Arial" w:hAnsi="Arial" w:cs="Arial"/>
          <w:b/>
          <w:bCs/>
          <w:sz w:val="24"/>
          <w:szCs w:val="24"/>
        </w:rPr>
        <w:t xml:space="preserve">ptake </w:t>
      </w:r>
      <w:r w:rsidR="00181EB6" w:rsidRPr="00103A0B">
        <w:rPr>
          <w:rFonts w:ascii="Arial" w:hAnsi="Arial" w:cs="Arial"/>
          <w:b/>
          <w:bCs/>
          <w:sz w:val="24"/>
          <w:szCs w:val="24"/>
        </w:rPr>
        <w:t>R</w:t>
      </w:r>
      <w:r w:rsidR="00324C56" w:rsidRPr="00103A0B">
        <w:rPr>
          <w:rFonts w:ascii="Arial" w:hAnsi="Arial" w:cs="Arial"/>
          <w:b/>
          <w:bCs/>
          <w:sz w:val="24"/>
          <w:szCs w:val="24"/>
        </w:rPr>
        <w:t>ates</w:t>
      </w:r>
      <w:bookmarkEnd w:id="100"/>
    </w:p>
    <w:p w14:paraId="409B18B9" w14:textId="136E6726" w:rsidR="00324C56" w:rsidRPr="00103A0B" w:rsidRDefault="00324C56" w:rsidP="005D0A3A">
      <w:pPr>
        <w:spacing w:line="360" w:lineRule="auto"/>
        <w:jc w:val="both"/>
        <w:rPr>
          <w:rFonts w:ascii="Arial" w:hAnsi="Arial" w:cs="Arial"/>
          <w:sz w:val="24"/>
          <w:szCs w:val="24"/>
          <w:lang w:eastAsia="en-GB"/>
        </w:rPr>
      </w:pPr>
      <w:r w:rsidRPr="00103A0B">
        <w:rPr>
          <w:rFonts w:ascii="Arial" w:hAnsi="Arial" w:cs="Arial"/>
          <w:sz w:val="24"/>
          <w:szCs w:val="24"/>
          <w:lang w:eastAsia="en-GB"/>
        </w:rPr>
        <w:t xml:space="preserve">Table 2 shows the recruitment strategies, response rates (RR) and uptake rates (where they could be calculated). </w:t>
      </w:r>
      <w:r w:rsidRPr="00103A0B">
        <w:rPr>
          <w:rFonts w:ascii="Arial" w:eastAsia="Times New Roman" w:hAnsi="Arial" w:cs="Arial"/>
          <w:sz w:val="24"/>
          <w:szCs w:val="24"/>
          <w:lang w:eastAsia="en-GB"/>
        </w:rPr>
        <w:t xml:space="preserve">For the two programmes where it was possible to calculate RR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Medicine","id":"ITEM-1","issue":"4","issued":{"date-parts":[["2010"]]},"page":"459-465","title":"Implementation and effectiveness of the first community lifestyle intervention programme to prevent type 2 diabetes in Greece. The DE-PLAN study","type":"article-journal","volume":"27"},"uris":["http://www.mendeley.com/documents/?uuid=8fa5f81f-3e37-4e03-be5f-801dcd969a98"]},{"id":"ITEM-2","itemData":{"DOI":"10.1038/nutd.2017.21","ISSN":"20444052","PMID":"28481335","abstract":"BACKGROUND/OBJECTIVES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Diabetes","id":"ITEM-2","issue":"5","issued":{"date-parts":[["2017"]]},"publisher":"Nature Publishing Group","title":"Effect and maintenance of the SLIMMER diabetes prevention lifestyle intervention in Dutch primary healthcare: a randomised controlled trial","type":"article-journal","volume":"7"},"uris":["http://www.mendeley.com/documents/?uuid=a87e0ac4-eae2-41ac-9726-364be8e5c4e8"]}],"mendeley":{"formattedCitation":"(Duijzer et al., 2017; Makrilakis et al., 2010)","plainTextFormattedCitation":"(Duijzer et al., 2017; Makrilakis et al., 2010)","previouslyFormattedCitation":"(Duijzer et al., 2017; Makrilakis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(Duijzer et al., 2017; Makrilakis et al.,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recruitment methods were not clearly described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Medicine","id":"ITEM-1","issue":"4","issued":{"date-parts":[["2010"]]},"page":"459-465","title":"Implementation and effectiveness of the first community lifestyle intervention programme to prevent type 2 diabetes in Greece. The DE-PLAN study","type":"article-journal","volume":"27"},"uris":["http://www.mendeley.com/documents/?uuid=8fa5f81f-3e37-4e03-be5f-801dcd969a98"]}],"mendeley":{"formattedCitation":"(Makrilakis et al., 2010)","plainTextFormattedCitation":"(Makrilakis et al., 2010)","previouslyFormattedCitation":"(Makrilakis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(Makrilakis et al.,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or medical records/referrals were used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Diabetes","id":"ITEM-1","issue":"5","issued":{"date-parts":[["2017"]]},"publisher":"Nature Publishing Group","title":"Effect and maintenance of the SLIMMER diabetes prevention lifestyle intervention in Dutch primary healthcare: a randomised controlled trial","type":"article-journal","volume":"7"},"uris":["http://www.mendeley.com/documents/?uuid=a87e0ac4-eae2-41ac-9726-364be8e5c4e8"]}],"mendeley":{"formattedCitation":"(Duijzer et al., 2017)","plainTextFormattedCitation":"(Duijzer et al., 2017)","previouslyFormattedCitation":"(Duijzer et al., 2017)"},"properties":{"noteIndex":0},"schema":"https://github.com/citation-style-language/schema/raw/master/csl-citation.json"}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(Duijzer et al., 2017)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which prevented meaningful analysis. </w:t>
      </w:r>
    </w:p>
    <w:p w14:paraId="1EAEF8F8" w14:textId="02191CD2"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It was possible to calculate uptake for 12 DPPs. For the five DPPs with highest uptake </w:t>
      </w:r>
      <w:r w:rsidRPr="00103A0B">
        <w:rPr>
          <w:rFonts w:ascii="Arial" w:hAnsi="Arial" w:cs="Arial"/>
        </w:rPr>
        <w:fldChar w:fldCharType="begin" w:fldLock="1"/>
      </w:r>
      <w:r w:rsidR="00810F86" w:rsidRPr="00103A0B">
        <w:rPr>
          <w:rFonts w:ascii="Arial" w:eastAsia="Times New Roman" w:hAnsi="Arial" w:cs="Arial"/>
          <w:sz w:val="24"/>
          <w:szCs w:val="24"/>
          <w:lang w:eastAsia="en-GB"/>
        </w:rPr>
        <w:instrText>ADDIN CSL_CITATION {"citationItems":[{"id":"ITEM-1","itemData":{"DOI":"10.1371/journal.pone.0146095","ISBN":"1932-6203","ISSN":"1932-6203","PMID":"26731676","abstract":"In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One","id":"ITEM-1","issue":"1","issued":{"date-parts":[["2016"]]},"page":"e0146095","title":"Long-term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id":"ITEM-2","itemData":{"author":[{"dropping-particle":"","family":"Davis-Smith","given":"Monique","non-dropping-particle":"","parse-names":false,"suffix":""}],"container-title":"Journal of the National Medical Association","id":"ITEM-2","issue":"4","issued":{"date-parts":[["2007"]]},"page":"440-47","title":"Implementing a diabetes prevention program in a rural African-American church","type":"article-journal","volume":"99"},"uris":["http://www.mendeley.com/documents/?uuid=0ddb0a52-0cf9-48e8-a66c-340f5fa47213"]},{"id":"ITEM-3","itemData":{"DOI":"10.1038/nutd.2017.21","ISSN":"20444052","PMID":"28481335","abstract":"BACKGROUND/OBJECTIVES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Diabetes","id":"ITEM-3","issue":"5","issued":{"date-parts":[["2017"]]},"publisher":"Nature Publishing Group","title":"Effect and maintenance of the SLIMMER diabetes prevention lifestyle intervention in Dutch primary healthcare: a randomised controlled trial","type":"article-journal","volume":"7"},"uris":["http://www.mendeley.com/documents/?uuid=a87e0ac4-eae2-41ac-9726-364be8e5c4e8"]},{"id":"ITEM-4","itemData":{"DOI":"10.2105/AJPH.2011.300357","ISBN":"1541-0048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Health","id":"ITEM-4","issue":"2","issued":{"date-parts":[["2012"]]},"page":"336-342","title":"Outcomes of a Latino community-based intervention for the prevention of diabetes: the lawrence Latino diabetes prevention project","type":"article-journal","volume":"102"},"uris":["http://www.mendeley.com/documents/?uuid=6b9cb080-dc52-4e71-a5c6-bb5e3c90945b"]},{"id":"ITEM-5","itemData":{"DOI":"10.1093/tbm/ibx064","ISSN":"1613-9860","abstract":"The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Medicine","id":"ITEM-5","issue":"2","issued":{"date-parts":[["2018"]]},"note":"Accession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illness.","type":"article-journal","volume":"8"},"uris":["http://www.mendeley.com/documents/?uuid=25ddcc05-70f1-4333-9e99-b9d202b84d0d"]}],"mendeley":{"formattedCitation":"(Davis-Smith, 2007; Duijzer et al., 2017; Fianu et al., 2016; Ockene et al., 2012; Quiñones et al., 2018)","manualFormatting":"(Davis-Smith, 2007; Duijzer et al., 2017; Fianu et al., 2016; Ockene et al., 2012; Quiñones et al., 2018)","plainTextFormattedCitation":"(Davis-Smith, 2007; Duijzer et al., 2017; Fianu et al., 2016; Ockene et al., 2012; Quiñones et al., 2018)","previouslyFormattedCitation":"(Davis-Smith, 2007; Duijzer et al., 2017; Fianu et al., 2016; Ockene et al., 2012; Quiñones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(Davis-Smith, 2007; Duijzer et al., 2017; Fianu et al., 2016; Ockene et al., 2012; Quiñones et al., 2018)</w:t>
      </w:r>
      <w:r w:rsidRPr="00103A0B">
        <w:rPr>
          <w:rFonts w:ascii="Arial" w:hAnsi="Arial" w:cs="Arial"/>
        </w:rPr>
        <w:fldChar w:fldCharType="end"/>
      </w:r>
      <w:r w:rsidRPr="00103A0B">
        <w:rPr>
          <w:rFonts w:ascii="Arial" w:eastAsia="Times New Roman" w:hAnsi="Arial" w:cs="Arial"/>
          <w:sz w:val="24"/>
          <w:szCs w:val="24"/>
          <w:lang w:eastAsia="en-GB"/>
        </w:rPr>
        <w:t xml:space="preserve">, two used invitation letters/mailing and flyers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Health","id":"ITEM-1","issue":"2","issued":{"date-parts":[["2012"]]},"page":"336-342","title":"Outcomes of a Latino community-based intervention for the prevention of diabetes: the lawrence Latino diabetes prevention project","type":"article-journal","volume":"102"},"uris":["http://www.mendeley.com/documents/?uuid=6b9cb080-dc52-4e71-a5c6-bb5e3c90945b"]},{"id":"ITEM-2","itemData":{"DOI":"10.1093/tbm/ibx064","ISSN":"1613-9860","abstract":"The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Medicine","id":"ITEM-2","issue":"2","issued":{"date-parts":[["2018"]]},"note":"Accession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illness.","type":"article-journal","volume":"8"},"uris":["http://www.mendeley.com/documents/?uuid=25ddcc05-70f1-4333-9e99-b9d202b84d0d"]}],"mendeley":{"formattedCitation":"(Ockene et al., 2012; Quiñones et al., 2018)","manualFormatting":"(Ockene et al., 2012; Quiñones et al., 2018)","plainTextFormattedCitation":"(Ockene et al., 2012; Quiñones et al., 2018)","previouslyFormattedCitation":"(Ockene et al., 2012; Quiñones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(Ockene et al., 2012; Quiñones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one used presentations and bulletins </w:t>
      </w:r>
      <w:r w:rsidRPr="00103A0B">
        <w:rPr>
          <w:rFonts w:ascii="Arial" w:eastAsia="Times New Roman" w:hAnsi="Arial" w:cs="Arial"/>
          <w:sz w:val="24"/>
          <w:szCs w:val="24"/>
          <w:lang w:eastAsia="en-GB"/>
        </w:rPr>
        <w:fldChar w:fldCharType="begin" w:fldLock="1"/>
      </w:r>
      <w:r w:rsidR="00AF410C" w:rsidRPr="00103A0B">
        <w:rPr>
          <w:rFonts w:ascii="Arial" w:eastAsia="Times New Roman" w:hAnsi="Arial" w:cs="Arial"/>
          <w:sz w:val="24"/>
          <w:szCs w:val="24"/>
          <w:lang w:eastAsia="en-GB"/>
        </w:rPr>
        <w:instrText>ADDIN CSL_CITATION {"citationItems":[{"id":"ITEM-1","itemData":{"author":[{"dropping-particle":"","family":"Davis-Smith","given":"Monique","non-dropping-particle":"","parse-names":false,"suffix":""}],"container-title":"Journal of the National Medical Association","id":"ITEM-1","issue":"4","issued":{"date-parts":[["2007"]]},"page":"440-47","title":"Implementing a diabetes prevention program in a rural African-American church","type":"article-journal","volume":"99"},"uris":["http://www.mendeley.com/documents/?uuid=0ddb0a52-0cf9-48e8-a66c-340f5fa47213"]}],"mendeley":{"formattedCitation":"(Davis-Smith, 2007)","plainTextFormattedCitation":"(Davis-Smith, 2007)","previouslyFormattedCitation":"(Davis-Smith, 2007)"},"properties":{"noteIndex":0},"schema":"https://github.com/citation-style-language/schema/raw/master/csl-citation.json"}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(Davis-Smith, 2007)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one used medical records/referrals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{"citationItems":[{"id":"ITEM-1","itemData":{"DOI":"10.1038/nutd.2017.21","ISSN":"20444052","PMID":"28481335","abstract":"BACKGROUND/OBJECTIVES To assess the effectiveness of the SLIMMER combined dietary and physical activity lifestyle intervention on clinical and metabolic risk factors, dietary intake, physical activity, and quality of life after 12 months, and to investigate whether effects sustained six months after the active intervention period ended. SUBJECTS/METHODS SLIMMER was a randomised controlled intervention, implemented in Dutch primary healthcare. In total, 316 subjects aged 40-70 years with increased risk of type 2 diabetes were randomly allocated to the intervention group (10-month dietary and physical activity programme) or the control group (usual healthcare). All subjects underwent an oral glucose tolerance test and physical examination, and filled in questionnaires. Identical examinations were performed at baseline and after 12 and 18 months. Primary outcome was fasting insulin. RESULTS The intervention group showed significantly greater improvements in anthropometry and glucose metabolism. After 12 and 18 months, differences between intervention and control group were -2.7 kg (95% confidence interval (CI): -3.7; -1.7) and -2.5 kg (95% CI: -3.6; -1.4) for weight, and -12.1 pmol l-1 (95% CI: -19.6; -4.6) and -8.0 pmol l-1 (95% CI: -14.7; -0.53) for fasting insulin. Furthermore, dietary intake, physical activity, and quality of life improved significantly more in the intervention group than in the control group. CONCLUSIONS The Dutch SLIMMER lifestyle intervention is effective in the short and long term in improving clinical and metabolic risk factors, dietary intake, physical activity, and quality of life in subjects at high risk of diabetes.","author":[{"dropping-particle":"","family":"Duijzer","given":"G.","non-dropping-particle":"","parse-names":false,"suffix":""},{"dropping-particle":"","family":"Haveman-Nies","given":"A.","non-dropping-particle":"","parse-names":false,"suffix":""},{"dropping-particle":"","family":"Jansen","given":"S. C.","non-dropping-particle":"","parse-names":false,"suffix":""},{"dropping-particle":"","family":"Beek","given":"J.","non-dropping-particle":"Ter","parse-names":false,"suffix":""},{"dropping-particle":"","family":"Bruggen","given":"R.","non-dropping-particle":"Van","parse-names":false,"suffix":""},{"dropping-particle":"","family":"Willink","given":"M. G.J.","non-dropping-particle":"","parse-names":false,"suffix":""},{"dropping-particle":"","family":"Hiddink","given":"G. J.","non-dropping-particle":"","parse-names":false,"suffix":""},{"dropping-particle":"","family":"Feskens","given":"E. J.M.","non-dropping-particle":"","parse-names":false,"suffix":""}],"container-title":"Nutrition and Diabetes","id":"ITEM-1","issue":"5","issued":{"date-parts":[["2017"]]},"publisher":"Nature Publishing Group","title":"Effect and maintenance of the SLIMMER diabetes prevention lifestyle intervention in Dutch primary healthcare: a randomised controlled trial","type":"article-journal","volume":"7"},"uris":["http://www.mendeley.com/documents/?uuid=a87e0ac4-eae2-41ac-9726-364be8e5c4e8"]}],"mendeley":{"formattedCitation":"(Duijzer et al., 2017)","plainTextFormattedCitation":"(Duijzer et al., 2017)","previouslyFormattedCitation":"(Duijzer et al., 2017)"},"properties":{"noteIndex":0},"schema":"https://github.com/citation-style-language/schema/raw/master/csl-citation.json"}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(Duijzer et al., 2017)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one used telephone calls, newspaper advertisements, radio and TV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Health","id":"ITEM-1","issue":"2","issued":{"date-parts":[["2012"]]},"page":"336-342","title":"Outcomes of a Latino community-based intervention for the prevention of diabetes: the lawrence Latino diabetes prevention project","type":"article-journal","volume":"102"},"uris":["http://www.mendeley.com/documents/?uuid=6b9cb080-dc52-4e71-a5c6-bb5e3c90945b"]}],"mendeley":{"formattedCitation":"(Ockene et al., 2012)","plainTextFormattedCitation":"(Ockene et al., 2012)","previouslyFormattedCitation":"(Ockene et al., 2012)"},"properties":{"noteIndex":0},"schema":"https://github.com/citation-style-language/schema/raw/master/csl-citation.json"}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(Ockene et al., 2012)</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one used posters </w:t>
      </w:r>
      <w:r w:rsidRPr="00103A0B">
        <w:rPr>
          <w:rFonts w:ascii="Arial" w:eastAsia="Times New Roman" w:hAnsi="Arial" w:cs="Arial"/>
          <w:sz w:val="24"/>
          <w:szCs w:val="24"/>
          <w:lang w:eastAsia="en-GB"/>
        </w:rPr>
        <w:fldChar w:fldCharType="begin" w:fldLock="1"/>
      </w:r>
      <w:r w:rsidR="00810F86" w:rsidRPr="00103A0B">
        <w:rPr>
          <w:rFonts w:ascii="Arial" w:eastAsia="Times New Roman" w:hAnsi="Arial" w:cs="Arial"/>
          <w:sz w:val="24"/>
          <w:szCs w:val="24"/>
          <w:lang w:eastAsia="en-GB"/>
        </w:rPr>
        <w:instrText>ADDIN CSL_CITATION {"citationItems":[{"id":"ITEM-1","itemData":{"DOI":"10.1093/tbm/ibx064","ISSN":"1613-9860","abstract":"The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Medicine","id":"ITEM-1","issue":"2","issued":{"date-parts":[["2018"]]},"note":"Accession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illness.","type":"article-journal","volume":"8"},"uris":["http://www.mendeley.com/documents/?uuid=25ddcc05-70f1-4333-9e99-b9d202b84d0d"]}],"mendeley":{"formattedCitation":"(Quiñones et al., 2018)","manualFormatting":"(Quiñones et al., 2018)","plainTextFormattedCitation":"(Quiñones et al., 2018)","previouslyFormattedCitation":"(Quiñones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(Quiñones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r w:rsidR="005B70A3" w:rsidRPr="00103A0B">
        <w:rPr>
          <w:rFonts w:ascii="Arial" w:eastAsia="Times New Roman" w:hAnsi="Arial" w:cs="Arial"/>
          <w:sz w:val="24"/>
          <w:szCs w:val="24"/>
          <w:lang w:eastAsia="en-GB"/>
        </w:rPr>
        <w:t xml:space="preserve"> </w:t>
      </w:r>
      <w:r w:rsidRPr="00103A0B">
        <w:rPr>
          <w:rFonts w:ascii="Arial" w:eastAsia="Times New Roman" w:hAnsi="Arial" w:cs="Arial"/>
          <w:sz w:val="24"/>
          <w:szCs w:val="24"/>
          <w:lang w:eastAsia="en-GB"/>
        </w:rPr>
        <w:t xml:space="preserve">For one DPP, it was not possible to determine the methods used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One","id":"ITEM-1","issue":"1","issued":{"date-parts":[["2016"]]},"page":"e0146095","title":"Long-term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island","type":"article-journal","volume":"11"},"uris":["http://www.mendeley.com/documents/?uuid=e072a9e3-f17a-48e3-98af-f3db4a1c8ee3"]}],"mendeley":{"formattedCitation":"(Fianu et al., 2016)","plainTextFormattedCitation":"(Fianu et al., 2016)","previouslyFormattedCitation":"(Fianu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(Fianu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For the five lowest uptake DPPs </w:t>
      </w:r>
      <w:r w:rsidRPr="00103A0B">
        <w:rPr>
          <w:rFonts w:ascii="Arial" w:hAnsi="Arial" w:cs="Arial"/>
        </w:rPr>
        <w:fldChar w:fldCharType="begin" w:fldLock="1"/>
      </w:r>
      <w:r w:rsidR="007E0EE7"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Care","id":"ITEM-2","issue":"7","issued":{"date-parts":[["2013"]]},"page":"2027-2034","title":"Translating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project","type":"article-journal","volume":"36"},"uris":["http://www.mendeley.com/documents/?uuid=6fb8d6ab-39ae-48b6-b78a-5dcf85b9cf0a"]},{"id":"ITEM-3","itemData":{"DOI":"10.1097/jnr.0000000000000225","ISSN":"1682-3141","abstract":"Background: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Research","id":"ITEM-3","issue":"3","issued":{"date-parts":[["2018"]]},"note":"Accession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mellitus.","type":"article-journal","volume":"26"},"uris":["http://www.mendeley.com/documents/?uuid=7921dfb5-19a6-4219-b142-8d615dab9ad0"]},{"id":"ITEM-4","itemData":{"author":[{"dropping-particle":"","family":"Boltri","given":"John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Association","id":"ITEM-4","issue":"3","issued":{"date-parts":[["2011"]]},"page":"194-202","title":"Translation of the national institutes of health diabetes prevention program in African American churches","type":"article-journal","volume":"103"},"uris":["http://www.mendeley.com/documents/?uuid=9a9d913a-7043-4df3-a05c-f50fa2ed8eff"]},{"id":"ITEM-5","itemData":{"DOI":"10.1186/1471-2458-7-249","ISBN":"1471-2458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Health","id":"ITEM-5","issue":"249","issued":{"date-parts":[["2007"]]},"title":"Prevention of type 2 diabetes by lifestyle intervention in an Australian primary health care setting: greater green triangle (GGT) diabetes prevention project","type":"article-journal","volume":"7"},"uris":["http://www.mendeley.com/documents/?uuid=ef090087-0d56-42cf-8079-ddbfceb8d350"]}],"mendeley":{"formattedCitation":"(Almeida, F.A., Shetterly, S., Smith-Ray, R.L., Estabrooks, 2010; Boltri et al., 2011; Jiang et al., 2013; Laatikainen et al., 2007; Tsai et al., 2018)","manualFormatting":"(Almeida, Shetterly, Smith-Ray, Estabrooks, 2010; Boltri et al., 2011; Jiang et al., 2013; Laatikainen et al., 2007; Tsai et al., 2018)","plainTextFormattedCitation":"(Almeida, F.A., Shetterly, S., Smith-Ray, R.L., Estabrooks, 2010; Boltri et al., 2011; Jiang et al., 2013; Laatikainen et al., 2007; Tsai et al., 2018)","previouslyFormattedCitation":"(Almeida, F.A., Shetterly, S., Smith-Ray, R.L., Estabrooks, 2010; Boltri et al., 2011; Jiang et al., 2013; Laatikainen et al., 2007; Tsai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(Almeida, Shetterly, Smith-Ray, Estabrooks, 2010; Boltri et al., 2011; Jiang et al., 2013; Laatikainen et al., 2007; Tsai et al., 2018)</w:t>
      </w:r>
      <w:r w:rsidRPr="00103A0B">
        <w:rPr>
          <w:rFonts w:ascii="Arial" w:hAnsi="Arial" w:cs="Arial"/>
        </w:rPr>
        <w:fldChar w:fldCharType="end"/>
      </w:r>
      <w:r w:rsidRPr="00103A0B">
        <w:rPr>
          <w:rFonts w:ascii="Arial" w:eastAsia="Times New Roman" w:hAnsi="Arial" w:cs="Arial"/>
          <w:sz w:val="24"/>
          <w:szCs w:val="24"/>
          <w:lang w:eastAsia="en-GB"/>
        </w:rPr>
        <w:t xml:space="preserve">, two used medical records/referrals </w:t>
      </w:r>
      <w:r w:rsidRPr="00103A0B">
        <w:rPr>
          <w:rFonts w:ascii="Arial" w:eastAsia="Times New Roman" w:hAnsi="Arial" w:cs="Arial"/>
          <w:sz w:val="24"/>
          <w:szCs w:val="24"/>
          <w:lang w:eastAsia="en-GB"/>
        </w:rPr>
        <w:fldChar w:fldCharType="begin" w:fldLock="1"/>
      </w:r>
      <w:r w:rsidR="00A170E0"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Care","id":"ITEM-2","issue":"7","issued":{"date-parts":[["2013"]]},"page":"2027-2034","title":"Translating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project","type":"article-journal","volume":"36"},"uris":["http://www.mendeley.com/documents/?uuid=6fb8d6ab-39ae-48b6-b78a-5dcf85b9cf0a"]}],"mendeley":{"formattedCitation":"(Almeida, F.A., Shetterly, S., Smith-Ray, R.L., Estabrooks, 2010; Jiang et al., 2013)","manualFormatting":"(Almeida, Shetterly, Smith-Ray, Estabrooks, 2010; Jiang et al., 2013)","plainTextFormattedCitation":"(Almeida, F.A., Shetterly, S., Smith-Ray, R.L., Estabrooks, 2010; Jiang et al., 2013)","previouslyFormattedCitation":"(Almeida, F.A., Shetterly, S., Smith-Ray, R.L., Estabrooks, 2010; Jiang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(Almeida, Shetterly, Smith-Ray, Estabrooks, 2010; Jiang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one used a magazine and website </w:t>
      </w:r>
      <w:r w:rsidRPr="00103A0B">
        <w:rPr>
          <w:rFonts w:ascii="Arial" w:eastAsia="Times New Roman" w:hAnsi="Arial" w:cs="Arial"/>
          <w:sz w:val="24"/>
          <w:szCs w:val="24"/>
          <w:lang w:eastAsia="en-GB"/>
        </w:rPr>
        <w:fldChar w:fldCharType="begin" w:fldLock="1"/>
      </w:r>
      <w:r w:rsidR="00A170E0" w:rsidRPr="00103A0B">
        <w:rPr>
          <w:rFonts w:ascii="Arial" w:eastAsia="Times New Roman" w:hAnsi="Arial" w:cs="Arial"/>
          <w:sz w:val="24"/>
          <w:szCs w:val="24"/>
          <w:lang w:eastAsia="en-GB"/>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Colorado","type":"article-journal","volume":"7"},"uris":["http://www.mendeley.com/documents/?uuid=5a92acfa-5ca4-4ade-94d7-6c54f81315cd"]}],"mendeley":{"formattedCitation":"(Almeida, F.A., Shetterly, S., Smith-Ray, R.L., Estabrooks, 2010)","manualFormatting":"(Almeida, Shetterly, Smith-Ray, Estabrooks, 2010)","plainTextFormattedCitation":"(Almeida, F.A., Shetterly, S., Smith-Ray, R.L., Estabrooks, 2010)","previouslyFormattedCitation":"(Almeida, F.A., Shetterly, S., Smith-Ray, R.L., Estabrooks,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(Almeida, Shetterl</w:t>
      </w:r>
      <w:r w:rsidR="00181EB6" w:rsidRPr="00103A0B">
        <w:rPr>
          <w:rFonts w:ascii="Arial" w:eastAsia="Times New Roman" w:hAnsi="Arial" w:cs="Arial"/>
          <w:noProof/>
          <w:sz w:val="24"/>
          <w:szCs w:val="24"/>
          <w:lang w:eastAsia="en-GB"/>
        </w:rPr>
        <w:t>y</w:t>
      </w:r>
      <w:r w:rsidR="001B5F7B" w:rsidRPr="00103A0B">
        <w:rPr>
          <w:rFonts w:ascii="Arial" w:eastAsia="Times New Roman" w:hAnsi="Arial" w:cs="Arial"/>
          <w:noProof/>
          <w:sz w:val="24"/>
          <w:szCs w:val="24"/>
          <w:lang w:eastAsia="en-GB"/>
        </w:rPr>
        <w:t>, Smith-Ray, Estabrooks,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one used bulletins </w:t>
      </w:r>
      <w:r w:rsidRPr="00103A0B">
        <w:rPr>
          <w:rFonts w:ascii="Arial" w:eastAsia="Times New Roman" w:hAnsi="Arial" w:cs="Arial"/>
          <w:sz w:val="24"/>
          <w:szCs w:val="24"/>
          <w:lang w:eastAsia="en-GB"/>
        </w:rPr>
        <w:fldChar w:fldCharType="begin" w:fldLock="1"/>
      </w:r>
      <w:r w:rsidR="00873997" w:rsidRPr="00103A0B">
        <w:rPr>
          <w:rFonts w:ascii="Arial" w:eastAsia="Times New Roman" w:hAnsi="Arial" w:cs="Arial"/>
          <w:sz w:val="24"/>
          <w:szCs w:val="24"/>
          <w:lang w:eastAsia="en-GB"/>
        </w:rPr>
        <w:instrText>ADDIN CSL_CITATION {"citationItems":[{"id":"ITEM-1","itemData":{"author":[{"dropping-particle":"","family":"Boltri","given":"John M","non-dropping-particle":"","parse-names":false,"suffix":""},{"dropping-particle":"","family":"Davis-Smith","given":"Monique","non-dropping-particle":"","parse-names":false,"suffix":""},{"dropping-particle":"","family":"Okosun","given":"Ike S","non-dropping-particle":"","parse-names":false,"suffix":""},{"dropping-particle":"","family":"Seale","given":"J Paul","non-dropping-particle":"","parse-names":false,"suffix":""},{"dropping-particle":"","family":"Foster","given":"Barbara","non-dropping-particle":"","parse-names":false,"suffix":""}],"container-title":"Journal of the National Medical Association","id":"ITEM-1","issue":"3","issued":{"date-parts":[["2011"]]},"page":"194-202","title":"Translation of the national institutes of health diabetes prevention program in African American churches","type":"article-journal","volume":"103"},"uris":["http://www.mendeley.com/documents/?uuid=9a9d913a-7043-4df3-a05c-f50fa2ed8eff"]}],"mendeley":{"formattedCitation":"(Boltri et al., 2011)","plainTextFormattedCitation":"(Boltri et al., 2011)","previouslyFormattedCitation":"(Boltri et al., 2011)"},"properties":{"noteIndex":0},"schema":"https://github.com/citation-style-language/schema/raw/master/csl-citation.json"}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(Boltri et al., 2011)</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two did not clearly state the recruitment method used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Research","id":"ITEM-1","issue":"3","issued":{"date-parts":[["2018"]]},"note":"Accession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mellitus.","type":"article-journal","volume":"26"},"uris":["http://www.mendeley.com/documents/?uuid=7921dfb5-19a6-4219-b142-8d615dab9ad0"]},{"id":"ITEM-2","itemData":{"DOI":"10.1186/1471-2458-7-249","ISBN":"1471-2458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Health","id":"ITEM-2","issue":"249","issued":{"date-parts":[["2007"]]},"title":"Prevention of type 2 diabetes by lifestyle intervention in an Australian primary health care setting: greater green triangle (GGT) diabetes prevention project","type":"article-journal","volume":"7"},"uris":["http://www.mendeley.com/documents/?uuid=ef090087-0d56-42cf-8079-ddbfceb8d350"]}],"mendeley":{"formattedCitation":"(Laatikainen et al., 2007; Tsai et al., 2018)","plainTextFormattedCitation":"(Laatikainen et al., 2007; Tsai et al., 2018)","previouslyFormattedCitation":"(Laatikainen et al., 2007; Tsai et al., 2018)"},"properties":{"noteIndex":0},"schema":"https://github.com/citation-style-language/schema/raw/master/csl-citation.json"}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(Laatikainen et al., 2007; Tsai et al., 2018)</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Overall, it is difficult to discern any trends from the data in relation to recruitment methods and uptake.  </w:t>
      </w:r>
    </w:p>
    <w:p w14:paraId="18FB492A" w14:textId="122D591C" w:rsidR="001868D9" w:rsidRPr="00103A0B" w:rsidRDefault="001868D9" w:rsidP="005D0A3A">
      <w:pPr>
        <w:tabs>
          <w:tab w:val="left" w:pos="1470"/>
        </w:tabs>
        <w:spacing w:line="360" w:lineRule="auto"/>
        <w:jc w:val="both"/>
        <w:rPr>
          <w:rFonts w:ascii="Arial" w:eastAsia="Times New Roman" w:hAnsi="Arial" w:cs="Arial"/>
          <w:sz w:val="24"/>
          <w:szCs w:val="24"/>
          <w:lang w:eastAsia="en-GB"/>
        </w:rPr>
        <w:sectPr w:rsidR="001868D9" w:rsidRPr="00103A0B">
          <w:pgSz w:w="11906" w:h="16838"/>
          <w:pgMar w:top="1440" w:right="1440" w:bottom="1440" w:left="1440" w:header="708" w:footer="708" w:gutter="0"/>
          <w:cols w:space="708"/>
          <w:docGrid w:linePitch="360"/>
        </w:sectPr>
      </w:pPr>
    </w:p>
    <w:p w14:paraId="43107FB2" w14:textId="5AF47868" w:rsidR="001868D9" w:rsidRPr="00103A0B" w:rsidRDefault="001868D9" w:rsidP="005D0A3A">
      <w:pPr>
        <w:tabs>
          <w:tab w:val="left" w:pos="1470"/>
        </w:tabs>
        <w:spacing w:line="360" w:lineRule="auto"/>
        <w:jc w:val="both"/>
        <w:rPr>
          <w:rFonts w:ascii="Arial" w:eastAsia="Times New Roman" w:hAnsi="Arial" w:cs="Arial"/>
          <w:i/>
          <w:iCs/>
          <w:sz w:val="24"/>
          <w:szCs w:val="24"/>
          <w:lang w:eastAsia="en-GB"/>
        </w:rPr>
      </w:pPr>
      <w:bookmarkStart w:id="101" w:name="_Hlk75194272"/>
      <w:r w:rsidRPr="00103A0B">
        <w:rPr>
          <w:rFonts w:ascii="Arial" w:eastAsia="Times New Roman" w:hAnsi="Arial" w:cs="Arial"/>
          <w:i/>
          <w:iCs/>
          <w:sz w:val="24"/>
          <w:szCs w:val="24"/>
          <w:lang w:eastAsia="en-GB"/>
        </w:rPr>
        <w:lastRenderedPageBreak/>
        <w:t>Table 2: Papers</w:t>
      </w:r>
      <w:r w:rsidR="002627EA" w:rsidRPr="00103A0B">
        <w:rPr>
          <w:rFonts w:ascii="Arial" w:eastAsia="Times New Roman" w:hAnsi="Arial" w:cs="Arial"/>
          <w:i/>
          <w:iCs/>
          <w:sz w:val="24"/>
          <w:szCs w:val="24"/>
          <w:lang w:eastAsia="en-GB"/>
        </w:rPr>
        <w:t xml:space="preserve"> </w:t>
      </w:r>
      <w:r w:rsidRPr="00103A0B">
        <w:rPr>
          <w:rFonts w:ascii="Arial" w:eastAsia="Times New Roman" w:hAnsi="Arial" w:cs="Arial"/>
          <w:i/>
          <w:iCs/>
          <w:sz w:val="24"/>
          <w:szCs w:val="24"/>
          <w:lang w:eastAsia="en-GB"/>
        </w:rPr>
        <w:t xml:space="preserve">detailing quality rating (overall), recruitment strategies, </w:t>
      </w:r>
      <w:proofErr w:type="gramStart"/>
      <w:r w:rsidRPr="00103A0B">
        <w:rPr>
          <w:rFonts w:ascii="Arial" w:eastAsia="Times New Roman" w:hAnsi="Arial" w:cs="Arial"/>
          <w:i/>
          <w:iCs/>
          <w:sz w:val="24"/>
          <w:szCs w:val="24"/>
          <w:lang w:eastAsia="en-GB"/>
        </w:rPr>
        <w:t>response</w:t>
      </w:r>
      <w:proofErr w:type="gramEnd"/>
      <w:r w:rsidRPr="00103A0B">
        <w:rPr>
          <w:rFonts w:ascii="Arial" w:eastAsia="Times New Roman" w:hAnsi="Arial" w:cs="Arial"/>
          <w:i/>
          <w:iCs/>
          <w:sz w:val="24"/>
          <w:szCs w:val="24"/>
          <w:lang w:eastAsia="en-GB"/>
        </w:rPr>
        <w:t xml:space="preserve"> and uptake rates (high-low)</w:t>
      </w:r>
    </w:p>
    <w:bookmarkEnd w:id="101"/>
    <w:tbl>
      <w:tblPr>
        <w:tblStyle w:val="TableGrid"/>
        <w:tblW w:w="5000" w:type="pct"/>
        <w:tblLook w:val="04A0" w:firstRow="1" w:lastRow="0" w:firstColumn="1" w:lastColumn="0" w:noHBand="0" w:noVBand="1"/>
      </w:tblPr>
      <w:tblGrid>
        <w:gridCol w:w="4146"/>
        <w:gridCol w:w="754"/>
        <w:gridCol w:w="754"/>
        <w:gridCol w:w="754"/>
        <w:gridCol w:w="754"/>
        <w:gridCol w:w="754"/>
        <w:gridCol w:w="754"/>
        <w:gridCol w:w="754"/>
        <w:gridCol w:w="754"/>
        <w:gridCol w:w="754"/>
        <w:gridCol w:w="754"/>
        <w:gridCol w:w="754"/>
        <w:gridCol w:w="754"/>
        <w:gridCol w:w="754"/>
      </w:tblGrid>
      <w:tr w:rsidR="001868D9" w:rsidRPr="00103A0B" w14:paraId="203A84D5" w14:textId="77777777" w:rsidTr="00FD05BC">
        <w:trPr>
          <w:cantSplit/>
          <w:trHeight w:val="2040"/>
          <w:tblHeader/>
        </w:trPr>
        <w:tc>
          <w:tcPr>
            <w:tcW w:w="1485" w:type="pct"/>
          </w:tcPr>
          <w:p w14:paraId="6AFFA9E0"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extDirection w:val="btLr"/>
          </w:tcPr>
          <w:p w14:paraId="6D24EAE3" w14:textId="77777777" w:rsidR="001868D9" w:rsidRPr="00103A0B" w:rsidRDefault="001868D9" w:rsidP="005D0A3A">
            <w:pPr>
              <w:tabs>
                <w:tab w:val="left" w:pos="1470"/>
              </w:tabs>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Fianu</w:t>
            </w:r>
            <w:proofErr w:type="spellEnd"/>
            <w:r w:rsidRPr="00103A0B">
              <w:rPr>
                <w:rFonts w:ascii="Arial" w:eastAsia="Times New Roman" w:hAnsi="Arial" w:cs="Arial"/>
                <w:lang w:eastAsia="en-GB"/>
              </w:rPr>
              <w:t xml:space="preserve"> (2016) </w:t>
            </w:r>
          </w:p>
        </w:tc>
        <w:tc>
          <w:tcPr>
            <w:tcW w:w="270" w:type="pct"/>
            <w:textDirection w:val="btLr"/>
          </w:tcPr>
          <w:p w14:paraId="3C53F1B0" w14:textId="77777777" w:rsidR="001868D9" w:rsidRPr="00103A0B" w:rsidRDefault="001868D9" w:rsidP="005D0A3A">
            <w:pPr>
              <w:tabs>
                <w:tab w:val="left" w:pos="1470"/>
              </w:tabs>
              <w:ind w:left="113" w:right="113"/>
              <w:jc w:val="both"/>
              <w:rPr>
                <w:rFonts w:ascii="Arial" w:eastAsia="Times New Roman" w:hAnsi="Arial" w:cs="Arial"/>
                <w:lang w:eastAsia="en-GB"/>
              </w:rPr>
            </w:pPr>
            <w:proofErr w:type="gramStart"/>
            <w:r w:rsidRPr="00103A0B">
              <w:rPr>
                <w:rFonts w:ascii="Arial" w:eastAsia="Times New Roman" w:hAnsi="Arial" w:cs="Arial"/>
                <w:lang w:eastAsia="en-GB"/>
              </w:rPr>
              <w:t>Davis-Smith</w:t>
            </w:r>
            <w:proofErr w:type="gramEnd"/>
            <w:r w:rsidRPr="00103A0B">
              <w:rPr>
                <w:rFonts w:ascii="Arial" w:eastAsia="Times New Roman" w:hAnsi="Arial" w:cs="Arial"/>
                <w:lang w:eastAsia="en-GB"/>
              </w:rPr>
              <w:t xml:space="preserve"> (2007)</w:t>
            </w:r>
          </w:p>
        </w:tc>
        <w:tc>
          <w:tcPr>
            <w:tcW w:w="270" w:type="pct"/>
            <w:textDirection w:val="btLr"/>
          </w:tcPr>
          <w:p w14:paraId="7B6BC413" w14:textId="77777777" w:rsidR="001868D9" w:rsidRPr="00103A0B" w:rsidRDefault="001868D9" w:rsidP="005D0A3A">
            <w:pPr>
              <w:tabs>
                <w:tab w:val="left" w:pos="1470"/>
              </w:tabs>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Duijzer</w:t>
            </w:r>
            <w:proofErr w:type="spellEnd"/>
            <w:r w:rsidRPr="00103A0B">
              <w:rPr>
                <w:rFonts w:ascii="Arial" w:eastAsia="Times New Roman" w:hAnsi="Arial" w:cs="Arial"/>
                <w:lang w:eastAsia="en-GB"/>
              </w:rPr>
              <w:t xml:space="preserve"> (2017)</w:t>
            </w:r>
          </w:p>
        </w:tc>
        <w:tc>
          <w:tcPr>
            <w:tcW w:w="270" w:type="pct"/>
            <w:textDirection w:val="btLr"/>
          </w:tcPr>
          <w:p w14:paraId="704E169E" w14:textId="77777777" w:rsidR="001868D9" w:rsidRPr="00103A0B" w:rsidRDefault="001868D9" w:rsidP="005D0A3A">
            <w:pPr>
              <w:tabs>
                <w:tab w:val="left" w:pos="1470"/>
              </w:tabs>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Ockene</w:t>
            </w:r>
            <w:proofErr w:type="spellEnd"/>
            <w:r w:rsidRPr="00103A0B">
              <w:rPr>
                <w:rFonts w:ascii="Arial" w:eastAsia="Times New Roman" w:hAnsi="Arial" w:cs="Arial"/>
                <w:lang w:eastAsia="en-GB"/>
              </w:rPr>
              <w:t xml:space="preserve"> (2012)</w:t>
            </w:r>
          </w:p>
        </w:tc>
        <w:tc>
          <w:tcPr>
            <w:tcW w:w="270" w:type="pct"/>
            <w:textDirection w:val="btLr"/>
          </w:tcPr>
          <w:p w14:paraId="7EC6A634" w14:textId="77777777" w:rsidR="001868D9" w:rsidRPr="00103A0B" w:rsidRDefault="001868D9" w:rsidP="005D0A3A">
            <w:pPr>
              <w:tabs>
                <w:tab w:val="left" w:pos="1470"/>
              </w:tabs>
              <w:ind w:left="113" w:right="113"/>
              <w:jc w:val="both"/>
              <w:rPr>
                <w:rFonts w:ascii="Arial" w:eastAsia="Times New Roman" w:hAnsi="Arial" w:cs="Arial"/>
                <w:lang w:eastAsia="en-GB"/>
              </w:rPr>
            </w:pPr>
            <w:r w:rsidRPr="00103A0B">
              <w:rPr>
                <w:rFonts w:ascii="Arial" w:eastAsia="Times New Roman" w:hAnsi="Arial" w:cs="Arial"/>
                <w:lang w:eastAsia="en-GB"/>
              </w:rPr>
              <w:t>Quinones (2018)</w:t>
            </w:r>
          </w:p>
        </w:tc>
        <w:tc>
          <w:tcPr>
            <w:tcW w:w="270" w:type="pct"/>
            <w:textDirection w:val="btLr"/>
          </w:tcPr>
          <w:p w14:paraId="25E30E01" w14:textId="77777777" w:rsidR="001868D9" w:rsidRPr="00103A0B" w:rsidRDefault="001868D9" w:rsidP="005D0A3A">
            <w:pPr>
              <w:tabs>
                <w:tab w:val="left" w:pos="1470"/>
              </w:tabs>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Makrilakis</w:t>
            </w:r>
            <w:proofErr w:type="spellEnd"/>
            <w:r w:rsidRPr="00103A0B">
              <w:rPr>
                <w:rFonts w:ascii="Arial" w:eastAsia="Times New Roman" w:hAnsi="Arial" w:cs="Arial"/>
                <w:lang w:eastAsia="en-GB"/>
              </w:rPr>
              <w:t xml:space="preserve"> (2010)</w:t>
            </w:r>
          </w:p>
        </w:tc>
        <w:tc>
          <w:tcPr>
            <w:tcW w:w="270" w:type="pct"/>
            <w:textDirection w:val="btLr"/>
          </w:tcPr>
          <w:p w14:paraId="129D129C" w14:textId="77777777" w:rsidR="001868D9" w:rsidRPr="00103A0B" w:rsidRDefault="001868D9" w:rsidP="005D0A3A">
            <w:pPr>
              <w:tabs>
                <w:tab w:val="left" w:pos="1470"/>
              </w:tabs>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Moin</w:t>
            </w:r>
            <w:proofErr w:type="spellEnd"/>
            <w:r w:rsidRPr="00103A0B">
              <w:rPr>
                <w:rFonts w:ascii="Arial" w:eastAsia="Times New Roman" w:hAnsi="Arial" w:cs="Arial"/>
                <w:lang w:eastAsia="en-GB"/>
              </w:rPr>
              <w:t xml:space="preserve"> (2017) </w:t>
            </w:r>
          </w:p>
        </w:tc>
        <w:tc>
          <w:tcPr>
            <w:tcW w:w="270" w:type="pct"/>
            <w:textDirection w:val="btLr"/>
          </w:tcPr>
          <w:p w14:paraId="2EDFA0C5" w14:textId="77777777" w:rsidR="001868D9" w:rsidRPr="00103A0B" w:rsidRDefault="001868D9" w:rsidP="005D0A3A">
            <w:pPr>
              <w:tabs>
                <w:tab w:val="left" w:pos="1470"/>
              </w:tabs>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Laatikainen</w:t>
            </w:r>
            <w:proofErr w:type="spellEnd"/>
            <w:r w:rsidRPr="00103A0B">
              <w:rPr>
                <w:rFonts w:ascii="Arial" w:eastAsia="Times New Roman" w:hAnsi="Arial" w:cs="Arial"/>
                <w:lang w:eastAsia="en-GB"/>
              </w:rPr>
              <w:t xml:space="preserve"> (2007)</w:t>
            </w:r>
          </w:p>
        </w:tc>
        <w:tc>
          <w:tcPr>
            <w:tcW w:w="270" w:type="pct"/>
            <w:textDirection w:val="btLr"/>
          </w:tcPr>
          <w:p w14:paraId="542784F3" w14:textId="77777777" w:rsidR="001868D9" w:rsidRPr="00103A0B" w:rsidRDefault="001868D9" w:rsidP="005D0A3A">
            <w:pPr>
              <w:tabs>
                <w:tab w:val="left" w:pos="1470"/>
              </w:tabs>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Boltri</w:t>
            </w:r>
            <w:proofErr w:type="spellEnd"/>
            <w:r w:rsidRPr="00103A0B">
              <w:rPr>
                <w:rFonts w:ascii="Arial" w:eastAsia="Times New Roman" w:hAnsi="Arial" w:cs="Arial"/>
                <w:lang w:eastAsia="en-GB"/>
              </w:rPr>
              <w:t xml:space="preserve"> (2011</w:t>
            </w:r>
          </w:p>
        </w:tc>
        <w:tc>
          <w:tcPr>
            <w:tcW w:w="270" w:type="pct"/>
            <w:textDirection w:val="btLr"/>
          </w:tcPr>
          <w:p w14:paraId="0B2440E3" w14:textId="77777777" w:rsidR="001868D9" w:rsidRPr="00103A0B" w:rsidRDefault="001868D9" w:rsidP="005D0A3A">
            <w:pPr>
              <w:tabs>
                <w:tab w:val="left" w:pos="1155"/>
              </w:tabs>
              <w:ind w:left="113" w:right="113"/>
              <w:jc w:val="both"/>
              <w:rPr>
                <w:rFonts w:ascii="Arial" w:eastAsia="Times New Roman" w:hAnsi="Arial" w:cs="Arial"/>
                <w:lang w:eastAsia="en-GB"/>
              </w:rPr>
            </w:pPr>
            <w:r w:rsidRPr="00103A0B">
              <w:rPr>
                <w:rFonts w:ascii="Arial" w:eastAsia="Times New Roman" w:hAnsi="Arial" w:cs="Arial"/>
                <w:lang w:eastAsia="en-GB"/>
              </w:rPr>
              <w:t>Tsai (2018)</w:t>
            </w:r>
          </w:p>
          <w:p w14:paraId="08D9F971" w14:textId="77777777" w:rsidR="001868D9" w:rsidRPr="00103A0B" w:rsidRDefault="001868D9" w:rsidP="005D0A3A">
            <w:pPr>
              <w:tabs>
                <w:tab w:val="left" w:pos="1470"/>
              </w:tabs>
              <w:ind w:left="113" w:right="113"/>
              <w:jc w:val="both"/>
              <w:rPr>
                <w:rFonts w:ascii="Arial" w:eastAsia="Times New Roman" w:hAnsi="Arial" w:cs="Arial"/>
                <w:lang w:eastAsia="en-GB"/>
              </w:rPr>
            </w:pPr>
          </w:p>
        </w:tc>
        <w:tc>
          <w:tcPr>
            <w:tcW w:w="270" w:type="pct"/>
            <w:textDirection w:val="btLr"/>
          </w:tcPr>
          <w:p w14:paraId="2D4327A3" w14:textId="77777777" w:rsidR="001868D9" w:rsidRPr="00103A0B" w:rsidRDefault="001868D9" w:rsidP="005D0A3A">
            <w:pPr>
              <w:tabs>
                <w:tab w:val="left" w:pos="1470"/>
              </w:tabs>
              <w:ind w:left="113" w:right="113"/>
              <w:jc w:val="both"/>
              <w:rPr>
                <w:rFonts w:ascii="Arial" w:eastAsia="Times New Roman" w:hAnsi="Arial" w:cs="Arial"/>
                <w:lang w:eastAsia="en-GB"/>
              </w:rPr>
            </w:pPr>
            <w:r w:rsidRPr="00103A0B">
              <w:rPr>
                <w:rFonts w:ascii="Arial" w:eastAsia="Times New Roman" w:hAnsi="Arial" w:cs="Arial"/>
                <w:lang w:eastAsia="en-GB"/>
              </w:rPr>
              <w:t>Jiang (2013)</w:t>
            </w:r>
          </w:p>
        </w:tc>
        <w:tc>
          <w:tcPr>
            <w:tcW w:w="270" w:type="pct"/>
            <w:textDirection w:val="btLr"/>
          </w:tcPr>
          <w:p w14:paraId="04546BEA" w14:textId="77777777" w:rsidR="001868D9" w:rsidRPr="00103A0B" w:rsidRDefault="001868D9" w:rsidP="005D0A3A">
            <w:pPr>
              <w:tabs>
                <w:tab w:val="left" w:pos="1470"/>
              </w:tabs>
              <w:ind w:left="113" w:right="113"/>
              <w:jc w:val="both"/>
              <w:rPr>
                <w:rFonts w:ascii="Arial" w:eastAsia="Times New Roman" w:hAnsi="Arial" w:cs="Arial"/>
                <w:lang w:eastAsia="en-GB"/>
              </w:rPr>
            </w:pPr>
            <w:r w:rsidRPr="00103A0B">
              <w:rPr>
                <w:rFonts w:ascii="Arial" w:eastAsia="Times New Roman" w:hAnsi="Arial" w:cs="Arial"/>
                <w:lang w:eastAsia="en-GB"/>
              </w:rPr>
              <w:t>Almeida (2010)</w:t>
            </w:r>
          </w:p>
        </w:tc>
        <w:tc>
          <w:tcPr>
            <w:tcW w:w="270" w:type="pct"/>
            <w:textDirection w:val="btLr"/>
          </w:tcPr>
          <w:p w14:paraId="35BC9F5D" w14:textId="2BCF9C94" w:rsidR="001868D9" w:rsidRPr="00103A0B" w:rsidRDefault="001868D9" w:rsidP="005D0A3A">
            <w:pPr>
              <w:tabs>
                <w:tab w:val="left" w:pos="1470"/>
              </w:tabs>
              <w:ind w:left="113" w:right="113"/>
              <w:jc w:val="both"/>
              <w:rPr>
                <w:rFonts w:ascii="Arial" w:eastAsia="Times New Roman" w:hAnsi="Arial" w:cs="Arial"/>
                <w:lang w:eastAsia="en-GB"/>
              </w:rPr>
            </w:pPr>
            <w:r w:rsidRPr="00103A0B">
              <w:rPr>
                <w:rFonts w:ascii="Arial" w:eastAsia="Times New Roman" w:hAnsi="Arial" w:cs="Arial"/>
                <w:lang w:eastAsia="en-GB"/>
              </w:rPr>
              <w:t>Alva (20</w:t>
            </w:r>
            <w:r w:rsidR="004E0154" w:rsidRPr="00103A0B">
              <w:rPr>
                <w:rFonts w:ascii="Arial" w:eastAsia="Times New Roman" w:hAnsi="Arial" w:cs="Arial"/>
                <w:lang w:eastAsia="en-GB"/>
              </w:rPr>
              <w:t>1</w:t>
            </w:r>
            <w:r w:rsidRPr="00103A0B">
              <w:rPr>
                <w:rFonts w:ascii="Arial" w:eastAsia="Times New Roman" w:hAnsi="Arial" w:cs="Arial"/>
                <w:lang w:eastAsia="en-GB"/>
              </w:rPr>
              <w:t>9)</w:t>
            </w:r>
          </w:p>
        </w:tc>
      </w:tr>
      <w:tr w:rsidR="001868D9" w:rsidRPr="00103A0B" w14:paraId="74167973" w14:textId="77777777" w:rsidTr="00FD05BC">
        <w:trPr>
          <w:trHeight w:val="437"/>
        </w:trPr>
        <w:tc>
          <w:tcPr>
            <w:tcW w:w="1485" w:type="pct"/>
          </w:tcPr>
          <w:p w14:paraId="0006B54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Quality rating (overall)</w:t>
            </w:r>
          </w:p>
        </w:tc>
        <w:tc>
          <w:tcPr>
            <w:tcW w:w="270" w:type="pct"/>
          </w:tcPr>
          <w:p w14:paraId="1C6411DF"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w:t>
            </w:r>
          </w:p>
        </w:tc>
        <w:tc>
          <w:tcPr>
            <w:tcW w:w="270" w:type="pct"/>
          </w:tcPr>
          <w:p w14:paraId="460E65A4"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M</w:t>
            </w:r>
          </w:p>
        </w:tc>
        <w:tc>
          <w:tcPr>
            <w:tcW w:w="270" w:type="pct"/>
          </w:tcPr>
          <w:p w14:paraId="315E0C9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M</w:t>
            </w:r>
          </w:p>
        </w:tc>
        <w:tc>
          <w:tcPr>
            <w:tcW w:w="270" w:type="pct"/>
          </w:tcPr>
          <w:p w14:paraId="00159F54"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S</w:t>
            </w:r>
          </w:p>
        </w:tc>
        <w:tc>
          <w:tcPr>
            <w:tcW w:w="270" w:type="pct"/>
          </w:tcPr>
          <w:p w14:paraId="588DFBE8"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S</w:t>
            </w:r>
          </w:p>
        </w:tc>
        <w:tc>
          <w:tcPr>
            <w:tcW w:w="270" w:type="pct"/>
          </w:tcPr>
          <w:p w14:paraId="5A05DB6F"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M</w:t>
            </w:r>
          </w:p>
        </w:tc>
        <w:tc>
          <w:tcPr>
            <w:tcW w:w="270" w:type="pct"/>
          </w:tcPr>
          <w:p w14:paraId="2DC004DF"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M</w:t>
            </w:r>
          </w:p>
        </w:tc>
        <w:tc>
          <w:tcPr>
            <w:tcW w:w="270" w:type="pct"/>
          </w:tcPr>
          <w:p w14:paraId="3A87A6CB"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M</w:t>
            </w:r>
          </w:p>
        </w:tc>
        <w:tc>
          <w:tcPr>
            <w:tcW w:w="270" w:type="pct"/>
          </w:tcPr>
          <w:p w14:paraId="0116940A"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w:t>
            </w:r>
          </w:p>
        </w:tc>
        <w:tc>
          <w:tcPr>
            <w:tcW w:w="270" w:type="pct"/>
          </w:tcPr>
          <w:p w14:paraId="5A39F263"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M</w:t>
            </w:r>
          </w:p>
        </w:tc>
        <w:tc>
          <w:tcPr>
            <w:tcW w:w="270" w:type="pct"/>
          </w:tcPr>
          <w:p w14:paraId="7C14A6FD"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w:t>
            </w:r>
          </w:p>
        </w:tc>
        <w:tc>
          <w:tcPr>
            <w:tcW w:w="270" w:type="pct"/>
          </w:tcPr>
          <w:p w14:paraId="3F573A3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w:t>
            </w:r>
          </w:p>
        </w:tc>
        <w:tc>
          <w:tcPr>
            <w:tcW w:w="270" w:type="pct"/>
          </w:tcPr>
          <w:p w14:paraId="1060FEAA"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M</w:t>
            </w:r>
          </w:p>
        </w:tc>
      </w:tr>
      <w:tr w:rsidR="001868D9" w:rsidRPr="00103A0B" w14:paraId="568A667B" w14:textId="77777777" w:rsidTr="00FD05BC">
        <w:trPr>
          <w:trHeight w:val="437"/>
        </w:trPr>
        <w:tc>
          <w:tcPr>
            <w:tcW w:w="1485" w:type="pct"/>
          </w:tcPr>
          <w:p w14:paraId="1D3E2BBD"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Response rates (%)</w:t>
            </w:r>
          </w:p>
        </w:tc>
        <w:tc>
          <w:tcPr>
            <w:tcW w:w="270" w:type="pct"/>
          </w:tcPr>
          <w:p w14:paraId="7520A7FB"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00D93C7A"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28F1C434"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53.6</w:t>
            </w:r>
          </w:p>
        </w:tc>
        <w:tc>
          <w:tcPr>
            <w:tcW w:w="270" w:type="pct"/>
          </w:tcPr>
          <w:p w14:paraId="5E00B4FD"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5C2C38CB"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278BB50A"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41.0*</w:t>
            </w:r>
          </w:p>
        </w:tc>
        <w:tc>
          <w:tcPr>
            <w:tcW w:w="270" w:type="pct"/>
          </w:tcPr>
          <w:p w14:paraId="35AD0CB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4ACC7D6D"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21F48EFF"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3E1EA2A8"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3852CE97"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5BCC3C3D"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c>
          <w:tcPr>
            <w:tcW w:w="270" w:type="pct"/>
          </w:tcPr>
          <w:p w14:paraId="452FD1A4"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r>
      <w:tr w:rsidR="001868D9" w:rsidRPr="00103A0B" w14:paraId="704976D5" w14:textId="77777777" w:rsidTr="00FD05BC">
        <w:trPr>
          <w:trHeight w:val="460"/>
        </w:trPr>
        <w:tc>
          <w:tcPr>
            <w:tcW w:w="1485" w:type="pct"/>
          </w:tcPr>
          <w:p w14:paraId="168A57B9"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Uptake rates (%)</w:t>
            </w:r>
          </w:p>
        </w:tc>
        <w:tc>
          <w:tcPr>
            <w:tcW w:w="270" w:type="pct"/>
          </w:tcPr>
          <w:p w14:paraId="54542248"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93.0</w:t>
            </w:r>
          </w:p>
        </w:tc>
        <w:tc>
          <w:tcPr>
            <w:tcW w:w="270" w:type="pct"/>
          </w:tcPr>
          <w:p w14:paraId="3AB4085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90.0</w:t>
            </w:r>
          </w:p>
        </w:tc>
        <w:tc>
          <w:tcPr>
            <w:tcW w:w="270" w:type="pct"/>
          </w:tcPr>
          <w:p w14:paraId="27B09F77"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89.7</w:t>
            </w:r>
          </w:p>
        </w:tc>
        <w:tc>
          <w:tcPr>
            <w:tcW w:w="270" w:type="pct"/>
          </w:tcPr>
          <w:p w14:paraId="3DE2520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85.8</w:t>
            </w:r>
          </w:p>
        </w:tc>
        <w:tc>
          <w:tcPr>
            <w:tcW w:w="270" w:type="pct"/>
          </w:tcPr>
          <w:p w14:paraId="2E70A59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85.7</w:t>
            </w:r>
          </w:p>
        </w:tc>
        <w:tc>
          <w:tcPr>
            <w:tcW w:w="270" w:type="pct"/>
          </w:tcPr>
          <w:p w14:paraId="328C5DCE"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76.1</w:t>
            </w:r>
          </w:p>
        </w:tc>
        <w:tc>
          <w:tcPr>
            <w:tcW w:w="270" w:type="pct"/>
          </w:tcPr>
          <w:p w14:paraId="4DF76F2B"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64.1</w:t>
            </w:r>
          </w:p>
        </w:tc>
        <w:tc>
          <w:tcPr>
            <w:tcW w:w="270" w:type="pct"/>
          </w:tcPr>
          <w:p w14:paraId="28709B77"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63.3</w:t>
            </w:r>
          </w:p>
        </w:tc>
        <w:tc>
          <w:tcPr>
            <w:tcW w:w="270" w:type="pct"/>
          </w:tcPr>
          <w:p w14:paraId="0308EBB7"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50.0</w:t>
            </w:r>
          </w:p>
        </w:tc>
        <w:tc>
          <w:tcPr>
            <w:tcW w:w="270" w:type="pct"/>
          </w:tcPr>
          <w:p w14:paraId="084789E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32.5</w:t>
            </w:r>
          </w:p>
        </w:tc>
        <w:tc>
          <w:tcPr>
            <w:tcW w:w="270" w:type="pct"/>
          </w:tcPr>
          <w:p w14:paraId="3B81FBCC"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31.0</w:t>
            </w:r>
          </w:p>
        </w:tc>
        <w:tc>
          <w:tcPr>
            <w:tcW w:w="270" w:type="pct"/>
          </w:tcPr>
          <w:p w14:paraId="04A5974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8.3</w:t>
            </w:r>
          </w:p>
        </w:tc>
        <w:tc>
          <w:tcPr>
            <w:tcW w:w="270" w:type="pct"/>
          </w:tcPr>
          <w:p w14:paraId="5FA8F84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t>
            </w:r>
          </w:p>
        </w:tc>
      </w:tr>
      <w:tr w:rsidR="001868D9" w:rsidRPr="00103A0B" w14:paraId="2CAA32E3" w14:textId="77777777" w:rsidTr="00FD05BC">
        <w:trPr>
          <w:trHeight w:val="437"/>
        </w:trPr>
        <w:tc>
          <w:tcPr>
            <w:tcW w:w="1485" w:type="pct"/>
            <w:shd w:val="clear" w:color="auto" w:fill="auto"/>
          </w:tcPr>
          <w:p w14:paraId="4D60CEAD" w14:textId="77777777" w:rsidR="001868D9" w:rsidRPr="00103A0B" w:rsidRDefault="001868D9" w:rsidP="005D0A3A">
            <w:pPr>
              <w:tabs>
                <w:tab w:val="left" w:pos="1470"/>
              </w:tabs>
              <w:jc w:val="both"/>
              <w:rPr>
                <w:rFonts w:ascii="Arial" w:eastAsia="Times New Roman" w:hAnsi="Arial" w:cs="Arial"/>
                <w:b/>
                <w:lang w:eastAsia="en-GB"/>
              </w:rPr>
            </w:pPr>
            <w:r w:rsidRPr="00103A0B">
              <w:rPr>
                <w:rFonts w:ascii="Arial" w:eastAsia="Times New Roman" w:hAnsi="Arial" w:cs="Arial"/>
                <w:b/>
                <w:lang w:eastAsia="en-GB"/>
              </w:rPr>
              <w:t>Recruitment methods</w:t>
            </w:r>
          </w:p>
        </w:tc>
        <w:tc>
          <w:tcPr>
            <w:tcW w:w="270" w:type="pct"/>
            <w:shd w:val="clear" w:color="auto" w:fill="auto"/>
          </w:tcPr>
          <w:p w14:paraId="15E5A21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2587D44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66E84B30"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789959A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2E109CF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4E62154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23D7406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13CF6433"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1643C0C3"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4046B03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72E2EA5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shd w:val="clear" w:color="auto" w:fill="auto"/>
          </w:tcPr>
          <w:p w14:paraId="064627C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C712BCD"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338804F4" w14:textId="77777777" w:rsidTr="00FD05BC">
        <w:trPr>
          <w:trHeight w:val="437"/>
        </w:trPr>
        <w:tc>
          <w:tcPr>
            <w:tcW w:w="1485" w:type="pct"/>
          </w:tcPr>
          <w:p w14:paraId="186EF905"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 xml:space="preserve">Referrals/medical records </w:t>
            </w:r>
          </w:p>
        </w:tc>
        <w:tc>
          <w:tcPr>
            <w:tcW w:w="270" w:type="pct"/>
          </w:tcPr>
          <w:p w14:paraId="74540463"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639466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E4F6BD5"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77E8B8F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60D0631"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CB368A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9C1D8BA"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1CA45B8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857D235"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C2833BE"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D55B67E"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5C4701FF"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2B248827"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r>
      <w:tr w:rsidR="001868D9" w:rsidRPr="00103A0B" w14:paraId="2E9C89FD" w14:textId="77777777" w:rsidTr="00FD05BC">
        <w:trPr>
          <w:trHeight w:val="437"/>
        </w:trPr>
        <w:tc>
          <w:tcPr>
            <w:tcW w:w="1485" w:type="pct"/>
          </w:tcPr>
          <w:p w14:paraId="0432D4BE"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 xml:space="preserve">Post/letters/mailing </w:t>
            </w:r>
          </w:p>
        </w:tc>
        <w:tc>
          <w:tcPr>
            <w:tcW w:w="270" w:type="pct"/>
          </w:tcPr>
          <w:p w14:paraId="2D18372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50944A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F9BF1A5"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C92102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4A82470A"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02EC1E2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74E927E"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C56C610"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7F93FF0"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01691C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CE39D50"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3170957"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5CE18DC"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1DF35F41" w14:textId="77777777" w:rsidTr="00FD05BC">
        <w:trPr>
          <w:trHeight w:val="437"/>
        </w:trPr>
        <w:tc>
          <w:tcPr>
            <w:tcW w:w="1485" w:type="pct"/>
          </w:tcPr>
          <w:p w14:paraId="46666F2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 xml:space="preserve">Flyers </w:t>
            </w:r>
          </w:p>
        </w:tc>
        <w:tc>
          <w:tcPr>
            <w:tcW w:w="270" w:type="pct"/>
          </w:tcPr>
          <w:p w14:paraId="62C1EBA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47A350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F50C20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82F7B4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50982CC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78F9AE2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D9BA175"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68DC677"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803AF9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0738D6C"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C0514B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9F992D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682408F"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26C07407" w14:textId="77777777" w:rsidTr="00FD05BC">
        <w:trPr>
          <w:trHeight w:val="460"/>
        </w:trPr>
        <w:tc>
          <w:tcPr>
            <w:tcW w:w="1485" w:type="pct"/>
          </w:tcPr>
          <w:p w14:paraId="1C9A080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 xml:space="preserve">Presentations </w:t>
            </w:r>
          </w:p>
        </w:tc>
        <w:tc>
          <w:tcPr>
            <w:tcW w:w="270" w:type="pct"/>
          </w:tcPr>
          <w:p w14:paraId="5C3285A0"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93D34DA"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5C214DFC"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4B99EA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0075769"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4B13795"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DADF9D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656751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DD7A270"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47F98C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E14C7F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E47EEA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89B3EAD"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3E3005E5" w14:textId="77777777" w:rsidTr="00FD05BC">
        <w:trPr>
          <w:trHeight w:val="437"/>
        </w:trPr>
        <w:tc>
          <w:tcPr>
            <w:tcW w:w="1485" w:type="pct"/>
          </w:tcPr>
          <w:p w14:paraId="402FE9B7"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 xml:space="preserve">Newsletters/bulletins </w:t>
            </w:r>
          </w:p>
        </w:tc>
        <w:tc>
          <w:tcPr>
            <w:tcW w:w="270" w:type="pct"/>
          </w:tcPr>
          <w:p w14:paraId="0925DBA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C68B57E"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2807671C"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F0B69D3"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3E7968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6866879"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D62C2F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0DE9C3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71B5754"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3EF1DC3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F9A6513"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1247919"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F467CD7"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2A441E01" w14:textId="77777777" w:rsidTr="00FD05BC">
        <w:trPr>
          <w:trHeight w:val="437"/>
        </w:trPr>
        <w:tc>
          <w:tcPr>
            <w:tcW w:w="1485" w:type="pct"/>
          </w:tcPr>
          <w:p w14:paraId="535EE819"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Posters</w:t>
            </w:r>
          </w:p>
        </w:tc>
        <w:tc>
          <w:tcPr>
            <w:tcW w:w="270" w:type="pct"/>
          </w:tcPr>
          <w:p w14:paraId="7AFAF2F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848503E"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93B11E5"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A2A60F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6D60D3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6CC4CC2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4D87BE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015823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4314E2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28FDD4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429901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98A8AC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2FA6011"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6FB30291" w14:textId="77777777" w:rsidTr="00FD05BC">
        <w:trPr>
          <w:trHeight w:val="437"/>
        </w:trPr>
        <w:tc>
          <w:tcPr>
            <w:tcW w:w="1485" w:type="pct"/>
          </w:tcPr>
          <w:p w14:paraId="123FDE3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 xml:space="preserve">Newspapers advertisements </w:t>
            </w:r>
          </w:p>
        </w:tc>
        <w:tc>
          <w:tcPr>
            <w:tcW w:w="270" w:type="pct"/>
          </w:tcPr>
          <w:p w14:paraId="373B9867"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4526D6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93BD4E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76426AB"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182C4C29"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67272C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FAAD4E7"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7B65ED5"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A61051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70C4865"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D42481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2D5A9A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9DA1DB8"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436FE49D" w14:textId="77777777" w:rsidTr="00FD05BC">
        <w:trPr>
          <w:trHeight w:val="437"/>
        </w:trPr>
        <w:tc>
          <w:tcPr>
            <w:tcW w:w="1485" w:type="pct"/>
          </w:tcPr>
          <w:p w14:paraId="41767601"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Magazines/brochures</w:t>
            </w:r>
          </w:p>
        </w:tc>
        <w:tc>
          <w:tcPr>
            <w:tcW w:w="270" w:type="pct"/>
          </w:tcPr>
          <w:p w14:paraId="7899CB9E"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F2562A3"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845D2F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9BB401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F95D36C"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1DCAAC1"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98F83C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1BE748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28A459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D9BF80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386733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7FFA972"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36144A37"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5E806BF0" w14:textId="77777777" w:rsidTr="00FD05BC">
        <w:trPr>
          <w:trHeight w:val="437"/>
        </w:trPr>
        <w:tc>
          <w:tcPr>
            <w:tcW w:w="1485" w:type="pct"/>
          </w:tcPr>
          <w:p w14:paraId="36A24390"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Telephone</w:t>
            </w:r>
          </w:p>
        </w:tc>
        <w:tc>
          <w:tcPr>
            <w:tcW w:w="270" w:type="pct"/>
          </w:tcPr>
          <w:p w14:paraId="0A06ADB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D42835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BB4ABB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D2C7DE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4EE6A20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0E3506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B9008B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FAAF5A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C9FBEB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764FC07"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825683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E1AFCD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C6374B1"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79287034" w14:textId="77777777" w:rsidTr="00FD05BC">
        <w:trPr>
          <w:trHeight w:val="437"/>
        </w:trPr>
        <w:tc>
          <w:tcPr>
            <w:tcW w:w="1485" w:type="pct"/>
          </w:tcPr>
          <w:p w14:paraId="7FB9B485"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Radio</w:t>
            </w:r>
          </w:p>
        </w:tc>
        <w:tc>
          <w:tcPr>
            <w:tcW w:w="270" w:type="pct"/>
          </w:tcPr>
          <w:p w14:paraId="124F4675"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64EBEF7"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600AFA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35F2356"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63DB5E4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1BCA0E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C76D42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5B6BD2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E837647"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45D7E53"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1C40BC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9055C2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DAE776E"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004C3859" w14:textId="77777777" w:rsidTr="00FD05BC">
        <w:trPr>
          <w:trHeight w:val="437"/>
        </w:trPr>
        <w:tc>
          <w:tcPr>
            <w:tcW w:w="1485" w:type="pct"/>
          </w:tcPr>
          <w:p w14:paraId="1F657267"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lastRenderedPageBreak/>
              <w:t>TV</w:t>
            </w:r>
          </w:p>
        </w:tc>
        <w:tc>
          <w:tcPr>
            <w:tcW w:w="270" w:type="pct"/>
          </w:tcPr>
          <w:p w14:paraId="11E2A87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F65CF4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FCD7570"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81F2EB1"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6F4F1071"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736BE9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A3A139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10EBAA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6D1AC1D3"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68AA7D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05614C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1674A05"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28F58BD"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55300459" w14:textId="77777777" w:rsidTr="00FD05BC">
        <w:trPr>
          <w:trHeight w:val="437"/>
        </w:trPr>
        <w:tc>
          <w:tcPr>
            <w:tcW w:w="1485" w:type="pct"/>
          </w:tcPr>
          <w:p w14:paraId="071A5393"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Website/social media</w:t>
            </w:r>
          </w:p>
        </w:tc>
        <w:tc>
          <w:tcPr>
            <w:tcW w:w="270" w:type="pct"/>
          </w:tcPr>
          <w:p w14:paraId="1804EC7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FEFA28E"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73BE14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F3F9357"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5044799"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03B8E01"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7C3728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00DD820"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E28FBBE"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54EAA1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5E06783"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CEFCBAD"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1665A9CE"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625B11CF" w14:textId="77777777" w:rsidTr="00FD05BC">
        <w:trPr>
          <w:trHeight w:val="437"/>
        </w:trPr>
        <w:tc>
          <w:tcPr>
            <w:tcW w:w="1485" w:type="pct"/>
          </w:tcPr>
          <w:p w14:paraId="2E23B33C"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Unclear/too general</w:t>
            </w:r>
          </w:p>
        </w:tc>
        <w:tc>
          <w:tcPr>
            <w:tcW w:w="270" w:type="pct"/>
          </w:tcPr>
          <w:p w14:paraId="2A9FC3A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E22137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C50C93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24423C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B1DC9E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0D8AF97"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3D4FE8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D369177"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017729B9"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5388471E"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E1D2A7C"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FF39B28"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F942BA4" w14:textId="77777777" w:rsidR="001868D9" w:rsidRPr="00103A0B" w:rsidRDefault="001868D9" w:rsidP="005D0A3A">
            <w:pPr>
              <w:tabs>
                <w:tab w:val="left" w:pos="1470"/>
              </w:tabs>
              <w:jc w:val="both"/>
              <w:rPr>
                <w:rFonts w:ascii="Arial" w:eastAsia="Times New Roman" w:hAnsi="Arial" w:cs="Arial"/>
                <w:lang w:eastAsia="en-GB"/>
              </w:rPr>
            </w:pPr>
          </w:p>
        </w:tc>
      </w:tr>
      <w:tr w:rsidR="001868D9" w:rsidRPr="00103A0B" w14:paraId="6541F90C" w14:textId="77777777" w:rsidTr="00FD05BC">
        <w:trPr>
          <w:trHeight w:val="437"/>
        </w:trPr>
        <w:tc>
          <w:tcPr>
            <w:tcW w:w="1485" w:type="pct"/>
          </w:tcPr>
          <w:p w14:paraId="5AC72D3B"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 xml:space="preserve">Not stated </w:t>
            </w:r>
          </w:p>
        </w:tc>
        <w:tc>
          <w:tcPr>
            <w:tcW w:w="270" w:type="pct"/>
          </w:tcPr>
          <w:p w14:paraId="261F1404"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114FA04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36C5119F"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4141D954"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63B39D2"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7925D9A5"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3C1B7D29"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59D6F3B"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03C0DC0A"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8C6288D" w14:textId="77777777" w:rsidR="001868D9" w:rsidRPr="00103A0B" w:rsidRDefault="001868D9" w:rsidP="005D0A3A">
            <w:pPr>
              <w:tabs>
                <w:tab w:val="left" w:pos="1470"/>
              </w:tabs>
              <w:jc w:val="both"/>
              <w:rPr>
                <w:rFonts w:ascii="Arial" w:eastAsia="Times New Roman" w:hAnsi="Arial" w:cs="Arial"/>
                <w:lang w:eastAsia="en-GB"/>
              </w:rPr>
            </w:pPr>
            <w:r w:rsidRPr="00103A0B">
              <w:rPr>
                <w:rFonts w:ascii="Arial" w:eastAsia="Times New Roman" w:hAnsi="Arial" w:cs="Arial"/>
                <w:lang w:eastAsia="en-GB"/>
              </w:rPr>
              <w:t>X</w:t>
            </w:r>
          </w:p>
        </w:tc>
        <w:tc>
          <w:tcPr>
            <w:tcW w:w="270" w:type="pct"/>
          </w:tcPr>
          <w:p w14:paraId="050E768D"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16E6C416" w14:textId="77777777" w:rsidR="001868D9" w:rsidRPr="00103A0B" w:rsidRDefault="001868D9" w:rsidP="005D0A3A">
            <w:pPr>
              <w:tabs>
                <w:tab w:val="left" w:pos="1470"/>
              </w:tabs>
              <w:jc w:val="both"/>
              <w:rPr>
                <w:rFonts w:ascii="Arial" w:eastAsia="Times New Roman" w:hAnsi="Arial" w:cs="Arial"/>
                <w:lang w:eastAsia="en-GB"/>
              </w:rPr>
            </w:pPr>
          </w:p>
        </w:tc>
        <w:tc>
          <w:tcPr>
            <w:tcW w:w="270" w:type="pct"/>
          </w:tcPr>
          <w:p w14:paraId="2DFD30B2" w14:textId="77777777" w:rsidR="001868D9" w:rsidRPr="00103A0B" w:rsidRDefault="001868D9" w:rsidP="005D0A3A">
            <w:pPr>
              <w:tabs>
                <w:tab w:val="left" w:pos="1470"/>
              </w:tabs>
              <w:jc w:val="both"/>
              <w:rPr>
                <w:rFonts w:ascii="Arial" w:eastAsia="Times New Roman" w:hAnsi="Arial" w:cs="Arial"/>
                <w:lang w:eastAsia="en-GB"/>
              </w:rPr>
            </w:pPr>
          </w:p>
        </w:tc>
      </w:tr>
    </w:tbl>
    <w:p w14:paraId="2EFC4024" w14:textId="77777777" w:rsidR="001868D9" w:rsidRPr="00103A0B" w:rsidRDefault="001868D9" w:rsidP="005D0A3A">
      <w:pPr>
        <w:tabs>
          <w:tab w:val="left" w:pos="1470"/>
        </w:tabs>
        <w:spacing w:line="360" w:lineRule="auto"/>
        <w:jc w:val="both"/>
        <w:rPr>
          <w:rFonts w:ascii="Arial" w:eastAsia="Times New Roman" w:hAnsi="Arial" w:cs="Arial"/>
          <w:sz w:val="20"/>
          <w:szCs w:val="20"/>
          <w:lang w:eastAsia="en-GB"/>
        </w:rPr>
      </w:pPr>
      <w:r w:rsidRPr="00103A0B">
        <w:rPr>
          <w:rFonts w:ascii="Arial" w:eastAsia="Times New Roman" w:hAnsi="Arial" w:cs="Arial"/>
          <w:sz w:val="20"/>
          <w:szCs w:val="20"/>
          <w:lang w:eastAsia="en-GB"/>
        </w:rPr>
        <w:t xml:space="preserve">Key: N/A (-); *This figure might be questionable as in the recruitment strategy, for occupational settings, a day was organised when questionnaires were given, meaning some may have been informed about the study but not given the questionnaire to complete; Strong (S); Moderate (M); Weak (W).   </w:t>
      </w:r>
    </w:p>
    <w:p w14:paraId="1E356572" w14:textId="77777777" w:rsidR="001868D9" w:rsidRPr="00103A0B" w:rsidRDefault="001868D9" w:rsidP="005D0A3A">
      <w:pPr>
        <w:tabs>
          <w:tab w:val="left" w:pos="1470"/>
        </w:tabs>
        <w:spacing w:line="360" w:lineRule="auto"/>
        <w:jc w:val="both"/>
        <w:rPr>
          <w:rFonts w:ascii="Arial" w:eastAsia="Times New Roman" w:hAnsi="Arial" w:cs="Arial"/>
          <w:sz w:val="24"/>
          <w:szCs w:val="24"/>
          <w:lang w:eastAsia="en-GB"/>
        </w:rPr>
      </w:pPr>
    </w:p>
    <w:p w14:paraId="01817B05" w14:textId="77777777" w:rsidR="001868D9" w:rsidRPr="00103A0B" w:rsidRDefault="001868D9" w:rsidP="005D0A3A">
      <w:pPr>
        <w:tabs>
          <w:tab w:val="left" w:pos="1470"/>
        </w:tabs>
        <w:spacing w:line="360" w:lineRule="auto"/>
        <w:jc w:val="both"/>
        <w:rPr>
          <w:rFonts w:ascii="Arial" w:eastAsia="Times New Roman" w:hAnsi="Arial" w:cs="Arial"/>
          <w:sz w:val="24"/>
          <w:szCs w:val="24"/>
          <w:lang w:eastAsia="en-GB"/>
        </w:rPr>
      </w:pPr>
    </w:p>
    <w:p w14:paraId="5F590F8F" w14:textId="77777777" w:rsidR="001868D9" w:rsidRPr="00103A0B" w:rsidRDefault="001868D9" w:rsidP="005D0A3A">
      <w:pPr>
        <w:tabs>
          <w:tab w:val="left" w:pos="1470"/>
        </w:tabs>
        <w:spacing w:line="360" w:lineRule="auto"/>
        <w:jc w:val="both"/>
        <w:rPr>
          <w:rFonts w:ascii="Arial" w:eastAsia="Times New Roman" w:hAnsi="Arial" w:cs="Arial"/>
          <w:sz w:val="24"/>
          <w:szCs w:val="24"/>
          <w:lang w:eastAsia="en-GB"/>
        </w:rPr>
      </w:pPr>
    </w:p>
    <w:p w14:paraId="76B6C93F" w14:textId="77777777" w:rsidR="001868D9" w:rsidRPr="00103A0B" w:rsidRDefault="001868D9" w:rsidP="005D0A3A">
      <w:pPr>
        <w:tabs>
          <w:tab w:val="left" w:pos="1470"/>
        </w:tabs>
        <w:spacing w:line="360" w:lineRule="auto"/>
        <w:jc w:val="both"/>
        <w:rPr>
          <w:rFonts w:ascii="Arial" w:eastAsia="Times New Roman" w:hAnsi="Arial" w:cs="Arial"/>
          <w:sz w:val="24"/>
          <w:szCs w:val="24"/>
          <w:lang w:eastAsia="en-GB"/>
        </w:rPr>
      </w:pPr>
    </w:p>
    <w:p w14:paraId="5D537B8F" w14:textId="77777777" w:rsidR="001868D9" w:rsidRPr="00103A0B" w:rsidRDefault="001868D9" w:rsidP="005D0A3A">
      <w:pPr>
        <w:tabs>
          <w:tab w:val="left" w:pos="1470"/>
        </w:tabs>
        <w:spacing w:line="360" w:lineRule="auto"/>
        <w:jc w:val="both"/>
        <w:rPr>
          <w:rFonts w:ascii="Arial" w:eastAsia="Times New Roman" w:hAnsi="Arial" w:cs="Arial"/>
          <w:sz w:val="24"/>
          <w:szCs w:val="24"/>
          <w:lang w:eastAsia="en-GB"/>
        </w:rPr>
      </w:pPr>
    </w:p>
    <w:p w14:paraId="66B7F896" w14:textId="77777777" w:rsidR="001868D9" w:rsidRPr="00103A0B" w:rsidRDefault="001868D9" w:rsidP="005D0A3A">
      <w:pPr>
        <w:tabs>
          <w:tab w:val="left" w:pos="1470"/>
        </w:tabs>
        <w:spacing w:line="360" w:lineRule="auto"/>
        <w:jc w:val="both"/>
        <w:rPr>
          <w:rFonts w:ascii="Arial" w:eastAsia="Times New Roman" w:hAnsi="Arial" w:cs="Arial"/>
          <w:sz w:val="24"/>
          <w:szCs w:val="24"/>
          <w:lang w:eastAsia="en-GB"/>
        </w:rPr>
      </w:pPr>
    </w:p>
    <w:p w14:paraId="3AC871F4" w14:textId="77777777" w:rsidR="001868D9" w:rsidRPr="00103A0B" w:rsidRDefault="001868D9" w:rsidP="005D0A3A">
      <w:pPr>
        <w:tabs>
          <w:tab w:val="left" w:pos="1470"/>
        </w:tabs>
        <w:spacing w:line="360" w:lineRule="auto"/>
        <w:jc w:val="both"/>
        <w:rPr>
          <w:rFonts w:ascii="Arial" w:eastAsia="Times New Roman" w:hAnsi="Arial" w:cs="Arial"/>
          <w:sz w:val="24"/>
          <w:szCs w:val="24"/>
          <w:lang w:eastAsia="en-GB"/>
        </w:rPr>
      </w:pPr>
    </w:p>
    <w:p w14:paraId="448845D6" w14:textId="77777777" w:rsidR="00FD05BC" w:rsidRPr="00103A0B" w:rsidRDefault="00FD05BC" w:rsidP="005D0A3A">
      <w:pPr>
        <w:tabs>
          <w:tab w:val="left" w:pos="1470"/>
        </w:tabs>
        <w:spacing w:line="360" w:lineRule="auto"/>
        <w:jc w:val="both"/>
        <w:rPr>
          <w:rFonts w:ascii="Arial" w:eastAsia="Times New Roman" w:hAnsi="Arial" w:cs="Arial"/>
          <w:sz w:val="24"/>
          <w:szCs w:val="24"/>
          <w:lang w:eastAsia="en-GB"/>
        </w:rPr>
      </w:pPr>
    </w:p>
    <w:p w14:paraId="1942F0B9" w14:textId="51DDC981" w:rsidR="001868D9" w:rsidRPr="00103A0B" w:rsidRDefault="001868D9" w:rsidP="005D0A3A">
      <w:pPr>
        <w:tabs>
          <w:tab w:val="left" w:pos="1470"/>
        </w:tabs>
        <w:spacing w:line="360" w:lineRule="auto"/>
        <w:jc w:val="both"/>
        <w:rPr>
          <w:rFonts w:ascii="Arial" w:eastAsia="Times New Roman" w:hAnsi="Arial" w:cs="Arial"/>
          <w:i/>
          <w:iCs/>
          <w:sz w:val="24"/>
          <w:szCs w:val="24"/>
          <w:lang w:eastAsia="en-GB"/>
        </w:rPr>
      </w:pPr>
      <w:r w:rsidRPr="00103A0B">
        <w:rPr>
          <w:rFonts w:ascii="Arial" w:eastAsia="Times New Roman" w:hAnsi="Arial" w:cs="Arial"/>
          <w:i/>
          <w:iCs/>
          <w:sz w:val="24"/>
          <w:szCs w:val="24"/>
          <w:lang w:eastAsia="en-GB"/>
        </w:rPr>
        <w:lastRenderedPageBreak/>
        <w:t xml:space="preserve">Table 2 Cont`d: Papers detailing quality rating (overall), recruitment strategies, </w:t>
      </w:r>
      <w:proofErr w:type="gramStart"/>
      <w:r w:rsidRPr="00103A0B">
        <w:rPr>
          <w:rFonts w:ascii="Arial" w:eastAsia="Times New Roman" w:hAnsi="Arial" w:cs="Arial"/>
          <w:i/>
          <w:iCs/>
          <w:sz w:val="24"/>
          <w:szCs w:val="24"/>
          <w:lang w:eastAsia="en-GB"/>
        </w:rPr>
        <w:t>response</w:t>
      </w:r>
      <w:proofErr w:type="gramEnd"/>
      <w:r w:rsidRPr="00103A0B">
        <w:rPr>
          <w:rFonts w:ascii="Arial" w:eastAsia="Times New Roman" w:hAnsi="Arial" w:cs="Arial"/>
          <w:i/>
          <w:iCs/>
          <w:sz w:val="24"/>
          <w:szCs w:val="24"/>
          <w:lang w:eastAsia="en-GB"/>
        </w:rPr>
        <w:t xml:space="preserve"> and uptake rates (high-low)</w:t>
      </w:r>
    </w:p>
    <w:tbl>
      <w:tblPr>
        <w:tblStyle w:val="TableGrid"/>
        <w:tblW w:w="15083" w:type="dxa"/>
        <w:tblInd w:w="-559" w:type="dxa"/>
        <w:tblLook w:val="04A0" w:firstRow="1" w:lastRow="0" w:firstColumn="1" w:lastColumn="0" w:noHBand="0" w:noVBand="1"/>
      </w:tblPr>
      <w:tblGrid>
        <w:gridCol w:w="2374"/>
        <w:gridCol w:w="808"/>
        <w:gridCol w:w="612"/>
        <w:gridCol w:w="612"/>
        <w:gridCol w:w="612"/>
        <w:gridCol w:w="612"/>
        <w:gridCol w:w="612"/>
        <w:gridCol w:w="612"/>
        <w:gridCol w:w="612"/>
        <w:gridCol w:w="612"/>
        <w:gridCol w:w="612"/>
        <w:gridCol w:w="623"/>
        <w:gridCol w:w="653"/>
        <w:gridCol w:w="653"/>
        <w:gridCol w:w="642"/>
        <w:gridCol w:w="642"/>
        <w:gridCol w:w="642"/>
        <w:gridCol w:w="642"/>
        <w:gridCol w:w="642"/>
        <w:gridCol w:w="642"/>
        <w:gridCol w:w="612"/>
      </w:tblGrid>
      <w:tr w:rsidR="001868D9" w:rsidRPr="00103A0B" w14:paraId="252190CF" w14:textId="77777777" w:rsidTr="00BA7C6A">
        <w:trPr>
          <w:cantSplit/>
          <w:trHeight w:val="2142"/>
          <w:tblHeader/>
        </w:trPr>
        <w:tc>
          <w:tcPr>
            <w:tcW w:w="2374" w:type="dxa"/>
          </w:tcPr>
          <w:p w14:paraId="381999D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808" w:type="dxa"/>
            <w:textDirection w:val="btLr"/>
          </w:tcPr>
          <w:p w14:paraId="492F7C29"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Gilis-Januszewska</w:t>
            </w:r>
            <w:proofErr w:type="spellEnd"/>
            <w:r w:rsidRPr="00103A0B">
              <w:rPr>
                <w:rFonts w:ascii="Arial" w:eastAsia="Times New Roman" w:hAnsi="Arial" w:cs="Arial"/>
                <w:lang w:eastAsia="en-GB"/>
              </w:rPr>
              <w:t xml:space="preserve"> (2018)</w:t>
            </w:r>
          </w:p>
        </w:tc>
        <w:tc>
          <w:tcPr>
            <w:tcW w:w="612" w:type="dxa"/>
            <w:textDirection w:val="btLr"/>
          </w:tcPr>
          <w:p w14:paraId="3DBB0D6E"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Katula</w:t>
            </w:r>
            <w:proofErr w:type="spellEnd"/>
            <w:r w:rsidRPr="00103A0B">
              <w:rPr>
                <w:rFonts w:ascii="Arial" w:eastAsia="Times New Roman" w:hAnsi="Arial" w:cs="Arial"/>
                <w:lang w:eastAsia="en-GB"/>
              </w:rPr>
              <w:t xml:space="preserve"> (2013)</w:t>
            </w:r>
          </w:p>
        </w:tc>
        <w:tc>
          <w:tcPr>
            <w:tcW w:w="0" w:type="auto"/>
            <w:textDirection w:val="btLr"/>
          </w:tcPr>
          <w:p w14:paraId="4BFF1B50"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Yeh (2015)</w:t>
            </w:r>
          </w:p>
        </w:tc>
        <w:tc>
          <w:tcPr>
            <w:tcW w:w="0" w:type="auto"/>
            <w:textDirection w:val="btLr"/>
          </w:tcPr>
          <w:p w14:paraId="14C7AA8D"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Yates (2009)</w:t>
            </w:r>
          </w:p>
        </w:tc>
        <w:tc>
          <w:tcPr>
            <w:tcW w:w="0" w:type="auto"/>
            <w:textDirection w:val="btLr"/>
          </w:tcPr>
          <w:p w14:paraId="4AE69892"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Miller (2016)</w:t>
            </w:r>
          </w:p>
        </w:tc>
        <w:tc>
          <w:tcPr>
            <w:tcW w:w="0" w:type="auto"/>
            <w:textDirection w:val="btLr"/>
          </w:tcPr>
          <w:p w14:paraId="0B77FF78"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Pimentel (2010)</w:t>
            </w:r>
          </w:p>
        </w:tc>
        <w:tc>
          <w:tcPr>
            <w:tcW w:w="0" w:type="auto"/>
            <w:textDirection w:val="btLr"/>
          </w:tcPr>
          <w:p w14:paraId="15905DB0"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Davies (2016)</w:t>
            </w:r>
          </w:p>
        </w:tc>
        <w:tc>
          <w:tcPr>
            <w:tcW w:w="612" w:type="dxa"/>
            <w:textDirection w:val="btLr"/>
          </w:tcPr>
          <w:p w14:paraId="5E66DA2A"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Gagnon (2011)</w:t>
            </w:r>
          </w:p>
        </w:tc>
        <w:tc>
          <w:tcPr>
            <w:tcW w:w="612" w:type="dxa"/>
            <w:textDirection w:val="btLr"/>
          </w:tcPr>
          <w:p w14:paraId="2ACC6410"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Kulzer (2009)</w:t>
            </w:r>
          </w:p>
        </w:tc>
        <w:tc>
          <w:tcPr>
            <w:tcW w:w="612" w:type="dxa"/>
            <w:textDirection w:val="btLr"/>
          </w:tcPr>
          <w:p w14:paraId="7E277561"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Payne (2008)</w:t>
            </w:r>
          </w:p>
        </w:tc>
        <w:tc>
          <w:tcPr>
            <w:tcW w:w="623" w:type="dxa"/>
            <w:textDirection w:val="btLr"/>
          </w:tcPr>
          <w:p w14:paraId="4ACEF396"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Sakane</w:t>
            </w:r>
            <w:proofErr w:type="spellEnd"/>
            <w:r w:rsidRPr="00103A0B">
              <w:rPr>
                <w:rFonts w:ascii="Arial" w:eastAsia="Times New Roman" w:hAnsi="Arial" w:cs="Arial"/>
                <w:lang w:eastAsia="en-GB"/>
              </w:rPr>
              <w:t xml:space="preserve"> (2011)</w:t>
            </w:r>
          </w:p>
        </w:tc>
        <w:tc>
          <w:tcPr>
            <w:tcW w:w="653" w:type="dxa"/>
            <w:textDirection w:val="btLr"/>
          </w:tcPr>
          <w:p w14:paraId="0063AA52"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 xml:space="preserve">Vincent (2014) </w:t>
            </w:r>
          </w:p>
        </w:tc>
        <w:tc>
          <w:tcPr>
            <w:tcW w:w="653" w:type="dxa"/>
            <w:textDirection w:val="btLr"/>
          </w:tcPr>
          <w:p w14:paraId="0A89C3B0"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Coppell (2017)</w:t>
            </w:r>
          </w:p>
        </w:tc>
        <w:tc>
          <w:tcPr>
            <w:tcW w:w="642" w:type="dxa"/>
            <w:textDirection w:val="btLr"/>
          </w:tcPr>
          <w:p w14:paraId="6224FDBF"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Marrero (2016)</w:t>
            </w:r>
          </w:p>
        </w:tc>
        <w:tc>
          <w:tcPr>
            <w:tcW w:w="642" w:type="dxa"/>
            <w:textDirection w:val="btLr"/>
          </w:tcPr>
          <w:p w14:paraId="40276331"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 xml:space="preserve">Parikh (2010) </w:t>
            </w:r>
          </w:p>
        </w:tc>
        <w:tc>
          <w:tcPr>
            <w:tcW w:w="642" w:type="dxa"/>
            <w:textDirection w:val="btLr"/>
          </w:tcPr>
          <w:p w14:paraId="42151F0D"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Chen (2017)</w:t>
            </w:r>
          </w:p>
        </w:tc>
        <w:tc>
          <w:tcPr>
            <w:tcW w:w="642" w:type="dxa"/>
            <w:textDirection w:val="btLr"/>
          </w:tcPr>
          <w:p w14:paraId="3F54FDCE"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McDermott (2014)</w:t>
            </w:r>
          </w:p>
        </w:tc>
        <w:tc>
          <w:tcPr>
            <w:tcW w:w="642" w:type="dxa"/>
            <w:textDirection w:val="btLr"/>
          </w:tcPr>
          <w:p w14:paraId="3A9997A3"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Moore (2011)</w:t>
            </w:r>
          </w:p>
        </w:tc>
        <w:tc>
          <w:tcPr>
            <w:tcW w:w="642" w:type="dxa"/>
            <w:textDirection w:val="btLr"/>
          </w:tcPr>
          <w:p w14:paraId="315B0CDA"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Bernstein (2014)</w:t>
            </w:r>
          </w:p>
        </w:tc>
        <w:tc>
          <w:tcPr>
            <w:tcW w:w="612" w:type="dxa"/>
            <w:textDirection w:val="btLr"/>
          </w:tcPr>
          <w:p w14:paraId="0D08C95C" w14:textId="77777777" w:rsidR="001868D9" w:rsidRPr="00103A0B" w:rsidRDefault="001868D9" w:rsidP="005D0A3A">
            <w:pPr>
              <w:tabs>
                <w:tab w:val="left" w:pos="1155"/>
              </w:tabs>
              <w:spacing w:line="360" w:lineRule="auto"/>
              <w:ind w:left="113" w:right="113"/>
              <w:jc w:val="both"/>
              <w:rPr>
                <w:rFonts w:ascii="Arial" w:eastAsia="Times New Roman" w:hAnsi="Arial" w:cs="Arial"/>
                <w:lang w:eastAsia="en-GB"/>
              </w:rPr>
            </w:pPr>
            <w:proofErr w:type="spellStart"/>
            <w:r w:rsidRPr="00103A0B">
              <w:rPr>
                <w:rFonts w:ascii="Arial" w:hAnsi="Arial" w:cs="Arial"/>
              </w:rPr>
              <w:t>Aekplakorn</w:t>
            </w:r>
            <w:proofErr w:type="spellEnd"/>
            <w:r w:rsidRPr="00103A0B">
              <w:rPr>
                <w:rFonts w:ascii="Arial" w:hAnsi="Arial" w:cs="Arial"/>
              </w:rPr>
              <w:t xml:space="preserve"> (2019)</w:t>
            </w:r>
          </w:p>
        </w:tc>
      </w:tr>
      <w:tr w:rsidR="001868D9" w:rsidRPr="00103A0B" w14:paraId="262A6FA7" w14:textId="77777777" w:rsidTr="00BA7C6A">
        <w:trPr>
          <w:trHeight w:val="361"/>
        </w:trPr>
        <w:tc>
          <w:tcPr>
            <w:tcW w:w="2374" w:type="dxa"/>
          </w:tcPr>
          <w:p w14:paraId="13BD2C7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Quality rating (overall)</w:t>
            </w:r>
          </w:p>
        </w:tc>
        <w:tc>
          <w:tcPr>
            <w:tcW w:w="808" w:type="dxa"/>
          </w:tcPr>
          <w:p w14:paraId="5B60A8B3"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M</w:t>
            </w:r>
          </w:p>
        </w:tc>
        <w:tc>
          <w:tcPr>
            <w:tcW w:w="612" w:type="dxa"/>
          </w:tcPr>
          <w:p w14:paraId="2634CD72"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M</w:t>
            </w:r>
          </w:p>
        </w:tc>
        <w:tc>
          <w:tcPr>
            <w:tcW w:w="0" w:type="auto"/>
          </w:tcPr>
          <w:p w14:paraId="52BA4FE7"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0" w:type="auto"/>
          </w:tcPr>
          <w:p w14:paraId="50982151"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0" w:type="auto"/>
          </w:tcPr>
          <w:p w14:paraId="7742F671"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0" w:type="auto"/>
          </w:tcPr>
          <w:p w14:paraId="5EF53AF8"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0" w:type="auto"/>
          </w:tcPr>
          <w:p w14:paraId="00E427EB"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12" w:type="dxa"/>
          </w:tcPr>
          <w:p w14:paraId="4BDC2475"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12" w:type="dxa"/>
          </w:tcPr>
          <w:p w14:paraId="576F7E4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12" w:type="dxa"/>
          </w:tcPr>
          <w:p w14:paraId="6B4C9D65"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23" w:type="dxa"/>
          </w:tcPr>
          <w:p w14:paraId="753F1497"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M</w:t>
            </w:r>
          </w:p>
        </w:tc>
        <w:tc>
          <w:tcPr>
            <w:tcW w:w="653" w:type="dxa"/>
          </w:tcPr>
          <w:p w14:paraId="1005CA16"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53" w:type="dxa"/>
          </w:tcPr>
          <w:p w14:paraId="492670C1"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42" w:type="dxa"/>
          </w:tcPr>
          <w:p w14:paraId="62C06FE2"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42" w:type="dxa"/>
          </w:tcPr>
          <w:p w14:paraId="0B910DCB"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42" w:type="dxa"/>
          </w:tcPr>
          <w:p w14:paraId="56CACC4F"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M</w:t>
            </w:r>
          </w:p>
        </w:tc>
        <w:tc>
          <w:tcPr>
            <w:tcW w:w="642" w:type="dxa"/>
          </w:tcPr>
          <w:p w14:paraId="3D0CC8F1"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42" w:type="dxa"/>
          </w:tcPr>
          <w:p w14:paraId="2E85A204"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c>
          <w:tcPr>
            <w:tcW w:w="642" w:type="dxa"/>
          </w:tcPr>
          <w:p w14:paraId="57A52C7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M</w:t>
            </w:r>
          </w:p>
        </w:tc>
        <w:tc>
          <w:tcPr>
            <w:tcW w:w="612" w:type="dxa"/>
          </w:tcPr>
          <w:p w14:paraId="76A8008F"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S</w:t>
            </w:r>
          </w:p>
        </w:tc>
      </w:tr>
      <w:tr w:rsidR="001868D9" w:rsidRPr="00103A0B" w14:paraId="4A12AB6B" w14:textId="77777777" w:rsidTr="00BA7C6A">
        <w:trPr>
          <w:trHeight w:val="361"/>
        </w:trPr>
        <w:tc>
          <w:tcPr>
            <w:tcW w:w="2374" w:type="dxa"/>
          </w:tcPr>
          <w:p w14:paraId="450A1D54"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Response rates (%)</w:t>
            </w:r>
          </w:p>
        </w:tc>
        <w:tc>
          <w:tcPr>
            <w:tcW w:w="808" w:type="dxa"/>
          </w:tcPr>
          <w:p w14:paraId="3013FA2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09718850"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6387111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4FA8A49B"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13BFC00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3E37823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728B93D4"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6FB32506"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46A03E81"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0C8AC74A"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23" w:type="dxa"/>
          </w:tcPr>
          <w:p w14:paraId="430C0EFD"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53" w:type="dxa"/>
          </w:tcPr>
          <w:p w14:paraId="40A7E716"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53" w:type="dxa"/>
          </w:tcPr>
          <w:p w14:paraId="04591568"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6896E52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7FE24070"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25CF1422"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1444112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1253C75D"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3313F05C"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1EF8CE65"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r>
      <w:tr w:rsidR="001868D9" w:rsidRPr="00103A0B" w14:paraId="3A504CB5" w14:textId="77777777" w:rsidTr="00BA7C6A">
        <w:trPr>
          <w:trHeight w:val="361"/>
        </w:trPr>
        <w:tc>
          <w:tcPr>
            <w:tcW w:w="2374" w:type="dxa"/>
          </w:tcPr>
          <w:p w14:paraId="49470096"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Uptake rates (%)</w:t>
            </w:r>
          </w:p>
        </w:tc>
        <w:tc>
          <w:tcPr>
            <w:tcW w:w="808" w:type="dxa"/>
          </w:tcPr>
          <w:p w14:paraId="43EE56BB"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29820E6A"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7D6FC11C"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43504FC0"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7B1046E6"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3A7CD0B4"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0" w:type="auto"/>
          </w:tcPr>
          <w:p w14:paraId="615F59A3"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21FEB0A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42CC1331"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2A0929CD"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23" w:type="dxa"/>
          </w:tcPr>
          <w:p w14:paraId="3C955FA3"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53" w:type="dxa"/>
          </w:tcPr>
          <w:p w14:paraId="4982B29A"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53" w:type="dxa"/>
          </w:tcPr>
          <w:p w14:paraId="360A953D"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4F0C1016"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1CD20E6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417F93A2"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564F7E40"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42AB3345"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42" w:type="dxa"/>
          </w:tcPr>
          <w:p w14:paraId="3CDAA5A0"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12" w:type="dxa"/>
          </w:tcPr>
          <w:p w14:paraId="2B10B083"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r>
      <w:tr w:rsidR="001868D9" w:rsidRPr="00103A0B" w14:paraId="6F57CE09" w14:textId="77777777" w:rsidTr="00BA7C6A">
        <w:trPr>
          <w:trHeight w:val="361"/>
        </w:trPr>
        <w:tc>
          <w:tcPr>
            <w:tcW w:w="2374" w:type="dxa"/>
            <w:shd w:val="clear" w:color="auto" w:fill="auto"/>
          </w:tcPr>
          <w:p w14:paraId="359BA1A8" w14:textId="77777777" w:rsidR="001868D9" w:rsidRPr="00103A0B" w:rsidRDefault="001868D9" w:rsidP="005D0A3A">
            <w:pPr>
              <w:tabs>
                <w:tab w:val="left" w:pos="1155"/>
              </w:tabs>
              <w:spacing w:line="360" w:lineRule="auto"/>
              <w:jc w:val="both"/>
              <w:rPr>
                <w:rFonts w:ascii="Arial" w:eastAsia="Times New Roman" w:hAnsi="Arial" w:cs="Arial"/>
                <w:b/>
                <w:lang w:eastAsia="en-GB"/>
              </w:rPr>
            </w:pPr>
            <w:r w:rsidRPr="00103A0B">
              <w:rPr>
                <w:rFonts w:ascii="Arial" w:eastAsia="Times New Roman" w:hAnsi="Arial" w:cs="Arial"/>
                <w:b/>
                <w:lang w:eastAsia="en-GB"/>
              </w:rPr>
              <w:t>Recruitment methods</w:t>
            </w:r>
          </w:p>
        </w:tc>
        <w:tc>
          <w:tcPr>
            <w:tcW w:w="808" w:type="dxa"/>
            <w:shd w:val="clear" w:color="auto" w:fill="auto"/>
          </w:tcPr>
          <w:p w14:paraId="2E958512"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12" w:type="dxa"/>
            <w:shd w:val="clear" w:color="auto" w:fill="auto"/>
          </w:tcPr>
          <w:p w14:paraId="391ED19D"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0" w:type="auto"/>
            <w:shd w:val="clear" w:color="auto" w:fill="auto"/>
          </w:tcPr>
          <w:p w14:paraId="6E5C5836"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0" w:type="auto"/>
            <w:shd w:val="clear" w:color="auto" w:fill="auto"/>
          </w:tcPr>
          <w:p w14:paraId="67B10A33"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0" w:type="auto"/>
            <w:shd w:val="clear" w:color="auto" w:fill="auto"/>
          </w:tcPr>
          <w:p w14:paraId="0DE126AA"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0" w:type="auto"/>
            <w:shd w:val="clear" w:color="auto" w:fill="auto"/>
          </w:tcPr>
          <w:p w14:paraId="1194FCF6"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0" w:type="auto"/>
            <w:shd w:val="clear" w:color="auto" w:fill="auto"/>
          </w:tcPr>
          <w:p w14:paraId="1BB91B7F"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12" w:type="dxa"/>
            <w:shd w:val="clear" w:color="auto" w:fill="auto"/>
          </w:tcPr>
          <w:p w14:paraId="27609E78"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12" w:type="dxa"/>
            <w:shd w:val="clear" w:color="auto" w:fill="auto"/>
          </w:tcPr>
          <w:p w14:paraId="40AC3870"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12" w:type="dxa"/>
            <w:shd w:val="clear" w:color="auto" w:fill="auto"/>
          </w:tcPr>
          <w:p w14:paraId="29FDE82C"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23" w:type="dxa"/>
            <w:shd w:val="clear" w:color="auto" w:fill="auto"/>
          </w:tcPr>
          <w:p w14:paraId="0CC09E67"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53" w:type="dxa"/>
            <w:shd w:val="clear" w:color="auto" w:fill="auto"/>
          </w:tcPr>
          <w:p w14:paraId="548994A8"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53" w:type="dxa"/>
            <w:shd w:val="clear" w:color="auto" w:fill="auto"/>
          </w:tcPr>
          <w:p w14:paraId="3D18D68F"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42" w:type="dxa"/>
            <w:shd w:val="clear" w:color="auto" w:fill="auto"/>
          </w:tcPr>
          <w:p w14:paraId="7CEC0A81"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42" w:type="dxa"/>
            <w:shd w:val="clear" w:color="auto" w:fill="auto"/>
          </w:tcPr>
          <w:p w14:paraId="065BFFE9"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42" w:type="dxa"/>
            <w:shd w:val="clear" w:color="auto" w:fill="auto"/>
          </w:tcPr>
          <w:p w14:paraId="127549AA"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42" w:type="dxa"/>
            <w:shd w:val="clear" w:color="auto" w:fill="auto"/>
          </w:tcPr>
          <w:p w14:paraId="3897C531"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42" w:type="dxa"/>
            <w:shd w:val="clear" w:color="auto" w:fill="auto"/>
          </w:tcPr>
          <w:p w14:paraId="3174B8C0"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42" w:type="dxa"/>
            <w:shd w:val="clear" w:color="auto" w:fill="auto"/>
          </w:tcPr>
          <w:p w14:paraId="65E07052"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c>
          <w:tcPr>
            <w:tcW w:w="612" w:type="dxa"/>
          </w:tcPr>
          <w:p w14:paraId="6E41DA12" w14:textId="77777777" w:rsidR="001868D9" w:rsidRPr="00103A0B" w:rsidRDefault="001868D9" w:rsidP="005D0A3A">
            <w:pPr>
              <w:tabs>
                <w:tab w:val="left" w:pos="1155"/>
              </w:tabs>
              <w:spacing w:line="360" w:lineRule="auto"/>
              <w:jc w:val="both"/>
              <w:rPr>
                <w:rFonts w:ascii="Arial" w:eastAsia="Times New Roman" w:hAnsi="Arial" w:cs="Arial"/>
                <w:b/>
                <w:lang w:eastAsia="en-GB"/>
              </w:rPr>
            </w:pPr>
          </w:p>
        </w:tc>
      </w:tr>
      <w:tr w:rsidR="001868D9" w:rsidRPr="00103A0B" w14:paraId="4333CE73" w14:textId="77777777" w:rsidTr="00BA7C6A">
        <w:trPr>
          <w:trHeight w:val="361"/>
        </w:trPr>
        <w:tc>
          <w:tcPr>
            <w:tcW w:w="2374" w:type="dxa"/>
          </w:tcPr>
          <w:p w14:paraId="168825E2"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Referrals/medical records</w:t>
            </w:r>
          </w:p>
        </w:tc>
        <w:tc>
          <w:tcPr>
            <w:tcW w:w="808" w:type="dxa"/>
          </w:tcPr>
          <w:p w14:paraId="0022174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6E315BF"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0C600E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71D6ED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F320E8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E64953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43BCDA4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F0E052C"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12" w:type="dxa"/>
          </w:tcPr>
          <w:p w14:paraId="17E931B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682607CF"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23" w:type="dxa"/>
          </w:tcPr>
          <w:p w14:paraId="16067C7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11E1F37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53" w:type="dxa"/>
          </w:tcPr>
          <w:p w14:paraId="2446F1D5"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2" w:type="dxa"/>
          </w:tcPr>
          <w:p w14:paraId="50B82FA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4509DBA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63BC34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DBE293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340214F"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2" w:type="dxa"/>
          </w:tcPr>
          <w:p w14:paraId="2E4AB6F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35A888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041A4A0B" w14:textId="77777777" w:rsidTr="00BA7C6A">
        <w:trPr>
          <w:trHeight w:val="361"/>
        </w:trPr>
        <w:tc>
          <w:tcPr>
            <w:tcW w:w="2374" w:type="dxa"/>
          </w:tcPr>
          <w:p w14:paraId="3583E8D8"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Post/letters/mailing</w:t>
            </w:r>
          </w:p>
        </w:tc>
        <w:tc>
          <w:tcPr>
            <w:tcW w:w="808" w:type="dxa"/>
          </w:tcPr>
          <w:p w14:paraId="208882D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010E3FA"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306AE3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2551C0B"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62172B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C3BA4F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37345C37"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12" w:type="dxa"/>
          </w:tcPr>
          <w:p w14:paraId="6EC2849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7649FA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2A4E39A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160700B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25B3D4D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7EF8D37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AD6094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02F8CF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B3EB55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FBFC90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B8F3C0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0FF8EE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719CEA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4A85D1E6" w14:textId="77777777" w:rsidTr="00BA7C6A">
        <w:trPr>
          <w:trHeight w:val="361"/>
        </w:trPr>
        <w:tc>
          <w:tcPr>
            <w:tcW w:w="2374" w:type="dxa"/>
          </w:tcPr>
          <w:p w14:paraId="7F974C41"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 xml:space="preserve">Flyers/leaflets </w:t>
            </w:r>
          </w:p>
        </w:tc>
        <w:tc>
          <w:tcPr>
            <w:tcW w:w="808" w:type="dxa"/>
          </w:tcPr>
          <w:p w14:paraId="6A5545A8"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12" w:type="dxa"/>
          </w:tcPr>
          <w:p w14:paraId="645E3B8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E1EDA2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50A2D1E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115C0B7A"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330F86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58B639E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61D8D68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56AB7B1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B9E377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4FC196DB"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53" w:type="dxa"/>
          </w:tcPr>
          <w:p w14:paraId="50C5413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53" w:type="dxa"/>
          </w:tcPr>
          <w:p w14:paraId="3A64169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CC3E53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23C5B1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107EAC5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6A54CC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E7E843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06A2443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1A1FA19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68CB5BF3" w14:textId="77777777" w:rsidTr="00BA7C6A">
        <w:trPr>
          <w:trHeight w:val="361"/>
        </w:trPr>
        <w:tc>
          <w:tcPr>
            <w:tcW w:w="2374" w:type="dxa"/>
          </w:tcPr>
          <w:p w14:paraId="0AD2546D"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Presentations</w:t>
            </w:r>
          </w:p>
        </w:tc>
        <w:tc>
          <w:tcPr>
            <w:tcW w:w="808" w:type="dxa"/>
          </w:tcPr>
          <w:p w14:paraId="41FD945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830B708"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FEA773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20EB38A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7AE8BB0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4D5ADD8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31F10E2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7B9026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5F9D01A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2555494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53E8C19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2357C2C8"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53" w:type="dxa"/>
          </w:tcPr>
          <w:p w14:paraId="78D82EF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188EE8C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D8466AB"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2" w:type="dxa"/>
          </w:tcPr>
          <w:p w14:paraId="1B63823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38663F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5B7117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B24F3C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13A98120"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1868D9" w:rsidRPr="00103A0B" w14:paraId="43AF16DD" w14:textId="77777777" w:rsidTr="00BA7C6A">
        <w:trPr>
          <w:trHeight w:val="361"/>
        </w:trPr>
        <w:tc>
          <w:tcPr>
            <w:tcW w:w="2374" w:type="dxa"/>
          </w:tcPr>
          <w:p w14:paraId="5C936360"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Newsletters/bulletin</w:t>
            </w:r>
          </w:p>
        </w:tc>
        <w:tc>
          <w:tcPr>
            <w:tcW w:w="808" w:type="dxa"/>
          </w:tcPr>
          <w:p w14:paraId="1D583B8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5CEFB7B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7367472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5C22CB4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3DDCA67A"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4EB67B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65F5D52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2300246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57820D7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34C4E7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116B5E8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5F167AC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7C71B37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0FE770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D2A2F2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465EACB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914333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6FD4C7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4E6B9E1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119CB3E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4232730B" w14:textId="77777777" w:rsidTr="00BA7C6A">
        <w:trPr>
          <w:trHeight w:val="361"/>
        </w:trPr>
        <w:tc>
          <w:tcPr>
            <w:tcW w:w="2374" w:type="dxa"/>
          </w:tcPr>
          <w:p w14:paraId="2F0CE39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Posters</w:t>
            </w:r>
          </w:p>
        </w:tc>
        <w:tc>
          <w:tcPr>
            <w:tcW w:w="808" w:type="dxa"/>
          </w:tcPr>
          <w:p w14:paraId="1C84FB3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4A74102"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F75A82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2FC052A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030C2B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69ABAB3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79D4660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645AE4D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E0B200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5BD9287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34F1B78B"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53" w:type="dxa"/>
          </w:tcPr>
          <w:p w14:paraId="381B1B5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02F4121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86725D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823A45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A656CE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00FFA6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1006913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6FCF91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11ECBD9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781E22D8" w14:textId="77777777" w:rsidTr="00BA7C6A">
        <w:trPr>
          <w:trHeight w:val="361"/>
        </w:trPr>
        <w:tc>
          <w:tcPr>
            <w:tcW w:w="2374" w:type="dxa"/>
          </w:tcPr>
          <w:p w14:paraId="24744C62"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Magazines/brochures</w:t>
            </w:r>
          </w:p>
        </w:tc>
        <w:tc>
          <w:tcPr>
            <w:tcW w:w="808" w:type="dxa"/>
          </w:tcPr>
          <w:p w14:paraId="1CA307D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570C4CF"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23AFCC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6C007EB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6A0A083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1DE95E9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1CDE034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C304E0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42F165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D79351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7DF593C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5132575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134E553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F26FA7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562790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DC9A8F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C63874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114AC66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CAA3C0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29CEA86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29AA5523" w14:textId="77777777" w:rsidTr="00BA7C6A">
        <w:trPr>
          <w:trHeight w:val="361"/>
        </w:trPr>
        <w:tc>
          <w:tcPr>
            <w:tcW w:w="2374" w:type="dxa"/>
          </w:tcPr>
          <w:p w14:paraId="372BAC9C"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Telephone</w:t>
            </w:r>
          </w:p>
        </w:tc>
        <w:tc>
          <w:tcPr>
            <w:tcW w:w="808" w:type="dxa"/>
          </w:tcPr>
          <w:p w14:paraId="2189A52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890AF4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21A09A1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2944751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24DD70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3F3F7DF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1D1273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4FD9DCF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73FFD3B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86A035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560F4E8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2443E7F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5C2773B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08EB35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D828FC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04D2C5A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4F52A8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C6E345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ADBEF7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427F534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64DC722A" w14:textId="77777777" w:rsidTr="00BA7C6A">
        <w:trPr>
          <w:trHeight w:val="361"/>
        </w:trPr>
        <w:tc>
          <w:tcPr>
            <w:tcW w:w="2374" w:type="dxa"/>
          </w:tcPr>
          <w:p w14:paraId="0690D5B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Website/social media</w:t>
            </w:r>
          </w:p>
        </w:tc>
        <w:tc>
          <w:tcPr>
            <w:tcW w:w="808" w:type="dxa"/>
          </w:tcPr>
          <w:p w14:paraId="7D648C1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155E9BA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69854A8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3988EB1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54B0C21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1C124D7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5336E2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2116B64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7F5B73E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727AEC1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70BF1F0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6F15CA5F"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53" w:type="dxa"/>
          </w:tcPr>
          <w:p w14:paraId="32018A5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0024C76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1E02A32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63A7FE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D4A0D5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4CEDF06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F2CBC1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5238B74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69FE46DB" w14:textId="77777777" w:rsidTr="00BA7C6A">
        <w:trPr>
          <w:trHeight w:val="361"/>
        </w:trPr>
        <w:tc>
          <w:tcPr>
            <w:tcW w:w="2374" w:type="dxa"/>
          </w:tcPr>
          <w:p w14:paraId="78149EC1"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Email</w:t>
            </w:r>
          </w:p>
        </w:tc>
        <w:tc>
          <w:tcPr>
            <w:tcW w:w="808" w:type="dxa"/>
          </w:tcPr>
          <w:p w14:paraId="4A1B48B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13C1CFB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D4AE957"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DE66F1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5C41BACC"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60A8095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297B114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7153370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2073A82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1007472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02423CC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42215C7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14E4ABA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39A0A8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7927CE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9CDF1D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CC4D6F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676E12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9A8438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7343C6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64F51C9B" w14:textId="77777777" w:rsidTr="00BA7C6A">
        <w:trPr>
          <w:trHeight w:val="361"/>
        </w:trPr>
        <w:tc>
          <w:tcPr>
            <w:tcW w:w="2374" w:type="dxa"/>
          </w:tcPr>
          <w:p w14:paraId="5AF1410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lastRenderedPageBreak/>
              <w:t>Newspapers</w:t>
            </w:r>
          </w:p>
        </w:tc>
        <w:tc>
          <w:tcPr>
            <w:tcW w:w="808" w:type="dxa"/>
          </w:tcPr>
          <w:p w14:paraId="7458CB4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D7C9C20"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07E260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284DEE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3E6875B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87920D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69ECE503"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401AA44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591DA2E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60FFEAC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54DE091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650E9CE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7CA7226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2E1039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D52CCA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C813F76"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56C7F3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1E582EE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80B2A6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1F679CB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5590F08A" w14:textId="77777777" w:rsidTr="00BA7C6A">
        <w:trPr>
          <w:trHeight w:val="379"/>
        </w:trPr>
        <w:tc>
          <w:tcPr>
            <w:tcW w:w="2374" w:type="dxa"/>
          </w:tcPr>
          <w:p w14:paraId="2A57629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Word of mouth</w:t>
            </w:r>
          </w:p>
        </w:tc>
        <w:tc>
          <w:tcPr>
            <w:tcW w:w="808" w:type="dxa"/>
          </w:tcPr>
          <w:p w14:paraId="756F07F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F923E6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687149B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5D24D55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6918E309"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7ACAC33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4FAFBA8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23935A4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66FC41F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767AB20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5C0DDEC9"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53" w:type="dxa"/>
          </w:tcPr>
          <w:p w14:paraId="1B28B03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02FE119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67F5AA3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690E4F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0FABC8E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4C47B14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5686BF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4203FDD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2E2ED43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07A78109" w14:textId="77777777" w:rsidTr="00BA7C6A">
        <w:trPr>
          <w:trHeight w:val="361"/>
        </w:trPr>
        <w:tc>
          <w:tcPr>
            <w:tcW w:w="2374" w:type="dxa"/>
          </w:tcPr>
          <w:p w14:paraId="3468C9CE"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Unclear/too general</w:t>
            </w:r>
          </w:p>
        </w:tc>
        <w:tc>
          <w:tcPr>
            <w:tcW w:w="808" w:type="dxa"/>
          </w:tcPr>
          <w:p w14:paraId="3312BE5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711D465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B20EBB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8FFE9F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5CBF15F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29BBC81B"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3F87FF0"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F50E2A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2D13A03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64F65AB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5A03C8B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5E372BC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0598613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41D5691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332DA4D2"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918E3BA"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4AE555CC"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2" w:type="dxa"/>
          </w:tcPr>
          <w:p w14:paraId="5B195D6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77223B7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77515E9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r w:rsidR="001868D9" w:rsidRPr="00103A0B" w14:paraId="5A7021C2" w14:textId="77777777" w:rsidTr="00BA7C6A">
        <w:trPr>
          <w:trHeight w:val="361"/>
        </w:trPr>
        <w:tc>
          <w:tcPr>
            <w:tcW w:w="2374" w:type="dxa"/>
          </w:tcPr>
          <w:p w14:paraId="400DDB36"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 xml:space="preserve">Not stated </w:t>
            </w:r>
          </w:p>
        </w:tc>
        <w:tc>
          <w:tcPr>
            <w:tcW w:w="808" w:type="dxa"/>
          </w:tcPr>
          <w:p w14:paraId="6E9F6F25"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7577D80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11A83D12"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E3BA6F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518234B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B2E282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0" w:type="auto"/>
          </w:tcPr>
          <w:p w14:paraId="04C8274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0D98B6D4"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12" w:type="dxa"/>
          </w:tcPr>
          <w:p w14:paraId="36AA8E2D"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12" w:type="dxa"/>
          </w:tcPr>
          <w:p w14:paraId="481D1FCD"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23" w:type="dxa"/>
          </w:tcPr>
          <w:p w14:paraId="2059D1F1"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30D7D58E"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53" w:type="dxa"/>
          </w:tcPr>
          <w:p w14:paraId="63287B9B"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31ACD0A"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2" w:type="dxa"/>
          </w:tcPr>
          <w:p w14:paraId="5638C96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5B936D47"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2" w:type="dxa"/>
          </w:tcPr>
          <w:p w14:paraId="41D4161C"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0060F76F"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c>
          <w:tcPr>
            <w:tcW w:w="642" w:type="dxa"/>
          </w:tcPr>
          <w:p w14:paraId="230106D6" w14:textId="77777777" w:rsidR="001868D9" w:rsidRPr="00103A0B" w:rsidRDefault="001868D9" w:rsidP="005D0A3A">
            <w:pPr>
              <w:tabs>
                <w:tab w:val="left" w:pos="1155"/>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12" w:type="dxa"/>
          </w:tcPr>
          <w:p w14:paraId="79700B58" w14:textId="77777777" w:rsidR="001868D9" w:rsidRPr="00103A0B" w:rsidRDefault="001868D9" w:rsidP="005D0A3A">
            <w:pPr>
              <w:tabs>
                <w:tab w:val="left" w:pos="1155"/>
              </w:tabs>
              <w:spacing w:line="360" w:lineRule="auto"/>
              <w:jc w:val="both"/>
              <w:rPr>
                <w:rFonts w:ascii="Arial" w:eastAsia="Times New Roman" w:hAnsi="Arial" w:cs="Arial"/>
                <w:lang w:eastAsia="en-GB"/>
              </w:rPr>
            </w:pPr>
          </w:p>
        </w:tc>
      </w:tr>
    </w:tbl>
    <w:p w14:paraId="5C8CEE1D" w14:textId="4083EC26" w:rsidR="001868D9" w:rsidRPr="00103A0B" w:rsidRDefault="001868D9" w:rsidP="005D0A3A">
      <w:pPr>
        <w:tabs>
          <w:tab w:val="left" w:pos="1155"/>
        </w:tabs>
        <w:spacing w:line="360" w:lineRule="auto"/>
        <w:jc w:val="both"/>
        <w:rPr>
          <w:rFonts w:ascii="Arial" w:eastAsia="Times New Roman" w:hAnsi="Arial" w:cs="Arial"/>
          <w:sz w:val="20"/>
          <w:szCs w:val="20"/>
          <w:lang w:eastAsia="en-GB"/>
        </w:rPr>
        <w:sectPr w:rsidR="001868D9" w:rsidRPr="00103A0B" w:rsidSect="001868D9">
          <w:pgSz w:w="16838" w:h="11906" w:orient="landscape"/>
          <w:pgMar w:top="1440" w:right="1440" w:bottom="1440" w:left="1440" w:header="709" w:footer="709" w:gutter="0"/>
          <w:cols w:space="708"/>
          <w:docGrid w:linePitch="360"/>
        </w:sectPr>
      </w:pPr>
      <w:r w:rsidRPr="00103A0B">
        <w:rPr>
          <w:rFonts w:ascii="Arial" w:eastAsia="Times New Roman" w:hAnsi="Arial" w:cs="Arial"/>
          <w:sz w:val="20"/>
          <w:szCs w:val="20"/>
          <w:lang w:eastAsia="en-GB"/>
        </w:rPr>
        <w:t xml:space="preserve">Key: N/A (-); Strong (S); Moderate (M); Weak (W).  </w:t>
      </w:r>
    </w:p>
    <w:p w14:paraId="0F1DFB0F" w14:textId="3F6FD67A" w:rsidR="00324C56" w:rsidRPr="00103A0B" w:rsidRDefault="00C054AD" w:rsidP="005D0A3A">
      <w:pPr>
        <w:keepLines/>
        <w:jc w:val="both"/>
        <w:rPr>
          <w:rFonts w:ascii="Arial" w:hAnsi="Arial" w:cs="Arial"/>
          <w:b/>
          <w:bCs/>
          <w:sz w:val="24"/>
          <w:szCs w:val="24"/>
        </w:rPr>
      </w:pPr>
      <w:bookmarkStart w:id="102" w:name="_Toc41404595"/>
      <w:r w:rsidRPr="00103A0B">
        <w:rPr>
          <w:rFonts w:ascii="Arial" w:hAnsi="Arial" w:cs="Arial"/>
          <w:b/>
          <w:bCs/>
          <w:sz w:val="24"/>
          <w:szCs w:val="24"/>
        </w:rPr>
        <w:lastRenderedPageBreak/>
        <w:t xml:space="preserve">2.3.7 </w:t>
      </w:r>
      <w:r w:rsidR="00324C56" w:rsidRPr="00103A0B">
        <w:rPr>
          <w:rFonts w:ascii="Arial" w:hAnsi="Arial" w:cs="Arial"/>
          <w:b/>
          <w:bCs/>
          <w:sz w:val="24"/>
          <w:szCs w:val="24"/>
        </w:rPr>
        <w:t xml:space="preserve">BCTs and </w:t>
      </w:r>
      <w:r w:rsidR="00181EB6" w:rsidRPr="00103A0B">
        <w:rPr>
          <w:rFonts w:ascii="Arial" w:hAnsi="Arial" w:cs="Arial"/>
          <w:b/>
          <w:bCs/>
          <w:sz w:val="24"/>
          <w:szCs w:val="24"/>
        </w:rPr>
        <w:t>R</w:t>
      </w:r>
      <w:r w:rsidR="00324C56" w:rsidRPr="00103A0B">
        <w:rPr>
          <w:rFonts w:ascii="Arial" w:hAnsi="Arial" w:cs="Arial"/>
          <w:b/>
          <w:bCs/>
          <w:sz w:val="24"/>
          <w:szCs w:val="24"/>
        </w:rPr>
        <w:t xml:space="preserve">etention </w:t>
      </w:r>
      <w:r w:rsidR="00181EB6" w:rsidRPr="00103A0B">
        <w:rPr>
          <w:rFonts w:ascii="Arial" w:hAnsi="Arial" w:cs="Arial"/>
          <w:b/>
          <w:bCs/>
          <w:sz w:val="24"/>
          <w:szCs w:val="24"/>
        </w:rPr>
        <w:t>L</w:t>
      </w:r>
      <w:r w:rsidR="00324C56" w:rsidRPr="00103A0B">
        <w:rPr>
          <w:rFonts w:ascii="Arial" w:hAnsi="Arial" w:cs="Arial"/>
          <w:b/>
          <w:bCs/>
          <w:sz w:val="24"/>
          <w:szCs w:val="24"/>
        </w:rPr>
        <w:t>evels</w:t>
      </w:r>
      <w:bookmarkEnd w:id="102"/>
      <w:r w:rsidR="00324C56" w:rsidRPr="00103A0B">
        <w:rPr>
          <w:rFonts w:ascii="Arial" w:hAnsi="Arial" w:cs="Arial"/>
          <w:b/>
          <w:bCs/>
          <w:sz w:val="24"/>
          <w:szCs w:val="24"/>
        </w:rPr>
        <w:t xml:space="preserve">  </w:t>
      </w:r>
    </w:p>
    <w:p w14:paraId="0C352201" w14:textId="77777777" w:rsidR="00324C56" w:rsidRPr="00103A0B" w:rsidRDefault="00324C56" w:rsidP="005D0A3A">
      <w:pPr>
        <w:spacing w:line="360" w:lineRule="auto"/>
        <w:jc w:val="both"/>
        <w:rPr>
          <w:rFonts w:ascii="Arial" w:hAnsi="Arial" w:cs="Arial"/>
          <w:lang w:eastAsia="en-GB"/>
        </w:rPr>
      </w:pPr>
    </w:p>
    <w:p w14:paraId="190873B6" w14:textId="44862D98" w:rsidR="00C054AD" w:rsidRPr="00103A0B" w:rsidRDefault="00324C56" w:rsidP="005D0A3A">
      <w:pPr>
        <w:tabs>
          <w:tab w:val="left" w:pos="1470"/>
        </w:tabs>
        <w:spacing w:line="360" w:lineRule="auto"/>
        <w:jc w:val="both"/>
        <w:rPr>
          <w:rFonts w:ascii="Arial" w:eastAsia="Times New Roman" w:hAnsi="Arial" w:cs="Arial"/>
          <w:b/>
          <w:sz w:val="24"/>
          <w:szCs w:val="24"/>
          <w:lang w:eastAsia="en-GB"/>
        </w:rPr>
      </w:pPr>
      <w:r w:rsidRPr="00103A0B">
        <w:rPr>
          <w:rFonts w:ascii="Arial" w:eastAsia="Times New Roman" w:hAnsi="Arial" w:cs="Arial"/>
          <w:b/>
          <w:sz w:val="24"/>
          <w:szCs w:val="24"/>
          <w:lang w:eastAsia="en-GB"/>
        </w:rPr>
        <w:t xml:space="preserve">Overall </w:t>
      </w:r>
      <w:r w:rsidR="00181EB6" w:rsidRPr="00103A0B">
        <w:rPr>
          <w:rFonts w:ascii="Arial" w:eastAsia="Times New Roman" w:hAnsi="Arial" w:cs="Arial"/>
          <w:b/>
          <w:sz w:val="24"/>
          <w:szCs w:val="24"/>
          <w:lang w:eastAsia="en-GB"/>
        </w:rPr>
        <w:t>P</w:t>
      </w:r>
      <w:r w:rsidRPr="00103A0B">
        <w:rPr>
          <w:rFonts w:ascii="Arial" w:eastAsia="Times New Roman" w:hAnsi="Arial" w:cs="Arial"/>
          <w:b/>
          <w:sz w:val="24"/>
          <w:szCs w:val="24"/>
          <w:lang w:eastAsia="en-GB"/>
        </w:rPr>
        <w:t xml:space="preserve">atterns </w:t>
      </w:r>
    </w:p>
    <w:p w14:paraId="6D0240DE" w14:textId="70BB116F" w:rsidR="001868D9" w:rsidRPr="00103A0B" w:rsidRDefault="00324C56" w:rsidP="005D0A3A">
      <w:pPr>
        <w:tabs>
          <w:tab w:val="left" w:pos="1470"/>
        </w:tabs>
        <w:spacing w:line="360" w:lineRule="auto"/>
        <w:jc w:val="both"/>
        <w:rPr>
          <w:rFonts w:ascii="Arial" w:eastAsia="Times New Roman" w:hAnsi="Arial" w:cs="Arial"/>
          <w:b/>
          <w:sz w:val="24"/>
          <w:szCs w:val="24"/>
          <w:lang w:eastAsia="en-GB"/>
        </w:rPr>
      </w:pPr>
      <w:r w:rsidRPr="00103A0B">
        <w:rPr>
          <w:rFonts w:ascii="Arial" w:hAnsi="Arial" w:cs="Arial"/>
          <w:sz w:val="24"/>
          <w:szCs w:val="24"/>
          <w:lang w:eastAsia="en-GB"/>
        </w:rPr>
        <w:t>Table 3 shows the BCTs identified from the DPPs, and the retention rates for 31 DPPs in which they could be calculated.</w:t>
      </w:r>
      <w:r w:rsidRPr="00103A0B">
        <w:rPr>
          <w:rFonts w:ascii="Arial" w:eastAsia="Times New Roman" w:hAnsi="Arial" w:cs="Arial"/>
          <w:sz w:val="24"/>
          <w:szCs w:val="24"/>
          <w:lang w:eastAsia="en-GB"/>
        </w:rPr>
        <w:t xml:space="preserve"> Independent of retention, all DPPs used a </w:t>
      </w:r>
      <w:r w:rsidRPr="00103A0B">
        <w:rPr>
          <w:rFonts w:ascii="Arial" w:hAnsi="Arial" w:cs="Arial"/>
          <w:sz w:val="24"/>
          <w:szCs w:val="24"/>
        </w:rPr>
        <w:t xml:space="preserve">credible source (9.1), 81% used instruction on how to perform a behaviour (4.1; n=25), 71% used goal setting (behaviour) (1.1; n=22) and 68% used goal setting (outcome) (1.3; n=21). </w:t>
      </w:r>
      <w:r w:rsidRPr="00103A0B">
        <w:rPr>
          <w:rFonts w:ascii="Arial" w:eastAsia="Times New Roman" w:hAnsi="Arial" w:cs="Arial"/>
          <w:sz w:val="24"/>
          <w:szCs w:val="24"/>
          <w:lang w:eastAsia="en-GB"/>
        </w:rPr>
        <w:t xml:space="preserve">Six studies included an incentive for participation. This did not fit into any BCT definitions as stated in the Taxonomy v1 </w:t>
      </w:r>
      <w:r w:rsidRPr="00103A0B">
        <w:rPr>
          <w:rFonts w:ascii="Arial" w:eastAsia="Times New Roman" w:hAnsi="Arial" w:cs="Arial"/>
          <w:sz w:val="24"/>
          <w:szCs w:val="24"/>
          <w:lang w:eastAsia="en-GB"/>
        </w:rPr>
        <w:fldChar w:fldCharType="begin" w:fldLock="1"/>
      </w:r>
      <w:r w:rsidR="00EA0571" w:rsidRPr="00103A0B">
        <w:rPr>
          <w:rFonts w:ascii="Arial" w:eastAsia="Times New Roman" w:hAnsi="Arial" w:cs="Arial"/>
          <w:sz w:val="24"/>
          <w:szCs w:val="24"/>
          <w:lang w:eastAsia="en-GB"/>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interventions","type":"article-journal","volume":"46"},"uris":["http://www.mendeley.com/documents/?uuid=68bb257f-2ddf-4a99-bd79-a2640572189d"]}],"mendeley":{"formattedCitation":"(Susan Michie et al., 2013)","manualFormatting":"(Michie et al., 2013)","plainTextFormattedCitation":"(Susan Michie et al., 2013)","previouslyFormattedCitation":"(Susan Michie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EA0571" w:rsidRPr="00103A0B">
        <w:rPr>
          <w:rFonts w:ascii="Arial" w:eastAsia="Times New Roman" w:hAnsi="Arial" w:cs="Arial"/>
          <w:noProof/>
          <w:sz w:val="24"/>
          <w:szCs w:val="24"/>
          <w:lang w:eastAsia="en-GB"/>
        </w:rPr>
        <w:t>(</w:t>
      </w:r>
      <w:r w:rsidR="00062570" w:rsidRPr="00103A0B">
        <w:rPr>
          <w:rFonts w:ascii="Arial" w:eastAsia="Times New Roman" w:hAnsi="Arial" w:cs="Arial"/>
          <w:noProof/>
          <w:sz w:val="24"/>
          <w:szCs w:val="24"/>
          <w:lang w:eastAsia="en-GB"/>
        </w:rPr>
        <w:t>Michie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68E2CA16" w14:textId="56B4B14A" w:rsidR="001868D9" w:rsidRPr="00103A0B" w:rsidRDefault="001868D9" w:rsidP="005D0A3A">
      <w:pPr>
        <w:tabs>
          <w:tab w:val="left" w:pos="1470"/>
        </w:tabs>
        <w:spacing w:line="360" w:lineRule="auto"/>
        <w:jc w:val="both"/>
        <w:rPr>
          <w:rFonts w:ascii="Arial" w:hAnsi="Arial" w:cs="Arial"/>
          <w:sz w:val="24"/>
          <w:szCs w:val="24"/>
        </w:rPr>
        <w:sectPr w:rsidR="001868D9" w:rsidRPr="00103A0B" w:rsidSect="001868D9">
          <w:headerReference w:type="default" r:id="rId18"/>
          <w:footerReference w:type="default" r:id="rId19"/>
          <w:pgSz w:w="11906" w:h="16838"/>
          <w:pgMar w:top="720" w:right="720" w:bottom="720" w:left="720" w:header="709" w:footer="709" w:gutter="0"/>
          <w:cols w:space="708"/>
          <w:docGrid w:linePitch="360"/>
        </w:sectPr>
      </w:pPr>
    </w:p>
    <w:p w14:paraId="634942E1" w14:textId="51503AF4" w:rsidR="001868D9" w:rsidRPr="00103A0B" w:rsidRDefault="001868D9" w:rsidP="005D0A3A">
      <w:pPr>
        <w:jc w:val="both"/>
        <w:rPr>
          <w:rFonts w:ascii="Arial" w:eastAsia="Times New Roman" w:hAnsi="Arial" w:cs="Arial"/>
          <w:i/>
          <w:iCs/>
          <w:sz w:val="24"/>
          <w:szCs w:val="24"/>
          <w:lang w:eastAsia="en-GB"/>
        </w:rPr>
      </w:pPr>
      <w:bookmarkStart w:id="103" w:name="_Hlk75194547"/>
      <w:r w:rsidRPr="00103A0B">
        <w:rPr>
          <w:rFonts w:ascii="Arial" w:eastAsia="Times New Roman" w:hAnsi="Arial" w:cs="Arial"/>
          <w:i/>
          <w:iCs/>
          <w:sz w:val="24"/>
          <w:szCs w:val="24"/>
          <w:lang w:eastAsia="en-GB"/>
        </w:rPr>
        <w:lastRenderedPageBreak/>
        <w:t xml:space="preserve">Table 3: </w:t>
      </w:r>
      <w:bookmarkStart w:id="104" w:name="_Hlk21951100"/>
      <w:r w:rsidRPr="00103A0B">
        <w:rPr>
          <w:rFonts w:ascii="Arial" w:eastAsia="Times New Roman" w:hAnsi="Arial" w:cs="Arial"/>
          <w:i/>
          <w:iCs/>
          <w:sz w:val="24"/>
          <w:szCs w:val="24"/>
          <w:lang w:eastAsia="en-GB"/>
        </w:rPr>
        <w:t xml:space="preserve">Retention rates (high-low) for those interventions where BCTs have been </w:t>
      </w:r>
      <w:bookmarkEnd w:id="104"/>
      <w:proofErr w:type="gramStart"/>
      <w:r w:rsidR="00E15C6E" w:rsidRPr="00103A0B">
        <w:rPr>
          <w:rFonts w:ascii="Arial" w:eastAsia="Times New Roman" w:hAnsi="Arial" w:cs="Arial"/>
          <w:i/>
          <w:iCs/>
          <w:sz w:val="24"/>
          <w:szCs w:val="24"/>
          <w:lang w:eastAsia="en-GB"/>
        </w:rPr>
        <w:t>identified</w:t>
      </w:r>
      <w:proofErr w:type="gramEnd"/>
    </w:p>
    <w:bookmarkEnd w:id="103"/>
    <w:tbl>
      <w:tblPr>
        <w:tblStyle w:val="TableGrid"/>
        <w:tblW w:w="15834" w:type="dxa"/>
        <w:tblLook w:val="04A0" w:firstRow="1" w:lastRow="0" w:firstColumn="1" w:lastColumn="0" w:noHBand="0" w:noVBand="1"/>
      </w:tblPr>
      <w:tblGrid>
        <w:gridCol w:w="4323"/>
        <w:gridCol w:w="612"/>
        <w:gridCol w:w="612"/>
        <w:gridCol w:w="612"/>
        <w:gridCol w:w="645"/>
        <w:gridCol w:w="645"/>
        <w:gridCol w:w="645"/>
        <w:gridCol w:w="645"/>
        <w:gridCol w:w="645"/>
        <w:gridCol w:w="645"/>
        <w:gridCol w:w="645"/>
        <w:gridCol w:w="645"/>
        <w:gridCol w:w="645"/>
        <w:gridCol w:w="645"/>
        <w:gridCol w:w="645"/>
        <w:gridCol w:w="645"/>
        <w:gridCol w:w="645"/>
        <w:gridCol w:w="645"/>
        <w:gridCol w:w="645"/>
      </w:tblGrid>
      <w:tr w:rsidR="001868D9" w:rsidRPr="00103A0B" w14:paraId="7E806ADA" w14:textId="77777777" w:rsidTr="006F2D43">
        <w:trPr>
          <w:cantSplit/>
          <w:trHeight w:val="2133"/>
          <w:tblHeader/>
        </w:trPr>
        <w:tc>
          <w:tcPr>
            <w:tcW w:w="0" w:type="auto"/>
          </w:tcPr>
          <w:p w14:paraId="0C978F8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extDirection w:val="btLr"/>
          </w:tcPr>
          <w:p w14:paraId="2D6AD796"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 xml:space="preserve"> Bernstein (2014)</w:t>
            </w:r>
          </w:p>
        </w:tc>
        <w:tc>
          <w:tcPr>
            <w:tcW w:w="0" w:type="auto"/>
            <w:textDirection w:val="btLr"/>
          </w:tcPr>
          <w:p w14:paraId="76DD5447"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Tsai (2018)</w:t>
            </w:r>
          </w:p>
        </w:tc>
        <w:tc>
          <w:tcPr>
            <w:tcW w:w="0" w:type="auto"/>
            <w:textDirection w:val="btLr"/>
          </w:tcPr>
          <w:p w14:paraId="23F7303D"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Yeh (2015)</w:t>
            </w:r>
          </w:p>
        </w:tc>
        <w:tc>
          <w:tcPr>
            <w:tcW w:w="0" w:type="auto"/>
            <w:textDirection w:val="btLr"/>
          </w:tcPr>
          <w:p w14:paraId="5D026528"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McDermott (2014)</w:t>
            </w:r>
          </w:p>
        </w:tc>
        <w:tc>
          <w:tcPr>
            <w:tcW w:w="0" w:type="auto"/>
            <w:textDirection w:val="btLr"/>
          </w:tcPr>
          <w:p w14:paraId="3FEF96EF"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Chen (2017)</w:t>
            </w:r>
          </w:p>
        </w:tc>
        <w:tc>
          <w:tcPr>
            <w:tcW w:w="0" w:type="auto"/>
            <w:textDirection w:val="btLr"/>
          </w:tcPr>
          <w:p w14:paraId="657E1BC6"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Fianu</w:t>
            </w:r>
            <w:proofErr w:type="spellEnd"/>
            <w:r w:rsidRPr="00103A0B">
              <w:rPr>
                <w:rFonts w:ascii="Arial" w:eastAsia="Times New Roman" w:hAnsi="Arial" w:cs="Arial"/>
                <w:lang w:eastAsia="en-GB"/>
              </w:rPr>
              <w:t xml:space="preserve"> (2016)</w:t>
            </w:r>
          </w:p>
        </w:tc>
        <w:tc>
          <w:tcPr>
            <w:tcW w:w="0" w:type="auto"/>
            <w:textDirection w:val="btLr"/>
          </w:tcPr>
          <w:p w14:paraId="31FC69AD"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Gagnon (2011)</w:t>
            </w:r>
          </w:p>
        </w:tc>
        <w:tc>
          <w:tcPr>
            <w:tcW w:w="0" w:type="auto"/>
            <w:textDirection w:val="btLr"/>
          </w:tcPr>
          <w:p w14:paraId="3B6ED728"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Ockene</w:t>
            </w:r>
            <w:proofErr w:type="spellEnd"/>
            <w:r w:rsidRPr="00103A0B">
              <w:rPr>
                <w:rFonts w:ascii="Arial" w:eastAsia="Times New Roman" w:hAnsi="Arial" w:cs="Arial"/>
                <w:lang w:eastAsia="en-GB"/>
              </w:rPr>
              <w:t xml:space="preserve"> (2012)</w:t>
            </w:r>
          </w:p>
        </w:tc>
        <w:tc>
          <w:tcPr>
            <w:tcW w:w="0" w:type="auto"/>
            <w:textDirection w:val="btLr"/>
          </w:tcPr>
          <w:p w14:paraId="2640F40C"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Kulzer (2009)</w:t>
            </w:r>
          </w:p>
        </w:tc>
        <w:tc>
          <w:tcPr>
            <w:tcW w:w="0" w:type="auto"/>
            <w:textDirection w:val="btLr"/>
          </w:tcPr>
          <w:p w14:paraId="24DF3406"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proofErr w:type="gramStart"/>
            <w:r w:rsidRPr="00103A0B">
              <w:rPr>
                <w:rFonts w:ascii="Arial" w:eastAsia="Times New Roman" w:hAnsi="Arial" w:cs="Arial"/>
                <w:lang w:eastAsia="en-GB"/>
              </w:rPr>
              <w:t>Davis-Smith</w:t>
            </w:r>
            <w:proofErr w:type="gramEnd"/>
            <w:r w:rsidRPr="00103A0B">
              <w:rPr>
                <w:rFonts w:ascii="Arial" w:eastAsia="Times New Roman" w:hAnsi="Arial" w:cs="Arial"/>
                <w:lang w:eastAsia="en-GB"/>
              </w:rPr>
              <w:t xml:space="preserve"> (2007)</w:t>
            </w:r>
          </w:p>
        </w:tc>
        <w:tc>
          <w:tcPr>
            <w:tcW w:w="0" w:type="auto"/>
            <w:textDirection w:val="btLr"/>
          </w:tcPr>
          <w:p w14:paraId="21DB7E7B"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proofErr w:type="spellStart"/>
            <w:r w:rsidRPr="00103A0B">
              <w:rPr>
                <w:rFonts w:ascii="Arial" w:hAnsi="Arial" w:cs="Arial"/>
              </w:rPr>
              <w:t>Aekplakorn</w:t>
            </w:r>
            <w:proofErr w:type="spellEnd"/>
            <w:r w:rsidRPr="00103A0B">
              <w:rPr>
                <w:rFonts w:ascii="Arial" w:hAnsi="Arial" w:cs="Arial"/>
              </w:rPr>
              <w:t xml:space="preserve"> (2019)</w:t>
            </w:r>
          </w:p>
        </w:tc>
        <w:tc>
          <w:tcPr>
            <w:tcW w:w="0" w:type="auto"/>
            <w:textDirection w:val="btLr"/>
          </w:tcPr>
          <w:p w14:paraId="7C900647"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Yates (2009)</w:t>
            </w:r>
          </w:p>
        </w:tc>
        <w:tc>
          <w:tcPr>
            <w:tcW w:w="0" w:type="auto"/>
            <w:textDirection w:val="btLr"/>
          </w:tcPr>
          <w:p w14:paraId="3C4DCA94"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Moore (2011)</w:t>
            </w:r>
          </w:p>
        </w:tc>
        <w:tc>
          <w:tcPr>
            <w:tcW w:w="0" w:type="auto"/>
            <w:textDirection w:val="btLr"/>
          </w:tcPr>
          <w:p w14:paraId="0F61621D"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Pimentel (2010)</w:t>
            </w:r>
          </w:p>
        </w:tc>
        <w:tc>
          <w:tcPr>
            <w:tcW w:w="0" w:type="auto"/>
            <w:textDirection w:val="btLr"/>
          </w:tcPr>
          <w:p w14:paraId="25FDBDEA"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Miller (2016)</w:t>
            </w:r>
          </w:p>
        </w:tc>
        <w:tc>
          <w:tcPr>
            <w:tcW w:w="0" w:type="auto"/>
            <w:textDirection w:val="btLr"/>
          </w:tcPr>
          <w:p w14:paraId="126B8983"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Duijzer</w:t>
            </w:r>
            <w:proofErr w:type="spellEnd"/>
            <w:r w:rsidRPr="00103A0B">
              <w:rPr>
                <w:rFonts w:ascii="Arial" w:eastAsia="Times New Roman" w:hAnsi="Arial" w:cs="Arial"/>
                <w:lang w:eastAsia="en-GB"/>
              </w:rPr>
              <w:t xml:space="preserve"> (2017)</w:t>
            </w:r>
          </w:p>
        </w:tc>
        <w:tc>
          <w:tcPr>
            <w:tcW w:w="0" w:type="auto"/>
            <w:textDirection w:val="btLr"/>
          </w:tcPr>
          <w:p w14:paraId="42870F5A"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Katula</w:t>
            </w:r>
            <w:proofErr w:type="spellEnd"/>
            <w:r w:rsidRPr="00103A0B">
              <w:rPr>
                <w:rFonts w:ascii="Arial" w:eastAsia="Times New Roman" w:hAnsi="Arial" w:cs="Arial"/>
                <w:lang w:eastAsia="en-GB"/>
              </w:rPr>
              <w:t xml:space="preserve"> (2013)</w:t>
            </w:r>
          </w:p>
        </w:tc>
        <w:tc>
          <w:tcPr>
            <w:tcW w:w="0" w:type="auto"/>
            <w:textDirection w:val="btLr"/>
          </w:tcPr>
          <w:p w14:paraId="5264C257" w14:textId="77777777" w:rsidR="001868D9" w:rsidRPr="00103A0B" w:rsidRDefault="001868D9" w:rsidP="005D0A3A">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Marrero (2016)</w:t>
            </w:r>
          </w:p>
        </w:tc>
      </w:tr>
      <w:tr w:rsidR="001868D9" w:rsidRPr="00103A0B" w14:paraId="11B2ACBB" w14:textId="77777777" w:rsidTr="006F2D43">
        <w:trPr>
          <w:trHeight w:val="503"/>
        </w:trPr>
        <w:tc>
          <w:tcPr>
            <w:tcW w:w="0" w:type="auto"/>
          </w:tcPr>
          <w:p w14:paraId="1F9038F0"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Retention rates (%)</w:t>
            </w:r>
          </w:p>
        </w:tc>
        <w:tc>
          <w:tcPr>
            <w:tcW w:w="0" w:type="auto"/>
          </w:tcPr>
          <w:p w14:paraId="7AE51FE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100</w:t>
            </w:r>
          </w:p>
        </w:tc>
        <w:tc>
          <w:tcPr>
            <w:tcW w:w="0" w:type="auto"/>
          </w:tcPr>
          <w:p w14:paraId="430512FE"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100</w:t>
            </w:r>
          </w:p>
        </w:tc>
        <w:tc>
          <w:tcPr>
            <w:tcW w:w="0" w:type="auto"/>
          </w:tcPr>
          <w:p w14:paraId="34B677B6"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100</w:t>
            </w:r>
          </w:p>
        </w:tc>
        <w:tc>
          <w:tcPr>
            <w:tcW w:w="0" w:type="auto"/>
          </w:tcPr>
          <w:p w14:paraId="571B4800"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95.2</w:t>
            </w:r>
          </w:p>
        </w:tc>
        <w:tc>
          <w:tcPr>
            <w:tcW w:w="0" w:type="auto"/>
          </w:tcPr>
          <w:p w14:paraId="4CA5FB6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95.0</w:t>
            </w:r>
          </w:p>
        </w:tc>
        <w:tc>
          <w:tcPr>
            <w:tcW w:w="0" w:type="auto"/>
          </w:tcPr>
          <w:p w14:paraId="16AA31E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94.1</w:t>
            </w:r>
          </w:p>
        </w:tc>
        <w:tc>
          <w:tcPr>
            <w:tcW w:w="0" w:type="auto"/>
          </w:tcPr>
          <w:p w14:paraId="1A49271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92.3</w:t>
            </w:r>
          </w:p>
        </w:tc>
        <w:tc>
          <w:tcPr>
            <w:tcW w:w="0" w:type="auto"/>
          </w:tcPr>
          <w:p w14:paraId="036D4B5E"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92.1</w:t>
            </w:r>
          </w:p>
        </w:tc>
        <w:tc>
          <w:tcPr>
            <w:tcW w:w="0" w:type="auto"/>
          </w:tcPr>
          <w:p w14:paraId="12F0F67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91.4</w:t>
            </w:r>
          </w:p>
        </w:tc>
        <w:tc>
          <w:tcPr>
            <w:tcW w:w="0" w:type="auto"/>
          </w:tcPr>
          <w:p w14:paraId="412D131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90.0</w:t>
            </w:r>
          </w:p>
        </w:tc>
        <w:tc>
          <w:tcPr>
            <w:tcW w:w="0" w:type="auto"/>
          </w:tcPr>
          <w:p w14:paraId="794258F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89.2</w:t>
            </w:r>
          </w:p>
        </w:tc>
        <w:tc>
          <w:tcPr>
            <w:tcW w:w="0" w:type="auto"/>
          </w:tcPr>
          <w:p w14:paraId="015B95A9"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89.1</w:t>
            </w:r>
          </w:p>
        </w:tc>
        <w:tc>
          <w:tcPr>
            <w:tcW w:w="0" w:type="auto"/>
          </w:tcPr>
          <w:p w14:paraId="3189222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87.9</w:t>
            </w:r>
          </w:p>
        </w:tc>
        <w:tc>
          <w:tcPr>
            <w:tcW w:w="0" w:type="auto"/>
          </w:tcPr>
          <w:p w14:paraId="74F0F183"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87.5</w:t>
            </w:r>
          </w:p>
        </w:tc>
        <w:tc>
          <w:tcPr>
            <w:tcW w:w="0" w:type="auto"/>
          </w:tcPr>
          <w:p w14:paraId="5A6E19C6"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85.0</w:t>
            </w:r>
          </w:p>
        </w:tc>
        <w:tc>
          <w:tcPr>
            <w:tcW w:w="0" w:type="auto"/>
          </w:tcPr>
          <w:p w14:paraId="4CDFA7CE"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84.9</w:t>
            </w:r>
          </w:p>
        </w:tc>
        <w:tc>
          <w:tcPr>
            <w:tcW w:w="0" w:type="auto"/>
          </w:tcPr>
          <w:p w14:paraId="3B3572B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84.1</w:t>
            </w:r>
          </w:p>
        </w:tc>
        <w:tc>
          <w:tcPr>
            <w:tcW w:w="0" w:type="auto"/>
          </w:tcPr>
          <w:p w14:paraId="0C7F7B8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83.9</w:t>
            </w:r>
          </w:p>
        </w:tc>
      </w:tr>
      <w:tr w:rsidR="001868D9" w:rsidRPr="00103A0B" w14:paraId="70BCE8D0" w14:textId="77777777" w:rsidTr="006F2D43">
        <w:trPr>
          <w:trHeight w:val="268"/>
        </w:trPr>
        <w:tc>
          <w:tcPr>
            <w:tcW w:w="0" w:type="auto"/>
            <w:shd w:val="clear" w:color="auto" w:fill="auto"/>
          </w:tcPr>
          <w:p w14:paraId="0E994EBD" w14:textId="77777777" w:rsidR="001868D9" w:rsidRPr="00103A0B" w:rsidRDefault="001868D9" w:rsidP="005D0A3A">
            <w:pPr>
              <w:pStyle w:val="ListParagraph"/>
              <w:numPr>
                <w:ilvl w:val="0"/>
                <w:numId w:val="13"/>
              </w:numPr>
              <w:tabs>
                <w:tab w:val="left" w:pos="1470"/>
              </w:tabs>
              <w:spacing w:line="360" w:lineRule="auto"/>
              <w:jc w:val="both"/>
              <w:rPr>
                <w:rFonts w:ascii="Arial" w:eastAsia="Times New Roman" w:hAnsi="Arial" w:cs="Arial"/>
                <w:b/>
                <w:lang w:eastAsia="en-GB"/>
              </w:rPr>
            </w:pPr>
            <w:r w:rsidRPr="00103A0B">
              <w:rPr>
                <w:rFonts w:ascii="Arial" w:hAnsi="Arial" w:cs="Arial"/>
                <w:b/>
                <w:lang w:eastAsia="en-GB"/>
              </w:rPr>
              <w:t>Goals and planning</w:t>
            </w:r>
          </w:p>
        </w:tc>
        <w:tc>
          <w:tcPr>
            <w:tcW w:w="0" w:type="auto"/>
            <w:shd w:val="clear" w:color="auto" w:fill="auto"/>
          </w:tcPr>
          <w:p w14:paraId="2A6E631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7DCD05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D32333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9E2832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1CDD99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12143B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42F461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4A13AFF"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8612F1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3575E4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59C82E4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FA4DA0C"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24DE04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0A2604F"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0557FF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B1B8C6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AE5816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1A1A17C"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04D5399C" w14:textId="77777777" w:rsidTr="006F2D43">
        <w:trPr>
          <w:trHeight w:val="292"/>
        </w:trPr>
        <w:tc>
          <w:tcPr>
            <w:tcW w:w="0" w:type="auto"/>
          </w:tcPr>
          <w:p w14:paraId="1A3C5A7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1.1 Goal setting (behaviour)</w:t>
            </w:r>
          </w:p>
        </w:tc>
        <w:tc>
          <w:tcPr>
            <w:tcW w:w="0" w:type="auto"/>
          </w:tcPr>
          <w:p w14:paraId="186663A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B0A369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1DD23C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BB2A33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F2B927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59E251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F0198A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B49380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2F7085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A08848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3D0A6A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6962153"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88919A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EAA3E3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420907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05283E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689A7BD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98D17C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53171A03" w14:textId="77777777" w:rsidTr="006F2D43">
        <w:trPr>
          <w:trHeight w:val="292"/>
        </w:trPr>
        <w:tc>
          <w:tcPr>
            <w:tcW w:w="0" w:type="auto"/>
          </w:tcPr>
          <w:p w14:paraId="030FB7C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1.2 Problem-solving</w:t>
            </w:r>
          </w:p>
        </w:tc>
        <w:tc>
          <w:tcPr>
            <w:tcW w:w="0" w:type="auto"/>
          </w:tcPr>
          <w:p w14:paraId="0D09A67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644931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FCB414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394BF6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C7F8E23"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47CA5A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CEB3EA6"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7CF376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38C4C3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855D5B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FF4BC9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AF421B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2BEEF3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1EB89C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411D370"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AE94D5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349421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C7A839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1868D9" w:rsidRPr="00103A0B" w14:paraId="098068DD" w14:textId="77777777" w:rsidTr="006F2D43">
        <w:trPr>
          <w:trHeight w:val="292"/>
        </w:trPr>
        <w:tc>
          <w:tcPr>
            <w:tcW w:w="0" w:type="auto"/>
          </w:tcPr>
          <w:p w14:paraId="384DBCFB" w14:textId="77777777" w:rsidR="001868D9" w:rsidRPr="00103A0B" w:rsidRDefault="001868D9" w:rsidP="005D0A3A">
            <w:pPr>
              <w:pStyle w:val="ListParagraph"/>
              <w:numPr>
                <w:ilvl w:val="1"/>
                <w:numId w:val="13"/>
              </w:num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Goal setting (outcome)</w:t>
            </w:r>
          </w:p>
        </w:tc>
        <w:tc>
          <w:tcPr>
            <w:tcW w:w="0" w:type="auto"/>
          </w:tcPr>
          <w:p w14:paraId="1957C57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7406A9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D45C0F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809116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EEDB3C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016897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BA4B900"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95A313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41F849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82D8A3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61D1EA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62DB3F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25F3AD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A61380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EAF29E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0E84A9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A81F5B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66BD5C0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1868D9" w:rsidRPr="00103A0B" w14:paraId="16B7EB6A" w14:textId="77777777" w:rsidTr="006F2D43">
        <w:trPr>
          <w:trHeight w:val="308"/>
        </w:trPr>
        <w:tc>
          <w:tcPr>
            <w:tcW w:w="0" w:type="auto"/>
          </w:tcPr>
          <w:p w14:paraId="1E43A47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 xml:space="preserve">1.4 Action planning </w:t>
            </w:r>
          </w:p>
        </w:tc>
        <w:tc>
          <w:tcPr>
            <w:tcW w:w="0" w:type="auto"/>
          </w:tcPr>
          <w:p w14:paraId="2409AD0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23F6459"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4F9616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E1A99A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D85E24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447921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8BD635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498BD4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62A2EB6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F2D52E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8D2B0F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5DB413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7623DF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EEF014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21183A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4F526C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BDCF96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758DA3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37A357A0" w14:textId="77777777" w:rsidTr="006F2D43">
        <w:trPr>
          <w:trHeight w:val="292"/>
        </w:trPr>
        <w:tc>
          <w:tcPr>
            <w:tcW w:w="0" w:type="auto"/>
          </w:tcPr>
          <w:p w14:paraId="28CEF1E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1.5 Review behaviour goal(s)</w:t>
            </w:r>
          </w:p>
        </w:tc>
        <w:tc>
          <w:tcPr>
            <w:tcW w:w="0" w:type="auto"/>
          </w:tcPr>
          <w:p w14:paraId="26235E8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5EDFD3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6180C3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399364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7C51B2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FAEEE8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501583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FA2A93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E41D43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E77B90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201C9A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9A13D5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9BC201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128874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ADB402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83823C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CC26C4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9C1B75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0E74D939" w14:textId="77777777" w:rsidTr="006F2D43">
        <w:trPr>
          <w:trHeight w:val="292"/>
        </w:trPr>
        <w:tc>
          <w:tcPr>
            <w:tcW w:w="0" w:type="auto"/>
          </w:tcPr>
          <w:p w14:paraId="106578D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1.6 Discrepancy between current behaviour and goal</w:t>
            </w:r>
          </w:p>
        </w:tc>
        <w:tc>
          <w:tcPr>
            <w:tcW w:w="0" w:type="auto"/>
          </w:tcPr>
          <w:p w14:paraId="1FDA3A5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1FCA16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3C7B93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018540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05D935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0E9A2C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E15AA8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03B817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5E2813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D8392F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BA9D6D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DA49A8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EC9EAF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347D41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5A0E9A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93056F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E858E3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4AD7BD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1012E189" w14:textId="77777777" w:rsidTr="006F2D43">
        <w:trPr>
          <w:trHeight w:val="292"/>
        </w:trPr>
        <w:tc>
          <w:tcPr>
            <w:tcW w:w="0" w:type="auto"/>
          </w:tcPr>
          <w:p w14:paraId="33BE2BA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1.7 Review outcome goal(s)</w:t>
            </w:r>
          </w:p>
        </w:tc>
        <w:tc>
          <w:tcPr>
            <w:tcW w:w="0" w:type="auto"/>
          </w:tcPr>
          <w:p w14:paraId="219EB97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13D920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217C5D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50CFAB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DFBB1E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BE58A5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FF9231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3C504D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858CA1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14D772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3DFC4E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A91367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FE46D8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94B4B4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894D91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157F99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70F6B0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589BC8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2F6AEB22" w14:textId="77777777" w:rsidTr="006F2D43">
        <w:trPr>
          <w:trHeight w:val="292"/>
        </w:trPr>
        <w:tc>
          <w:tcPr>
            <w:tcW w:w="0" w:type="auto"/>
            <w:shd w:val="clear" w:color="auto" w:fill="auto"/>
          </w:tcPr>
          <w:p w14:paraId="3F6311B9"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2. Feedback and monitoring</w:t>
            </w:r>
          </w:p>
        </w:tc>
        <w:tc>
          <w:tcPr>
            <w:tcW w:w="0" w:type="auto"/>
            <w:shd w:val="clear" w:color="auto" w:fill="auto"/>
          </w:tcPr>
          <w:p w14:paraId="56ABAE9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3559C2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654D1C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F005C9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BECE78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A7AAAE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EFBA56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7063F4F"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5B7852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C7BFFA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4C0ADB3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788C65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52EC18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DC2B5B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1C27312"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BC52C7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648A50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BEFF3D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32047AE4" w14:textId="77777777" w:rsidTr="006F2D43">
        <w:trPr>
          <w:trHeight w:val="292"/>
        </w:trPr>
        <w:tc>
          <w:tcPr>
            <w:tcW w:w="0" w:type="auto"/>
          </w:tcPr>
          <w:p w14:paraId="33CB3146"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2.1. Monitoring of behaviour by others without feedback</w:t>
            </w:r>
          </w:p>
        </w:tc>
        <w:tc>
          <w:tcPr>
            <w:tcW w:w="0" w:type="auto"/>
          </w:tcPr>
          <w:p w14:paraId="152E0D9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2CB43E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AF9A32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5F5EB8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658C54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695E41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F5C9E1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F29169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653A67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225413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A44116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05D8E1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021D09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C4D0E5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32B403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D4B9BD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8A6EF8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7401F7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737C25EC" w14:textId="77777777" w:rsidTr="006F2D43">
        <w:trPr>
          <w:trHeight w:val="308"/>
        </w:trPr>
        <w:tc>
          <w:tcPr>
            <w:tcW w:w="0" w:type="auto"/>
          </w:tcPr>
          <w:p w14:paraId="70EB420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2.2. Feedback on behaviour</w:t>
            </w:r>
          </w:p>
        </w:tc>
        <w:tc>
          <w:tcPr>
            <w:tcW w:w="0" w:type="auto"/>
          </w:tcPr>
          <w:p w14:paraId="0C52335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889184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E753D0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2B3ECB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B8D363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366DBD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C0CA67E"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C5BEC0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D7A30C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3AE9F5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D23539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F4A041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58CEB4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A2C0B9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6C499A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F47B61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D219E6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DC757B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74C14BAC" w14:textId="77777777" w:rsidTr="006F2D43">
        <w:trPr>
          <w:trHeight w:val="292"/>
        </w:trPr>
        <w:tc>
          <w:tcPr>
            <w:tcW w:w="0" w:type="auto"/>
          </w:tcPr>
          <w:p w14:paraId="7CC7BBE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2.3. Self-monitoring of behaviour</w:t>
            </w:r>
          </w:p>
        </w:tc>
        <w:tc>
          <w:tcPr>
            <w:tcW w:w="0" w:type="auto"/>
          </w:tcPr>
          <w:p w14:paraId="15807FC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DB30706"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8217C8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7B3DB0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9E58E8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699B0B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11DA7A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9B6D5C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63491E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9CE3DD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827ECD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EB534A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8B1574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66D7D7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172BC5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9B0DA8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0BB72F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62370B8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7E6D7EA1" w14:textId="77777777" w:rsidTr="006F2D43">
        <w:trPr>
          <w:trHeight w:val="292"/>
        </w:trPr>
        <w:tc>
          <w:tcPr>
            <w:tcW w:w="0" w:type="auto"/>
          </w:tcPr>
          <w:p w14:paraId="3680F05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 xml:space="preserve">2.4 Self-monitoring of outcome(s) of behaviour </w:t>
            </w:r>
          </w:p>
        </w:tc>
        <w:tc>
          <w:tcPr>
            <w:tcW w:w="0" w:type="auto"/>
          </w:tcPr>
          <w:p w14:paraId="0B90C79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C46D0F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3CB620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C7C9FA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404AB5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22E303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0FCF21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2DF5D9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E15C3B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402323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34DA06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40E83C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BE146C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C64F49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8083CD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F11F06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E41388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723407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1868D9" w:rsidRPr="00103A0B" w14:paraId="09CFF1CA" w14:textId="77777777" w:rsidTr="006F2D43">
        <w:trPr>
          <w:trHeight w:val="292"/>
        </w:trPr>
        <w:tc>
          <w:tcPr>
            <w:tcW w:w="0" w:type="auto"/>
          </w:tcPr>
          <w:p w14:paraId="499FDF6C" w14:textId="77777777" w:rsidR="001868D9" w:rsidRPr="00103A0B" w:rsidRDefault="001868D9" w:rsidP="005D0A3A">
            <w:pPr>
              <w:tabs>
                <w:tab w:val="left" w:pos="1470"/>
              </w:tabs>
              <w:spacing w:line="360" w:lineRule="auto"/>
              <w:jc w:val="both"/>
              <w:rPr>
                <w:rFonts w:ascii="Arial" w:hAnsi="Arial" w:cs="Arial"/>
              </w:rPr>
            </w:pPr>
            <w:r w:rsidRPr="00103A0B">
              <w:rPr>
                <w:rFonts w:ascii="Arial" w:hAnsi="Arial" w:cs="Arial"/>
              </w:rPr>
              <w:lastRenderedPageBreak/>
              <w:t xml:space="preserve">2.5 Monitoring outcome(s) of behaviour by others without feedback </w:t>
            </w:r>
          </w:p>
        </w:tc>
        <w:tc>
          <w:tcPr>
            <w:tcW w:w="0" w:type="auto"/>
          </w:tcPr>
          <w:p w14:paraId="154B12A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C17FB3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F0C752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BF7E1E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FA1B78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A0B804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64403E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A56509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C5DA59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FA56BD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825F6F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380F50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54481A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02DDBF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A5CBB2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285470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E037CC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6D80F4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481E8547" w14:textId="77777777" w:rsidTr="006F2D43">
        <w:trPr>
          <w:trHeight w:val="292"/>
        </w:trPr>
        <w:tc>
          <w:tcPr>
            <w:tcW w:w="0" w:type="auto"/>
          </w:tcPr>
          <w:p w14:paraId="097B8CAE" w14:textId="77777777" w:rsidR="001868D9" w:rsidRPr="00103A0B" w:rsidRDefault="001868D9" w:rsidP="005D0A3A">
            <w:pPr>
              <w:tabs>
                <w:tab w:val="left" w:pos="1470"/>
              </w:tabs>
              <w:spacing w:line="360" w:lineRule="auto"/>
              <w:jc w:val="both"/>
              <w:rPr>
                <w:rFonts w:ascii="Arial" w:hAnsi="Arial" w:cs="Arial"/>
              </w:rPr>
            </w:pPr>
            <w:r w:rsidRPr="00103A0B">
              <w:rPr>
                <w:rFonts w:ascii="Arial" w:hAnsi="Arial" w:cs="Arial"/>
              </w:rPr>
              <w:t xml:space="preserve">2.7 Feedback on outcome(s) of behaviour </w:t>
            </w:r>
          </w:p>
        </w:tc>
        <w:tc>
          <w:tcPr>
            <w:tcW w:w="0" w:type="auto"/>
          </w:tcPr>
          <w:p w14:paraId="63D0AED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7CFB6A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69F3B5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5B4A9E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EE63A2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15228C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7F3847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42D436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77F005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E3DA9B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EA447E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F66C61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4C9B55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93EE72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D35C7F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345F71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E24564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30F2C2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5C50360D" w14:textId="77777777" w:rsidTr="006F2D43">
        <w:trPr>
          <w:trHeight w:val="292"/>
        </w:trPr>
        <w:tc>
          <w:tcPr>
            <w:tcW w:w="0" w:type="auto"/>
            <w:shd w:val="clear" w:color="auto" w:fill="auto"/>
          </w:tcPr>
          <w:p w14:paraId="55EBC0D8"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3. Social support</w:t>
            </w:r>
          </w:p>
        </w:tc>
        <w:tc>
          <w:tcPr>
            <w:tcW w:w="0" w:type="auto"/>
            <w:shd w:val="clear" w:color="auto" w:fill="auto"/>
          </w:tcPr>
          <w:p w14:paraId="50520652"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5C9482F"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5E32F7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7A0631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F05223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2FDB9A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AC7D4D7"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F3D3D8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B6D726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0C9B80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15A58E4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B501A4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B0DD40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C8B615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A220FD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7C563DF" w14:textId="23E26E91"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A953C8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A3FCAB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124E11BF" w14:textId="77777777" w:rsidTr="006F2D43">
        <w:trPr>
          <w:trHeight w:val="292"/>
        </w:trPr>
        <w:tc>
          <w:tcPr>
            <w:tcW w:w="0" w:type="auto"/>
          </w:tcPr>
          <w:p w14:paraId="0C3688B0"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3.1. Social support (unspecified)</w:t>
            </w:r>
          </w:p>
        </w:tc>
        <w:tc>
          <w:tcPr>
            <w:tcW w:w="0" w:type="auto"/>
          </w:tcPr>
          <w:p w14:paraId="232673F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53CCFF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903C1E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033709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0736CB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71E2E6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BE6F4B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6460B0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8221ED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0066F1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1E042F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375920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07045B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E2FBDF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897C54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178547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04D35F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D1D262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77D587C2" w14:textId="77777777" w:rsidTr="006F2D43">
        <w:trPr>
          <w:trHeight w:val="292"/>
        </w:trPr>
        <w:tc>
          <w:tcPr>
            <w:tcW w:w="0" w:type="auto"/>
          </w:tcPr>
          <w:p w14:paraId="580B82DC" w14:textId="77777777" w:rsidR="001868D9" w:rsidRPr="00103A0B" w:rsidRDefault="001868D9" w:rsidP="005D0A3A">
            <w:pPr>
              <w:tabs>
                <w:tab w:val="left" w:pos="1470"/>
              </w:tabs>
              <w:spacing w:line="360" w:lineRule="auto"/>
              <w:jc w:val="both"/>
              <w:rPr>
                <w:rFonts w:ascii="Arial" w:hAnsi="Arial" w:cs="Arial"/>
              </w:rPr>
            </w:pPr>
            <w:r w:rsidRPr="00103A0B">
              <w:rPr>
                <w:rFonts w:ascii="Arial" w:hAnsi="Arial" w:cs="Arial"/>
              </w:rPr>
              <w:t>3.2 Social support (practical)</w:t>
            </w:r>
          </w:p>
        </w:tc>
        <w:tc>
          <w:tcPr>
            <w:tcW w:w="0" w:type="auto"/>
          </w:tcPr>
          <w:p w14:paraId="4CA80DC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625A60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D5EEB0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D6B43E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71814D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1E51B0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D49E27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6818E5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33DEE9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9F76BB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3EC99F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6DC231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63B6C0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0ABD1E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AA0A62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013A74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D03FDD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D2D244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0FD7CB05" w14:textId="77777777" w:rsidTr="006F2D43">
        <w:trPr>
          <w:trHeight w:val="292"/>
        </w:trPr>
        <w:tc>
          <w:tcPr>
            <w:tcW w:w="0" w:type="auto"/>
          </w:tcPr>
          <w:p w14:paraId="55C60EB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3.3. Social support (emotional)</w:t>
            </w:r>
          </w:p>
        </w:tc>
        <w:tc>
          <w:tcPr>
            <w:tcW w:w="0" w:type="auto"/>
          </w:tcPr>
          <w:p w14:paraId="2A2E87D3"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61D763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34D815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F679A2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491C92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7DF724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22EF63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EA8643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D19495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E1FE47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88BF90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CDE496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6B3D56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C0EC57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DB9E8B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0211B0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115D87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E1F3F9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15DBC093" w14:textId="77777777" w:rsidTr="006F2D43">
        <w:trPr>
          <w:trHeight w:val="292"/>
        </w:trPr>
        <w:tc>
          <w:tcPr>
            <w:tcW w:w="0" w:type="auto"/>
            <w:shd w:val="clear" w:color="auto" w:fill="auto"/>
          </w:tcPr>
          <w:p w14:paraId="64942ACC"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4. Shaping knowledge</w:t>
            </w:r>
          </w:p>
        </w:tc>
        <w:tc>
          <w:tcPr>
            <w:tcW w:w="0" w:type="auto"/>
            <w:shd w:val="clear" w:color="auto" w:fill="auto"/>
          </w:tcPr>
          <w:p w14:paraId="233AC5D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0C50BB2"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25E7AC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D996A07"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18575C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804D22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BFDE64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676E9CF"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AF48BC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2A257F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5916357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40DE4A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40AC7D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CA275A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F875D2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70CAB4F"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C14B3E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1460287"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66D7D58D" w14:textId="77777777" w:rsidTr="006F2D43">
        <w:trPr>
          <w:trHeight w:val="292"/>
        </w:trPr>
        <w:tc>
          <w:tcPr>
            <w:tcW w:w="0" w:type="auto"/>
          </w:tcPr>
          <w:p w14:paraId="2A777E7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4.1. Instruction on how to perform the behaviour</w:t>
            </w:r>
          </w:p>
        </w:tc>
        <w:tc>
          <w:tcPr>
            <w:tcW w:w="0" w:type="auto"/>
          </w:tcPr>
          <w:p w14:paraId="453BD53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36EFF4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44473B9"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118891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5507EE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C20BF8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F5F929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086869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3E598F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A294E7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DB366E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667F463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BB5A2E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236E8C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F8D265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504775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7647850"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468783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1868D9" w:rsidRPr="00103A0B" w14:paraId="023E1615" w14:textId="77777777" w:rsidTr="006F2D43">
        <w:trPr>
          <w:trHeight w:val="292"/>
        </w:trPr>
        <w:tc>
          <w:tcPr>
            <w:tcW w:w="0" w:type="auto"/>
            <w:shd w:val="clear" w:color="auto" w:fill="auto"/>
          </w:tcPr>
          <w:p w14:paraId="012875D7"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5. Natural consequences</w:t>
            </w:r>
          </w:p>
        </w:tc>
        <w:tc>
          <w:tcPr>
            <w:tcW w:w="0" w:type="auto"/>
            <w:shd w:val="clear" w:color="auto" w:fill="auto"/>
          </w:tcPr>
          <w:p w14:paraId="083D770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90AEFD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39F592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32C8AC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ED5E61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EE7DCD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010D71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11847CC"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B87510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13C2CF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7C950A9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CC52CE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358C00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ECBE79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F7F9EC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DFA66B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A429BE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8647DE2"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7AEB6BDC" w14:textId="77777777" w:rsidTr="006F2D43">
        <w:trPr>
          <w:trHeight w:val="292"/>
        </w:trPr>
        <w:tc>
          <w:tcPr>
            <w:tcW w:w="0" w:type="auto"/>
          </w:tcPr>
          <w:p w14:paraId="22E1C1F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5.1. Information about health consequences</w:t>
            </w:r>
          </w:p>
        </w:tc>
        <w:tc>
          <w:tcPr>
            <w:tcW w:w="0" w:type="auto"/>
          </w:tcPr>
          <w:p w14:paraId="49DB5CF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F89D1E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6546A63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264873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5A3478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3FAFE8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F0237C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322F83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F98C92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36A4E2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044748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D3804EA"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92147C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CCB245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83DD3E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6F81F6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7D8EF3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85DA0B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7F346A10" w14:textId="77777777" w:rsidTr="006F2D43">
        <w:trPr>
          <w:trHeight w:val="292"/>
        </w:trPr>
        <w:tc>
          <w:tcPr>
            <w:tcW w:w="0" w:type="auto"/>
            <w:shd w:val="clear" w:color="auto" w:fill="auto"/>
          </w:tcPr>
          <w:p w14:paraId="3495DFE4"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 xml:space="preserve">6. Comparison of behaviour </w:t>
            </w:r>
          </w:p>
        </w:tc>
        <w:tc>
          <w:tcPr>
            <w:tcW w:w="0" w:type="auto"/>
            <w:shd w:val="clear" w:color="auto" w:fill="auto"/>
          </w:tcPr>
          <w:p w14:paraId="74BB092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65B7A3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E6C171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3BEFDBC"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119057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7F37CD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30969C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B2B9BB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301536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4E8AE4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2D72547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61F83C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20EDFE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FB16C4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492B55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B434EC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032EEE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D040B5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0316B8B1" w14:textId="77777777" w:rsidTr="006F2D43">
        <w:trPr>
          <w:trHeight w:val="292"/>
        </w:trPr>
        <w:tc>
          <w:tcPr>
            <w:tcW w:w="0" w:type="auto"/>
          </w:tcPr>
          <w:p w14:paraId="18D5D70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6.1. Demonstration of the behaviour</w:t>
            </w:r>
          </w:p>
        </w:tc>
        <w:tc>
          <w:tcPr>
            <w:tcW w:w="0" w:type="auto"/>
          </w:tcPr>
          <w:p w14:paraId="5EA6307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89EC6D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E3EC5A6"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9315D33"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5D15CF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BE78DA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D31FC2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1A294A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52E48C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BA9C56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B076CB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6E38AF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2570CC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0913EF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F28CD4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B576D2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402C3D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91FC6B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64DC1FB0" w14:textId="77777777" w:rsidTr="006F2D43">
        <w:trPr>
          <w:trHeight w:val="292"/>
        </w:trPr>
        <w:tc>
          <w:tcPr>
            <w:tcW w:w="0" w:type="auto"/>
            <w:shd w:val="clear" w:color="auto" w:fill="auto"/>
          </w:tcPr>
          <w:p w14:paraId="19B814DA"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7. Associations</w:t>
            </w:r>
          </w:p>
        </w:tc>
        <w:tc>
          <w:tcPr>
            <w:tcW w:w="0" w:type="auto"/>
            <w:shd w:val="clear" w:color="auto" w:fill="auto"/>
          </w:tcPr>
          <w:p w14:paraId="4604ABA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C3A79A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A595D1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1555DB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2F973A7"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6D6814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E2AF9D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1C02EB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4CCC207"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E3C4C1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5A3F6452"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CF87B7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3A4C69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3626FB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264541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DFAA7F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40A454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910CED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3EA83BC3" w14:textId="77777777" w:rsidTr="006F2D43">
        <w:trPr>
          <w:trHeight w:val="292"/>
        </w:trPr>
        <w:tc>
          <w:tcPr>
            <w:tcW w:w="0" w:type="auto"/>
          </w:tcPr>
          <w:p w14:paraId="6BB8A05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7.1. Prompts/cues</w:t>
            </w:r>
          </w:p>
        </w:tc>
        <w:tc>
          <w:tcPr>
            <w:tcW w:w="0" w:type="auto"/>
          </w:tcPr>
          <w:p w14:paraId="24ED128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5ECEA4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CE3D3A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B3C445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21611F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3BD486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F8FF01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FFB47B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5FA7CA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58D491E"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83AE90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70B79C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E4CA4C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D5986E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E9969B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E797FD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62A970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AF0B04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5A82F268" w14:textId="77777777" w:rsidTr="006F2D43">
        <w:trPr>
          <w:trHeight w:val="292"/>
        </w:trPr>
        <w:tc>
          <w:tcPr>
            <w:tcW w:w="0" w:type="auto"/>
            <w:shd w:val="clear" w:color="auto" w:fill="auto"/>
          </w:tcPr>
          <w:p w14:paraId="57096DBF"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8. Repetition and substitution</w:t>
            </w:r>
          </w:p>
        </w:tc>
        <w:tc>
          <w:tcPr>
            <w:tcW w:w="0" w:type="auto"/>
            <w:shd w:val="clear" w:color="auto" w:fill="auto"/>
          </w:tcPr>
          <w:p w14:paraId="1FC4244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2B0CD9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3CB5E1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BE4679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46745F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8F4692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372D52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7675CA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359802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B972992"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31229D1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7F1F13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7BEE39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12D8B7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B4D3BB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CF988C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C00AF8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159BBB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1120D552" w14:textId="77777777" w:rsidTr="006F2D43">
        <w:trPr>
          <w:trHeight w:val="292"/>
        </w:trPr>
        <w:tc>
          <w:tcPr>
            <w:tcW w:w="0" w:type="auto"/>
          </w:tcPr>
          <w:p w14:paraId="6C9A6FF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lastRenderedPageBreak/>
              <w:t>8.1. Behavioural practice/rehearsal</w:t>
            </w:r>
          </w:p>
        </w:tc>
        <w:tc>
          <w:tcPr>
            <w:tcW w:w="0" w:type="auto"/>
          </w:tcPr>
          <w:p w14:paraId="7BC593E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65C7912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4179035"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704065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073FD3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CC5F70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1A1BAE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48C0C1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BB8452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74142C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DACB2A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54F688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2698FB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6BAE0F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A55C8E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80A6B3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2C0EB1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E07825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0B851192" w14:textId="77777777" w:rsidTr="006F2D43">
        <w:trPr>
          <w:trHeight w:val="292"/>
        </w:trPr>
        <w:tc>
          <w:tcPr>
            <w:tcW w:w="0" w:type="auto"/>
          </w:tcPr>
          <w:p w14:paraId="33A472B9"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8.7. Graded tasks</w:t>
            </w:r>
          </w:p>
        </w:tc>
        <w:tc>
          <w:tcPr>
            <w:tcW w:w="0" w:type="auto"/>
          </w:tcPr>
          <w:p w14:paraId="46D1E51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D4DB06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875BA4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7784C0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D09634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C32D0F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4869D4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B4C333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556767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10B7BC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097BB1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7F10D5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5998DF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EE8CC0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3E8B77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1D3E2B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8AC878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DD9119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0CDA2BD9" w14:textId="77777777" w:rsidTr="006F2D43">
        <w:trPr>
          <w:trHeight w:val="292"/>
        </w:trPr>
        <w:tc>
          <w:tcPr>
            <w:tcW w:w="0" w:type="auto"/>
            <w:shd w:val="clear" w:color="auto" w:fill="auto"/>
          </w:tcPr>
          <w:p w14:paraId="0AFFD29A"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9. Comparison of outcomes</w:t>
            </w:r>
          </w:p>
        </w:tc>
        <w:tc>
          <w:tcPr>
            <w:tcW w:w="0" w:type="auto"/>
            <w:shd w:val="clear" w:color="auto" w:fill="auto"/>
          </w:tcPr>
          <w:p w14:paraId="133F192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6B4409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C1E916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BBD379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50AA2F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41A313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BDF3597"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D17D28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5F525E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8BB7E4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6BE883E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219C09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0FD2742"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AD7EBB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87B868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5E5C7B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B2B4797"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66647B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746F67D9" w14:textId="77777777" w:rsidTr="006F2D43">
        <w:trPr>
          <w:trHeight w:val="292"/>
        </w:trPr>
        <w:tc>
          <w:tcPr>
            <w:tcW w:w="0" w:type="auto"/>
          </w:tcPr>
          <w:p w14:paraId="28D0DAAE"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9.1. Credible source</w:t>
            </w:r>
          </w:p>
        </w:tc>
        <w:tc>
          <w:tcPr>
            <w:tcW w:w="0" w:type="auto"/>
          </w:tcPr>
          <w:p w14:paraId="6F621D8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21489F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8FE416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D207A8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209E3B7"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071A651"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3064C2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3A4D6D4"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5D24840"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F2A92C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F4E63E3"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D5AFC1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686E01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F4FC06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195E8E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F15589B"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70F53F52"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B8B274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1868D9" w:rsidRPr="00103A0B" w14:paraId="65BEFF53" w14:textId="77777777" w:rsidTr="006F2D43">
        <w:trPr>
          <w:trHeight w:val="292"/>
        </w:trPr>
        <w:tc>
          <w:tcPr>
            <w:tcW w:w="0" w:type="auto"/>
          </w:tcPr>
          <w:p w14:paraId="70EFD67B" w14:textId="77777777" w:rsidR="001868D9" w:rsidRPr="00103A0B" w:rsidRDefault="001868D9" w:rsidP="005D0A3A">
            <w:pPr>
              <w:tabs>
                <w:tab w:val="left" w:pos="1470"/>
              </w:tabs>
              <w:spacing w:line="360" w:lineRule="auto"/>
              <w:jc w:val="both"/>
              <w:rPr>
                <w:rFonts w:ascii="Arial" w:hAnsi="Arial" w:cs="Arial"/>
              </w:rPr>
            </w:pPr>
            <w:r w:rsidRPr="00103A0B">
              <w:rPr>
                <w:rFonts w:ascii="Arial" w:hAnsi="Arial" w:cs="Arial"/>
              </w:rPr>
              <w:t>9.2 Pros and cons</w:t>
            </w:r>
          </w:p>
        </w:tc>
        <w:tc>
          <w:tcPr>
            <w:tcW w:w="0" w:type="auto"/>
          </w:tcPr>
          <w:p w14:paraId="3C04273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6605C0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9B7D24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C0B0E8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F38A92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2BBF31A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0E0119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F0F530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9F0FB7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CEC393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D5A8CF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5DE2E0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799988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A7CDA1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2C791E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D3513D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846557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D4907D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60565CE3" w14:textId="77777777" w:rsidTr="006F2D43">
        <w:trPr>
          <w:trHeight w:val="292"/>
        </w:trPr>
        <w:tc>
          <w:tcPr>
            <w:tcW w:w="0" w:type="auto"/>
            <w:shd w:val="clear" w:color="auto" w:fill="auto"/>
          </w:tcPr>
          <w:p w14:paraId="6B55F7C7"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11. Regulation</w:t>
            </w:r>
          </w:p>
        </w:tc>
        <w:tc>
          <w:tcPr>
            <w:tcW w:w="0" w:type="auto"/>
            <w:shd w:val="clear" w:color="auto" w:fill="auto"/>
          </w:tcPr>
          <w:p w14:paraId="5C0F8B52"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B60B6B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84E298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99AF4F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8B5271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8A9520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2BCCAFC"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FC3E35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8F63B01"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942757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05A264B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1FDFFA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846186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42282E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B05ACB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3BEE00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CA59C1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8625B5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491AA083" w14:textId="77777777" w:rsidTr="006F2D43">
        <w:trPr>
          <w:trHeight w:val="292"/>
        </w:trPr>
        <w:tc>
          <w:tcPr>
            <w:tcW w:w="0" w:type="auto"/>
          </w:tcPr>
          <w:p w14:paraId="6C36533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11.2. Reduce negative emotions</w:t>
            </w:r>
          </w:p>
        </w:tc>
        <w:tc>
          <w:tcPr>
            <w:tcW w:w="0" w:type="auto"/>
          </w:tcPr>
          <w:p w14:paraId="7B23749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A3DB32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4C0FC73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459C10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24FDB2D"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C9823D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3A2D3E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8A9247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BE9666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40AC14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BA5B9CD"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FD5D4B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94EA2BC"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8C5E4DB"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AE9883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C1C6E7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9C6B10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683608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37BA8356" w14:textId="77777777" w:rsidTr="006F2D43">
        <w:trPr>
          <w:trHeight w:val="292"/>
        </w:trPr>
        <w:tc>
          <w:tcPr>
            <w:tcW w:w="0" w:type="auto"/>
            <w:shd w:val="clear" w:color="auto" w:fill="auto"/>
          </w:tcPr>
          <w:p w14:paraId="1D8CA566" w14:textId="77777777" w:rsidR="001868D9" w:rsidRPr="00103A0B" w:rsidRDefault="001868D9" w:rsidP="005D0A3A">
            <w:pPr>
              <w:tabs>
                <w:tab w:val="left" w:pos="1470"/>
              </w:tabs>
              <w:spacing w:line="360" w:lineRule="auto"/>
              <w:jc w:val="both"/>
              <w:rPr>
                <w:rFonts w:ascii="Arial" w:eastAsia="Times New Roman" w:hAnsi="Arial" w:cs="Arial"/>
                <w:b/>
                <w:lang w:eastAsia="en-GB"/>
              </w:rPr>
            </w:pPr>
            <w:r w:rsidRPr="00103A0B">
              <w:rPr>
                <w:rFonts w:ascii="Arial" w:hAnsi="Arial" w:cs="Arial"/>
                <w:b/>
              </w:rPr>
              <w:t>13. Identity</w:t>
            </w:r>
          </w:p>
        </w:tc>
        <w:tc>
          <w:tcPr>
            <w:tcW w:w="0" w:type="auto"/>
            <w:shd w:val="clear" w:color="auto" w:fill="auto"/>
          </w:tcPr>
          <w:p w14:paraId="37B1EB6F"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FA1CFB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DA9DFB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8F85994"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A91646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6C56A8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E94B63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A1EB7B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77AC49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BD5B2C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1038139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2549AD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2C5F8A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FE1463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04F3ECA"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B28959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EFE8868"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5C3E87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194E51A9" w14:textId="77777777" w:rsidTr="006F2D43">
        <w:trPr>
          <w:trHeight w:val="292"/>
        </w:trPr>
        <w:tc>
          <w:tcPr>
            <w:tcW w:w="0" w:type="auto"/>
          </w:tcPr>
          <w:p w14:paraId="094D4D1E"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hAnsi="Arial" w:cs="Arial"/>
              </w:rPr>
              <w:t>13.2. Framing/reframing</w:t>
            </w:r>
          </w:p>
        </w:tc>
        <w:tc>
          <w:tcPr>
            <w:tcW w:w="0" w:type="auto"/>
          </w:tcPr>
          <w:p w14:paraId="7594275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FB59A8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4F6252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1FC298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1D1EA2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D10800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D0B9C3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1752C3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72D4CC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FE8887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6C7892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FE5942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5718717"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F585EE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C3DFD84"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13387DF"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40F04476"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5C7F4386"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r w:rsidR="001868D9" w:rsidRPr="00103A0B" w14:paraId="54C40948" w14:textId="77777777" w:rsidTr="006F2D43">
        <w:trPr>
          <w:trHeight w:val="292"/>
        </w:trPr>
        <w:tc>
          <w:tcPr>
            <w:tcW w:w="0" w:type="auto"/>
            <w:shd w:val="clear" w:color="auto" w:fill="auto"/>
          </w:tcPr>
          <w:p w14:paraId="6C9F7C09" w14:textId="77777777" w:rsidR="001868D9" w:rsidRPr="00103A0B" w:rsidRDefault="001868D9" w:rsidP="005D0A3A">
            <w:pPr>
              <w:tabs>
                <w:tab w:val="left" w:pos="1470"/>
              </w:tabs>
              <w:spacing w:line="360" w:lineRule="auto"/>
              <w:jc w:val="both"/>
              <w:rPr>
                <w:rFonts w:ascii="Arial" w:hAnsi="Arial" w:cs="Arial"/>
                <w:b/>
              </w:rPr>
            </w:pPr>
            <w:r w:rsidRPr="00103A0B">
              <w:rPr>
                <w:rFonts w:ascii="Arial" w:hAnsi="Arial" w:cs="Arial"/>
                <w:b/>
              </w:rPr>
              <w:t>New BCTs</w:t>
            </w:r>
          </w:p>
        </w:tc>
        <w:tc>
          <w:tcPr>
            <w:tcW w:w="0" w:type="auto"/>
            <w:shd w:val="clear" w:color="auto" w:fill="auto"/>
          </w:tcPr>
          <w:p w14:paraId="3D66559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9EE4020"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41EBCE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A42BDDF"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3D7ACB76"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ADC313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C59633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C4063C9"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7D410D4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43A849C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tcPr>
          <w:p w14:paraId="2A22DBB7"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653CA75"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278AAF37"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0E709A1D"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10D508CE"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57BF7823"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770C47C"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c>
          <w:tcPr>
            <w:tcW w:w="0" w:type="auto"/>
            <w:shd w:val="clear" w:color="auto" w:fill="auto"/>
          </w:tcPr>
          <w:p w14:paraId="6C2EA6DB" w14:textId="77777777" w:rsidR="001868D9" w:rsidRPr="00103A0B" w:rsidRDefault="001868D9" w:rsidP="005D0A3A">
            <w:pPr>
              <w:tabs>
                <w:tab w:val="left" w:pos="1470"/>
              </w:tabs>
              <w:spacing w:line="360" w:lineRule="auto"/>
              <w:jc w:val="both"/>
              <w:rPr>
                <w:rFonts w:ascii="Arial" w:eastAsia="Times New Roman" w:hAnsi="Arial" w:cs="Arial"/>
                <w:b/>
                <w:lang w:eastAsia="en-GB"/>
              </w:rPr>
            </w:pPr>
          </w:p>
        </w:tc>
      </w:tr>
      <w:tr w:rsidR="001868D9" w:rsidRPr="00103A0B" w14:paraId="7BB9FBF5" w14:textId="77777777" w:rsidTr="006F2D43">
        <w:trPr>
          <w:trHeight w:val="292"/>
        </w:trPr>
        <w:tc>
          <w:tcPr>
            <w:tcW w:w="0" w:type="auto"/>
          </w:tcPr>
          <w:p w14:paraId="7FA4F461" w14:textId="77777777" w:rsidR="001868D9" w:rsidRPr="00103A0B" w:rsidRDefault="001868D9" w:rsidP="005D0A3A">
            <w:pPr>
              <w:tabs>
                <w:tab w:val="left" w:pos="1470"/>
              </w:tabs>
              <w:spacing w:line="360" w:lineRule="auto"/>
              <w:jc w:val="both"/>
              <w:rPr>
                <w:rFonts w:ascii="Arial" w:hAnsi="Arial" w:cs="Arial"/>
              </w:rPr>
            </w:pPr>
            <w:r w:rsidRPr="00103A0B">
              <w:rPr>
                <w:rFonts w:ascii="Arial" w:hAnsi="Arial" w:cs="Arial"/>
              </w:rPr>
              <w:t xml:space="preserve">Incentive for participation </w:t>
            </w:r>
          </w:p>
        </w:tc>
        <w:tc>
          <w:tcPr>
            <w:tcW w:w="0" w:type="auto"/>
          </w:tcPr>
          <w:p w14:paraId="76403CA6"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9639F9F"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1DEF5F38"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0324B3A0"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320BB128"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5980F93"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359A1BD2"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42A2193" w14:textId="77777777" w:rsidR="001868D9" w:rsidRPr="00103A0B" w:rsidRDefault="001868D9" w:rsidP="005D0A3A">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Pr>
          <w:p w14:paraId="0F56FFE3"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17A3682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2DE8A7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5E72ADD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0846E11"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37F7545"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BC28B8A"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2170252C"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664EBC29"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c>
          <w:tcPr>
            <w:tcW w:w="0" w:type="auto"/>
          </w:tcPr>
          <w:p w14:paraId="75954D0E" w14:textId="77777777" w:rsidR="001868D9" w:rsidRPr="00103A0B" w:rsidRDefault="001868D9" w:rsidP="005D0A3A">
            <w:pPr>
              <w:tabs>
                <w:tab w:val="left" w:pos="1470"/>
              </w:tabs>
              <w:spacing w:line="360" w:lineRule="auto"/>
              <w:jc w:val="both"/>
              <w:rPr>
                <w:rFonts w:ascii="Arial" w:eastAsia="Times New Roman" w:hAnsi="Arial" w:cs="Arial"/>
                <w:lang w:eastAsia="en-GB"/>
              </w:rPr>
            </w:pPr>
          </w:p>
        </w:tc>
      </w:tr>
    </w:tbl>
    <w:p w14:paraId="2903D92C" w14:textId="77777777" w:rsidR="001868D9" w:rsidRPr="00103A0B" w:rsidRDefault="001868D9" w:rsidP="005D0A3A">
      <w:pPr>
        <w:tabs>
          <w:tab w:val="left" w:pos="1155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ab/>
      </w:r>
    </w:p>
    <w:p w14:paraId="13AF2782" w14:textId="77777777" w:rsidR="001868D9" w:rsidRPr="00103A0B" w:rsidRDefault="001868D9" w:rsidP="005D0A3A">
      <w:pPr>
        <w:tabs>
          <w:tab w:val="left" w:pos="11550"/>
        </w:tabs>
        <w:spacing w:line="360" w:lineRule="auto"/>
        <w:jc w:val="both"/>
        <w:rPr>
          <w:rFonts w:ascii="Arial" w:eastAsia="Times New Roman" w:hAnsi="Arial" w:cs="Arial"/>
          <w:sz w:val="24"/>
          <w:szCs w:val="24"/>
          <w:lang w:eastAsia="en-GB"/>
        </w:rPr>
      </w:pPr>
    </w:p>
    <w:p w14:paraId="418B5462" w14:textId="77777777" w:rsidR="001868D9" w:rsidRPr="00103A0B" w:rsidRDefault="001868D9" w:rsidP="005D0A3A">
      <w:pPr>
        <w:tabs>
          <w:tab w:val="left" w:pos="11550"/>
        </w:tabs>
        <w:spacing w:line="360" w:lineRule="auto"/>
        <w:jc w:val="both"/>
        <w:rPr>
          <w:rFonts w:ascii="Arial" w:eastAsia="Times New Roman" w:hAnsi="Arial" w:cs="Arial"/>
          <w:sz w:val="24"/>
          <w:szCs w:val="24"/>
          <w:lang w:eastAsia="en-GB"/>
        </w:rPr>
      </w:pPr>
    </w:p>
    <w:p w14:paraId="1931093F" w14:textId="77777777" w:rsidR="001868D9" w:rsidRPr="00103A0B" w:rsidRDefault="001868D9" w:rsidP="005D0A3A">
      <w:pPr>
        <w:tabs>
          <w:tab w:val="left" w:pos="11550"/>
        </w:tabs>
        <w:spacing w:line="360" w:lineRule="auto"/>
        <w:jc w:val="both"/>
        <w:rPr>
          <w:rFonts w:ascii="Arial" w:eastAsia="Times New Roman" w:hAnsi="Arial" w:cs="Arial"/>
          <w:sz w:val="24"/>
          <w:szCs w:val="24"/>
          <w:lang w:eastAsia="en-GB"/>
        </w:rPr>
      </w:pPr>
    </w:p>
    <w:p w14:paraId="38AE23A7" w14:textId="77777777" w:rsidR="006F2D43" w:rsidRPr="00103A0B" w:rsidRDefault="006F2D43" w:rsidP="005D0A3A">
      <w:pPr>
        <w:tabs>
          <w:tab w:val="left" w:pos="11550"/>
        </w:tabs>
        <w:spacing w:line="360" w:lineRule="auto"/>
        <w:jc w:val="both"/>
        <w:rPr>
          <w:rFonts w:ascii="Arial" w:eastAsia="Times New Roman" w:hAnsi="Arial" w:cs="Arial"/>
          <w:sz w:val="24"/>
          <w:szCs w:val="24"/>
          <w:lang w:eastAsia="en-GB"/>
        </w:rPr>
      </w:pPr>
    </w:p>
    <w:p w14:paraId="7DA52772" w14:textId="64C1EFC8" w:rsidR="001868D9" w:rsidRPr="00103A0B" w:rsidRDefault="001868D9" w:rsidP="005D0A3A">
      <w:pPr>
        <w:tabs>
          <w:tab w:val="left" w:pos="11550"/>
        </w:tabs>
        <w:spacing w:line="360" w:lineRule="auto"/>
        <w:jc w:val="both"/>
        <w:rPr>
          <w:rFonts w:ascii="Arial" w:eastAsia="Times New Roman" w:hAnsi="Arial" w:cs="Arial"/>
          <w:i/>
          <w:iCs/>
          <w:sz w:val="24"/>
          <w:szCs w:val="24"/>
          <w:lang w:eastAsia="en-GB"/>
        </w:rPr>
      </w:pPr>
      <w:r w:rsidRPr="00103A0B">
        <w:rPr>
          <w:rFonts w:ascii="Arial" w:eastAsia="Times New Roman" w:hAnsi="Arial" w:cs="Arial"/>
          <w:i/>
          <w:iCs/>
          <w:sz w:val="24"/>
          <w:szCs w:val="24"/>
          <w:lang w:eastAsia="en-GB"/>
        </w:rPr>
        <w:lastRenderedPageBreak/>
        <w:t xml:space="preserve">Table 3 Cont`d: Retention rates (high-low) for all those interventions where BCTs have been </w:t>
      </w:r>
      <w:proofErr w:type="gramStart"/>
      <w:r w:rsidRPr="00103A0B">
        <w:rPr>
          <w:rFonts w:ascii="Arial" w:eastAsia="Times New Roman" w:hAnsi="Arial" w:cs="Arial"/>
          <w:i/>
          <w:iCs/>
          <w:sz w:val="24"/>
          <w:szCs w:val="24"/>
          <w:lang w:eastAsia="en-GB"/>
        </w:rPr>
        <w:t>identified</w:t>
      </w:r>
      <w:proofErr w:type="gramEnd"/>
    </w:p>
    <w:tbl>
      <w:tblPr>
        <w:tblStyle w:val="TableGrid"/>
        <w:tblW w:w="15718" w:type="dxa"/>
        <w:tblLayout w:type="fixed"/>
        <w:tblLook w:val="04A0" w:firstRow="1" w:lastRow="0" w:firstColumn="1" w:lastColumn="0" w:noHBand="0" w:noVBand="1"/>
      </w:tblPr>
      <w:tblGrid>
        <w:gridCol w:w="4954"/>
        <w:gridCol w:w="731"/>
        <w:gridCol w:w="731"/>
        <w:gridCol w:w="731"/>
        <w:gridCol w:w="731"/>
        <w:gridCol w:w="731"/>
        <w:gridCol w:w="731"/>
        <w:gridCol w:w="646"/>
        <w:gridCol w:w="731"/>
        <w:gridCol w:w="731"/>
        <w:gridCol w:w="731"/>
        <w:gridCol w:w="731"/>
        <w:gridCol w:w="731"/>
        <w:gridCol w:w="700"/>
        <w:gridCol w:w="700"/>
        <w:gridCol w:w="677"/>
      </w:tblGrid>
      <w:tr w:rsidR="001868D9" w:rsidRPr="00103A0B" w14:paraId="3EE57067" w14:textId="77777777" w:rsidTr="000F4572">
        <w:trPr>
          <w:cantSplit/>
          <w:trHeight w:val="2132"/>
          <w:tblHeader/>
        </w:trPr>
        <w:tc>
          <w:tcPr>
            <w:tcW w:w="4954" w:type="dxa"/>
            <w:textDirection w:val="btLr"/>
          </w:tcPr>
          <w:p w14:paraId="43E73D9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extDirection w:val="btLr"/>
          </w:tcPr>
          <w:p w14:paraId="1933C452"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Payne (2008)</w:t>
            </w:r>
          </w:p>
        </w:tc>
        <w:tc>
          <w:tcPr>
            <w:tcW w:w="731" w:type="dxa"/>
            <w:textDirection w:val="btLr"/>
          </w:tcPr>
          <w:p w14:paraId="71FF432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Coppell (2017)</w:t>
            </w:r>
          </w:p>
        </w:tc>
        <w:tc>
          <w:tcPr>
            <w:tcW w:w="731" w:type="dxa"/>
            <w:textDirection w:val="btLr"/>
          </w:tcPr>
          <w:p w14:paraId="68C0D077" w14:textId="77777777" w:rsidR="001868D9" w:rsidRPr="00103A0B" w:rsidRDefault="001868D9" w:rsidP="005D0A3A">
            <w:pPr>
              <w:tabs>
                <w:tab w:val="left" w:pos="11550"/>
              </w:tabs>
              <w:spacing w:line="360" w:lineRule="auto"/>
              <w:jc w:val="both"/>
              <w:rPr>
                <w:rFonts w:ascii="Arial" w:eastAsia="Times New Roman" w:hAnsi="Arial" w:cs="Arial"/>
                <w:lang w:eastAsia="en-GB"/>
              </w:rPr>
            </w:pPr>
            <w:proofErr w:type="spellStart"/>
            <w:r w:rsidRPr="00103A0B">
              <w:rPr>
                <w:rFonts w:ascii="Arial" w:eastAsia="Times New Roman" w:hAnsi="Arial" w:cs="Arial"/>
                <w:lang w:eastAsia="en-GB"/>
              </w:rPr>
              <w:t>Laatikainen</w:t>
            </w:r>
            <w:proofErr w:type="spellEnd"/>
            <w:r w:rsidRPr="00103A0B">
              <w:rPr>
                <w:rFonts w:ascii="Arial" w:eastAsia="Times New Roman" w:hAnsi="Arial" w:cs="Arial"/>
                <w:lang w:eastAsia="en-GB"/>
              </w:rPr>
              <w:t xml:space="preserve"> (2007)</w:t>
            </w:r>
          </w:p>
        </w:tc>
        <w:tc>
          <w:tcPr>
            <w:tcW w:w="731" w:type="dxa"/>
            <w:textDirection w:val="btLr"/>
          </w:tcPr>
          <w:p w14:paraId="480A4B35" w14:textId="77777777" w:rsidR="001868D9" w:rsidRPr="00103A0B" w:rsidRDefault="001868D9" w:rsidP="005D0A3A">
            <w:pPr>
              <w:tabs>
                <w:tab w:val="left" w:pos="11550"/>
              </w:tabs>
              <w:spacing w:line="360" w:lineRule="auto"/>
              <w:jc w:val="both"/>
              <w:rPr>
                <w:rFonts w:ascii="Arial" w:eastAsia="Times New Roman" w:hAnsi="Arial" w:cs="Arial"/>
                <w:lang w:eastAsia="en-GB"/>
              </w:rPr>
            </w:pPr>
            <w:proofErr w:type="spellStart"/>
            <w:r w:rsidRPr="00103A0B">
              <w:rPr>
                <w:rFonts w:ascii="Arial" w:eastAsia="Times New Roman" w:hAnsi="Arial" w:cs="Arial"/>
                <w:lang w:eastAsia="en-GB"/>
              </w:rPr>
              <w:t>Makrilakis</w:t>
            </w:r>
            <w:proofErr w:type="spellEnd"/>
            <w:r w:rsidRPr="00103A0B">
              <w:rPr>
                <w:rFonts w:ascii="Arial" w:eastAsia="Times New Roman" w:hAnsi="Arial" w:cs="Arial"/>
                <w:lang w:eastAsia="en-GB"/>
              </w:rPr>
              <w:t xml:space="preserve"> (2010)</w:t>
            </w:r>
          </w:p>
        </w:tc>
        <w:tc>
          <w:tcPr>
            <w:tcW w:w="731" w:type="dxa"/>
            <w:textDirection w:val="btLr"/>
          </w:tcPr>
          <w:p w14:paraId="4DF41242"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Davies (2016)</w:t>
            </w:r>
          </w:p>
        </w:tc>
        <w:tc>
          <w:tcPr>
            <w:tcW w:w="731" w:type="dxa"/>
            <w:textDirection w:val="btLr"/>
          </w:tcPr>
          <w:p w14:paraId="276D5E4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Jiang (2013)</w:t>
            </w:r>
          </w:p>
        </w:tc>
        <w:tc>
          <w:tcPr>
            <w:tcW w:w="646" w:type="dxa"/>
            <w:textDirection w:val="btLr"/>
          </w:tcPr>
          <w:p w14:paraId="29C747CD" w14:textId="77777777" w:rsidR="001868D9" w:rsidRPr="00103A0B" w:rsidRDefault="001868D9" w:rsidP="005D0A3A">
            <w:pPr>
              <w:tabs>
                <w:tab w:val="left" w:pos="11550"/>
              </w:tabs>
              <w:spacing w:line="360" w:lineRule="auto"/>
              <w:jc w:val="both"/>
              <w:rPr>
                <w:rFonts w:ascii="Arial" w:eastAsia="Times New Roman" w:hAnsi="Arial" w:cs="Arial"/>
                <w:lang w:eastAsia="en-GB"/>
              </w:rPr>
            </w:pPr>
            <w:proofErr w:type="spellStart"/>
            <w:r w:rsidRPr="00103A0B">
              <w:rPr>
                <w:rFonts w:ascii="Arial" w:eastAsia="Times New Roman" w:hAnsi="Arial" w:cs="Arial"/>
                <w:lang w:eastAsia="en-GB"/>
              </w:rPr>
              <w:t>Sakane</w:t>
            </w:r>
            <w:proofErr w:type="spellEnd"/>
            <w:r w:rsidRPr="00103A0B">
              <w:rPr>
                <w:rFonts w:ascii="Arial" w:eastAsia="Times New Roman" w:hAnsi="Arial" w:cs="Arial"/>
                <w:lang w:eastAsia="en-GB"/>
              </w:rPr>
              <w:t xml:space="preserve"> (2011)</w:t>
            </w:r>
          </w:p>
        </w:tc>
        <w:tc>
          <w:tcPr>
            <w:tcW w:w="731" w:type="dxa"/>
            <w:textDirection w:val="btLr"/>
          </w:tcPr>
          <w:p w14:paraId="5D1A542B" w14:textId="77777777" w:rsidR="001868D9" w:rsidRPr="00103A0B" w:rsidRDefault="001868D9" w:rsidP="005D0A3A">
            <w:pPr>
              <w:tabs>
                <w:tab w:val="left" w:pos="11550"/>
              </w:tabs>
              <w:spacing w:line="360" w:lineRule="auto"/>
              <w:jc w:val="both"/>
              <w:rPr>
                <w:rFonts w:ascii="Arial" w:eastAsia="Times New Roman" w:hAnsi="Arial" w:cs="Arial"/>
                <w:lang w:eastAsia="en-GB"/>
              </w:rPr>
            </w:pPr>
            <w:proofErr w:type="spellStart"/>
            <w:r w:rsidRPr="00103A0B">
              <w:rPr>
                <w:rFonts w:ascii="Arial" w:eastAsia="Times New Roman" w:hAnsi="Arial" w:cs="Arial"/>
                <w:lang w:eastAsia="en-GB"/>
              </w:rPr>
              <w:t>Gilis-Januszewska</w:t>
            </w:r>
            <w:proofErr w:type="spellEnd"/>
            <w:r w:rsidRPr="00103A0B">
              <w:rPr>
                <w:rFonts w:ascii="Arial" w:eastAsia="Times New Roman" w:hAnsi="Arial" w:cs="Arial"/>
                <w:lang w:eastAsia="en-GB"/>
              </w:rPr>
              <w:t xml:space="preserve"> (2018)</w:t>
            </w:r>
          </w:p>
        </w:tc>
        <w:tc>
          <w:tcPr>
            <w:tcW w:w="731" w:type="dxa"/>
            <w:textDirection w:val="btLr"/>
          </w:tcPr>
          <w:p w14:paraId="561BE783"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 xml:space="preserve">Parikh (2010) </w:t>
            </w:r>
          </w:p>
        </w:tc>
        <w:tc>
          <w:tcPr>
            <w:tcW w:w="731" w:type="dxa"/>
            <w:textDirection w:val="btLr"/>
          </w:tcPr>
          <w:p w14:paraId="078D6A07" w14:textId="77777777" w:rsidR="001868D9" w:rsidRPr="00103A0B" w:rsidRDefault="001868D9" w:rsidP="005D0A3A">
            <w:pPr>
              <w:tabs>
                <w:tab w:val="left" w:pos="11550"/>
              </w:tabs>
              <w:spacing w:line="360" w:lineRule="auto"/>
              <w:jc w:val="both"/>
              <w:rPr>
                <w:rFonts w:ascii="Arial" w:eastAsia="Times New Roman" w:hAnsi="Arial" w:cs="Arial"/>
                <w:lang w:eastAsia="en-GB"/>
              </w:rPr>
            </w:pPr>
            <w:proofErr w:type="spellStart"/>
            <w:r w:rsidRPr="00103A0B">
              <w:rPr>
                <w:rFonts w:ascii="Arial" w:eastAsia="Times New Roman" w:hAnsi="Arial" w:cs="Arial"/>
                <w:lang w:eastAsia="en-GB"/>
              </w:rPr>
              <w:t>Moin</w:t>
            </w:r>
            <w:proofErr w:type="spellEnd"/>
            <w:r w:rsidRPr="00103A0B">
              <w:rPr>
                <w:rFonts w:ascii="Arial" w:eastAsia="Times New Roman" w:hAnsi="Arial" w:cs="Arial"/>
                <w:lang w:eastAsia="en-GB"/>
              </w:rPr>
              <w:t xml:space="preserve"> (2017)</w:t>
            </w:r>
          </w:p>
        </w:tc>
        <w:tc>
          <w:tcPr>
            <w:tcW w:w="731" w:type="dxa"/>
            <w:textDirection w:val="btLr"/>
          </w:tcPr>
          <w:p w14:paraId="5729556D"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Vincent (2014)</w:t>
            </w:r>
          </w:p>
        </w:tc>
        <w:tc>
          <w:tcPr>
            <w:tcW w:w="731" w:type="dxa"/>
            <w:textDirection w:val="btLr"/>
          </w:tcPr>
          <w:p w14:paraId="67BF09FE"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Quinones (2018)</w:t>
            </w:r>
          </w:p>
        </w:tc>
        <w:tc>
          <w:tcPr>
            <w:tcW w:w="700" w:type="dxa"/>
            <w:textDirection w:val="btLr"/>
          </w:tcPr>
          <w:p w14:paraId="26EF357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Alva (2019)</w:t>
            </w:r>
          </w:p>
        </w:tc>
        <w:tc>
          <w:tcPr>
            <w:tcW w:w="700" w:type="dxa"/>
            <w:textDirection w:val="btLr"/>
          </w:tcPr>
          <w:p w14:paraId="41E39237"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Almeida (2010)</w:t>
            </w:r>
          </w:p>
        </w:tc>
        <w:tc>
          <w:tcPr>
            <w:tcW w:w="677" w:type="dxa"/>
            <w:textDirection w:val="btLr"/>
          </w:tcPr>
          <w:p w14:paraId="526D1C59" w14:textId="77777777" w:rsidR="001868D9" w:rsidRPr="00103A0B" w:rsidRDefault="001868D9" w:rsidP="005D0A3A">
            <w:pPr>
              <w:tabs>
                <w:tab w:val="left" w:pos="11550"/>
              </w:tabs>
              <w:spacing w:line="360" w:lineRule="auto"/>
              <w:jc w:val="both"/>
              <w:rPr>
                <w:rFonts w:ascii="Arial" w:eastAsia="Times New Roman" w:hAnsi="Arial" w:cs="Arial"/>
                <w:lang w:eastAsia="en-GB"/>
              </w:rPr>
            </w:pPr>
            <w:proofErr w:type="spellStart"/>
            <w:r w:rsidRPr="00103A0B">
              <w:rPr>
                <w:rFonts w:ascii="Arial" w:eastAsia="Times New Roman" w:hAnsi="Arial" w:cs="Arial"/>
                <w:lang w:eastAsia="en-GB"/>
              </w:rPr>
              <w:t>Boltri</w:t>
            </w:r>
            <w:proofErr w:type="spellEnd"/>
            <w:r w:rsidRPr="00103A0B">
              <w:rPr>
                <w:rFonts w:ascii="Arial" w:eastAsia="Times New Roman" w:hAnsi="Arial" w:cs="Arial"/>
                <w:lang w:eastAsia="en-GB"/>
              </w:rPr>
              <w:t xml:space="preserve"> (2011)</w:t>
            </w:r>
          </w:p>
        </w:tc>
      </w:tr>
      <w:tr w:rsidR="001868D9" w:rsidRPr="00103A0B" w14:paraId="0FE096A6" w14:textId="77777777" w:rsidTr="000F4572">
        <w:trPr>
          <w:trHeight w:val="351"/>
        </w:trPr>
        <w:tc>
          <w:tcPr>
            <w:tcW w:w="4954" w:type="dxa"/>
          </w:tcPr>
          <w:p w14:paraId="0315F2BE"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Retention Rates (%)</w:t>
            </w:r>
          </w:p>
        </w:tc>
        <w:tc>
          <w:tcPr>
            <w:tcW w:w="731" w:type="dxa"/>
          </w:tcPr>
          <w:p w14:paraId="7C0E15E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80.3</w:t>
            </w:r>
          </w:p>
        </w:tc>
        <w:tc>
          <w:tcPr>
            <w:tcW w:w="731" w:type="dxa"/>
          </w:tcPr>
          <w:p w14:paraId="436AFF3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78.8</w:t>
            </w:r>
          </w:p>
        </w:tc>
        <w:tc>
          <w:tcPr>
            <w:tcW w:w="731" w:type="dxa"/>
          </w:tcPr>
          <w:p w14:paraId="7ACD7F53"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76.2</w:t>
            </w:r>
          </w:p>
        </w:tc>
        <w:tc>
          <w:tcPr>
            <w:tcW w:w="731" w:type="dxa"/>
          </w:tcPr>
          <w:p w14:paraId="389A82A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76.1</w:t>
            </w:r>
          </w:p>
        </w:tc>
        <w:tc>
          <w:tcPr>
            <w:tcW w:w="731" w:type="dxa"/>
          </w:tcPr>
          <w:p w14:paraId="1A92D893"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76.1</w:t>
            </w:r>
          </w:p>
        </w:tc>
        <w:tc>
          <w:tcPr>
            <w:tcW w:w="731" w:type="dxa"/>
          </w:tcPr>
          <w:p w14:paraId="0E8B30B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74.1</w:t>
            </w:r>
          </w:p>
        </w:tc>
        <w:tc>
          <w:tcPr>
            <w:tcW w:w="646" w:type="dxa"/>
          </w:tcPr>
          <w:p w14:paraId="0CD8572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70.6</w:t>
            </w:r>
          </w:p>
        </w:tc>
        <w:tc>
          <w:tcPr>
            <w:tcW w:w="731" w:type="dxa"/>
          </w:tcPr>
          <w:p w14:paraId="62949DB4"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70.2</w:t>
            </w:r>
          </w:p>
        </w:tc>
        <w:tc>
          <w:tcPr>
            <w:tcW w:w="731" w:type="dxa"/>
          </w:tcPr>
          <w:p w14:paraId="7A72EC1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70.0</w:t>
            </w:r>
          </w:p>
        </w:tc>
        <w:tc>
          <w:tcPr>
            <w:tcW w:w="731" w:type="dxa"/>
          </w:tcPr>
          <w:p w14:paraId="25D8F9B1"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66.3</w:t>
            </w:r>
          </w:p>
        </w:tc>
        <w:tc>
          <w:tcPr>
            <w:tcW w:w="731" w:type="dxa"/>
          </w:tcPr>
          <w:p w14:paraId="0FEFB72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65.8</w:t>
            </w:r>
          </w:p>
        </w:tc>
        <w:tc>
          <w:tcPr>
            <w:tcW w:w="731" w:type="dxa"/>
          </w:tcPr>
          <w:p w14:paraId="7A52CB7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61.1</w:t>
            </w:r>
          </w:p>
        </w:tc>
        <w:tc>
          <w:tcPr>
            <w:tcW w:w="700" w:type="dxa"/>
          </w:tcPr>
          <w:p w14:paraId="555505E0"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53.2</w:t>
            </w:r>
          </w:p>
        </w:tc>
        <w:tc>
          <w:tcPr>
            <w:tcW w:w="700" w:type="dxa"/>
          </w:tcPr>
          <w:p w14:paraId="39CF3446"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c>
          <w:tcPr>
            <w:tcW w:w="677" w:type="dxa"/>
          </w:tcPr>
          <w:p w14:paraId="5D15295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w:t>
            </w:r>
          </w:p>
        </w:tc>
      </w:tr>
      <w:tr w:rsidR="001868D9" w:rsidRPr="00103A0B" w14:paraId="303616D6" w14:textId="77777777" w:rsidTr="000F4572">
        <w:trPr>
          <w:trHeight w:val="351"/>
        </w:trPr>
        <w:tc>
          <w:tcPr>
            <w:tcW w:w="4954" w:type="dxa"/>
            <w:shd w:val="clear" w:color="auto" w:fill="auto"/>
          </w:tcPr>
          <w:p w14:paraId="36002B2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r w:rsidRPr="00103A0B">
              <w:rPr>
                <w:rFonts w:ascii="Arial" w:hAnsi="Arial" w:cs="Arial"/>
                <w:b/>
                <w:lang w:eastAsia="en-GB"/>
              </w:rPr>
              <w:t>1.Goals and planning</w:t>
            </w:r>
          </w:p>
        </w:tc>
        <w:tc>
          <w:tcPr>
            <w:tcW w:w="731" w:type="dxa"/>
            <w:shd w:val="clear" w:color="auto" w:fill="auto"/>
          </w:tcPr>
          <w:p w14:paraId="3F856B7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C7963D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7F8093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1877D24"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5D8C45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7F0230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227CA7F3"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343D80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CC3CB6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E5F0B1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F39D8D0"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93F5A7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5E7F265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4EEF4CB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4D5E281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51CCF76D" w14:textId="77777777" w:rsidTr="000F4572">
        <w:trPr>
          <w:trHeight w:val="351"/>
        </w:trPr>
        <w:tc>
          <w:tcPr>
            <w:tcW w:w="4954" w:type="dxa"/>
          </w:tcPr>
          <w:p w14:paraId="2616E6F6"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1.1 Goal setting (behaviour)</w:t>
            </w:r>
          </w:p>
        </w:tc>
        <w:tc>
          <w:tcPr>
            <w:tcW w:w="731" w:type="dxa"/>
          </w:tcPr>
          <w:p w14:paraId="57A72F53"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3CF79B0"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097C3C6B"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E26826D"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26667A3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46BA277"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6" w:type="dxa"/>
          </w:tcPr>
          <w:p w14:paraId="70448D30"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10E9621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6465361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9D813F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1183239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EF8C2B9"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58532ADE"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09A063A3"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77" w:type="dxa"/>
          </w:tcPr>
          <w:p w14:paraId="691B27A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3A800624" w14:textId="77777777" w:rsidTr="000F4572">
        <w:trPr>
          <w:trHeight w:val="351"/>
        </w:trPr>
        <w:tc>
          <w:tcPr>
            <w:tcW w:w="4954" w:type="dxa"/>
          </w:tcPr>
          <w:p w14:paraId="3F3CEE8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1.2 Problem-solving</w:t>
            </w:r>
          </w:p>
        </w:tc>
        <w:tc>
          <w:tcPr>
            <w:tcW w:w="731" w:type="dxa"/>
          </w:tcPr>
          <w:p w14:paraId="1F98B540"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06E0EC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93A8AF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5F1096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B039E8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4E635A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1EA61F5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60E13B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5183B8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DAFE21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F823DF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290E96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3C55F964"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494D525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77" w:type="dxa"/>
          </w:tcPr>
          <w:p w14:paraId="365D75E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0AE88C28" w14:textId="77777777" w:rsidTr="000F4572">
        <w:trPr>
          <w:trHeight w:val="351"/>
        </w:trPr>
        <w:tc>
          <w:tcPr>
            <w:tcW w:w="4954" w:type="dxa"/>
          </w:tcPr>
          <w:p w14:paraId="5C785EE7"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1.3 Goal setting (outcome)</w:t>
            </w:r>
          </w:p>
        </w:tc>
        <w:tc>
          <w:tcPr>
            <w:tcW w:w="731" w:type="dxa"/>
          </w:tcPr>
          <w:p w14:paraId="10DDBD3B"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25B136D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1A915E46"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55DA758D"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38DC7F0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E033E4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6" w:type="dxa"/>
          </w:tcPr>
          <w:p w14:paraId="5D7A5110"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3884B019"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55648E6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DB76DF8"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51027C3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7632702"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61DC754E"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618D1BA8"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77" w:type="dxa"/>
          </w:tcPr>
          <w:p w14:paraId="7D6AF29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1D9270A0" w14:textId="77777777" w:rsidTr="000F4572">
        <w:trPr>
          <w:trHeight w:val="351"/>
        </w:trPr>
        <w:tc>
          <w:tcPr>
            <w:tcW w:w="4954" w:type="dxa"/>
          </w:tcPr>
          <w:p w14:paraId="1655882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 xml:space="preserve">1.4 Action planning </w:t>
            </w:r>
          </w:p>
        </w:tc>
        <w:tc>
          <w:tcPr>
            <w:tcW w:w="731" w:type="dxa"/>
          </w:tcPr>
          <w:p w14:paraId="6A557E7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6CE242F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F3021D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48E6DB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71341E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18D3CE2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109961F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67506E3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3A0146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F3AD17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E8372B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3D59DB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150F71C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0C8BECE2"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77" w:type="dxa"/>
          </w:tcPr>
          <w:p w14:paraId="6F0B3F9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014CA449" w14:textId="77777777" w:rsidTr="000F4572">
        <w:trPr>
          <w:trHeight w:val="337"/>
        </w:trPr>
        <w:tc>
          <w:tcPr>
            <w:tcW w:w="4954" w:type="dxa"/>
          </w:tcPr>
          <w:p w14:paraId="15F7609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1.7 Review outcome goal(s)</w:t>
            </w:r>
          </w:p>
        </w:tc>
        <w:tc>
          <w:tcPr>
            <w:tcW w:w="731" w:type="dxa"/>
          </w:tcPr>
          <w:p w14:paraId="4E41A97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80E486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6FCE7B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F52563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4C128D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148527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2E9065F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4A47A3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4F06BE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667C56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60C9D0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CF1717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459A73C4"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5157ED0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352C588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559CFCAA" w14:textId="77777777" w:rsidTr="000F4572">
        <w:trPr>
          <w:trHeight w:val="351"/>
        </w:trPr>
        <w:tc>
          <w:tcPr>
            <w:tcW w:w="4954" w:type="dxa"/>
            <w:shd w:val="clear" w:color="auto" w:fill="auto"/>
          </w:tcPr>
          <w:p w14:paraId="7447404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r w:rsidRPr="00103A0B">
              <w:rPr>
                <w:rFonts w:ascii="Arial" w:hAnsi="Arial" w:cs="Arial"/>
                <w:b/>
              </w:rPr>
              <w:t>2. Feedback and monitoring</w:t>
            </w:r>
          </w:p>
        </w:tc>
        <w:tc>
          <w:tcPr>
            <w:tcW w:w="731" w:type="dxa"/>
            <w:shd w:val="clear" w:color="auto" w:fill="auto"/>
          </w:tcPr>
          <w:p w14:paraId="6C7B14F4"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8DFBC9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A51DE1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1C2FDC3"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08E0C03"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46FB7B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1CE6CAA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CF96233"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639303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AFAB6B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F3F9DE9"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699C5E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544A8CC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4B07A847"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7FCF7A8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23DDBC26" w14:textId="77777777" w:rsidTr="000F4572">
        <w:trPr>
          <w:trHeight w:val="716"/>
        </w:trPr>
        <w:tc>
          <w:tcPr>
            <w:tcW w:w="4954" w:type="dxa"/>
          </w:tcPr>
          <w:p w14:paraId="0295DB68" w14:textId="77777777" w:rsidR="001868D9" w:rsidRPr="00103A0B" w:rsidRDefault="001868D9" w:rsidP="005D0A3A">
            <w:pPr>
              <w:tabs>
                <w:tab w:val="left" w:pos="11550"/>
              </w:tabs>
              <w:spacing w:line="360" w:lineRule="auto"/>
              <w:jc w:val="both"/>
              <w:rPr>
                <w:rFonts w:ascii="Arial" w:hAnsi="Arial" w:cs="Arial"/>
              </w:rPr>
            </w:pPr>
            <w:r w:rsidRPr="00103A0B">
              <w:rPr>
                <w:rFonts w:ascii="Arial" w:hAnsi="Arial" w:cs="Arial"/>
              </w:rPr>
              <w:t>2.1 Monitoring of behaviour by others without feedback</w:t>
            </w:r>
          </w:p>
        </w:tc>
        <w:tc>
          <w:tcPr>
            <w:tcW w:w="731" w:type="dxa"/>
          </w:tcPr>
          <w:p w14:paraId="4A0EC97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3454E72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833AD3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189C53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D60AB5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09953C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25302E8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476733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F300F2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1C322A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614B9A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4223D5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00980328"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62BDD31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275931F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53A78333" w14:textId="77777777" w:rsidTr="000F4572">
        <w:trPr>
          <w:trHeight w:val="351"/>
        </w:trPr>
        <w:tc>
          <w:tcPr>
            <w:tcW w:w="4954" w:type="dxa"/>
          </w:tcPr>
          <w:p w14:paraId="0C87D03B"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hAnsi="Arial" w:cs="Arial"/>
              </w:rPr>
              <w:t>2.2. Feedback on behaviour</w:t>
            </w:r>
          </w:p>
        </w:tc>
        <w:tc>
          <w:tcPr>
            <w:tcW w:w="731" w:type="dxa"/>
          </w:tcPr>
          <w:p w14:paraId="514C136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E91BB3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7C955B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1EB75F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118C4E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E4641F6"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6" w:type="dxa"/>
          </w:tcPr>
          <w:p w14:paraId="085D39C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B7D949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BB9C81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13DB10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6BE67B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019D941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15475AF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6D79DEC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7764088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765A935D" w14:textId="77777777" w:rsidTr="000F4572">
        <w:trPr>
          <w:trHeight w:val="351"/>
        </w:trPr>
        <w:tc>
          <w:tcPr>
            <w:tcW w:w="4954" w:type="dxa"/>
          </w:tcPr>
          <w:p w14:paraId="5C610DD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hAnsi="Arial" w:cs="Arial"/>
              </w:rPr>
              <w:t>2.3. Self-monitoring of behaviour</w:t>
            </w:r>
          </w:p>
        </w:tc>
        <w:tc>
          <w:tcPr>
            <w:tcW w:w="731" w:type="dxa"/>
          </w:tcPr>
          <w:p w14:paraId="125E15C2"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3E755C9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76EC229"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2F1B718B"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ADFA262"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00656EF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6" w:type="dxa"/>
          </w:tcPr>
          <w:p w14:paraId="4E5F63CE"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3C84C0C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BE3C26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BA66AF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A61AB38"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FF24CF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1D80C1A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6F93116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780F19B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48857B13" w14:textId="77777777" w:rsidTr="000F4572">
        <w:trPr>
          <w:trHeight w:val="351"/>
        </w:trPr>
        <w:tc>
          <w:tcPr>
            <w:tcW w:w="4954" w:type="dxa"/>
          </w:tcPr>
          <w:p w14:paraId="0BD449CE" w14:textId="77777777" w:rsidR="001868D9" w:rsidRPr="00103A0B" w:rsidRDefault="001868D9" w:rsidP="005D0A3A">
            <w:pPr>
              <w:tabs>
                <w:tab w:val="left" w:pos="11550"/>
              </w:tabs>
              <w:spacing w:line="360" w:lineRule="auto"/>
              <w:jc w:val="both"/>
              <w:rPr>
                <w:rFonts w:ascii="Arial" w:hAnsi="Arial" w:cs="Arial"/>
              </w:rPr>
            </w:pPr>
            <w:r w:rsidRPr="00103A0B">
              <w:rPr>
                <w:rFonts w:ascii="Arial" w:hAnsi="Arial" w:cs="Arial"/>
              </w:rPr>
              <w:t xml:space="preserve">2.4 Self-monitoring of outcome(s) of behaviour </w:t>
            </w:r>
          </w:p>
        </w:tc>
        <w:tc>
          <w:tcPr>
            <w:tcW w:w="731" w:type="dxa"/>
          </w:tcPr>
          <w:p w14:paraId="6A20106B"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6B22B5A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D9EDCB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2875D9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5E1E00E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016A891"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6" w:type="dxa"/>
          </w:tcPr>
          <w:p w14:paraId="404D910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AC2796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1B89B3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2287B2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6097B0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4C0CEA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73C5793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79C93AC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37E0DCD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3C173DBD" w14:textId="77777777" w:rsidTr="000F4572">
        <w:trPr>
          <w:trHeight w:val="702"/>
        </w:trPr>
        <w:tc>
          <w:tcPr>
            <w:tcW w:w="4954" w:type="dxa"/>
          </w:tcPr>
          <w:p w14:paraId="43CF669D" w14:textId="77777777" w:rsidR="001868D9" w:rsidRPr="00103A0B" w:rsidRDefault="001868D9" w:rsidP="005D0A3A">
            <w:pPr>
              <w:tabs>
                <w:tab w:val="left" w:pos="11550"/>
              </w:tabs>
              <w:spacing w:line="360" w:lineRule="auto"/>
              <w:jc w:val="both"/>
              <w:rPr>
                <w:rFonts w:ascii="Arial" w:hAnsi="Arial" w:cs="Arial"/>
              </w:rPr>
            </w:pPr>
            <w:r w:rsidRPr="00103A0B">
              <w:rPr>
                <w:rFonts w:ascii="Arial" w:hAnsi="Arial" w:cs="Arial"/>
              </w:rPr>
              <w:t xml:space="preserve">2.5 Monitoring outcome(s) of behaviour by others without feedback </w:t>
            </w:r>
          </w:p>
        </w:tc>
        <w:tc>
          <w:tcPr>
            <w:tcW w:w="731" w:type="dxa"/>
          </w:tcPr>
          <w:p w14:paraId="06A05F4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17473F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B90F17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28D3BC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F3BF6D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A78BDD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4517D31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E093DF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39A2FA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D23D39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27A311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4B9E6E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7ADC9B9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7C4AB27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58AE91A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1C6500E1" w14:textId="77777777" w:rsidTr="000F4572">
        <w:trPr>
          <w:trHeight w:val="351"/>
        </w:trPr>
        <w:tc>
          <w:tcPr>
            <w:tcW w:w="4954" w:type="dxa"/>
            <w:shd w:val="clear" w:color="auto" w:fill="auto"/>
          </w:tcPr>
          <w:p w14:paraId="62A855B9"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hAnsi="Arial" w:cs="Arial"/>
              </w:rPr>
              <w:t xml:space="preserve">2.7 Feedback on outcome(s) of behaviour </w:t>
            </w:r>
          </w:p>
        </w:tc>
        <w:tc>
          <w:tcPr>
            <w:tcW w:w="731" w:type="dxa"/>
          </w:tcPr>
          <w:p w14:paraId="6EED80C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8726C0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shd w:val="clear" w:color="auto" w:fill="auto"/>
          </w:tcPr>
          <w:p w14:paraId="48A7D7B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A0B224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shd w:val="clear" w:color="auto" w:fill="auto"/>
          </w:tcPr>
          <w:p w14:paraId="482FE53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079A23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shd w:val="clear" w:color="auto" w:fill="auto"/>
          </w:tcPr>
          <w:p w14:paraId="0550B7AE"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04A33B6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52A597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4B7513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shd w:val="clear" w:color="auto" w:fill="auto"/>
          </w:tcPr>
          <w:p w14:paraId="47B4B30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A44146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20CF10C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shd w:val="clear" w:color="auto" w:fill="auto"/>
          </w:tcPr>
          <w:p w14:paraId="42C4659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shd w:val="clear" w:color="auto" w:fill="auto"/>
          </w:tcPr>
          <w:p w14:paraId="037AE30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0A10BFEE" w14:textId="77777777" w:rsidTr="000F4572">
        <w:trPr>
          <w:trHeight w:val="337"/>
        </w:trPr>
        <w:tc>
          <w:tcPr>
            <w:tcW w:w="4954" w:type="dxa"/>
            <w:shd w:val="clear" w:color="auto" w:fill="auto"/>
          </w:tcPr>
          <w:p w14:paraId="69DF7015" w14:textId="77777777" w:rsidR="001868D9" w:rsidRPr="00103A0B" w:rsidRDefault="001868D9" w:rsidP="005D0A3A">
            <w:pPr>
              <w:tabs>
                <w:tab w:val="left" w:pos="11550"/>
              </w:tabs>
              <w:spacing w:line="360" w:lineRule="auto"/>
              <w:jc w:val="both"/>
              <w:rPr>
                <w:rFonts w:ascii="Arial" w:hAnsi="Arial" w:cs="Arial"/>
                <w:b/>
              </w:rPr>
            </w:pPr>
            <w:r w:rsidRPr="00103A0B">
              <w:rPr>
                <w:rFonts w:ascii="Arial" w:hAnsi="Arial" w:cs="Arial"/>
                <w:b/>
              </w:rPr>
              <w:t>3 Social support</w:t>
            </w:r>
          </w:p>
        </w:tc>
        <w:tc>
          <w:tcPr>
            <w:tcW w:w="731" w:type="dxa"/>
            <w:shd w:val="clear" w:color="auto" w:fill="auto"/>
          </w:tcPr>
          <w:p w14:paraId="3BDBC63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95138F3"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C02A8D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D14A6A9"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C4A77B7"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FDF648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78212A1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B59CA3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EB0846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4D4B2D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EDCF3B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D7F5E24"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4A4B8C0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4F47D99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1274132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61E6361F" w14:textId="77777777" w:rsidTr="000F4572">
        <w:trPr>
          <w:trHeight w:val="351"/>
        </w:trPr>
        <w:tc>
          <w:tcPr>
            <w:tcW w:w="4954" w:type="dxa"/>
          </w:tcPr>
          <w:p w14:paraId="3F9FB65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hAnsi="Arial" w:cs="Arial"/>
              </w:rPr>
              <w:lastRenderedPageBreak/>
              <w:t>3.1. Social support (unspecified)</w:t>
            </w:r>
          </w:p>
        </w:tc>
        <w:tc>
          <w:tcPr>
            <w:tcW w:w="731" w:type="dxa"/>
          </w:tcPr>
          <w:p w14:paraId="6D243B1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1FBE6BB"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57CF53B2"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7CAC39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8BEF962"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617209E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6EF2D2E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49309DD"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7EE6AF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08AF73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0E3B2FF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0FAB933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443B43D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30A6D5B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0B62A1C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1868D9" w:rsidRPr="00103A0B" w14:paraId="687826A1" w14:textId="77777777" w:rsidTr="000F4572">
        <w:trPr>
          <w:trHeight w:val="351"/>
        </w:trPr>
        <w:tc>
          <w:tcPr>
            <w:tcW w:w="4954" w:type="dxa"/>
          </w:tcPr>
          <w:p w14:paraId="57B73EBE"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hAnsi="Arial" w:cs="Arial"/>
              </w:rPr>
              <w:t>3.2. Social support (practical)</w:t>
            </w:r>
          </w:p>
        </w:tc>
        <w:tc>
          <w:tcPr>
            <w:tcW w:w="731" w:type="dxa"/>
          </w:tcPr>
          <w:p w14:paraId="2BEEE60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6FC513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8C3C82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9E2439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848571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A41052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6B6EE10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7BB0D01"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DEE9BD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5DD044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AF935B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58E69D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5380794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02B9C73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2C1CD08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1F3411A3" w14:textId="77777777" w:rsidTr="000F4572">
        <w:trPr>
          <w:trHeight w:val="351"/>
        </w:trPr>
        <w:tc>
          <w:tcPr>
            <w:tcW w:w="4954" w:type="dxa"/>
          </w:tcPr>
          <w:p w14:paraId="646ED4B0"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hAnsi="Arial" w:cs="Arial"/>
              </w:rPr>
              <w:t>3.3. Social support (emotional)</w:t>
            </w:r>
          </w:p>
        </w:tc>
        <w:tc>
          <w:tcPr>
            <w:tcW w:w="731" w:type="dxa"/>
          </w:tcPr>
          <w:p w14:paraId="0AE25AD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28C41AC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64476B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B8A772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A0A3A5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56CB1E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45F2FC9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5D1BDE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A6ED02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8338F4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D0D6CD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715554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4875C1F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689FD30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566FEF1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5FFC5B2E" w14:textId="77777777" w:rsidTr="000F4572">
        <w:trPr>
          <w:trHeight w:val="351"/>
        </w:trPr>
        <w:tc>
          <w:tcPr>
            <w:tcW w:w="4954" w:type="dxa"/>
            <w:shd w:val="clear" w:color="auto" w:fill="auto"/>
          </w:tcPr>
          <w:p w14:paraId="2B954A3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r w:rsidRPr="00103A0B">
              <w:rPr>
                <w:rFonts w:ascii="Arial" w:hAnsi="Arial" w:cs="Arial"/>
                <w:b/>
              </w:rPr>
              <w:t>4. Shaping knowledge</w:t>
            </w:r>
          </w:p>
        </w:tc>
        <w:tc>
          <w:tcPr>
            <w:tcW w:w="731" w:type="dxa"/>
            <w:shd w:val="clear" w:color="auto" w:fill="auto"/>
          </w:tcPr>
          <w:p w14:paraId="194E16E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3D232E0"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1F69EB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D34403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890D82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7C1E76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34D81977"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155AE0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F029E3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27D2D2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73A045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7C548E9"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268ADB2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3807209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047A397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39540B9A" w14:textId="77777777" w:rsidTr="000F4572">
        <w:trPr>
          <w:trHeight w:val="351"/>
        </w:trPr>
        <w:tc>
          <w:tcPr>
            <w:tcW w:w="4954" w:type="dxa"/>
          </w:tcPr>
          <w:p w14:paraId="6F42EDB1"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hAnsi="Arial" w:cs="Arial"/>
              </w:rPr>
              <w:t>4.1. Instruction on how to perform the behaviour</w:t>
            </w:r>
          </w:p>
        </w:tc>
        <w:tc>
          <w:tcPr>
            <w:tcW w:w="731" w:type="dxa"/>
          </w:tcPr>
          <w:p w14:paraId="75A59469"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6C3B7CB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12DAE49"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10840CF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4F1855E"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30963EB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0EF1BF77"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6B4AF3C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3577C276"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E6BEB5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D2FD3C7"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EDC401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7293F1D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30B2DC58"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77" w:type="dxa"/>
          </w:tcPr>
          <w:p w14:paraId="58BBD7D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317BA8DD" w14:textId="77777777" w:rsidTr="000F4572">
        <w:trPr>
          <w:trHeight w:val="351"/>
        </w:trPr>
        <w:tc>
          <w:tcPr>
            <w:tcW w:w="4954" w:type="dxa"/>
            <w:shd w:val="clear" w:color="auto" w:fill="auto"/>
          </w:tcPr>
          <w:p w14:paraId="684DEB2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r w:rsidRPr="00103A0B">
              <w:rPr>
                <w:rFonts w:ascii="Arial" w:hAnsi="Arial" w:cs="Arial"/>
                <w:b/>
              </w:rPr>
              <w:t xml:space="preserve">6. Comparison of behaviour </w:t>
            </w:r>
          </w:p>
        </w:tc>
        <w:tc>
          <w:tcPr>
            <w:tcW w:w="731" w:type="dxa"/>
            <w:shd w:val="clear" w:color="auto" w:fill="auto"/>
          </w:tcPr>
          <w:p w14:paraId="10426F8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FBDC21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DCBFF1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604FBA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8380725"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876F47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168DC497"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7BB874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041B85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44A8E2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B3BEA6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49D07E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1745EF0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70EEE66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18092275"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031A09E4" w14:textId="77777777" w:rsidTr="000F4572">
        <w:trPr>
          <w:trHeight w:val="351"/>
        </w:trPr>
        <w:tc>
          <w:tcPr>
            <w:tcW w:w="4954" w:type="dxa"/>
          </w:tcPr>
          <w:p w14:paraId="7009EF43"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hAnsi="Arial" w:cs="Arial"/>
              </w:rPr>
              <w:t>6.1. Demonstration of the behaviour</w:t>
            </w:r>
          </w:p>
        </w:tc>
        <w:tc>
          <w:tcPr>
            <w:tcW w:w="731" w:type="dxa"/>
          </w:tcPr>
          <w:p w14:paraId="482CDA65"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BC334A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AC89E7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D7468B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5E114E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6EAFFF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206B573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0FEA031"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53545A4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617636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A4C4C11"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C0EFB1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75C4B10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15C8081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35EA931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222DDFF2" w14:textId="77777777" w:rsidTr="000F4572">
        <w:trPr>
          <w:trHeight w:val="351"/>
        </w:trPr>
        <w:tc>
          <w:tcPr>
            <w:tcW w:w="4954" w:type="dxa"/>
            <w:shd w:val="clear" w:color="auto" w:fill="auto"/>
          </w:tcPr>
          <w:p w14:paraId="18FA2135" w14:textId="77777777" w:rsidR="001868D9" w:rsidRPr="00103A0B" w:rsidRDefault="001868D9" w:rsidP="005D0A3A">
            <w:pPr>
              <w:tabs>
                <w:tab w:val="left" w:pos="11550"/>
              </w:tabs>
              <w:spacing w:line="360" w:lineRule="auto"/>
              <w:jc w:val="both"/>
              <w:rPr>
                <w:rFonts w:ascii="Arial" w:eastAsia="Times New Roman" w:hAnsi="Arial" w:cs="Arial"/>
                <w:b/>
                <w:lang w:eastAsia="en-GB"/>
              </w:rPr>
            </w:pPr>
            <w:r w:rsidRPr="00103A0B">
              <w:rPr>
                <w:rFonts w:ascii="Arial" w:hAnsi="Arial" w:cs="Arial"/>
                <w:b/>
              </w:rPr>
              <w:t>8. Repetition and substitution</w:t>
            </w:r>
          </w:p>
        </w:tc>
        <w:tc>
          <w:tcPr>
            <w:tcW w:w="731" w:type="dxa"/>
            <w:shd w:val="clear" w:color="auto" w:fill="auto"/>
          </w:tcPr>
          <w:p w14:paraId="4ED8BCA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BC95D2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7088EB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E58F18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537A8F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35986B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5C91C770"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F9CECE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23A26C0"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BED67B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DB1D59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A5CCFF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15A2E7B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25A0E93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291EEB19"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3C160257" w14:textId="77777777" w:rsidTr="000F4572">
        <w:trPr>
          <w:trHeight w:val="351"/>
        </w:trPr>
        <w:tc>
          <w:tcPr>
            <w:tcW w:w="4954" w:type="dxa"/>
          </w:tcPr>
          <w:p w14:paraId="54F513CA"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hAnsi="Arial" w:cs="Arial"/>
              </w:rPr>
              <w:t>8.1. Behavioural practice/rehearsal</w:t>
            </w:r>
          </w:p>
        </w:tc>
        <w:tc>
          <w:tcPr>
            <w:tcW w:w="731" w:type="dxa"/>
          </w:tcPr>
          <w:p w14:paraId="5905142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2E3325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10E744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290286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F6BCCD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59F305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070F908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B28EAC7"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6BC3BCA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F29C70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0C47E4E"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5D2E435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52DB162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39ECFDE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53D561C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2BB2D2E7" w14:textId="77777777" w:rsidTr="000F4572">
        <w:trPr>
          <w:trHeight w:val="351"/>
        </w:trPr>
        <w:tc>
          <w:tcPr>
            <w:tcW w:w="4954" w:type="dxa"/>
          </w:tcPr>
          <w:p w14:paraId="336489AA" w14:textId="77777777" w:rsidR="001868D9" w:rsidRPr="00103A0B" w:rsidRDefault="001868D9" w:rsidP="005D0A3A">
            <w:pPr>
              <w:tabs>
                <w:tab w:val="left" w:pos="11550"/>
              </w:tabs>
              <w:spacing w:line="360" w:lineRule="auto"/>
              <w:jc w:val="both"/>
              <w:rPr>
                <w:rFonts w:ascii="Arial" w:hAnsi="Arial" w:cs="Arial"/>
              </w:rPr>
            </w:pPr>
            <w:r w:rsidRPr="00103A0B">
              <w:rPr>
                <w:rFonts w:ascii="Arial" w:hAnsi="Arial" w:cs="Arial"/>
              </w:rPr>
              <w:t>8.7. Graded tasks</w:t>
            </w:r>
          </w:p>
        </w:tc>
        <w:tc>
          <w:tcPr>
            <w:tcW w:w="731" w:type="dxa"/>
          </w:tcPr>
          <w:p w14:paraId="3302123B"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182223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868A94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2339D5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128703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2766DF9B"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309CF20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FFEFE7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47607D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F174AF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BA40F1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FE2EC8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5F979E8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56A8709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16F40D6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458AF277" w14:textId="77777777" w:rsidTr="000F4572">
        <w:trPr>
          <w:trHeight w:val="351"/>
        </w:trPr>
        <w:tc>
          <w:tcPr>
            <w:tcW w:w="4954" w:type="dxa"/>
            <w:shd w:val="clear" w:color="auto" w:fill="auto"/>
          </w:tcPr>
          <w:p w14:paraId="0651C163" w14:textId="77777777" w:rsidR="001868D9" w:rsidRPr="00103A0B" w:rsidRDefault="001868D9" w:rsidP="005D0A3A">
            <w:pPr>
              <w:tabs>
                <w:tab w:val="left" w:pos="11550"/>
              </w:tabs>
              <w:spacing w:line="360" w:lineRule="auto"/>
              <w:jc w:val="both"/>
              <w:rPr>
                <w:rFonts w:ascii="Arial" w:hAnsi="Arial" w:cs="Arial"/>
                <w:b/>
              </w:rPr>
            </w:pPr>
            <w:r w:rsidRPr="00103A0B">
              <w:rPr>
                <w:rFonts w:ascii="Arial" w:hAnsi="Arial" w:cs="Arial"/>
                <w:b/>
              </w:rPr>
              <w:t>9. Comparison of outcomes</w:t>
            </w:r>
          </w:p>
        </w:tc>
        <w:tc>
          <w:tcPr>
            <w:tcW w:w="731" w:type="dxa"/>
            <w:shd w:val="clear" w:color="auto" w:fill="auto"/>
          </w:tcPr>
          <w:p w14:paraId="0974A1C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A6FD6B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F8E036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624573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B337F13"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19ED36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15218FB5"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392D27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2A0220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4462C6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32143C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E33030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0607676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6515AD4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0BA49F9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35D81391" w14:textId="77777777" w:rsidTr="000F4572">
        <w:trPr>
          <w:trHeight w:val="351"/>
        </w:trPr>
        <w:tc>
          <w:tcPr>
            <w:tcW w:w="4954" w:type="dxa"/>
          </w:tcPr>
          <w:p w14:paraId="7E84A92D" w14:textId="77777777" w:rsidR="001868D9" w:rsidRPr="00103A0B" w:rsidRDefault="001868D9" w:rsidP="005D0A3A">
            <w:pPr>
              <w:tabs>
                <w:tab w:val="left" w:pos="11550"/>
              </w:tabs>
              <w:spacing w:line="360" w:lineRule="auto"/>
              <w:jc w:val="both"/>
              <w:rPr>
                <w:rFonts w:ascii="Arial" w:hAnsi="Arial" w:cs="Arial"/>
              </w:rPr>
            </w:pPr>
            <w:r w:rsidRPr="00103A0B">
              <w:rPr>
                <w:rFonts w:ascii="Arial" w:hAnsi="Arial" w:cs="Arial"/>
              </w:rPr>
              <w:t>9.1. Credible source</w:t>
            </w:r>
          </w:p>
        </w:tc>
        <w:tc>
          <w:tcPr>
            <w:tcW w:w="731" w:type="dxa"/>
          </w:tcPr>
          <w:p w14:paraId="425B1D68"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3C83F493"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2D4A846B"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1EC6CE9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BF163C1"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068CD396"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46" w:type="dxa"/>
          </w:tcPr>
          <w:p w14:paraId="639DC741"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36F1F76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BAE2999"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637ECF56"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12E500B8"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6594A96"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5A8F6217"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49B2E119"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677" w:type="dxa"/>
          </w:tcPr>
          <w:p w14:paraId="6E7266A1"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1868D9" w:rsidRPr="00103A0B" w14:paraId="1F11E146" w14:textId="77777777" w:rsidTr="000F4572">
        <w:trPr>
          <w:trHeight w:val="351"/>
        </w:trPr>
        <w:tc>
          <w:tcPr>
            <w:tcW w:w="4954" w:type="dxa"/>
            <w:shd w:val="clear" w:color="auto" w:fill="auto"/>
          </w:tcPr>
          <w:p w14:paraId="3D737CDD" w14:textId="77777777" w:rsidR="001868D9" w:rsidRPr="00103A0B" w:rsidRDefault="001868D9" w:rsidP="005D0A3A">
            <w:pPr>
              <w:tabs>
                <w:tab w:val="left" w:pos="11550"/>
              </w:tabs>
              <w:spacing w:line="360" w:lineRule="auto"/>
              <w:jc w:val="both"/>
              <w:rPr>
                <w:rFonts w:ascii="Arial" w:hAnsi="Arial" w:cs="Arial"/>
                <w:b/>
              </w:rPr>
            </w:pPr>
            <w:r w:rsidRPr="00103A0B">
              <w:rPr>
                <w:rFonts w:ascii="Arial" w:hAnsi="Arial" w:cs="Arial"/>
                <w:b/>
              </w:rPr>
              <w:t>10. Reward and threat</w:t>
            </w:r>
          </w:p>
        </w:tc>
        <w:tc>
          <w:tcPr>
            <w:tcW w:w="731" w:type="dxa"/>
            <w:shd w:val="clear" w:color="auto" w:fill="auto"/>
          </w:tcPr>
          <w:p w14:paraId="128A064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4206D8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B1768D3"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4C1D661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EE2F29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381BAC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22E79DB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A9B4B0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2993C0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BA1C4F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80F314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9E2EF2D"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51FE5E8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267D17F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280D3E0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6E4A0D61" w14:textId="77777777" w:rsidTr="000F4572">
        <w:trPr>
          <w:trHeight w:val="351"/>
        </w:trPr>
        <w:tc>
          <w:tcPr>
            <w:tcW w:w="4954" w:type="dxa"/>
          </w:tcPr>
          <w:p w14:paraId="0BFBF387" w14:textId="77777777" w:rsidR="001868D9" w:rsidRPr="00103A0B" w:rsidRDefault="001868D9" w:rsidP="005D0A3A">
            <w:pPr>
              <w:tabs>
                <w:tab w:val="left" w:pos="11550"/>
              </w:tabs>
              <w:spacing w:line="360" w:lineRule="auto"/>
              <w:jc w:val="both"/>
              <w:rPr>
                <w:rFonts w:ascii="Arial" w:hAnsi="Arial" w:cs="Arial"/>
              </w:rPr>
            </w:pPr>
            <w:r w:rsidRPr="00103A0B">
              <w:rPr>
                <w:rFonts w:ascii="Arial" w:hAnsi="Arial" w:cs="Arial"/>
              </w:rPr>
              <w:t>10.4. Social reward</w:t>
            </w:r>
          </w:p>
        </w:tc>
        <w:tc>
          <w:tcPr>
            <w:tcW w:w="731" w:type="dxa"/>
          </w:tcPr>
          <w:p w14:paraId="5BBA454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3FFA5D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189A05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7D8F9C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9F32EC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1560F7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2D9CF2A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916762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DC0269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F962A8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3EEA60A0"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40899D0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7A5A43F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73EEA24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24D3D97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579C2C53" w14:textId="77777777" w:rsidTr="000F4572">
        <w:trPr>
          <w:trHeight w:val="337"/>
        </w:trPr>
        <w:tc>
          <w:tcPr>
            <w:tcW w:w="4954" w:type="dxa"/>
            <w:shd w:val="clear" w:color="auto" w:fill="auto"/>
          </w:tcPr>
          <w:p w14:paraId="29F04511" w14:textId="77777777" w:rsidR="001868D9" w:rsidRPr="00103A0B" w:rsidRDefault="001868D9" w:rsidP="005D0A3A">
            <w:pPr>
              <w:tabs>
                <w:tab w:val="left" w:pos="11550"/>
              </w:tabs>
              <w:spacing w:line="360" w:lineRule="auto"/>
              <w:jc w:val="both"/>
              <w:rPr>
                <w:rFonts w:ascii="Arial" w:hAnsi="Arial" w:cs="Arial"/>
                <w:b/>
              </w:rPr>
            </w:pPr>
            <w:r w:rsidRPr="00103A0B">
              <w:rPr>
                <w:rFonts w:ascii="Arial" w:hAnsi="Arial" w:cs="Arial"/>
                <w:b/>
              </w:rPr>
              <w:t>11. Regulation</w:t>
            </w:r>
          </w:p>
        </w:tc>
        <w:tc>
          <w:tcPr>
            <w:tcW w:w="731" w:type="dxa"/>
            <w:shd w:val="clear" w:color="auto" w:fill="auto"/>
          </w:tcPr>
          <w:p w14:paraId="0196565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F7B5E8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AE59AB0"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56C21E4"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05CD40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43F3D8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792933C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CB4F054"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4748A7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05F13A7F"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25DDB4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5B0FA2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617A2E3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274CEC9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4D1C7408"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43B604AF" w14:textId="77777777" w:rsidTr="000F4572">
        <w:trPr>
          <w:trHeight w:val="351"/>
        </w:trPr>
        <w:tc>
          <w:tcPr>
            <w:tcW w:w="4954" w:type="dxa"/>
          </w:tcPr>
          <w:p w14:paraId="1D5D48B1" w14:textId="77777777" w:rsidR="001868D9" w:rsidRPr="00103A0B" w:rsidRDefault="001868D9" w:rsidP="005D0A3A">
            <w:pPr>
              <w:tabs>
                <w:tab w:val="left" w:pos="11550"/>
              </w:tabs>
              <w:spacing w:line="360" w:lineRule="auto"/>
              <w:jc w:val="both"/>
              <w:rPr>
                <w:rFonts w:ascii="Arial" w:hAnsi="Arial" w:cs="Arial"/>
              </w:rPr>
            </w:pPr>
            <w:r w:rsidRPr="00103A0B">
              <w:rPr>
                <w:rFonts w:ascii="Arial" w:hAnsi="Arial" w:cs="Arial"/>
              </w:rPr>
              <w:t>11.2. Reduce negative emotions</w:t>
            </w:r>
          </w:p>
        </w:tc>
        <w:tc>
          <w:tcPr>
            <w:tcW w:w="731" w:type="dxa"/>
          </w:tcPr>
          <w:p w14:paraId="1EBA6E4B"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125EB5D"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56C350D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E01EE5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B21B1C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6AE439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46649E79"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D2069E4"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F8B12CF"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155D9E3E"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38C5A8F"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7A7AF5F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5A3AF2A6"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00" w:type="dxa"/>
          </w:tcPr>
          <w:p w14:paraId="227BB62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7F06D212"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r w:rsidR="001868D9" w:rsidRPr="00103A0B" w14:paraId="3B7AFAA0" w14:textId="77777777" w:rsidTr="000F4572">
        <w:trPr>
          <w:trHeight w:val="351"/>
        </w:trPr>
        <w:tc>
          <w:tcPr>
            <w:tcW w:w="4954" w:type="dxa"/>
            <w:shd w:val="clear" w:color="auto" w:fill="auto"/>
          </w:tcPr>
          <w:p w14:paraId="38DE8910" w14:textId="77777777" w:rsidR="001868D9" w:rsidRPr="00103A0B" w:rsidRDefault="001868D9" w:rsidP="005D0A3A">
            <w:pPr>
              <w:tabs>
                <w:tab w:val="left" w:pos="11550"/>
              </w:tabs>
              <w:spacing w:line="360" w:lineRule="auto"/>
              <w:jc w:val="both"/>
              <w:rPr>
                <w:rFonts w:ascii="Arial" w:hAnsi="Arial" w:cs="Arial"/>
                <w:b/>
              </w:rPr>
            </w:pPr>
            <w:r w:rsidRPr="00103A0B">
              <w:rPr>
                <w:rFonts w:ascii="Arial" w:hAnsi="Arial" w:cs="Arial"/>
                <w:b/>
              </w:rPr>
              <w:t>New BCTs</w:t>
            </w:r>
          </w:p>
        </w:tc>
        <w:tc>
          <w:tcPr>
            <w:tcW w:w="731" w:type="dxa"/>
            <w:shd w:val="clear" w:color="auto" w:fill="auto"/>
          </w:tcPr>
          <w:p w14:paraId="4C3CFC5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AA93AB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93D9522"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A8F045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1BA6EA15"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6D6EE4FE"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46" w:type="dxa"/>
            <w:shd w:val="clear" w:color="auto" w:fill="auto"/>
          </w:tcPr>
          <w:p w14:paraId="5253DB69"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76151DCA"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324B5A3"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5258ED6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389780CC"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31" w:type="dxa"/>
            <w:shd w:val="clear" w:color="auto" w:fill="auto"/>
          </w:tcPr>
          <w:p w14:paraId="2734F4CB"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tcPr>
          <w:p w14:paraId="359FCBB1"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700" w:type="dxa"/>
            <w:shd w:val="clear" w:color="auto" w:fill="auto"/>
          </w:tcPr>
          <w:p w14:paraId="4E5604C4"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c>
          <w:tcPr>
            <w:tcW w:w="677" w:type="dxa"/>
            <w:shd w:val="clear" w:color="auto" w:fill="auto"/>
          </w:tcPr>
          <w:p w14:paraId="5501A746" w14:textId="77777777" w:rsidR="001868D9" w:rsidRPr="00103A0B" w:rsidRDefault="001868D9" w:rsidP="005D0A3A">
            <w:pPr>
              <w:tabs>
                <w:tab w:val="left" w:pos="11550"/>
              </w:tabs>
              <w:spacing w:line="360" w:lineRule="auto"/>
              <w:jc w:val="both"/>
              <w:rPr>
                <w:rFonts w:ascii="Arial" w:eastAsia="Times New Roman" w:hAnsi="Arial" w:cs="Arial"/>
                <w:b/>
                <w:lang w:eastAsia="en-GB"/>
              </w:rPr>
            </w:pPr>
          </w:p>
        </w:tc>
      </w:tr>
      <w:tr w:rsidR="001868D9" w:rsidRPr="00103A0B" w14:paraId="0517879A" w14:textId="77777777" w:rsidTr="000F4572">
        <w:trPr>
          <w:trHeight w:val="351"/>
        </w:trPr>
        <w:tc>
          <w:tcPr>
            <w:tcW w:w="4954" w:type="dxa"/>
          </w:tcPr>
          <w:p w14:paraId="77EDAFED" w14:textId="77777777" w:rsidR="001868D9" w:rsidRPr="00103A0B" w:rsidRDefault="001868D9" w:rsidP="005D0A3A">
            <w:pPr>
              <w:tabs>
                <w:tab w:val="left" w:pos="11550"/>
              </w:tabs>
              <w:spacing w:line="360" w:lineRule="auto"/>
              <w:jc w:val="both"/>
              <w:rPr>
                <w:rFonts w:ascii="Arial" w:hAnsi="Arial" w:cs="Arial"/>
              </w:rPr>
            </w:pPr>
            <w:r w:rsidRPr="00103A0B">
              <w:rPr>
                <w:rFonts w:ascii="Arial" w:hAnsi="Arial" w:cs="Arial"/>
              </w:rPr>
              <w:t xml:space="preserve">Incentive for participation </w:t>
            </w:r>
          </w:p>
        </w:tc>
        <w:tc>
          <w:tcPr>
            <w:tcW w:w="731" w:type="dxa"/>
          </w:tcPr>
          <w:p w14:paraId="7483153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3D13A57"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CB7FC5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9585C30"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DD57B7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01EEA93A"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46" w:type="dxa"/>
          </w:tcPr>
          <w:p w14:paraId="3BDEC8A6"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6CC4531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42B4481C" w14:textId="77777777" w:rsidR="001868D9" w:rsidRPr="00103A0B" w:rsidRDefault="001868D9" w:rsidP="005D0A3A">
            <w:pPr>
              <w:tabs>
                <w:tab w:val="left" w:pos="1155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731" w:type="dxa"/>
          </w:tcPr>
          <w:p w14:paraId="193F4133"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2AB51201"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31" w:type="dxa"/>
          </w:tcPr>
          <w:p w14:paraId="7F8066FC"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7BFBBB5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700" w:type="dxa"/>
          </w:tcPr>
          <w:p w14:paraId="034F0B18"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c>
          <w:tcPr>
            <w:tcW w:w="677" w:type="dxa"/>
          </w:tcPr>
          <w:p w14:paraId="0A694F65" w14:textId="77777777" w:rsidR="001868D9" w:rsidRPr="00103A0B" w:rsidRDefault="001868D9" w:rsidP="005D0A3A">
            <w:pPr>
              <w:tabs>
                <w:tab w:val="left" w:pos="11550"/>
              </w:tabs>
              <w:spacing w:line="360" w:lineRule="auto"/>
              <w:jc w:val="both"/>
              <w:rPr>
                <w:rFonts w:ascii="Arial" w:eastAsia="Times New Roman" w:hAnsi="Arial" w:cs="Arial"/>
                <w:lang w:eastAsia="en-GB"/>
              </w:rPr>
            </w:pPr>
          </w:p>
        </w:tc>
      </w:tr>
    </w:tbl>
    <w:p w14:paraId="72B9C200" w14:textId="77777777" w:rsidR="001868D9" w:rsidRPr="00103A0B" w:rsidRDefault="001868D9" w:rsidP="005D0A3A">
      <w:pPr>
        <w:rPr>
          <w:rFonts w:ascii="Arial" w:eastAsia="Times New Roman" w:hAnsi="Arial" w:cs="Arial"/>
          <w:sz w:val="16"/>
          <w:szCs w:val="16"/>
          <w:lang w:eastAsia="en-GB"/>
        </w:rPr>
        <w:sectPr w:rsidR="001868D9" w:rsidRPr="00103A0B" w:rsidSect="00BB2420">
          <w:pgSz w:w="16838" w:h="11906" w:orient="landscape"/>
          <w:pgMar w:top="720" w:right="720" w:bottom="720" w:left="720" w:header="709" w:footer="709" w:gutter="0"/>
          <w:cols w:space="708"/>
          <w:docGrid w:linePitch="360"/>
        </w:sectPr>
      </w:pPr>
      <w:r w:rsidRPr="00103A0B">
        <w:rPr>
          <w:rFonts w:ascii="Arial" w:eastAsia="Times New Roman" w:hAnsi="Arial" w:cs="Arial"/>
          <w:sz w:val="16"/>
          <w:szCs w:val="16"/>
          <w:lang w:eastAsia="en-GB"/>
        </w:rPr>
        <w:t>Key: N/A (-)</w:t>
      </w:r>
    </w:p>
    <w:p w14:paraId="64870468" w14:textId="3923A36C" w:rsidR="00324C56" w:rsidRPr="00103A0B" w:rsidRDefault="00324C56" w:rsidP="005D0A3A">
      <w:pPr>
        <w:tabs>
          <w:tab w:val="left" w:pos="1470"/>
        </w:tabs>
        <w:spacing w:line="360" w:lineRule="auto"/>
        <w:jc w:val="both"/>
        <w:rPr>
          <w:rFonts w:ascii="Arial" w:eastAsia="Times New Roman" w:hAnsi="Arial" w:cs="Arial"/>
          <w:i/>
          <w:iCs/>
          <w:sz w:val="24"/>
          <w:szCs w:val="24"/>
          <w:lang w:eastAsia="en-GB"/>
        </w:rPr>
      </w:pPr>
      <w:r w:rsidRPr="00103A0B">
        <w:rPr>
          <w:rFonts w:ascii="Arial" w:hAnsi="Arial" w:cs="Arial"/>
          <w:i/>
          <w:iCs/>
          <w:sz w:val="24"/>
          <w:szCs w:val="24"/>
        </w:rPr>
        <w:lastRenderedPageBreak/>
        <w:t xml:space="preserve">High </w:t>
      </w:r>
      <w:r w:rsidR="00181EB6" w:rsidRPr="00103A0B">
        <w:rPr>
          <w:rFonts w:ascii="Arial" w:hAnsi="Arial" w:cs="Arial"/>
          <w:i/>
          <w:iCs/>
          <w:sz w:val="24"/>
          <w:szCs w:val="24"/>
        </w:rPr>
        <w:t>R</w:t>
      </w:r>
      <w:r w:rsidRPr="00103A0B">
        <w:rPr>
          <w:rFonts w:ascii="Arial" w:hAnsi="Arial" w:cs="Arial"/>
          <w:i/>
          <w:iCs/>
          <w:sz w:val="24"/>
          <w:szCs w:val="24"/>
        </w:rPr>
        <w:t>etention</w:t>
      </w:r>
    </w:p>
    <w:p w14:paraId="2AC0EEC9" w14:textId="7E6105C5"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For the ten DPPs with highest retention </w:t>
      </w:r>
      <w:r w:rsidRPr="00103A0B">
        <w:rPr>
          <w:rFonts w:ascii="Arial" w:hAnsi="Arial" w:cs="Arial"/>
        </w:rPr>
        <w:fldChar w:fldCharType="begin" w:fldLock="1"/>
      </w:r>
      <w:r w:rsidR="00F064BD" w:rsidRPr="00103A0B">
        <w:rPr>
          <w:rFonts w:ascii="Arial" w:eastAsia="Times New Roman" w:hAnsi="Arial" w:cs="Arial"/>
          <w:sz w:val="24"/>
          <w:szCs w:val="24"/>
          <w:lang w:eastAsia="en-GB"/>
        </w:rPr>
        <w:instrText>ADDIN CSL_CITATION {"citationItems":[{"id":"ITEM-1","itemData":{"DOI":"10.1016/j.puhe.2014.11.001","ISBN":"1476-5616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Health","id":"ITEM-1","issued":{"date-parts":[["2014"]]},"page":"674-77","publisher":"The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trial","type":"article-journal","volume":"128"},"uris":["http://www.mendeley.com/documents/?uuid=1abeaa8a-5178-4243-9733-7fd8d5ef92d5"]},{"id":"ITEM-2","itemData":{"DOI":"10.1111/dme.12848","ISBN":"0742-3071","ISSN":"14645491","PMID":"26179569","abstract":"METHODS: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Medicine","id":"ITEM-2","issue":"4","issued":{"date-parts":[["2015"]]},"page":"547-551","title":"Translation of the diabetes prevention program for diabetes risk reduction in Chinese immigrants in New York city","type":"article-journal","volume":"33"},"uris":["http://www.mendeley.com/documents/?uuid=05391168-7679-4063-baae-26f96e47d08a"]},{"id":"ITEM-3","itemData":{"DOI":"10.1186/1472-6882-14-212","ISBN":"1472-6882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Medicine","id":"ITEM-3","issue":"1","issued":{"date-parts":[["2014"]]},"page":"212","title":"A yoga intervention for type 2 diabetes risk reduction: a pilot randomized controlled trial","type":"article-journal","volume":"14"},"uris":["http://www.mendeley.com/documents/?uuid=934d80fb-c55d-4626-908a-2ca578b57990"]},{"id":"ITEM-4","itemData":{"DOI":"10.1097/JNR.0000000000000193","ISBN":"0000000000000","ISSN":"1948965X","PMID":"28277390","abstract":"BACKGROUND: Practicing a health-promoting lifestyle is believed to be effective for delaying or preventing the onset of diabetes. However, although empowerment interventions have proven effective for encouraging the adoption of a health-promoting lifestyle in people with diabetes, these interventions are rarely promoted to people with prediabetes. PURPOSE: The aims of this study were to develop an empowerment program for people with prediabetes and to examine its efficacy in terms of the adoption of a health-promoting lifestyle and improvements in blood sugar, body mass index, and self-efficacy. METHODS: A randomized controlled trial was conducted between May and December 2013. A convenience sample of people with a fasting blood sugar level of 100-125 mg/dl during the previous 3 months was recruited from the health examination center of a hospital in Kaohsiung, Taiwan. Participants were assigned to either the experimental group or the control group using block randomization with a block size of 8. The experimental group (n = 38) participated in a 4-month empowerment program (the ABC empowerment program), which encouraged participants to practice a health-promoting lifestyle in three phases: awareness raising, behavior building, and results checking. The control group (n = 40) received routine clinical care. Statistical analyses included descriptive statistics, independent t test, paired t test, and generalized estimated equations. RESULTS: After controlling for the differences at baseline and considering the interaction between group and time from baseline to 1 week and 3 months after completing the intervention, the generalized estimating equation showed significantly larger improvements in a health-promoting lifestyle, blood sugar, and self-efficacy in the experimental group than in the control group (p &lt; .01). Furthermore, the experimental group achieved a larger reduction in body mass index than the control group at 3 months after completing the intervention (p = .001). CONCLUSIONS/IMPLICATIONS FOR PRACTICE: The empowerment program was shown to have short-term, positive effects on behavioral, physical, and psychosocial outcomes in a Taiwan population with prediabetes. The results of this study provide a useful reference not only for healthcare personnel when implementing empowerment interventions in people with prediabetes but also for nursing educators and healthcare policymakers.","author":[{"dropping-particle":"","family":"Chen","given":"Mei Fang","non-dropping-particle":"","parse-names":false,"suffix":""},{"dropping-particle":"","family":"Hung","given":"Shu Ling","non-dropping-particle":"","parse-names":false,"suffix":""},{"dropping-particle":"","family":"Chen","given":"Shu Lin","non-dropping-particle":"","parse-names":false,"suffix":""}],"container-title":"Journal of Nursing Research","id":"ITEM-4","issue":"2","issued":{"date-parts":[["2017"]]},"page":"99-111","title":"Empowerment program for people with prediabetes: a randomized controlled trial","type":"article-journal","volume":"25"},"uris":["http://www.mendeley.com/documents/?uuid=84db263a-a050-4be7-82d7-ef051548507b"]},{"id":"ITEM-5","itemData":{"DOI":"10.1097/jnr.0000000000000225","ISSN":"1682-3141","abstract":"Background: Prediabetes mellitus (pre-DM) is an important predictive indicator of Type 2 diabetes. A person with pre-DM is eight times more likely to develop diabetes than a person without pre-DM. Prior research suggests that proactive interventions may delay the progression of this disease and reduce the rate of disease development. Purpose: The purposes of this preliminary study were to develop a multitheory-driven lifestyle intervention protocol for adults with pre-DM and to evaluate its feasibility and impacts on knowledge regarding pre-DM, dietary behaviors, and physical activity (primary outcomes) as well as to describe the disease progression indicators (secondary outcomes). Methods: A single-group, longitudinal study design was used. Thirty-nine participants were included in the analysis. A generalized estimating equation model was used to determine the trends in changes in the outcomes. All of the participants underwent testing at baseline (T0) and at 3 (T1), 6 (T2), and 12 (T3) months after the 4-week lifestyle intervention. Results: There were significantly increasing trends for each study parameter (Pre-DM Knowledge Assessment Form-12, p &lt; .01; Dietary Behavior Scale, p &lt; .01) and significantly positive changes in body weight (p &lt; .01), body mass index (p &lt; .01), fasting glucose level (p &lt; .01), and glycated hemoglobin level (p &lt; .01) over the 12-month study period. Conclusions/Implications for Practice: This study supports the feasibility of the developed multitheory-driven lifestyle intervention protocol and suggests that its application may improve the effectiveness of diabetes prevention programs in clinical settings. Further randomized controlled trials are needed.","author":[{"dropping-particle":"","family":"Tsai","given":"Fu-Mian","non-dropping-particle":"","parse-names":false,"suffix":""},{"dropping-particle":"","family":"Lin","given":"Chiu-Chu","non-dropping-particle":"","parse-names":false,"suffix":""},{"dropping-particle":"","family":"Lin","given":"Huey-Shyan","non-dropping-particle":"","parse-names":false,"suffix":""},{"dropping-particle":"","family":"Liu","given":"Yi","non-dropping-particle":"","parse-names":false,"suffix":""}],"container-title":"Journal of Nursing Research","id":"ITEM-5","issue":"3","issued":{"date-parts":[["2018"]]},"note":"Accession Number: 130037498. Language: English. Entry Date: 20180613. Revision Date: 20180618. Publication Type: Article; protocol; research; tables/charts. Journal Subset: Asia; Core Nursing; Nursing; Peer Reviewed. Instrumentation: Dietary Behavior Scale (DBS); Short Chinese version of the International Physical Activity Questionnaire (IPAQ-SS); Pre-DM Knowledge Assessment Form-12 (Kpre-DM- 12),. Grant Information: Ministry of Science and Technology (NSC 99-2314-B-037-072-MY3). NLM UID: 101128757.","page":"216-225","publisher":"Lippincott Williams &amp; Wilkins","publisher-place":"Lecturer, Department of Nursing, Chung Hwa University of Medical Technology","title":"A preliminary study of the effects of a multitheory-driven intervention in adults with prediabetes mellitus.","type":"article-journal","volume":"26"},"uris":["http://www.mendeley.com/documents/?uuid=7921dfb5-19a6-4219-b142-8d615dab9ad0"]},{"id":"ITEM-6","itemData":{"DOI":"10.1371/journal.pone.0146095","ISBN":"1932-6203","ISSN":"1932-6203","PMID":"26731676","abstract":"In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One","id":"ITEM-6","issue":"1","issued":{"date-parts":[["2016"]]},"page":"e0146095","title":"Long-term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island","type":"article-journal","volume":"11"},"uris":["http://www.mendeley.com/documents/?uuid=e072a9e3-f17a-48e3-98af-f3db4a1c8ee3"]},{"id":"ITEM-7","itemData":{"DOI":"10.1016/j.diabet.2011.01.003","ISBN":"1262-3636","ISSN":"12623636","PMID":"21489843","abstract":"Aim: To compare the effectiveness and cost of two lifestyle-modification programmes in individuals at high risk of developing type 2 diabetes. Methods: Forty-eight men and women with a body mass index ≥27kg/m2and prediabetes were randomly assigned to either a 1-year interdisciplinary intervention including individual counseling every 6weeks and 25 group seminars (group I; n=22) or a group intervention comprising seminars only (group G; n=26). These interventions were compared in terms of weight loss and improvement of anthropometric measures, metabolic variables and costs. Results: Participants in group I lost an average of 4.9. kg (95% CI: -7.3, -2.4; P&lt;0.01) and 5 cm in waist circumference (95% CI: -7.0, -3.0; P&lt;0.01), whereas no significant change was noted in those assigned to group G. Among the participants in group I, 50 and 27% lost at least 5 and 10% of their initial weight, respectively, compared with only 12 and 4%, respectively, in group G. Fasting glucose, 2-hour glucose and lipid profiles improved significantly in group I, and no participant (zero on 22) developed diabetes compared with 11.5% (3/26) in group G. Most participants (nine on 11) with impaired fasting glucose in group I returned to normal. The direct cost of the individual intervention was estimated to be $733.06/year per subject compared with $81.36/year per subject for the group intervention. Conclusion: This study demonstrates that a low-cost, moderate-intensity, individual interdisciplinary approach combined with group seminars leads to clinically significant weight loss and metabolic improvement in people with prediabetes. Group seminars alone were not effective in this population (www.ClinicalTrial.gov, Identifier: NCT00991549). © 2011 Elsevier Masson SAS.","author":[{"dropping-particle":"","family":"Gagnon","given":"C.","non-dropping-particle":"","parse-names":false,"suffix":""},{"dropping-particle":"","family":"Brown","given":"C.","non-dropping-particle":"","parse-names":false,"suffix":""},{"dropping-particle":"","family":"Couture","given":"C.","non-dropping-particle":"","parse-names":false,"suffix":""},{"dropping-particle":"","family":"Kamga-Ngande","given":"C. N.","non-dropping-particle":"","parse-names":false,"suffix":""},{"dropping-particle":"","family":"Hivert","given":"M. F.","non-dropping-particle":"","parse-names":false,"suffix":""},{"dropping-particle":"","family":"Baillargeon","given":"J. P.","non-dropping-particle":"","parse-names":false,"suffix":""},{"dropping-particle":"","family":"Carpentier","given":"A. C.","non-dropping-particle":"","parse-names":false,"suffix":""},{"dropping-particle":"","family":"Langlois","given":"M. F.","non-dropping-particle":"","parse-names":false,"suffix":""}],"container-title":"Diabetes and Metabolism","id":"ITEM-7","issue":"5","issued":{"date-parts":[["2011"]]},"page":"410-418","publisher":"Elsevier Masson SAS","title":"A cost-effective moderate-intensity interdisciplinary weight-management programme for individuals with prediabetes","type":"article-journal","volume":"37"},"uris":["http://www.mendeley.com/documents/?uuid=41ec2ecb-3bf5-4b9a-b2fd-15933532a929"]},{"id":"ITEM-8","itemData":{"DOI":"10.2105/AJPH.2011.300357","ISBN":"1541-0048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Health","id":"ITEM-8","issue":"2","issued":{"date-parts":[["2012"]]},"page":"336-342","title":"Outcomes of a Latino community-based intervention for the prevention of diabetes: the lawrence Latino diabetes prevention project","type":"article-journal","volume":"102"},"uris":["http://www.mendeley.com/documents/?uuid=6b9cb080-dc52-4e71-a5c6-bb5e3c90945b"]},{"id":"ITEM-9","itemData":{"DOI":"10.2337/dc08-2141","ISSN":"01495992","PMID":"19509014","abstract":"OBJECTIVE: To evaluate the efficacy of the group program PREDIAS for diabetes prevention.\\n\\nRESEARCH DESIGN AND METHODS: PREDIAS consists of 12 lessons and aims at lifestyle modification. The control group received written information about diabetes prevention. In this study, a total of 182 persons with an elevated diabetes risk participated (aged 56.3 +/- 10.1 years, 43% female, and BMI 31.5 +/- 5.3 kg/m(2)).\\n\\nRESULTS: After 12 months, weight loss was significantly higher (P = 0.001) in PREDIAS than in the control group (-3.8 +/- 5.2 vs. -1.4 +/- 4.09 kg). There were also significant effects (P = 0.001) on fasting glucose (control group 1.8 +/- 13.1 mg/dl vs. PREDIAS -4.3 +/- 11.3 mg/dl), duration of physical activity per week (control group 17.9 +/- 63.8 min vs. PREDIAS 46.6 +/- 95.5 min; P = 0.03), and eating behavior.\\n\\nCONCLUSIONS: PREDIAS significantly modified lifestyle factors associated with an elevated diabetes risk.","author":[{"dropping-particle":"","family":"Kulzer","given":"Bernhard","non-dropping-particle":"","parse-names":false,"suffix":""},{"dropping-particle":"","family":"Hermanns","given":"Norbert","non-dropping-particle":"","parse-names":false,"suffix":""},{"dropping-particle":"","family":"Gorges","given":"Daniela","non-dropping-particle":"","parse-names":false,"suffix":""},{"dropping-particle":"","family":"Schwarz","given":"Peter","non-dropping-particle":"","parse-names":false,"suffix":""},{"dropping-particle":"","family":"Haak","given":"Thomas","non-dropping-particle":"","parse-names":false,"suffix":""}],"container-title":"Diabetes Care","id":"ITEM-9","issue":"7","issued":{"date-parts":[["2009"]]},"page":"1143-1146","title":"Prevention of diabetes self-management program (PREDIAS): effects on weight, metabolic risk factors, and behavioral outcomes","type":"article-journal","volume":"32"},"uris":["http://www.mendeley.com/documents/?uuid=df2278a0-0ae5-40ab-bc80-f2e143b41d86"]},{"id":"ITEM-10","itemData":{"author":[{"dropping-particle":"","family":"Davis-Smith","given":"Monique","non-dropping-particle":"","parse-names":false,"suffix":""}],"container-title":"Journal of the National Medical Association","id":"ITEM-10","issue":"4","issued":{"date-parts":[["2007"]]},"page":"440-47","title":"Implementing a diabetes prevention program in a rural African-American church","type":"article-journal","volume":"99"},"uris":["http://www.mendeley.com/documents/?uuid=0ddb0a52-0cf9-48e8-a66c-340f5fa47213"]}],"mendeley":{"formattedCitation":"(Bernstein, A.M., Gendy, G., Rudd, N., Doyle, J., Fay, S., Moffett, K., 2014; M. F. Chen et al., 2017; Davis-Smith, 2007; Fianu et al., 2016; Gagnon et al., 2011; Kulzer et al., 2009; McDermott et al., 2014; Ockene et al., 2012; Tsai et al., 2018; Yeh et al., 2015)","manualFormatting":"(Bernstein, Gendy, Rudd, Doyle, Fay, Moffett, 2014; Chen et al., 2017; Davis-Smith, 2007; Fianu et al., 2016; Gagnon et al., 2011; Kulzer et al., 2009; McDermott et al., 2014; Ockene et al., 2012; Tsai et al., 2018; Yeh et al., 2015)","plainTextFormattedCitation":"(Bernstein, A.M., Gendy, G., Rudd, N., Doyle, J., Fay, S., Moffett, K., 2014; M. F. Chen et al., 2017; Davis-Smith, 2007; Fianu et al., 2016; Gagnon et al., 2011; Kulzer et al., 2009; McDermott et al., 2014; Ockene et al., 2012; Tsai et al., 2018; Yeh et al., 2015)","previouslyFormattedCitation":"(Bernstein, A.M., Gendy, G., Rudd, N., Doyle, J., Fay, S., Moffett, K., 2014; M. F. Chen et al., 2017; Davis-Smith, 2007; Fianu et al., 2016; Gagnon et al., 2011; Kulzer et al., 2009; McDermott et al., 2014; Ockene et al., 2012; Tsai et al., 2018; Yeh et al., 2015)"},"properties":{"noteIndex":0},"schema":"https://github.com/citation-style-language/schema/raw/master/csl-citation.json"}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(Bernstein, Gendy, Rudd, Doyle, Fay, Moffett, 2014; Chen et al., 2017; Davis-Smith, 2007; Fianu et al., 2016; Gagnon et al., 2011; Kulzer et al., 2009; McDermott et al., 2014; Ockene et al., 2012; Tsai et al., 2018; Yeh et al., 2015)</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r w:rsidR="00CA237D" w:rsidRPr="00103A0B">
        <w:rPr>
          <w:rFonts w:ascii="Arial" w:eastAsia="Times New Roman" w:hAnsi="Arial" w:cs="Arial"/>
          <w:sz w:val="24"/>
          <w:szCs w:val="24"/>
          <w:lang w:eastAsia="en-GB"/>
        </w:rPr>
        <w:t>Appendix 3: BCTs present in the ten highest and ten lowest retention programmes)</w:t>
      </w:r>
      <w:r w:rsidR="00EA0571" w:rsidRPr="00103A0B">
        <w:rPr>
          <w:rFonts w:ascii="Arial" w:eastAsia="Times New Roman" w:hAnsi="Arial" w:cs="Arial"/>
          <w:sz w:val="24"/>
          <w:szCs w:val="24"/>
          <w:lang w:eastAsia="en-GB"/>
        </w:rPr>
        <w:t>:</w:t>
      </w:r>
    </w:p>
    <w:p w14:paraId="4695692A" w14:textId="77777777" w:rsidR="00324C56"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hAnsi="Arial" w:cs="Arial"/>
          <w:sz w:val="24"/>
          <w:szCs w:val="24"/>
        </w:rPr>
        <w:t>a</w:t>
      </w:r>
      <w:r w:rsidRPr="00103A0B">
        <w:rPr>
          <w:rFonts w:ascii="Arial" w:eastAsia="Times New Roman" w:hAnsi="Arial" w:cs="Arial"/>
          <w:sz w:val="24"/>
          <w:szCs w:val="24"/>
          <w:lang w:eastAsia="en-GB"/>
        </w:rPr>
        <w:t>ll reported using credible source (9.1</w:t>
      </w:r>
      <w:proofErr w:type="gramStart"/>
      <w:r w:rsidRPr="00103A0B">
        <w:rPr>
          <w:rFonts w:ascii="Arial" w:eastAsia="Times New Roman" w:hAnsi="Arial" w:cs="Arial"/>
          <w:sz w:val="24"/>
          <w:szCs w:val="24"/>
          <w:lang w:eastAsia="en-GB"/>
        </w:rPr>
        <w:t>);</w:t>
      </w:r>
      <w:proofErr w:type="gramEnd"/>
      <w:r w:rsidRPr="00103A0B">
        <w:rPr>
          <w:rFonts w:ascii="Arial" w:eastAsia="Times New Roman" w:hAnsi="Arial" w:cs="Arial"/>
          <w:sz w:val="24"/>
          <w:szCs w:val="24"/>
          <w:lang w:eastAsia="en-GB"/>
        </w:rPr>
        <w:t xml:space="preserve"> </w:t>
      </w:r>
    </w:p>
    <w:p w14:paraId="6CF0496C" w14:textId="77777777" w:rsidR="00324C56"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eight instructed participants how to perform a </w:t>
      </w:r>
      <w:proofErr w:type="spellStart"/>
      <w:r w:rsidRPr="00103A0B">
        <w:rPr>
          <w:rFonts w:ascii="Arial" w:eastAsia="Times New Roman" w:hAnsi="Arial" w:cs="Arial"/>
          <w:sz w:val="24"/>
          <w:szCs w:val="24"/>
          <w:lang w:eastAsia="en-GB"/>
        </w:rPr>
        <w:t>behaviour</w:t>
      </w:r>
      <w:proofErr w:type="spellEnd"/>
      <w:r w:rsidRPr="00103A0B">
        <w:rPr>
          <w:rFonts w:ascii="Arial" w:eastAsia="Times New Roman" w:hAnsi="Arial" w:cs="Arial"/>
          <w:sz w:val="24"/>
          <w:szCs w:val="24"/>
          <w:lang w:eastAsia="en-GB"/>
        </w:rPr>
        <w:t xml:space="preserve"> (4.1</w:t>
      </w:r>
      <w:proofErr w:type="gramStart"/>
      <w:r w:rsidRPr="00103A0B">
        <w:rPr>
          <w:rFonts w:ascii="Arial" w:eastAsia="Times New Roman" w:hAnsi="Arial" w:cs="Arial"/>
          <w:sz w:val="24"/>
          <w:szCs w:val="24"/>
          <w:lang w:eastAsia="en-GB"/>
        </w:rPr>
        <w:t>);</w:t>
      </w:r>
      <w:proofErr w:type="gramEnd"/>
    </w:p>
    <w:p w14:paraId="593D93EB" w14:textId="77777777" w:rsidR="00324C56"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six used goal setting (</w:t>
      </w:r>
      <w:proofErr w:type="spellStart"/>
      <w:r w:rsidRPr="00103A0B">
        <w:rPr>
          <w:rFonts w:ascii="Arial" w:eastAsia="Times New Roman" w:hAnsi="Arial" w:cs="Arial"/>
          <w:sz w:val="24"/>
          <w:szCs w:val="24"/>
          <w:lang w:eastAsia="en-GB"/>
        </w:rPr>
        <w:t>behaviour</w:t>
      </w:r>
      <w:proofErr w:type="spellEnd"/>
      <w:r w:rsidRPr="00103A0B">
        <w:rPr>
          <w:rFonts w:ascii="Arial" w:eastAsia="Times New Roman" w:hAnsi="Arial" w:cs="Arial"/>
          <w:sz w:val="24"/>
          <w:szCs w:val="24"/>
          <w:lang w:eastAsia="en-GB"/>
        </w:rPr>
        <w:t>) (1.1</w:t>
      </w:r>
      <w:proofErr w:type="gramStart"/>
      <w:r w:rsidRPr="00103A0B">
        <w:rPr>
          <w:rFonts w:ascii="Arial" w:eastAsia="Times New Roman" w:hAnsi="Arial" w:cs="Arial"/>
          <w:sz w:val="24"/>
          <w:szCs w:val="24"/>
          <w:lang w:eastAsia="en-GB"/>
        </w:rPr>
        <w:t>);</w:t>
      </w:r>
      <w:proofErr w:type="gramEnd"/>
    </w:p>
    <w:p w14:paraId="2A607690" w14:textId="77777777" w:rsidR="00324C56"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five demonstrated the </w:t>
      </w:r>
      <w:proofErr w:type="spellStart"/>
      <w:r w:rsidRPr="00103A0B">
        <w:rPr>
          <w:rFonts w:ascii="Arial" w:eastAsia="Times New Roman" w:hAnsi="Arial" w:cs="Arial"/>
          <w:sz w:val="24"/>
          <w:szCs w:val="24"/>
          <w:lang w:eastAsia="en-GB"/>
        </w:rPr>
        <w:t>behaviour</w:t>
      </w:r>
      <w:proofErr w:type="spellEnd"/>
      <w:r w:rsidRPr="00103A0B">
        <w:rPr>
          <w:rFonts w:ascii="Arial" w:eastAsia="Times New Roman" w:hAnsi="Arial" w:cs="Arial"/>
          <w:sz w:val="24"/>
          <w:szCs w:val="24"/>
          <w:lang w:eastAsia="en-GB"/>
        </w:rPr>
        <w:t xml:space="preserve"> (6.1), used problem-solving (1.2), social support (unspecified) (3.1) </w:t>
      </w:r>
      <w:bookmarkStart w:id="105" w:name="_Hlk18088209"/>
      <w:r w:rsidRPr="00103A0B">
        <w:rPr>
          <w:rFonts w:ascii="Arial" w:eastAsia="Times New Roman" w:hAnsi="Arial" w:cs="Arial"/>
          <w:sz w:val="24"/>
          <w:szCs w:val="24"/>
          <w:lang w:eastAsia="en-GB"/>
        </w:rPr>
        <w:t xml:space="preserve">or an incentive for </w:t>
      </w:r>
      <w:proofErr w:type="gramStart"/>
      <w:r w:rsidRPr="00103A0B">
        <w:rPr>
          <w:rFonts w:ascii="Arial" w:eastAsia="Times New Roman" w:hAnsi="Arial" w:cs="Arial"/>
          <w:sz w:val="24"/>
          <w:szCs w:val="24"/>
          <w:lang w:eastAsia="en-GB"/>
        </w:rPr>
        <w:t>participation</w:t>
      </w:r>
      <w:bookmarkEnd w:id="105"/>
      <w:r w:rsidRPr="00103A0B">
        <w:rPr>
          <w:rFonts w:ascii="Arial" w:eastAsia="Times New Roman" w:hAnsi="Arial" w:cs="Arial"/>
          <w:sz w:val="24"/>
          <w:szCs w:val="24"/>
          <w:lang w:eastAsia="en-GB"/>
        </w:rPr>
        <w:t>;</w:t>
      </w:r>
      <w:proofErr w:type="gramEnd"/>
    </w:p>
    <w:p w14:paraId="51B14422" w14:textId="77777777" w:rsidR="00324C56"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four used techniques to reduce negative emotions (11.2), used </w:t>
      </w:r>
      <w:proofErr w:type="spellStart"/>
      <w:r w:rsidRPr="00103A0B">
        <w:rPr>
          <w:rFonts w:ascii="Arial" w:eastAsia="Times New Roman" w:hAnsi="Arial" w:cs="Arial"/>
          <w:sz w:val="24"/>
          <w:szCs w:val="24"/>
          <w:lang w:eastAsia="en-GB"/>
        </w:rPr>
        <w:t>behavioural</w:t>
      </w:r>
      <w:proofErr w:type="spellEnd"/>
      <w:r w:rsidRPr="00103A0B">
        <w:rPr>
          <w:rFonts w:ascii="Arial" w:eastAsia="Times New Roman" w:hAnsi="Arial" w:cs="Arial"/>
          <w:sz w:val="24"/>
          <w:szCs w:val="24"/>
          <w:lang w:eastAsia="en-GB"/>
        </w:rPr>
        <w:t xml:space="preserve"> practice/rehearsal (8.1) or goal setting (outcome) (1.3).</w:t>
      </w:r>
    </w:p>
    <w:p w14:paraId="5BECE031" w14:textId="6878CAE8" w:rsidR="00324C56" w:rsidRPr="00103A0B" w:rsidRDefault="00324C56" w:rsidP="005D0A3A">
      <w:pPr>
        <w:tabs>
          <w:tab w:val="left" w:pos="1470"/>
        </w:tabs>
        <w:spacing w:line="360" w:lineRule="auto"/>
        <w:jc w:val="both"/>
        <w:rPr>
          <w:rFonts w:ascii="Arial" w:hAnsi="Arial" w:cs="Arial"/>
          <w:i/>
          <w:iCs/>
          <w:sz w:val="24"/>
          <w:szCs w:val="24"/>
        </w:rPr>
      </w:pPr>
      <w:r w:rsidRPr="00103A0B">
        <w:rPr>
          <w:rFonts w:ascii="Arial" w:hAnsi="Arial" w:cs="Arial"/>
          <w:i/>
          <w:iCs/>
          <w:sz w:val="24"/>
          <w:szCs w:val="24"/>
        </w:rPr>
        <w:t xml:space="preserve">Low </w:t>
      </w:r>
      <w:r w:rsidR="00484A3C" w:rsidRPr="00103A0B">
        <w:rPr>
          <w:rFonts w:ascii="Arial" w:hAnsi="Arial" w:cs="Arial"/>
          <w:i/>
          <w:iCs/>
          <w:sz w:val="24"/>
          <w:szCs w:val="24"/>
        </w:rPr>
        <w:t>Retention</w:t>
      </w:r>
    </w:p>
    <w:p w14:paraId="2961AAAB" w14:textId="678DCD6B" w:rsidR="00324C56" w:rsidRPr="00103A0B" w:rsidRDefault="00324C56" w:rsidP="005D0A3A">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For the ten DPPs with lowest retention </w:t>
      </w:r>
      <w:r w:rsidRPr="00103A0B">
        <w:rPr>
          <w:rFonts w:ascii="Arial" w:hAnsi="Arial" w:cs="Arial"/>
        </w:rPr>
        <w:fldChar w:fldCharType="begin" w:fldLock="1"/>
      </w:r>
      <w:r w:rsidR="007C3391" w:rsidRPr="00103A0B">
        <w:rPr>
          <w:rFonts w:ascii="Arial" w:eastAsia="Times New Roman" w:hAnsi="Arial" w:cs="Arial"/>
          <w:sz w:val="24"/>
          <w:szCs w:val="24"/>
          <w:lang w:eastAsia="en-GB"/>
        </w:rPr>
        <w:instrText>ADDIN CSL_CITATION {"citationItems":[{"id":"ITEM-1","itemData":{"DOI":"10.1177/0145721714521020","ISBN":"0145-7217","ISSN":"15546063","PMID":"24510942","abstract":"Purpose: This article reports the results of a community-based, culturally tailored diabetes prevention program for overweight Mexican American adults on weight loss, waist circumference, diet and physical activity self-efficacy, and diet behaviors., Methods: The intervention used content from the Diabetes Prevention Program but culturally tailored the delivery methods into a community-based program for Spanishspeaking adults of Mexican descent. The design was a randomized controlled trial (N = 58) comparing the effects of a 5-month educational intervention with an attention control group. The primary study outcome was weight loss. Secondary outcomes included change in waist circumference, body mass index, diet self-efficacy, and physical activity self-efficacy., Results: There were significant intervention effects for weight, waist circumference, body mass index, and diet selfefficacy, with the intervention group doing better than the control group. These effects did not change over time., Conclusions: Findings support the conclusion that a community-based, culturally tailored intervention is effective in reducing diabetes risk factors in a 5-month program., (C) 2014 Sage Publishing","author":[{"dropping-particle":"","family":"Vincent","given":"Deborah","non-dropping-particle":"","parse-names":false,"suffix":""},{"dropping-particle":"","family":"McEwen","given":"Marylyn M.","non-dropping-particle":"","parse-names":false,"suffix":""},{"dropping-particle":"","family":"Hepworth","given":"Joseph T.","non-dropping-particle":"","parse-names":false,"suffix":""},{"dropping-particle":"","family":"Stump","given":"Craig S.","non-dropping-particle":"","parse-names":false,"suffix":""}],"container-title":"The Diabetes Educator","id":"ITEM-1","issue":"2","issued":{"date-parts":[["2014"]]},"page":"202-213","title":"The effects of a community-based, culturally tailored diabetes prevention intervention for high-risk adults of Mexican descent","type":"article-journal","volume":"40"},"uris":["http://www.mendeley.com/documents/?uuid=45a67a3a-a21d-4e1b-b15e-e4fcd00a23e0"]},{"id":"ITEM-2","itemData":{"DOI":"10.1093/tbm/ibx064","ISSN":"1613-9860","abstract":"The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Medicine","id":"ITEM-2","issue":"2","issued":{"date-parts":[["2018"]]},"note":"Accession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illness.","type":"article-journal","volume":"8"},"uris":["http://www.mendeley.com/documents/?uuid=25ddcc05-70f1-4333-9e99-b9d202b84d0d"]},{"id":"ITEM-3","itemData":{"DOI":"10.1016/j.amepre.2016.11.009","ISBN":"0749-3797 1873-2607","ISSN":"18732607","PMID":"28094135","abstract":"Introduction This clinical demonstration trial compared the effectiveness of the Veterans Affairs Diabetes Prevention Program (VA-DPP) with an evidence-based usual care weight management program (MOVE!®) in the Veterans Health Administration health system. Design Prospective, pragmatic, non-randomized comparative effectiveness study of two behavioral weight management interventions. Setting/participants Obese/overweight Veterans with prediabetes were recruited from three geographically diverse VA sites between 2012 and 2014. Intervention VA-DPP included 22 group-based intensive lifestyle change sessions. Main outcome measures Weight change at 6 and 12 months, hemoglobin A1c (HbA1c) at 12 months, and VA health expenditure changes at 15 months were assessed using VA electronic health record and claims data. Between- and within-group comparisons for weight and HbA1c were done using linear mixed-effects models controlling for age, gender, race/ethnicity, baseline outcome values, and site. Analyses were conducted in 2015–2016. Results A total of 387 participants enrolled (273 VA-DPP, 114 MOVE!). More VA-DPP participants completed at least one (73.3% VA-DPP vs 57.5% MOVE! p=0.002); four (57.5% VA-DPP vs 42.5% MOVE!, p=0.007); and eight or more sessions (42.5% VA-DPP vs 31% MOVE!, p=0.035). Weight loss from baseline was significant at both 6 (p&lt;0.001) and 12 months (p&lt;0.001) for VA-DPP participants, but only significant at 6 months for MOVE! participants (p=0.004). Between groups, there were significant differences in 6-month weight loss (–4.1 kg VA-DPP vs –1.9 kg MOVE!, p&lt;0.001), but not 12-month weight loss (–3.4 kg VA-DPP vs –2.0 kg MOVE!, p=0.16). There were no significant differences in HbA1c change or outpatient, inpatient, and total VA expenditures. Conclusions VA-DPP participants had higher participation rates and weight loss at 6 months, but similar weight, HbA1c, and health expenditures at 12 months compared to MOVE! participants. Features of VA-DPP may help enhance the capability of MOVE! to reach a larger proportion of the served population and promote individual-level weight maintenance.","author":[{"dropping-particle":"","family":"Moin","given":"Tannaz","non-dropping-particle":"","parse-names":false,"suffix":""},{"dropping-particle":"","family":"Damschroder","given":"Laura J.","non-dropping-particle":"","parse-names":false,"suffix":""},{"dropping-particle":"","family":"AuYoung","given":"Mona","non-dropping-particle":"","parse-names":false,"suffix":""},{"dropping-particle":"","family":"Maciejewski","given":"Matthew L.","non-dropping-particle":"","parse-names":false,"suffix":""},{"dropping-particle":"","family":"Datta","given":"Santanu K.","non-dropping-particle":"","parse-names":false,"suffix":""},{"dropping-particle":"","family":"Weinreb","given":"Jane E.","non-dropping-particle":"","parse-names":false,"suffix":""},{"dropping-particle":"","family":"Steinle","given":"Nanette I.","non-dropping-particle":"","parse-names":false,"suffix":""},{"dropping-particle":"","family":"Billington","given":"Charles","non-dropping-particle":"","parse-names":false,"suffix":""},{"dropping-particle":"","family":"Hughes","given":"Maria","non-dropping-particle":"","parse-names":false,"suffix":""},{"dropping-particle":"","family":"Makki","given":"Fatima","non-dropping-particle":"","parse-names":false,"suffix":""},{"dropping-particle":"","family":"Holleman","given":"Robert G.","non-dropping-particle":"","parse-names":false,"suffix":""},{"dropping-particle":"","family":"Kim","given":"H. Myra","non-dropping-particle":"","parse-names":false,"suffix":""},{"dropping-particle":"","family":"Jeffreys","given":"Amy S.","non-dropping-particle":"","parse-names":false,"suffix":""},{"dropping-particle":"","family":"Kinsinger","given":"Linda S.","non-dropping-particle":"","parse-names":false,"suffix":""},{"dropping-particle":"","family":"Burns","given":"Jennifer A.","non-dropping-particle":"","parse-names":false,"suffix":""},{"dropping-particle":"","family":"Richardson","given":"Caroline R.","non-dropping-particle":"","parse-names":false,"suffix":""}],"container-title":"American Journal of Preventive Medicine","id":"ITEM-3","issue":"1","issued":{"date-parts":[["2017"]]},"page":"70-77","publisher":"Elsevier Inc.","title":"Diabetes prevention program translation in the veterans health administration","type":"article-journal","volume":"53"},"uris":["http://www.mendeley.com/documents/?uuid=c50de4a3-0ca0-411d-8a86-7e096e4ae38f"]},{"id":"ITEM-4","itemData":{"DOI":"10.1186/s12889-017-4977-1","ISSN":"1471-2458","abstract":"Background: Real life implementation studies performed in different settings have proved that lifestyle interventions in the prevention of type 2 diabetes (DM2) can be effective, although the weight reduction results are typically modest compared to randomized control trials. Our objective was to identify the factors that predict successful weight loss in a less intensive, lower budget, real life setting lifestyle diabetes prevention intervention.Methods: Study participants (n = 175) with increased DM2 risk (Finnish Diabetes Risk Score (FINDRISC) &gt; 14) but no diabetes at baseline received ten group lifestyle counselling sessions, physical activity and motivation sessions during a ten-month intervention. Stepwise regression analysis was used to determine demographic, clinical, and lifestyle predictors of successful weight reduction defined as a reduction of ≥5% of the initial body weight.Results: At 12 months following the initiation of the intervention, 23.4% of study participants lost ≥5% weight (mean loss of 7.9 kg, SD = 5.8). Increased physical activity (44% vs 25%, p = 0.03), decreased total fat consumption (88% vs 65%, p = 0.006) and adherence to four-five lifestyle goals (71% vs 46%, p = 0.007) were more often reported among those who managed to lose ≥5% weight versus those who did not. In a multivariate analysis, meeting the ≥5% weight loss goal was most effective in individuals with a higher baseline BMI (OR 1.1, 95%CI 1.0-1.2), baseline and medium versus higher education (OR 5.4, 95% CI 1.2-24.7) and a history of increased glucose (OR 2.6, 95%CI 1.1-1.3). A reduction of total fat in the diet was an independent lifestyle predictor, increasing the probability of successful weight loss by 3.8 times (OR 3.8, 95% CI 1.2-11.4).Conclusion: Baseline higher BMI, lower education and a history of increased glucose predicted the successful weight loss among individuals with a high risk for the DM2 following lifestyle intervention in a real life primary health care setting. People who manage to lose weight more often adhere to lifestyle changes, while the reduction of total fat in diet independently predicts successful weight loss. Further studies exploring the predictors of success in implementation studies in DM2 prevention should help health care providers redesign interventions to improve their effectiveness and outcomes.Trial Registration: ISRCTN, ID ISRCTN96692060 , registered 03.08.2016 retrospectively.","author":[{"dropping-particle":"","family":"Gilis-Januszewska","given":"Aleksandra","non-dropping-particle":"","parse-names":false,"suffix":""},{"dropping-particle":"","family":"Piwońska-Solska","given":"Beata","non-dropping-particle":"","parse-names":false,"suffix":""},{"dropping-particle":"","family":"Lindström","given":"Jaana","non-dropping-particle":"","parse-names":false,"suffix":""},{"dropping-particle":"","family":"Wójtowicz","given":"Ewa","non-dropping-particle":"","parse-names":false,"suffix":""},{"dropping-particle":"","family":"Tuomilehto","given":"Jaakko","non-dropping-particle":"","parse-names":false,"suffix":""},{"dropping-particle":"","family":"Schwarz","given":"Peter E H","non-dropping-particle":"","parse-names":false,"suffix":""},{"dropping-particle":"","family":"Kissimova-Skarbek","given":"Katarzyn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BMC Public Health","id":"ITEM-4","issue":"97","issued":{"date-parts":[["2018"]]},"note":"Accession Number: 127104085. Language: English. Entry Date: 20180724. Revision Date: 20181121. Publication Type: journal article; research; tables/charts. Journal Subset: Biomedical; Europe; Public Health; UK &amp;amp; Ireland. Instrumentation: Finnish Diabetes risk score (Findrisc). Grant Information: grant agreement no. 2004310//Fourth Framework Programme/International. NLM UID: 100968562.","page":"1-9","publisher":"BioMed Central","publisher-place":"Department of Endocrinology, Jagiellonian University, Medical College, ul. Kopernika 17, 31-501, Krakow, Poland","title":"Determinants of weight outcomes in type 2 diabetes prevention intervention in primary health care setting (the DE-PLAN project).","type":"article-journal","volume":"18"},"uris":["http://www.mendeley.com/documents/?uuid=b3aa252e-2de7-4e59-bd02-07d1564e1b32"]},{"id":"ITEM-5","itemData":{"author":[{"dropping-particle":"","family":"Alva","given":"M.L.","non-dropping-particle":"","parse-names":false,"suffix":""}],"container-title":"American Journal of Health Promotion","id":"ITEM-5","issue":"7","issued":{"date-parts":[["2019"]]},"page":"1067-72","title":"How much does attendance impact weight loss and health care spending in a diabetes prevention program serving older adults?","type":"article-journal","volume":"33"},"uris":["http://www.mendeley.com/documents/?uuid=f1207552-91e1-416b-bc68-b0587dd06592"]},{"id":"ITEM-6","itemData":{"ISBN":"00900036","ISSN":"00900036","PMID":"52016494","abstract":"Objectives.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Health","id":"ITEM-6","issued":{"date-parts":[["2010"]]},"page":"232-39","title":"Results of a pilot diabetes prevention intervention in East Harlem, New York city: project HEED","type":"article-journal","volume":"100"},"uris":["http://www.mendeley.com/documents/?uuid=6ca00620-5eb7-44be-86f5-e0fe0414de89"]},{"id":"ITEM-7","itemData":{"DOI":"10.1186/1471-2458-11-40","ISBN":"1471-2458 (Electronic)\\n1471-2458 (Linking)","ISSN":"1471-2458","PMID":"21235825","abstract":"BACKGROUND: A randomized control trial was performed to test whether a lifestyle intervention program, carried out in a primary healthcare setting using existing resources, can reduce the incidence of type 2 diabetes in Japanese with impaired glucose tolerance (IGT). The results of 3 years' intervention are summarized. METHODS: Through health checkups in communities and workplaces, 304 middle-aged IGT subjects with a mean body mass index (BMI) of 24.5 kg/m2 were recruited and randomized to the intervention group or control group. The lifestyle intervention was carried out for 3 years by public health nurses using the curriculum and educational materials provided by the study group. RESULTS: After 1 year, the intervention had significantly improved body weight (-1.5 Â± 0.7 vs. -0.7 Â± 2.5 kg in the control; p = 0.023) and daily non-exercise leisure time energy expenditure (25 Â± 113 vs. -3 Â± 98 kcal; p = 0.045). Insulin sensitivity assessed by the Matsuda index was improved by the intervention during the 3 years. The 3-year cumulative incidence tended to be lower in the intervention group (14.8% vs.8.2%, log-rank test: p = 0.097). In a sub-analysis for the subjects with a BMI &gt; 22.5 kg/m2, a significant reduction in the cumulative incidence was found (p = 0.027). CONCLUSIONS: The present lifestyle intervention program using existing healthcare resources is beneficial in preventing diabetes in Japanese with IGT. This has important implications for primary healthcare-based diabetes prevention. TRIAL REGISTRATION NUMBER: UMIN000003136.","author":[{"dropping-particle":"","family":"Sakane","given":"Naoki","non-dropping-particle":"","parse-names":false,"suffix":""},{"dropping-particle":"","family":"Sato","given":"J","non-dropping-particle":"","parse-names":false,"suffix":""},{"dropping-particle":"","family":"Tsushita","given":"Kazuyo","non-dropping-particle":"","parse-names":false,"suffix":""},{"dropping-particle":"","family":"Tsujii","given":"Satoru","non-dropping-particle":"","parse-names":false,"suffix":""},{"dropping-particle":"","family":"Kotani","given":"Kazuhiko","non-dropping-particle":"","parse-names":false,"suffix":""},{"dropping-particle":"","family":"Tsuzaki","given":"Kokoro","non-dropping-particle":"","parse-names":false,"suffix":""},{"dropping-particle":"","family":"Tominaga","given":"Makoto","non-dropping-particle":"","parse-names":false,"suffix":""},{"dropping-particle":"","family":"Kawazu","given":"Shoji","non-dropping-particle":"","parse-names":false,"suffix":""},{"dropping-particle":"","family":"Sato","given":"Yuzo","non-dropping-particle":"","parse-names":false,"suffix":""},{"dropping-particle":"","family":"Usui","given":"Takeshi","non-dropping-particle":"","parse-names":false,"suffix":""},{"dropping-particle":"","family":"Kamae","given":"I","non-dropping-particle":"","parse-names":false,"suffix":""},{"dropping-particle":"","family":"Yoshida","given":"T","non-dropping-particle":"","parse-names":false,"suffix":""},{"dropping-particle":"","family":"Kiyohara","given":"Y","non-dropping-particle":"","parse-names":false,"suffix":""},{"dropping-particle":"","family":"Sato","given":"S","non-dropping-particle":"","parse-names":false,"suffix":""},{"dropping-particle":"","family":"Kuzuya","given":"H","non-dropping-particle":"","parse-names":false,"suffix":""}],"container-title":"BMC public health","id":"ITEM-7","issue":"1","issued":{"date-parts":[["2011"]]},"page":"40","title":"Prevention of type 2 diabetes in a primary healthcare setting: three-year results of lifestyle intervention in Japanese subjects with impaired glucose tolerance","type":"article-journal","volume":"11"},"uris":["http://www.mendeley.com/documents/?uuid=19b949f0-5835-408a-87b0-6bbcfceadb30"]},{"id":"ITEM-8","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Care","id":"ITEM-8","issue":"7","issued":{"date-parts":[["2013"]]},"page":"2027-2034","title":"Translating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project","type":"article-journal","volume":"36"},"uris":["http://www.mendeley.com/documents/?uuid=6fb8d6ab-39ae-48b6-b78a-5dcf85b9cf0a"]},{"id":"ITEM-9","itemData":{"DOI":"10.1016/j.ypmed.2015.12.012","ISBN":"0091-7435","ISSN":"10960260","PMID":"26740346","abstract":"Objectives: Prevention of type 2 diabetes (T2DM) is a priority in healthcare, but there is a lack of evidence investigating how to effectively translate prevention research into a UK primary care setting. We assessed whether a structured education programme targeting lifestyle and behaviour change was effective at preventing progression to T2DM in people with pre-diabetes. Materials and methods: Forty-four general practices were randomised to receive either standard care or a 6. hour group structured education programme with an annual refresher course, and regular phone contact. Participants were followed up for 3. years. The primary outcome was progression to T2DM. Results: Eight hundred and eighty participants were included (36% female, mean age 64. years, 16% ethnic minority group); 131 participants developed T2DM. There was a non-significant 26% reduced risk of developing T2DM in the intervention arm compared to standard care (HR 0.74, 95% CI 0.48, 1.14, p= 0.18). The reduction in T2DM risk when excluding those who did not attend the initial education session was also non-significant (HR 0.65, 0.41, 1.03, p= 0.07). There were statistically significant improvements in HbA1c (- 0.06, - 0.11, - 0.01), LDL cholesterol (- 0.08, - 0.15, - 0.01), sedentary time (- 26.29, - 45.26, - 7.32) and step count (498.15, 162.10, 834.20) when data were analysed across all time points. Conclusions: This study suggests that a relatively low resource, pragmatic diabetes prevention programme resulted in modest benefits to biomedical, lifestyle and psychosocial outcomes, however the reduction to the risk of T2DM did not reach significance. The findings have important implications for future research and primary care.","author":[{"dropping-particle":"","family":"Davies","given":"Melanie J.","non-dropping-particle":"","parse-names":false,"suffix":""},{"dropping-particle":"","family":"Gray","given":"Laura J.","non-dropping-particle":"","parse-names":false,"suffix":""},{"dropping-particle":"","family":"Troughton","given":"Jacqui","non-dropping-particle":"","parse-names":false,"suffix":""},{"dropping-particle":"","family":"Gray","given":"Alastair","non-dropping-particle":"","parse-names":false,"suffix":""},{"dropping-particle":"","family":"Tuomilehto","given":"Jaakko","non-dropping-particle":"","parse-names":false,"suffix":""},{"dropping-particle":"","family":"Farooqi","given":"Azhar","non-dropping-particle":"","parse-names":false,"suffix":""},{"dropping-particle":"","family":"Khunti","given":"Kamlesh","non-dropping-particle":"","parse-names":false,"suffix":""},{"dropping-particle":"","family":"Yates","given":"Thomas","non-dropping-particle":"","parse-names":false,"suffix":""},{"dropping-particle":"","family":"Bancroft","given":"Mary","non-dropping-particle":"","parse-names":false,"suffix":""},{"dropping-particle":"","family":"Ahrabian","given":"Dariush","non-dropping-particle":"","parse-names":false,"suffix":""},{"dropping-particle":"","family":"Cowling","given":"Pauline","non-dropping-particle":"","parse-names":false,"suffix":""},{"dropping-particle":"","family":"Greaves","given":"Colin","non-dropping-particle":"","parse-names":false,"suffix":""},{"dropping-particle":"","family":"Sheppard","given":"David","non-dropping-particle":"","parse-names":false,"suffix":""},{"dropping-particle":"","family":"Leal","given":"Jose","non-dropping-particle":"","parse-names":false,"suffix":""},{"dropping-particle":"","family":"Abrams","given":"Keith","non-dropping-particle":"","parse-names":false,"suffix":""},{"dropping-particle":"","family":"Bodicoat","given":"Danielle","non-dropping-particle":"","parse-names":false,"suffix":""},{"dropping-particle":"","family":"Carter","given":"Patrice","non-dropping-particle":"","parse-names":false,"suffix":""},{"dropping-particle":"","family":"Dunkley","given":"Alison","non-dropping-particle":"","parse-names":false,"suffix":""},{"dropping-particle":"","family":"Patel","given":"Naina","non-dropping-particle":"","parse-names":false,"suffix":""},{"dropping-particle":"","family":"Russell","given":"Clare","non-dropping-particle":"","parse-names":false,"suffix":""},{"dropping-particle":"","family":"Horne","given":"Rosie","non-dropping-particle":"","parse-names":false,"suffix":""},{"dropping-particle":"","family":"Spong","given":"Rebecca","non-dropping-particle":"","parse-names":false,"suffix":""},{"dropping-particle":"","family":"Stone","given":"Margaret","non-dropping-particle":"","parse-names":false,"suffix":""},{"dropping-particle":"","family":"Taub","given":"Nick","non-dropping-particle":"","parse-names":false,"suffix":""},{"dropping-particle":"","family":"Webb","given":"David","non-dropping-particle":"","parse-names":false,"suffix":""},{"dropping-particle":"","family":"Amin","given":"Sayjal","non-dropping-particle":"","parse-names":false,"suffix":""},{"dropping-particle":"","family":"Barnett","given":"Janette","non-dropping-particle":"","parse-names":false,"suffix":""},{"dropping-particle":"","family":"Berkeley","given":"Hannah","non-dropping-particle":"","parse-names":false,"suffix":""},{"dropping-particle":"","family":"Bonar","given":"Michael","non-dropping-particle":"","parse-names":false,"suffix":""},{"dropping-particle":"","family":"Boyles","given":"Louise","non-dropping-particle":"","parse-names":false,"suffix":""},{"dropping-particle":"","family":"Bray","given":"Paul","non-dropping-particle":"","parse-names":false,"suffix":""},{"dropping-particle":"","family":"Cairns","given":"Nichola","non-dropping-particle":"","parse-names":false,"suffix":""},{"dropping-particle":"","family":"Campbell","given":"Sandra","non-dropping-particle":"","parse-names":false,"suffix":""},{"dropping-particle":"","family":"Carey","given":"Marian","non-dropping-particle":"","parse-names":false,"suffix":""},{"dropping-particle":"","family":"Chatterjee","given":"Sudesna","non-dropping-particle":"","parse-names":false,"suffix":""},{"dropping-particle":"","family":"Currie","given":"Carolyn","non-dropping-particle":"","parse-names":false,"suffix":""},{"dropping-particle":"","family":"Daly","given":"Heather","non-dropping-particle":"","parse-names":false,"suffix":""},{"dropping-particle":"","family":"Enright","given":"Sue","non-dropping-particle":"","parse-names":false,"suffix":""},{"dropping-particle":"","family":"Goldby","given":"Stephanie","non-dropping-particle":"","parse-names":false,"suffix":""},{"dropping-particle":"","family":"Gray","given":"Geri","non-dropping-particle":"","parse-names":false,"suffix":""},{"dropping-particle":"","family":"Henson","given":"Joe","non-dropping-particle":"","parse-names":false,"suffix":""},{"dropping-particle":"","family":"Hiles","given":"Stephen","non-dropping-particle":"","parse-names":false,"suffix":""},{"dropping-particle":"","family":"Hill","given":"Sian","non-dropping-particle":"","parse-names":false,"suffix":""},{"dropping-particle":"","family":"Hill","given":"Jayne","non-dropping-particle":"","parse-names":false,"suffix":""},{"dropping-particle":"","family":"Holdsworth","given":"Hannah","non-dropping-particle":"","parse-names":false,"suffix":""},{"dropping-particle":"","family":"Htike","given":"Zin Zin","non-dropping-particle":"","parse-names":false,"suffix":""},{"dropping-particle":"","family":"Jamal","given":"Shenaz","non-dropping-particle":"","parse-names":false,"suffix":""},{"dropping-particle":"","family":"Jarvis","given":"Janet","non-dropping-particle":"","parse-names":false,"suffix":""},{"dropping-particle":"","family":"Johnson","given":"Carolyn","non-dropping-particle":"","parse-names":false,"suffix":""},{"dropping-particle":"","family":"Jones","given":"Janet","non-dropping-particle":"","parse-names":false,"suffix":""},{"dropping-particle":"","family":"Jones","given":"Kenneth","non-dropping-particle":"","parse-names":false,"suffix":""},{"dropping-particle":"","family":"Khan","given":"Sabera","non-dropping-particle":"","parse-names":false,"suffix":""},{"dropping-particle":"","family":"Khulpateea","given":"Anita","non-dropping-particle":"","parse-names":false,"suffix":""},{"dropping-particle":"","family":"Leonard","given":"Judith","non-dropping-particle":"","parse-names":false,"suffix":""},{"dropping-particle":"","family":"Mani","given":"Hamidreza","non-dropping-particle":"","parse-names":false,"suffix":""},{"dropping-particle":"","family":"Martin-Stacey","given":"Lorraine","non-dropping-particle":"","parse-names":false,"suffix":""},{"dropping-particle":"","family":"Morgan","given":"Val","non-dropping-particle":"","parse-names":false,"suffix":""},{"dropping-particle":"","family":"Morris","given":"Frances","non-dropping-particle":"","parse-names":false,"suffix":""},{"dropping-particle":"","family":"Mostafa","given":"Samiul","non-dropping-particle":"","parse-names":false,"suffix":""},{"dropping-particle":"","family":"Northern","given":"Alison","non-dropping-particle":"","parse-names":false,"suffix":""},{"dropping-particle":"","family":"O'Brien","given":"Kayleigh","non-dropping-particle":"","parse-names":false,"suffix":""},{"dropping-particle":"","family":"Patel","given":"Hersha","non-dropping-particle":"","parse-names":false,"suffix":""},{"dropping-particle":"","family":"Plummer","given":"Rachel","non-dropping-particle":"","parse-names":false,"suffix":""},{"dropping-particle":"","family":"Porter","given":"Sheila","non-dropping-particle":"","parse-names":false,"suffix":""},{"dropping-particle":"","family":"Radia","given":"Mo","non-dropping-particle":"","parse-names":false,"suffix":""},{"dropping-particle":"","family":"Realf","given":"Kathryn","non-dropping-particle":"","parse-names":false,"suffix":""},{"dropping-particle":"","family":"Richmond","given":"Dean","non-dropping-particle":"","parse-names":false,"suffix":""},{"dropping-particle":"","family":"Saker","given":"Rebecca","non-dropping-particle":"","parse-names":false,"suffix":""},{"dropping-particle":"","family":"Sennet","given":"Jane","non-dropping-particle":"","parse-names":false,"suffix":""},{"dropping-particle":"","family":"Stribling","given":"Bernie","non-dropping-particle":"","parse-names":false,"suffix":""},{"dropping-particle":"","family":"Wilmott","given":"Emma","non-dropping-particle":"","parse-names":false,"suffix":""},{"dropping-particle":"","family":"Wilson","given":"Carolina","non-dropping-particle":"","parse-names":false,"suffix":""},{"dropping-particle":"","family":"Wilson","given":"Panna","non-dropping-particle":"","parse-names":false,"suffix":""}],"container-title":"Preventive Medicine","id":"ITEM-9","issued":{"date-parts":[["2016"]]},"page":"48-56","publisher":"Elsevier Inc.","title":"A community based primary prevention programme for type 2 diabetes integrating identification and lifestyle intervention for prevention: the let's prevent diabetes cluster randomised controlled trial","type":"article-journal","volume":"84"},"uris":["http://www.mendeley.com/documents/?uuid=98ec8943-e639-4c92-bc3b-a80a3889c377"]},{"id":"ITEM-10","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Medicine","id":"ITEM-10","issue":"4","issued":{"date-parts":[["2010"]]},"page":"459-465","title":"Implementation and effectiveness of the first community lifestyle intervention programme to prevent type 2 diabetes in Greece. The DE-PLAN study","type":"article-journal","volume":"27"},"uris":["http://www.mendeley.com/documents/?uuid=8fa5f81f-3e37-4e03-be5f-801dcd969a98"]}],"mendeley":{"formattedCitation":"(Alva, 2019b; Davies et al., 2016; Gilis-Januszewska, Piwońska-Solska, et al., 2018; Jiang et al., 2013; Makrilakis et al., 2010; Moin et al., 2017; Parikh et al., 2010; Quiñones et al., 2018; Sakane et al., 2011; Vincent et al., 2014)","manualFormatting":"(Alva, 2019; Davies et al., 2016; Gilis-Januszewska, Piwońska-Solska, et al., 2018; Jiang et al., 2013; Makrilakis et al., 2010; Moin et al., 2017; Parikh et al., 2010; Quiñones et al., 2018; Sakane et al., 2011; Vincent et al., 2014b)","plainTextFormattedCitation":"(Alva, 2019b; Davies et al., 2016; Gilis-Januszewska, Piwońska-Solska, et al., 2018; Jiang et al., 2013; Makrilakis et al., 2010; Moin et al., 2017; Parikh et al., 2010; Quiñones et al., 2018; Sakane et al., 2011; Vincent et al., 2014)","previouslyFormattedCitation":"(Alva, 2019b; Davies et al., 2016; Gilis-Januszewska, Piwońska-Solska, et al., 2018; Jiang et al., 2013; Makrilakis et al., 2010; Moin et al., 2017; Parikh et al., 2010; Quiñones et al., 2018; Sakane et al., 2011; Vincent et al., 2014)"},"properties":{"noteIndex":0},"schema":"https://github.com/citation-style-language/schema/raw/master/csl-citation.json"}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(Alva, 2019; Davies et al., 2016; Gilis-Januszewska, Piwońska-Solska, et al., 2018; Jiang et al., 2013; Makrilakis et al., 2010; Moin et al., 2017; Parikh et al., 2010; Quiñones et al., 2018; Sakane et al., 2011; Vincent et al., 2014b)</w:t>
      </w:r>
      <w:r w:rsidRPr="00103A0B">
        <w:rPr>
          <w:rFonts w:ascii="Arial" w:hAnsi="Arial" w:cs="Arial"/>
        </w:rPr>
        <w:fldChar w:fldCharType="end"/>
      </w:r>
      <w:r w:rsidRPr="00103A0B">
        <w:rPr>
          <w:rFonts w:ascii="Arial" w:hAnsi="Arial" w:cs="Arial"/>
          <w:sz w:val="24"/>
          <w:szCs w:val="24"/>
        </w:rPr>
        <w:t xml:space="preserve"> (Appendix </w:t>
      </w:r>
      <w:r w:rsidR="000B0782" w:rsidRPr="00103A0B">
        <w:rPr>
          <w:rFonts w:ascii="Arial" w:hAnsi="Arial" w:cs="Arial"/>
          <w:sz w:val="24"/>
          <w:szCs w:val="24"/>
        </w:rPr>
        <w:t>3</w:t>
      </w:r>
      <w:r w:rsidRPr="00103A0B">
        <w:rPr>
          <w:rFonts w:ascii="Arial" w:hAnsi="Arial" w:cs="Arial"/>
          <w:sz w:val="24"/>
          <w:szCs w:val="24"/>
        </w:rPr>
        <w:t>)</w:t>
      </w:r>
      <w:r w:rsidRPr="00103A0B">
        <w:rPr>
          <w:rFonts w:ascii="Arial" w:eastAsia="Times New Roman" w:hAnsi="Arial" w:cs="Arial"/>
          <w:sz w:val="24"/>
          <w:szCs w:val="24"/>
          <w:lang w:eastAsia="en-GB"/>
        </w:rPr>
        <w:t xml:space="preserve">: </w:t>
      </w:r>
    </w:p>
    <w:p w14:paraId="22DD270F" w14:textId="77777777" w:rsidR="00324C56"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all reported using credible source (9.1</w:t>
      </w:r>
      <w:proofErr w:type="gramStart"/>
      <w:r w:rsidRPr="00103A0B">
        <w:rPr>
          <w:rFonts w:ascii="Arial" w:eastAsia="Times New Roman" w:hAnsi="Arial" w:cs="Arial"/>
          <w:sz w:val="24"/>
          <w:szCs w:val="24"/>
          <w:lang w:eastAsia="en-GB"/>
        </w:rPr>
        <w:t>);</w:t>
      </w:r>
      <w:proofErr w:type="gramEnd"/>
      <w:r w:rsidRPr="00103A0B">
        <w:rPr>
          <w:rFonts w:ascii="Arial" w:eastAsia="Times New Roman" w:hAnsi="Arial" w:cs="Arial"/>
          <w:sz w:val="24"/>
          <w:szCs w:val="24"/>
          <w:lang w:eastAsia="en-GB"/>
        </w:rPr>
        <w:t xml:space="preserve"> </w:t>
      </w:r>
    </w:p>
    <w:p w14:paraId="19302220" w14:textId="77777777" w:rsidR="00324C56"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eight used goal setting (outcome) (1.3</w:t>
      </w:r>
      <w:proofErr w:type="gramStart"/>
      <w:r w:rsidRPr="00103A0B">
        <w:rPr>
          <w:rFonts w:ascii="Arial" w:eastAsia="Times New Roman" w:hAnsi="Arial" w:cs="Arial"/>
          <w:sz w:val="24"/>
          <w:szCs w:val="24"/>
          <w:lang w:eastAsia="en-GB"/>
        </w:rPr>
        <w:t>);</w:t>
      </w:r>
      <w:proofErr w:type="gramEnd"/>
    </w:p>
    <w:p w14:paraId="6699D786" w14:textId="77777777" w:rsidR="00324C56"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seven used goal setting (</w:t>
      </w:r>
      <w:proofErr w:type="spellStart"/>
      <w:r w:rsidRPr="00103A0B">
        <w:rPr>
          <w:rFonts w:ascii="Arial" w:eastAsia="Times New Roman" w:hAnsi="Arial" w:cs="Arial"/>
          <w:sz w:val="24"/>
          <w:szCs w:val="24"/>
          <w:lang w:eastAsia="en-GB"/>
        </w:rPr>
        <w:t>behaviour</w:t>
      </w:r>
      <w:proofErr w:type="spellEnd"/>
      <w:r w:rsidRPr="00103A0B">
        <w:rPr>
          <w:rFonts w:ascii="Arial" w:eastAsia="Times New Roman" w:hAnsi="Arial" w:cs="Arial"/>
          <w:sz w:val="24"/>
          <w:szCs w:val="24"/>
          <w:lang w:eastAsia="en-GB"/>
        </w:rPr>
        <w:t>) (1.1</w:t>
      </w:r>
      <w:proofErr w:type="gramStart"/>
      <w:r w:rsidRPr="00103A0B">
        <w:rPr>
          <w:rFonts w:ascii="Arial" w:eastAsia="Times New Roman" w:hAnsi="Arial" w:cs="Arial"/>
          <w:sz w:val="24"/>
          <w:szCs w:val="24"/>
          <w:lang w:eastAsia="en-GB"/>
        </w:rPr>
        <w:t>);</w:t>
      </w:r>
      <w:proofErr w:type="gramEnd"/>
      <w:r w:rsidRPr="00103A0B">
        <w:rPr>
          <w:rFonts w:ascii="Arial" w:eastAsia="Times New Roman" w:hAnsi="Arial" w:cs="Arial"/>
          <w:sz w:val="24"/>
          <w:szCs w:val="24"/>
          <w:lang w:eastAsia="en-GB"/>
        </w:rPr>
        <w:t xml:space="preserve"> </w:t>
      </w:r>
    </w:p>
    <w:p w14:paraId="36EE2ED5" w14:textId="77777777" w:rsidR="00324C56"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six instructed how to perform a </w:t>
      </w:r>
      <w:proofErr w:type="spellStart"/>
      <w:r w:rsidRPr="00103A0B">
        <w:rPr>
          <w:rFonts w:ascii="Arial" w:eastAsia="Times New Roman" w:hAnsi="Arial" w:cs="Arial"/>
          <w:sz w:val="24"/>
          <w:szCs w:val="24"/>
          <w:lang w:eastAsia="en-GB"/>
        </w:rPr>
        <w:t>behaviour</w:t>
      </w:r>
      <w:proofErr w:type="spellEnd"/>
      <w:r w:rsidRPr="00103A0B">
        <w:rPr>
          <w:rFonts w:ascii="Arial" w:eastAsia="Times New Roman" w:hAnsi="Arial" w:cs="Arial"/>
          <w:sz w:val="24"/>
          <w:szCs w:val="24"/>
          <w:lang w:eastAsia="en-GB"/>
        </w:rPr>
        <w:t xml:space="preserve"> (4.1) or used self-monitoring of </w:t>
      </w:r>
      <w:proofErr w:type="spellStart"/>
      <w:r w:rsidRPr="00103A0B">
        <w:rPr>
          <w:rFonts w:ascii="Arial" w:eastAsia="Times New Roman" w:hAnsi="Arial" w:cs="Arial"/>
          <w:sz w:val="24"/>
          <w:szCs w:val="24"/>
          <w:lang w:eastAsia="en-GB"/>
        </w:rPr>
        <w:t>behaviour</w:t>
      </w:r>
      <w:proofErr w:type="spellEnd"/>
      <w:r w:rsidRPr="00103A0B">
        <w:rPr>
          <w:rFonts w:ascii="Arial" w:eastAsia="Times New Roman" w:hAnsi="Arial" w:cs="Arial"/>
          <w:sz w:val="24"/>
          <w:szCs w:val="24"/>
          <w:lang w:eastAsia="en-GB"/>
        </w:rPr>
        <w:t xml:space="preserve"> (2.3</w:t>
      </w:r>
      <w:proofErr w:type="gramStart"/>
      <w:r w:rsidRPr="00103A0B">
        <w:rPr>
          <w:rFonts w:ascii="Arial" w:eastAsia="Times New Roman" w:hAnsi="Arial" w:cs="Arial"/>
          <w:sz w:val="24"/>
          <w:szCs w:val="24"/>
          <w:lang w:eastAsia="en-GB"/>
        </w:rPr>
        <w:t>);</w:t>
      </w:r>
      <w:proofErr w:type="gramEnd"/>
      <w:r w:rsidRPr="00103A0B">
        <w:rPr>
          <w:rFonts w:ascii="Arial" w:eastAsia="Times New Roman" w:hAnsi="Arial" w:cs="Arial"/>
          <w:sz w:val="24"/>
          <w:szCs w:val="24"/>
          <w:lang w:eastAsia="en-GB"/>
        </w:rPr>
        <w:t xml:space="preserve">  </w:t>
      </w:r>
    </w:p>
    <w:p w14:paraId="7D751B8B" w14:textId="2E198ED2" w:rsidR="001868D9" w:rsidRPr="00103A0B" w:rsidRDefault="00324C56" w:rsidP="005D0A3A">
      <w:pPr>
        <w:pStyle w:val="ListParagraph"/>
        <w:numPr>
          <w:ilvl w:val="0"/>
          <w:numId w:val="3"/>
        </w:num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four provided social support (unspecified) (3.1).</w:t>
      </w:r>
    </w:p>
    <w:p w14:paraId="1C6153C7" w14:textId="77777777" w:rsidR="00C054AD" w:rsidRPr="00103A0B" w:rsidRDefault="00C054AD" w:rsidP="005D0A3A">
      <w:pPr>
        <w:tabs>
          <w:tab w:val="left" w:pos="1470"/>
        </w:tabs>
        <w:spacing w:line="360" w:lineRule="auto"/>
        <w:jc w:val="both"/>
        <w:rPr>
          <w:rFonts w:ascii="Arial" w:eastAsia="Times New Roman" w:hAnsi="Arial" w:cs="Arial"/>
          <w:sz w:val="24"/>
          <w:szCs w:val="24"/>
          <w:lang w:eastAsia="en-GB"/>
        </w:rPr>
      </w:pPr>
    </w:p>
    <w:p w14:paraId="6BF634D9" w14:textId="3C80194A" w:rsidR="00324C56" w:rsidRPr="00103A0B" w:rsidRDefault="00022ED5" w:rsidP="00DB2EED">
      <w:pPr>
        <w:pStyle w:val="Heading3"/>
        <w:numPr>
          <w:ilvl w:val="0"/>
          <w:numId w:val="0"/>
        </w:numPr>
        <w:spacing w:before="240"/>
        <w:rPr>
          <w:rFonts w:ascii="Arial" w:eastAsia="Times New Roman" w:hAnsi="Arial" w:cs="Arial"/>
        </w:rPr>
      </w:pPr>
      <w:bookmarkStart w:id="106" w:name="_Toc41404596"/>
      <w:bookmarkStart w:id="107" w:name="_Toc151548308"/>
      <w:r w:rsidRPr="00103A0B">
        <w:rPr>
          <w:rFonts w:ascii="Arial" w:eastAsia="Times New Roman" w:hAnsi="Arial" w:cs="Arial"/>
        </w:rPr>
        <w:t xml:space="preserve">2.4 </w:t>
      </w:r>
      <w:r w:rsidR="00324C56" w:rsidRPr="00103A0B">
        <w:rPr>
          <w:rFonts w:ascii="Arial" w:eastAsia="Times New Roman" w:hAnsi="Arial" w:cs="Arial"/>
        </w:rPr>
        <w:t>Discussion</w:t>
      </w:r>
      <w:bookmarkEnd w:id="106"/>
      <w:bookmarkEnd w:id="107"/>
      <w:r w:rsidR="00324C56" w:rsidRPr="00103A0B">
        <w:rPr>
          <w:rFonts w:ascii="Arial" w:eastAsia="Times New Roman" w:hAnsi="Arial" w:cs="Arial"/>
        </w:rPr>
        <w:t xml:space="preserve"> </w:t>
      </w:r>
    </w:p>
    <w:p w14:paraId="1B125849" w14:textId="3D39B45D" w:rsidR="00324C56" w:rsidRPr="00103A0B" w:rsidRDefault="00324C56" w:rsidP="00DB2EED">
      <w:pPr>
        <w:spacing w:before="240" w:line="360" w:lineRule="auto"/>
        <w:jc w:val="both"/>
        <w:rPr>
          <w:rFonts w:ascii="Arial" w:hAnsi="Arial" w:cs="Arial"/>
          <w:sz w:val="24"/>
          <w:szCs w:val="24"/>
        </w:rPr>
      </w:pPr>
      <w:r w:rsidRPr="00103A0B">
        <w:rPr>
          <w:rFonts w:ascii="Arial" w:hAnsi="Arial" w:cs="Arial"/>
          <w:sz w:val="24"/>
          <w:szCs w:val="24"/>
        </w:rPr>
        <w:t xml:space="preserve">Diabetes Prevention Programmes (DPPs) are important to address rising global prevalence of T2DM </w:t>
      </w:r>
      <w:r w:rsidRPr="00103A0B">
        <w:rPr>
          <w:rFonts w:ascii="Arial" w:hAnsi="Arial" w:cs="Arial"/>
          <w:sz w:val="24"/>
          <w:szCs w:val="24"/>
        </w:rPr>
        <w:fldChar w:fldCharType="begin" w:fldLock="1"/>
      </w:r>
      <w:r w:rsidR="007E0EE7" w:rsidRPr="00103A0B">
        <w:rPr>
          <w:rFonts w:ascii="Arial" w:hAnsi="Arial" w:cs="Arial"/>
          <w:sz w:val="24"/>
          <w:szCs w:val="24"/>
        </w:rPr>
        <w:instrText xml:space="preserve">ADDIN CSL_CITATION {"citationItems":[{"id":"ITEM-1","itemData":{"ISSN":"2044-6055","abstract":"Objectives: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Open","id":"ITEM-1","issued":{"date-parts":[["2018"]]},"note":"Accession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implementation.","type":"article-journal","volume":"8"},"uris":["http://www.mendeley.com/documents/?uuid=0a421108-0e51-4039-8549-33e6c08f2b12"]},{"id":"ITEM-2","itemData":{"DOI":"10.2337/diacare.20.4.537","ISBN":"0149-5992 (Print)\\r0149-5992 (Linking)","ISSN":"0149-5992","PMID":"9096977","abstract":"See, stats, and : https : / / www . researchgate . net / publication / 14120015 Effects NIDDM Tolerance : The . . . ArticleDOI:10.2337/diacare.20.4.537:PubMedCITATIONS2,508READS4,59118,including:ZhiweiMax503,016SEEJianzhongTsinghua73,235SEEJianlongIcahn309,412SEEHuiPublic5,413SEEAll.The.All-textand,letting.OBJECTIVE—Individualswithimpairedglucosetolerance(IGT)haveahighriskofdevelopingNIDDM.ThepurposeofthisstudywastodeterminewhetherdietandexerciseinterventionsinthosewithIGTmaydelaythedevelopmentofNIDDM,i.e.,reducetheinci-denceofNIDDM,andtherebyreducetheoverallincidenceofdiabeticcomplications,suchascardiovascular,renal,andretinaldisease,andtheexcessmortalityattributabletothesecom-plications.RESEARCHDESIGNANDMETHODS—In1986,110,660menandwomenfrom33healthcareclinicsinthecityofDaQing,China,werescreenedforIGTandNIDDM.Oftheseindividuals,577wereclassified(usingWorldHealthOrganizationcriteria)ashavingIGT.Sub-jectswererandomizedbyclinicintoaclinicaltrial,eithertoacontrolgrouportooneofthreeactivetreatmentgroups:dietonly,exerciseonly,ordietplusexercise.Follow-upevaluationexaminationswereconductedat2-yearintervalsovera6-yearperiodtoidentifysubjectswhodevelopedNIDDM.Cox'sproportionalhazardanalysiswasusedtodetermineiftheincidenceofNIDDMvariedbytreatmentassignment.RESULTS—Thecumulativeincidenceofdiabetesat6yearswas67.7%(95%CI,59.8-75.2)inthecontrolgroupcomparedwith43.8%(95%CI,35.5-52.3)inthedietgroup,41.1%(95%CI,33.4-49.4)intheexercisegroup,and46.0%(95%CI,37.3-54.7)inthediet-plus-exercisegroup(P&lt;0.05).Whenanalyzedbyclinic,eachoftheactiveinterventiongroupsdifferedsignificantlyfromthecontrolclinics(P&lt;0.05).Therelativedecreaseinrateofdevelopmentofdiabetesintheactivetreatmentgroupswassimilarwhensubjectswerestratifiedasleanoroverweight(BMI&lt;or&gt;25kg/m2).InaproportionalhazardsanalysisadjustedfordifferencesinbaselineBMIandfastingglucose,thediet,exercise,anddiet-plus-exerciseinterventionswereassociatedwith31%(P&lt;0.03),46%(P&lt;0.0005),and42%(P&lt;0.005)reductionsinriskofdevelopingdiabetes,respectively.","author":[{"dropping-particle":"","family":"Pan","given":"X-R.","non-dropping-particle":"","parse-names":false,"suffix":""},{"dropping-particle":"","family":"Li","given":"G-W.","non-dropping-particle":"","parse-names":false,"suffix":""},{"dropping-particle":"","family":"Hu","given":"Y-H.","non-dropping-particle":"","parse-names":false,"suffix":""},{"dropping-particle":"","family":"Wang","given":"J-X.","non-dropping-particle":"","parse-names":false,"suffix":""},{"dropping-particle":"","family":"Yang","given":"W-Y.","non-dropping-particle":"","parse-names":false,"suffix":""},{"dropping-particle":"","family":"An","given":"Z-X.","non-dropping-particle":"","parse-names":false,"suffix":""},{"dropping-particle":"al","family":"Hu, Z-X.","given":"et","non-dropping-particle":"","parse-names":false,"suffix":""}],"container-title":"Diabetes Care","id":"ITEM-2","issue":"4","issued":{"date-parts":[["1997"]]},"page":"537-44","title":"Effects of diet and exercise in preventing NIDDM in people with impaired glucose tolerance","type":"article-journal","volume":"20"},"uris":["http://www.mendeley.com/documents/?uuid=0f5d3e9c-189a-44dc-b4e1-852897dab408"]},{"id":"ITEM-3","itemData":{"ISBN":"0140-6736","ISSN":"1474-547X","PMID":"17098085","abstract":"SummaryBackground Lifestyle interventions can prevent the deterioration of impaired glucose tolerance to manifest type 2 diabetes, at least as long as the intervention continues. In the extended follow-up of the Finnish Diabetes Prevention Study, we assessed the extent to which the originally-achieved lifestyle changes and risk reduction remain after discontinuation of active counselling. Methods Overweight, middle-aged men (n=172) and women (n=350) with impaired glucose tolerance were randomly assigned to intensive lifestyle intervention or control group. After a median of 4 years of active intervention period, participants who were still free of diabetes were further followed up for a median of 3 years, with median total follow-up of 7 years. Diabetes incidence, bodyweight, physical activity, and dietary intakes of fat, saturated fat, and fibre were measured. Findings During the total follow-up, the incidence of type 2 diabetes was 4·3 and 7·4 per 100 person-years in the intervention and control group, respectively (log-rank test p=0·0001), indicating 43% reduction in relative risk. The risk reduction was related to the success in achieving the intervention goals of weight loss, reduced intake of total and saturated fat and increased intake of dietary fibre, and increased physical activity. Beneficial lifestyle changes achieved by participants in the intervention group were maintained after the discontinuation of the intervention, and the corresponding incidence rates during the post-intervention follow-up were 4·6 and 7·2 (p=0·0401), indicating 36% reduction in relative risk. Interpretation Lifestyle intervention in people at high risk for type 2 diabetes resulted in sustained lifestyle changes and a reduction in diabetes incidence, which remained after the individual lifestyle counselling was stopped.","author":[{"dropping-particle":"","family":"Lindstrom","given":"J","non-dropping-particle":"","parse-names":false,"suffix":""},{"dropping-particle":"","family":"Ilanne-Parikka","given":"Pirjo","non-dropping-particle":"","parse-names":false,"suffix":""},{"dropping-particle":"","family":"Peltonen","given":"Markku","non-dropping-particle":"","parse-names":false,"suffix":""},{"dropping-particle":"","family":"Aunola","given":"Sirkka","non-dropping-particle":"","parse-names":false,"suffix":""},{"dropping-particle":"","family":"Eriksson","given":"Johan G","non-dropping-particle":"","parse-names":false,"suffix":""},{"dropping-particle":"","family":"Hemio","given":"K","non-dropping-particle":"","parse-names":false,"suffix":""},{"dropping-particle":"","family":"Hamalainen","given":"H","non-dropping-particle":"","parse-names":false,"suffix":""},{"dropping-particle":"","family":"Harkonen","given":"P","non-dropping-particle":"","parse-names":false,"suffix":""},{"dropping-particle":"","family":"Keinanen-Kiukaanniemi","given":"S","non-dropping-particle":"","parse-names":false,"suffix":""},{"dropping-particle":"","family":"Laakso","given":"Mauri","non-dropping-particle":"","parse-names":false,"suffix":""},{"dropping-particle":"","family":"Louheranta","given":"Anne","non-dropping-particle":"","parse-names":false,"suffix":""},{"dropping-particle":"","family":"Mannelin","given":"Marjo","non-dropping-particle":"","parse-names":false,"suffix":""},{"dropping-particle":"","family":"Paturi","given":"Merja","non-dropping-particle":"","parse-names":false,"suffix":""},{"dropping-particle":"","family":"Sundvall","given":"Jouko","non-dropping-particle":"","parse-names":false,"suffix":""},{"dropping-particle":"","family":"Valle","given":"Timo T","non-dropping-particle":"","parse-names":false,"suffix":""},{"dropping-particle":"","family":"Uusitupa","given":"Matti","non-dropping-particle":"","parse-names":false,"suffix":""},{"dropping-particle":"","family":"Tuomilehto","given":"Jaakko","non-dropping-particle":"","parse-names":false,"suffix":""}],"container-title":"The Lancet","id":"ITEM-3","issued":{"date-parts":[["2006"]]},"page":"1673-1679","title":"Sustained reduction in the incidence of type 2 diabetes by lifestyle intervention: follow-up of the Finnish diabetes prevention study","type":"article-journal","volume":"368"},"uris":["http://www.mendeley.com/documents/?uuid=d27c96c5-e2fc-4ac6-8909-642dbf236daf"]},{"id":"ITEM-4","itemData":{"DOI":"10.2337/dc07-0171","ISBN":"0149-5992","ISSN":"0149-5992","PMID":"17586741","abstract":"OBJECTIVE— “Real-world” implementation of lifestyle interventions is a challenge. The Good Ageing in Lahti Region (GOAL) Lifestyle Implementation Trial was designed for the primary health care setting, with lifestyle and risk reduction objectives derived from the major diabetes prevention efficacy trials. We report on the program’s effectiveness as well as findings related to the program’s reach, adoption, and implementation. RESEARCHDESIGNANDMETHODS— A total of 352 middle-aged participants with elevated type 2 diabetes risk were recruited from the health care centers in Pa¨ija¨t-Ha¨me Province in Finland. The intervention included six group counseling sessions, delivered by trained public health nurses. Measurement was conducted at baseline and 12 months. Clinical risk factors were measured by study nurses, and lifestyle outcomes were analyzed from self-reports. Lifestyle outcomes were compared with the outcomes achieved in relevant efficacy trials, and within- subject changes were tested for risk reduction. RESULTS— At baseline, mean BMI was </w:instrText>
      </w:r>
      <w:r w:rsidR="007E0EE7" w:rsidRPr="00103A0B">
        <w:rPr>
          <w:rFonts w:ascii="Arial" w:hAnsi="Arial" w:cs="Arial" w:hint="eastAsia"/>
          <w:sz w:val="24"/>
          <w:szCs w:val="24"/>
        </w:rPr>
        <w:instrText></w:instrText>
      </w:r>
      <w:r w:rsidR="007E0EE7" w:rsidRPr="00103A0B">
        <w:rPr>
          <w:rFonts w:ascii="Arial" w:hAnsi="Arial" w:cs="Arial"/>
          <w:sz w:val="24"/>
          <w:szCs w:val="24"/>
        </w:rPr>
        <w:instrText xml:space="preserve">32 kg/m2 , and 25% of the participants had im- paired glucose tolerance. At 12 months, 20% of participants achieved at least four of five key lifestyle outcomes, with these results being comparable with the reference trials. However, physical activity and weight loss goals were achieved significantly less frequently (65 vs.86%and 12 vs. 43%, respectively). Several clinical risk factors decreased, more so among men than women. CONCLUSIONS— This trial demonstrates that lifestyle counseling can be effective and is feasible in real-world settings for individuals with elevated risk of type 2 diabetes. To increase program impact, program exposure and treatment intensity need to be increased","author":[{"dropping-particle":"","family":"Absetz","given":"P.","non-dropping-particle":"","parse-names":false,"suffix":""},{"dropping-particle":"","family":"Valve","given":"R.","non-dropping-particle":"","parse-names":false,"suffix":""},{"dropping-particle":"","family":"Oldenburg","given":"B.","non-dropping-particle":"","parse-names":false,"suffix":""},{"dropping-particle":"","family":"Heinonen","given":"H.","non-dropping-particle":"","parse-names":false,"suffix":""},{"dropping-particle":"","family":"Nissinen","given":"A.","non-dropping-particle":"","parse-names":false,"suffix":""},{"dropping-particle":"","family":"Fogelholm","given":"M.","non-dropping-particle":"","parse-names":false,"suffix":""},{"dropping-particle":"","family":"Ilvesmaki","given":"V.","non-dropping-particle":"","parse-names":false,"suffix":""},{"dropping-particle":"","family":"Talja","given":"M.","non-dropping-particle":"","parse-names":false,"suffix":""},{"dropping-particle":"","family":"Uutela","given":"A.","non-dropping-particle":"","parse-names":false,"suffix":""}],"container-title":"Diabetes Care","id":"ITEM-4","issue":"10","issued":{"date-parts":[["2007"]]},"page":"2465-2470","title":"Type 2 diabetes prevention in the </w:instrText>
      </w:r>
      <w:r w:rsidR="007E0EE7" w:rsidRPr="00103A0B">
        <w:rPr>
          <w:rFonts w:ascii="Arial" w:hAnsi="Arial" w:cs="Arial" w:hint="eastAsia"/>
          <w:sz w:val="24"/>
          <w:szCs w:val="24"/>
        </w:rPr>
        <w:instrText>“</w:instrText>
      </w:r>
      <w:r w:rsidR="007E0EE7" w:rsidRPr="00103A0B">
        <w:rPr>
          <w:rFonts w:ascii="Arial" w:hAnsi="Arial" w:cs="Arial"/>
          <w:sz w:val="24"/>
          <w:szCs w:val="24"/>
        </w:rPr>
        <w:instrText>real world”","type":"article-journal","volume":"30"},"uris":["http://www.mendeley.com/documents/?uuid=14151607-3873-4b0d-b0a6-ed2d7911e6d4"]},{"id":"ITEM-5","itemData":{"DOI":"10.1016/S0140- 6736(09)61457-4","ISBN":"1474-547X (Electronic)\\n0140-6736 (Linking)","ISSN":"01406736","PMID":"19878986","abstract":"Background: In the 2·8 years of the Diabetes Prevention Program (DPP) randomised clinical trial, diabetes incidence in high-risk adults was reduced by 58% with intensive lifestyle intervention and by 31% with metformin, compared with placebo. We investigated the persistence of these effects in the long term. Methods: All active DPP participants were eligible for continued follow-up. 2766 of 3150 (88%) enrolled for a median additional follow-up of 5·7 years (IQR 5·5-5·8). 910 participants were from the lifestyle, 924 from the metformin, and 932 were from the original placebo groups. On the basis of the benefits from the intensive lifestyle intervention in the DPP, all three groups were offered group-implemented lifestyle intervention. Metformin treatment was continued in the original metformin group (850 mg twice daily as tolerated), with participants unmasked to assignment, and the original lifestyle intervention group was offered additional lifestyle support. The primary outcome was development of diabetes according to American Diabetes Association criteria. Analysis was by intention-to-treat. This study is registered with ClinicalTrials.gov, number NCT00038727. Findings: During the 10·0-year (IQR 9</w:instrText>
      </w:r>
      <w:r w:rsidR="007E0EE7" w:rsidRPr="00103A0B">
        <w:rPr>
          <w:rFonts w:ascii="Arial" w:hAnsi="Arial" w:cs="Arial" w:hint="eastAsia"/>
          <w:sz w:val="24"/>
          <w:szCs w:val="24"/>
        </w:rPr>
        <w:instrText>·</w:instrText>
      </w:r>
      <w:r w:rsidR="007E0EE7" w:rsidRPr="00103A0B">
        <w:rPr>
          <w:rFonts w:ascii="Arial" w:hAnsi="Arial" w:cs="Arial"/>
          <w:sz w:val="24"/>
          <w:szCs w:val="24"/>
        </w:rPr>
        <w:instrText>0-10·5) follow-up since randomisation to DPP, the original lifestyle group lost, then partly regained weight. The modest weight loss with metformin was maintained. Diabetes incidence rates during the DPP were 4·8 cases per 100 person-years (95% CI 4·1-5·7) in the intensive lifestyle intervention group, 7·8 (6·8-8·8) in the metformin group, and 11·0 (9·8-12·3) in the placebo group. Diabetes incidence rates in this follow-up study were similar between treatment groups: 5·9 per 100 person-years (5·1-6·8) for lifestyle, 4·9 (4·2-5·7) for metformin, and 5·6 (4·8-6·5) for placebo. Diabetes incidence in the 10 years since DPP randomisation was reduced by 34% (24-42) in the lifestyle group and 18% (7-28) in the metformin group compared with placebo. Interpretation: During follow-up after DPP, incidences in the former placebo and metformin groups fell to equal those in the former lifestyle group, but the cumulative incidence of diabetes remained lowest in the lifestyle group. Prevention or delay of diabetes with lifestyle intervention or metformin can persist for at least 10 years. Funding: National Institute of Diabetes and Digestive and Kidney Diseases (NIDDK). © 2009 Elsevier Ltd. All rights reserved.","author":[{"dropping-particle":"","family":"Diabetes Prevention Program Research Group","given":"","non-dropping-particle":"","parse-names":false,"suffix":""}],"container-title":"The Lancet","id":"ITEM-5","issued":{"date-parts":[["2009"]]},"page":"1677-1686","publisher":"Elsevier Ltd","title":"10-year follow-up of diabetes incidence and weight loss in the diabetes prevention program outcomes study","type":"article-journal","volume":"374"},"uris":["http://www.mendeley.com/documents/?uuid=5beeceec-4d29-4c17-b528-7b647c5a8b77"]}],"mendeley":{"formattedCitation":"(Absetz et al., 2007; Diabetes Prevention Program Research Group, 2009; Lindstrom et al., 2006; Pan et al., 1997; Penn et al., 2018)","plainTextFormattedCitation":"(Absetz et al., 2007; Diabetes Prevention Program Research Group, 2009; Lindstrom et al., 2006; Pan et al., 1997; Penn et al., 2018)","previouslyFormattedCitation":"(Absetz et al., 2007; Diabetes Prevention Program Research Group, 2009; Lindstrom et al., 2006; Pan et al., 1997; Penn et al., 2018)"},"properties":{"noteIndex":0},"schema":"https://github.com/citation-style-language/schema/raw/master/csl-citation.json"}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(Absetz et al., 2007; Diabetes Prevention Program Research Group, 2009; Lindstrom et al., 2006; Pan et al., 1997; Penn et al., 2018)</w:t>
      </w:r>
      <w:r w:rsidRPr="00103A0B">
        <w:rPr>
          <w:rFonts w:ascii="Arial" w:hAnsi="Arial" w:cs="Arial"/>
          <w:sz w:val="24"/>
          <w:szCs w:val="24"/>
        </w:rPr>
        <w:fldChar w:fldCharType="end"/>
      </w:r>
      <w:r w:rsidRPr="00103A0B">
        <w:rPr>
          <w:rFonts w:ascii="Arial" w:hAnsi="Arial" w:cs="Arial"/>
          <w:sz w:val="24"/>
          <w:szCs w:val="24"/>
        </w:rPr>
        <w:t xml:space="preserve">. Their impact depends on both effectiveness and the ability to reach and engage with those at high </w:t>
      </w:r>
      <w:r w:rsidRPr="00103A0B">
        <w:rPr>
          <w:rFonts w:ascii="Arial" w:hAnsi="Arial" w:cs="Arial"/>
          <w:sz w:val="24"/>
          <w:szCs w:val="24"/>
        </w:rPr>
        <w:lastRenderedPageBreak/>
        <w:t xml:space="preserve">risk of T2DM </w:t>
      </w:r>
      <w:r w:rsidRPr="00103A0B">
        <w:rPr>
          <w:rFonts w:ascii="Arial" w:hAnsi="Arial" w:cs="Arial"/>
          <w:sz w:val="24"/>
          <w:szCs w:val="24"/>
        </w:rPr>
        <w:fldChar w:fldCharType="begin" w:fldLock="1"/>
      </w:r>
      <w:r w:rsidR="008F31AE" w:rsidRPr="00103A0B">
        <w:rPr>
          <w:rFonts w:ascii="Arial" w:hAnsi="Arial" w:cs="Arial"/>
          <w:sz w:val="24"/>
          <w:szCs w:val="24"/>
        </w:rPr>
        <w:instrText>ADDIN CSL_CITATION {"citationItems":[{"id":"ITEM-1","itemData":{"DOI":"10.2337/diaclin.28.2.53","ISBN":"0891-8929","ISSN":"0891-8929","abstract":"This review offers a discussion of various strategies for the prevention of type 2 diabetes. It includes results from recent clinical trials targeting patients who are at highest risk for the development of diabetes, with a particular emphasis on lifestyle modification strategies and the implementation of such programs in community-based settings.","author":[{"dropping-particle":"","family":"Ahmad","given":"L. A.","non-dropping-particle":"","parse-names":false,"suffix":""},{"dropping-particle":"","family":"Crandall","given":"J. P.","non-dropping-particle":"","parse-names":false,"suffix":""}],"container-title":"Clinical Diabetes","id":"ITEM-1","issue":"2","issued":{"date-parts":[["2010"]]},"page":"53-59","title":"Type 2 diabetes prevention: a review","type":"article-journal","volume":"28"},"uris":["http://www.mendeley.com/documents/?uuid=da9e04b3-871f-4bfa-ac60-8126d6ee51f1"]},{"id":"ITEM-2","itemData":{"DOI":"https://doi.org/10.1177/0890117119848985","author":[{"dropping-particle":"","family":"Alva","given":"M.L.","non-dropping-particle":"","parse-names":false,"suffix":""}],"container-title":"American Journal of Health Promotion","id":"ITEM-2","issue":"7","issued":{"date-parts":[["2019"]]},"page":"1067-72","title":"How much does attendance impact weight loss and health care spending in a diabetes prevention program serving older adults?","type":"article-journal","volume":"33"},"uris":["http://www.mendeley.com/documents/?uuid=ab27f0b0-3076-419f-87af-9f779434d81e"]}],"mendeley":{"formattedCitation":"(Ahmad &amp; Crandall, 2010; Alva, 2019a)","plainTextFormattedCitation":"(Ahmad &amp; Crandall, 2010; Alva, 2019a)","previouslyFormattedCitation":"(Ahmad &amp; Crandall, 2010; Alva, 2019a)"},"properties":{"noteIndex":0},"schema":"https://github.com/citation-style-language/schema/raw/master/csl-citation.json"}</w:instrText>
      </w:r>
      <w:r w:rsidRPr="00103A0B">
        <w:rPr>
          <w:rFonts w:ascii="Arial" w:hAnsi="Arial" w:cs="Arial"/>
          <w:sz w:val="24"/>
          <w:szCs w:val="24"/>
        </w:rPr>
        <w:fldChar w:fldCharType="separate"/>
      </w:r>
      <w:r w:rsidR="004E0154" w:rsidRPr="00103A0B">
        <w:rPr>
          <w:rFonts w:ascii="Arial" w:hAnsi="Arial" w:cs="Arial"/>
          <w:noProof/>
          <w:sz w:val="24"/>
          <w:szCs w:val="24"/>
        </w:rPr>
        <w:t>(Ahmad &amp; Crandall, 2010; Alva, 2019a)</w:t>
      </w:r>
      <w:r w:rsidRPr="00103A0B">
        <w:rPr>
          <w:rFonts w:ascii="Arial" w:hAnsi="Arial" w:cs="Arial"/>
          <w:sz w:val="24"/>
          <w:szCs w:val="24"/>
        </w:rPr>
        <w:fldChar w:fldCharType="end"/>
      </w:r>
      <w:r w:rsidRPr="00103A0B">
        <w:rPr>
          <w:rFonts w:ascii="Arial" w:hAnsi="Arial" w:cs="Arial"/>
          <w:sz w:val="24"/>
          <w:szCs w:val="24"/>
        </w:rPr>
        <w:t xml:space="preserve">. We report the first systematic review to explore recruitment strategies associated with high response and uptake rates in </w:t>
      </w:r>
      <w:proofErr w:type="gramStart"/>
      <w:r w:rsidRPr="00103A0B">
        <w:rPr>
          <w:rFonts w:ascii="Arial" w:hAnsi="Arial" w:cs="Arial"/>
          <w:sz w:val="24"/>
          <w:szCs w:val="24"/>
        </w:rPr>
        <w:t>group-based</w:t>
      </w:r>
      <w:proofErr w:type="gramEnd"/>
      <w:r w:rsidRPr="00103A0B">
        <w:rPr>
          <w:rFonts w:ascii="Arial" w:hAnsi="Arial" w:cs="Arial"/>
          <w:sz w:val="24"/>
          <w:szCs w:val="24"/>
        </w:rPr>
        <w:t xml:space="preserve"> DPPs, as well as BCTs associated with high retention. </w:t>
      </w:r>
    </w:p>
    <w:p w14:paraId="29D1A6F0" w14:textId="36E21C5E" w:rsidR="00324C56" w:rsidRPr="00103A0B" w:rsidRDefault="00C054AD" w:rsidP="00E154D0">
      <w:pPr>
        <w:keepLines/>
        <w:spacing w:line="360" w:lineRule="auto"/>
        <w:jc w:val="both"/>
        <w:rPr>
          <w:rFonts w:ascii="Arial" w:hAnsi="Arial" w:cs="Arial"/>
          <w:b/>
          <w:bCs/>
          <w:sz w:val="24"/>
          <w:szCs w:val="24"/>
        </w:rPr>
      </w:pPr>
      <w:bookmarkStart w:id="108" w:name="_Toc41404597"/>
      <w:r w:rsidRPr="00103A0B">
        <w:rPr>
          <w:rFonts w:ascii="Arial" w:hAnsi="Arial" w:cs="Arial"/>
          <w:b/>
          <w:bCs/>
          <w:sz w:val="24"/>
          <w:szCs w:val="24"/>
        </w:rPr>
        <w:t xml:space="preserve">2.4.1 </w:t>
      </w:r>
      <w:r w:rsidR="00324C56" w:rsidRPr="00103A0B">
        <w:rPr>
          <w:rFonts w:ascii="Arial" w:hAnsi="Arial" w:cs="Arial"/>
          <w:b/>
          <w:bCs/>
          <w:sz w:val="24"/>
          <w:szCs w:val="24"/>
        </w:rPr>
        <w:t xml:space="preserve">Recruitment </w:t>
      </w:r>
      <w:r w:rsidR="00484A3C" w:rsidRPr="00103A0B">
        <w:rPr>
          <w:rFonts w:ascii="Arial" w:hAnsi="Arial" w:cs="Arial"/>
          <w:b/>
          <w:bCs/>
          <w:sz w:val="24"/>
          <w:szCs w:val="24"/>
        </w:rPr>
        <w:t>M</w:t>
      </w:r>
      <w:r w:rsidR="00324C56" w:rsidRPr="00103A0B">
        <w:rPr>
          <w:rFonts w:ascii="Arial" w:hAnsi="Arial" w:cs="Arial"/>
          <w:b/>
          <w:bCs/>
          <w:sz w:val="24"/>
          <w:szCs w:val="24"/>
        </w:rPr>
        <w:t xml:space="preserve">ethods, </w:t>
      </w:r>
      <w:r w:rsidR="00484A3C" w:rsidRPr="00103A0B">
        <w:rPr>
          <w:rFonts w:ascii="Arial" w:hAnsi="Arial" w:cs="Arial"/>
          <w:b/>
          <w:bCs/>
          <w:sz w:val="24"/>
          <w:szCs w:val="24"/>
        </w:rPr>
        <w:t>R</w:t>
      </w:r>
      <w:r w:rsidR="00324C56" w:rsidRPr="00103A0B">
        <w:rPr>
          <w:rFonts w:ascii="Arial" w:hAnsi="Arial" w:cs="Arial"/>
          <w:b/>
          <w:bCs/>
          <w:sz w:val="24"/>
          <w:szCs w:val="24"/>
        </w:rPr>
        <w:t xml:space="preserve">esponse </w:t>
      </w:r>
      <w:r w:rsidR="00484A3C" w:rsidRPr="00103A0B">
        <w:rPr>
          <w:rFonts w:ascii="Arial" w:hAnsi="Arial" w:cs="Arial"/>
          <w:b/>
          <w:bCs/>
          <w:sz w:val="24"/>
          <w:szCs w:val="24"/>
        </w:rPr>
        <w:t>R</w:t>
      </w:r>
      <w:r w:rsidR="00324C56" w:rsidRPr="00103A0B">
        <w:rPr>
          <w:rFonts w:ascii="Arial" w:hAnsi="Arial" w:cs="Arial"/>
          <w:b/>
          <w:bCs/>
          <w:sz w:val="24"/>
          <w:szCs w:val="24"/>
        </w:rPr>
        <w:t xml:space="preserve">ates (RR) and </w:t>
      </w:r>
      <w:r w:rsidR="00484A3C" w:rsidRPr="00103A0B">
        <w:rPr>
          <w:rFonts w:ascii="Arial" w:hAnsi="Arial" w:cs="Arial"/>
          <w:b/>
          <w:bCs/>
          <w:sz w:val="24"/>
          <w:szCs w:val="24"/>
        </w:rPr>
        <w:t>U</w:t>
      </w:r>
      <w:r w:rsidR="00324C56" w:rsidRPr="00103A0B">
        <w:rPr>
          <w:rFonts w:ascii="Arial" w:hAnsi="Arial" w:cs="Arial"/>
          <w:b/>
          <w:bCs/>
          <w:sz w:val="24"/>
          <w:szCs w:val="24"/>
        </w:rPr>
        <w:t>ptake</w:t>
      </w:r>
      <w:bookmarkEnd w:id="108"/>
    </w:p>
    <w:p w14:paraId="2DFCAF20" w14:textId="30730F24" w:rsidR="00324C56" w:rsidRPr="00103A0B" w:rsidRDefault="00324C56" w:rsidP="00E154D0">
      <w:pPr>
        <w:spacing w:line="360" w:lineRule="auto"/>
        <w:jc w:val="both"/>
        <w:rPr>
          <w:rFonts w:ascii="Arial" w:hAnsi="Arial" w:cs="Arial"/>
          <w:sz w:val="24"/>
          <w:szCs w:val="24"/>
        </w:rPr>
      </w:pPr>
      <w:r w:rsidRPr="00103A0B">
        <w:rPr>
          <w:rFonts w:ascii="Arial" w:hAnsi="Arial" w:cs="Arial"/>
          <w:sz w:val="24"/>
          <w:szCs w:val="24"/>
        </w:rPr>
        <w:t xml:space="preserve">Recruitment strategies reported in the DPPs varied from referrals, letters, flyers, presentations, bulletins to magazine, posters, newspapers, telephone, website, email, radio, </w:t>
      </w:r>
      <w:proofErr w:type="gramStart"/>
      <w:r w:rsidRPr="00103A0B">
        <w:rPr>
          <w:rFonts w:ascii="Arial" w:hAnsi="Arial" w:cs="Arial"/>
          <w:sz w:val="24"/>
          <w:szCs w:val="24"/>
        </w:rPr>
        <w:t>TV</w:t>
      </w:r>
      <w:proofErr w:type="gramEnd"/>
      <w:r w:rsidRPr="00103A0B">
        <w:rPr>
          <w:rFonts w:ascii="Arial" w:hAnsi="Arial" w:cs="Arial"/>
          <w:sz w:val="24"/>
          <w:szCs w:val="24"/>
        </w:rPr>
        <w:t xml:space="preserve"> and word of mouth. For certain strategies such as medical referrals and invitation letters, it is possible to determine RR, as the number of participants reached is known. This is not the case for many other recruitment strategies such as TV, radio and flyers as there is uncertainty of reaching the target population with these strategies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{"citationItems":[{"id":"ITEM-1","itemData":{"author":[{"dropping-particle":"","family":"McCann","given":"Jennifer","non-dropping-particle":"","parse-names":false,"suffix":""},{"dropping-particle":"","family":"Ridgers","given":"Nicola D","non-dropping-particle":"","parse-names":false,"suffix":""},{"dropping-particle":"","family":"Carver","given":"Alison","non-dropping-particle":"","parse-names":false,"suffix":""},{"dropping-particle":"","family":"Thornton","given":"Lukar E","non-dropping-particle":"","parse-names":false,"suffix":""},{"dropping-particle":"","family":"Teychenne","given":"Megan","non-dropping-particle":"","parse-names":false,"suffix":""}],"container-title":"Health Promotion Journal of Australia","id":"ITEM-1","issued":{"date-parts":[["2013"]]},"page":"104-10","title":"Effective recruitment and retention strategies in community health programs","type":"article-journal","volume":"24"},"uris":["http://www.mendeley.com/documents/?uuid=e354c3e0-0452-4b26-8e0b-2fdc24d400dc"]}],"mendeley":{"formattedCitation":"(McCann et al., 2013)","plainTextFormattedCitation":"(McCann et al., 2013)","previouslyFormattedCitation":"(McCann et al., 2013)"},"properties":{"noteIndex":0},"schema":"https://github.com/citation-style-language/schema/raw/master/csl-citation.json"}</w:instrText>
      </w:r>
      <w:r w:rsidRPr="00103A0B">
        <w:rPr>
          <w:rFonts w:ascii="Arial" w:hAnsi="Arial" w:cs="Arial"/>
          <w:sz w:val="24"/>
          <w:szCs w:val="24"/>
        </w:rPr>
        <w:fldChar w:fldCharType="separate"/>
      </w:r>
      <w:r w:rsidR="007E0EE7" w:rsidRPr="00103A0B">
        <w:rPr>
          <w:rFonts w:ascii="Arial" w:hAnsi="Arial" w:cs="Arial"/>
          <w:noProof/>
          <w:sz w:val="24"/>
          <w:szCs w:val="24"/>
        </w:rPr>
        <w:t>(McCann et al., 2013)</w:t>
      </w:r>
      <w:r w:rsidRPr="00103A0B">
        <w:rPr>
          <w:rFonts w:ascii="Arial" w:hAnsi="Arial" w:cs="Arial"/>
          <w:sz w:val="24"/>
          <w:szCs w:val="24"/>
        </w:rPr>
        <w:fldChar w:fldCharType="end"/>
      </w:r>
      <w:r w:rsidRPr="00103A0B">
        <w:rPr>
          <w:rFonts w:ascii="Arial" w:hAnsi="Arial" w:cs="Arial"/>
          <w:sz w:val="24"/>
          <w:szCs w:val="24"/>
        </w:rPr>
        <w:t>. Associations between recruitment methods and RR could not be explored as RR could only be calculated for two DPPs (one used medical records/</w:t>
      </w:r>
      <w:proofErr w:type="gramStart"/>
      <w:r w:rsidRPr="00103A0B">
        <w:rPr>
          <w:rFonts w:ascii="Arial" w:hAnsi="Arial" w:cs="Arial"/>
          <w:sz w:val="24"/>
          <w:szCs w:val="24"/>
        </w:rPr>
        <w:t>referrals,</w:t>
      </w:r>
      <w:proofErr w:type="gramEnd"/>
      <w:r w:rsidRPr="00103A0B">
        <w:rPr>
          <w:rFonts w:ascii="Arial" w:hAnsi="Arial" w:cs="Arial"/>
          <w:sz w:val="24"/>
          <w:szCs w:val="24"/>
        </w:rPr>
        <w:t xml:space="preserve"> one did not state recruitment methods). More consistent and detailed reporting of recruitment methods is required to better understand which are most effective in promoting initial responses given the common challenges in recruiting to DPPs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{"citationItems":[{"id":"ITEM-1","itemData":{"DOI":"10.1136/bmjdrc-2015-000131","ISBN":"2052-4897","ISSN":"20524897","PMID":"26464804","abstract":"ObjectiveTo assess effectiveness and implementability of the public health programme Life! Taking action on diabetes in Australian people at risk of developing type 2 diabetes. Research design and methodsMelbourne Diabetes Prevention Study (MDPS) was a unique study assessing effectiveness of Life! that used a randomized controlled trial design. Intervention participants with AUSDRISK score [&amp;ge;]15 received 1 individual and 5 structured 90 min group sessions. Controls received usual care. Outcome measures were obtained for all participants at baseline and 12 months and, additionally, for intervention participants at 3 months. Per protocol set (PPS) and intention to treat (ITT) analyses were performed. ResultsPPS analyses were considered more informative from our study. In PPS analyses, intervention participants significantly improved in weight (-1.13 kg, p=0.016), waist circumference (-1.35 cm, p=0.044), systolic (-5.2 mm Hg, p=0.028) and diastolic blood pressure (-3.2 mm Hg, p=0.030) compared with controls. Based on observed weight change, estimated risk of developing diabetes reduced by 9.6% in the intervention and increased by 3.3% in control participants. Absolute 5-year cardiovascular disease (CVD) risk reduced significantly for intervention participants by 0.97 percentage points from 9.35% (10.4% relative risk reduction). In control participants, the risk increased by 0.11 percentage points (1.3% relative risk increase). The net effect for the change in CVD risk was -1.08 percentage points of absolute risk (p=0.013). ConclusionsMDPS effectively reduced the risk of diabetes and CVD, but the intervention effect on weight and waist reduction was modest due to the challenges in recruiting high-risk individuals and the abbreviated intervention.\\n","author":[{"dropping-particle":"","family":"Dunbar","given":"James A.","non-dropping-particle":"","parse-names":false,"suffix":""},{"dropping-particle":"","family":"Hernan","given":"Andrea L.","non-dropping-particle":"","parse-names":false,"suffix":""},{"dropping-particle":"","family":"Janus","given":"Edward D.","non-dropping-particle":"","parse-names":false,"suffix":""},{"dropping-particle":"","family":"Vartiainen","given":"Erkki","non-dropping-particle":"","parse-names":false,"suffix":""},{"dropping-particle":"","family":"Laatikainen","given":"Tiina","non-dropping-particle":"","parse-names":false,"suffix":""},{"dropping-particle":"","family":"Versace","given":"Vincent L.","non-dropping-particle":"","parse-names":false,"suffix":""},{"dropping-particle":"","family":"Reynolds","given":"John","non-dropping-particle":"","parse-names":false,"suffix":""},{"dropping-particle":"","family":"Best","given":"James D.","non-dropping-particle":"","parse-names":false,"suffix":""},{"dropping-particle":"","family":"Skinner","given":"Timothy C.","non-dropping-particle":"","parse-names":false,"suffix":""},{"dropping-particle":"","family":"O’Reilly","given":"Sharleen L.","non-dropping-particle":"","parse-names":false,"suffix":""},{"dropping-particle":"","family":"Namara","given":"Kevin P.Mc","non-dropping-particle":"","parse-names":false,"suffix":""},{"dropping-particle":"","family":"Stewart","given":"Elizabeth","non-dropping-particle":"","parse-names":false,"suffix":""},{"dropping-particle":"","family":"Coates","given":"Michael","non-dropping-particle":"","parse-names":false,"suffix":""},{"dropping-particle":"","family":"Bennett","given":"Catherine M.","non-dropping-particle":"","parse-names":false,"suffix":""},{"dropping-particle":"","family":"Carter","given":"Rob","non-dropping-particle":"","parse-names":false,"suffix":""}],"container-title":"BMJ Open Diabetes Research and Care","id":"ITEM-1","issue":"1","issued":{"date-parts":[["2015"]]},"page":"2-4","title":"Challenges of diabetes prevention in the real world: results and lessons from the Melbourne diabetes prevention study","type":"article-journal","volume":"3"},"uris":["http://www.mendeley.com/documents/?uuid=2cc5ffe1-2c1b-43ba-aaee-719dceb5bd77","http://www.mendeley.com/documents/?uuid=811d9458-35f5-4645-bd90-cd6e95c5c1a5"]}],"mendeley":{"formattedCitation":"(Dunbar et al., 2015)","plainTextFormattedCitation":"(Dunbar et al., 2015)","previouslyFormattedCitation":"(Dunbar et al., 2015)"},"properties":{"noteIndex":0},"schema":"https://github.com/citation-style-language/schema/raw/master/csl-citation.json"}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(Dunbar et al., 2015)</w:t>
      </w:r>
      <w:r w:rsidRPr="00103A0B">
        <w:rPr>
          <w:rFonts w:ascii="Arial" w:hAnsi="Arial" w:cs="Arial"/>
          <w:sz w:val="24"/>
          <w:szCs w:val="24"/>
        </w:rPr>
        <w:fldChar w:fldCharType="end"/>
      </w:r>
      <w:r w:rsidRPr="00103A0B">
        <w:rPr>
          <w:rFonts w:ascii="Arial" w:hAnsi="Arial" w:cs="Arial"/>
          <w:sz w:val="24"/>
          <w:szCs w:val="24"/>
        </w:rPr>
        <w:t xml:space="preserve">. </w:t>
      </w:r>
    </w:p>
    <w:p w14:paraId="14C9A33D" w14:textId="44AD1733" w:rsidR="00C054AD" w:rsidRPr="00103A0B" w:rsidRDefault="00324C56" w:rsidP="00E154D0">
      <w:pPr>
        <w:spacing w:line="360" w:lineRule="auto"/>
        <w:jc w:val="both"/>
        <w:rPr>
          <w:rFonts w:ascii="Arial" w:hAnsi="Arial" w:cs="Arial"/>
          <w:sz w:val="24"/>
          <w:szCs w:val="24"/>
        </w:rPr>
      </w:pPr>
      <w:r w:rsidRPr="00103A0B">
        <w:rPr>
          <w:rFonts w:ascii="Arial" w:hAnsi="Arial" w:cs="Arial"/>
          <w:sz w:val="24"/>
          <w:szCs w:val="24"/>
        </w:rPr>
        <w:t xml:space="preserve">It was also difficult to state trends in relation to uptake, which could only be calculated for 36% of included DPPs. For most, it was not possible to determine the proportion of the participants who started the programme from those who were allocated to the group-based programme, again highlighting the need for robust reporting </w:t>
      </w:r>
      <w:r w:rsidRPr="00103A0B">
        <w:rPr>
          <w:rFonts w:ascii="Arial" w:hAnsi="Arial" w:cs="Arial"/>
          <w:sz w:val="24"/>
          <w:szCs w:val="24"/>
        </w:rPr>
        <w:fldChar w:fldCharType="begin" w:fldLock="1"/>
      </w:r>
      <w:r w:rsidR="008D109C" w:rsidRPr="00103A0B">
        <w:rPr>
          <w:rFonts w:ascii="Arial" w:hAnsi="Arial" w:cs="Arial"/>
          <w:sz w:val="24"/>
          <w:szCs w:val="24"/>
        </w:rPr>
        <w:instrText>ADDIN CSL_CITATION {"citationItems":[{"id":"ITEM-1","itemData":{"DOI":"10.2337/diaclin.28.2.53","ISBN":"0891-8929","ISSN":"0891-8929","abstract":"This review offers a discussion of various strategies for the prevention of type 2 diabetes. It includes results from recent clinical trials targeting patients who are at highest risk for the development of diabetes, with a particular emphasis on lifestyle modification strategies and the implementation of such programs in community-based settings.","author":[{"dropping-particle":"","family":"Ahmad","given":"L. A.","non-dropping-particle":"","parse-names":false,"suffix":""},{"dropping-particle":"","family":"Crandall","given":"J. P.","non-dropping-particle":"","parse-names":false,"suffix":""}],"container-title":"Clinical Diabetes","id":"ITEM-1","issue":"2","issued":{"date-parts":[["2010"]]},"page":"53-59","title":"Type 2 diabetes prevention: a review","type":"article-journal","volume":"28"},"uris":["http://www.mendeley.com/documents/?uuid=da9e04b3-871f-4bfa-ac60-8126d6ee51f1"]}],"mendeley":{"formattedCitation":"(Ahmad &amp; Crandall, 2010)","plainTextFormattedCitation":"(Ahmad &amp; Crandall, 2010)","previouslyFormattedCitation":"(Ahmad &amp; Crandall, 2010)"},"properties":{"noteIndex":0},"schema":"https://github.com/citation-style-language/schema/raw/master/csl-citation.json"}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(Ahmad &amp; Crandall, 2010)</w:t>
      </w:r>
      <w:r w:rsidRPr="00103A0B">
        <w:rPr>
          <w:rFonts w:ascii="Arial" w:hAnsi="Arial" w:cs="Arial"/>
          <w:sz w:val="24"/>
          <w:szCs w:val="24"/>
        </w:rPr>
        <w:fldChar w:fldCharType="end"/>
      </w:r>
      <w:r w:rsidRPr="00103A0B">
        <w:rPr>
          <w:rFonts w:ascii="Arial" w:hAnsi="Arial" w:cs="Arial"/>
          <w:sz w:val="24"/>
          <w:szCs w:val="24"/>
        </w:rPr>
        <w:t xml:space="preserve">. </w:t>
      </w:r>
    </w:p>
    <w:p w14:paraId="01E33650" w14:textId="5BB840F4" w:rsidR="00324C56" w:rsidRPr="00103A0B" w:rsidRDefault="00C054AD" w:rsidP="00E154D0">
      <w:pPr>
        <w:keepLines/>
        <w:spacing w:line="360" w:lineRule="auto"/>
        <w:jc w:val="both"/>
        <w:rPr>
          <w:rFonts w:ascii="Arial" w:hAnsi="Arial" w:cs="Arial"/>
          <w:b/>
          <w:bCs/>
          <w:sz w:val="24"/>
          <w:szCs w:val="24"/>
        </w:rPr>
      </w:pPr>
      <w:bookmarkStart w:id="109" w:name="_Toc41404598"/>
      <w:r w:rsidRPr="00103A0B">
        <w:rPr>
          <w:rFonts w:ascii="Arial" w:hAnsi="Arial" w:cs="Arial"/>
          <w:b/>
          <w:bCs/>
          <w:sz w:val="24"/>
          <w:szCs w:val="24"/>
        </w:rPr>
        <w:t xml:space="preserve">2.4.2 </w:t>
      </w:r>
      <w:r w:rsidR="00324C56" w:rsidRPr="00103A0B">
        <w:rPr>
          <w:rFonts w:ascii="Arial" w:hAnsi="Arial" w:cs="Arial"/>
          <w:b/>
          <w:bCs/>
          <w:sz w:val="24"/>
          <w:szCs w:val="24"/>
        </w:rPr>
        <w:t xml:space="preserve">BCTs and </w:t>
      </w:r>
      <w:r w:rsidR="00484A3C" w:rsidRPr="00103A0B">
        <w:rPr>
          <w:rFonts w:ascii="Arial" w:hAnsi="Arial" w:cs="Arial"/>
          <w:b/>
          <w:bCs/>
          <w:sz w:val="24"/>
          <w:szCs w:val="24"/>
        </w:rPr>
        <w:t>R</w:t>
      </w:r>
      <w:r w:rsidR="00324C56" w:rsidRPr="00103A0B">
        <w:rPr>
          <w:rFonts w:ascii="Arial" w:hAnsi="Arial" w:cs="Arial"/>
          <w:b/>
          <w:bCs/>
          <w:sz w:val="24"/>
          <w:szCs w:val="24"/>
        </w:rPr>
        <w:t>etention</w:t>
      </w:r>
      <w:bookmarkEnd w:id="109"/>
      <w:r w:rsidR="00324C56" w:rsidRPr="00103A0B">
        <w:rPr>
          <w:rFonts w:ascii="Arial" w:hAnsi="Arial" w:cs="Arial"/>
          <w:b/>
          <w:bCs/>
          <w:sz w:val="24"/>
          <w:szCs w:val="24"/>
        </w:rPr>
        <w:t xml:space="preserve"> </w:t>
      </w:r>
    </w:p>
    <w:p w14:paraId="23572078" w14:textId="2CAE6443" w:rsidR="00324C56" w:rsidRPr="00103A0B" w:rsidRDefault="00324C56" w:rsidP="00E154D0">
      <w:pPr>
        <w:spacing w:line="360" w:lineRule="auto"/>
        <w:jc w:val="both"/>
        <w:rPr>
          <w:rFonts w:ascii="Arial" w:hAnsi="Arial" w:cs="Arial"/>
          <w:strike/>
          <w:sz w:val="24"/>
          <w:szCs w:val="24"/>
        </w:rPr>
      </w:pPr>
      <w:r w:rsidRPr="00103A0B">
        <w:rPr>
          <w:rFonts w:ascii="Arial" w:hAnsi="Arial" w:cs="Arial"/>
          <w:sz w:val="24"/>
          <w:szCs w:val="24"/>
        </w:rPr>
        <w:t xml:space="preserve">Overall, many different BCTs were identified across DPPs. All DPPs used a “credible source” which is where part or all of the intervention was delivered by a credible spokesperson like a healthcare professional, for example, dieticians who were promoting healthier lifestyle changes or discouraging unhealthy habits </w:t>
      </w:r>
      <w:r w:rsidRPr="00103A0B">
        <w:rPr>
          <w:rFonts w:ascii="Arial" w:hAnsi="Arial" w:cs="Arial"/>
          <w:sz w:val="24"/>
          <w:szCs w:val="24"/>
        </w:rPr>
        <w:fldChar w:fldCharType="begin" w:fldLock="1"/>
      </w:r>
      <w:r w:rsidR="00810F86" w:rsidRPr="00103A0B">
        <w:rPr>
          <w:rFonts w:ascii="Arial" w:hAnsi="Arial" w:cs="Arial"/>
          <w:sz w:val="24"/>
          <w:szCs w:val="24"/>
        </w:rPr>
        <w:instrText>ADDIN CSL_CITATION {"citationItems":[{"id":"ITEM-1","itemData":{"ISBN":"1545-1151 (Electronic)","ISSN":"1545-1151","PMID":"20712930","abstract":"Introduction Although lifestyle interventions are effective in delaying the onset of diabetes, translating these lessons to routine health care settings remains a challenge. We investigated the effectiveness of a theory-based, brief, small-group weight loss intervention for diabetes prevention. A second-ary purpose was to determine the potential reach of the intervention. Methods A total of 14,379 members of an integrated health care organization newly diagnosed with prediabetes were potentially eligible to participate in this matched cohort longitudinal study. Of this group, 1,030 attended a 90-minute, small-group session that targeted personal action planning for healthful eating, physical activity, and weight management. We accessed electronic medical records to select 1 to 2 controls (matched on impaired fasting glucose measurement, sex, age, and body mass index) for each member who attended the small-group session (n = 760). Weight change, as recorded in the medical record, was the primary outcome. Mixed models analyses were used to adjust for matching variables and covariates and to account for individual random effects over time. Results Small-group participants lost significantly more weight than did their matched controls. A significantly higher proportion of small-group participants lost at least 5% of their body weight compared with controls.","author":[{"dropping-particle":"","family":"Almeida, F.A., Shetterly, S., Smith-Ray, R.L., Estabrooks","given":"P.A.","non-dropping-particle":"","parse-names":false,"suffix":""}],"container-title":"Prev Chronic Dis","id":"ITEM-1","issue":"5","issued":{"date-parts":[["2010"]]},"page":"1-5","title":"Reach and effectiveness of a weight loss intervention in patients with prediabetes in Colorado","type":"article-journal","volume":"7"},"uris":["http://www.mendeley.com/documents/?uuid=5a92acfa-5ca4-4ade-94d7-6c54f81315cd"]},{"id":"ITEM-2","itemData":{"DOI":"10.2337/dc08-0152.","author":[{"dropping-particle":"","family":"Payne WR, Walsh KJ., Harvey JT, Livy MF, Mckenzie KJ, Donaldson A","given":"et al.","non-dropping-particle":"","parse-names":false,"suffix":""}],"container-title":"Diabetes Care","id":"ITEM-2","issued":{"date-parts":[["2008"]]},"page":"2244-50","title":"Effect of a low–resource-intensive lifestyle modification program incorporating gymnasium-based and home-based resistance training on type 2 diabetes risk in Australian adults","type":"article-journal","volume":"31"},"uris":["http://www.mendeley.com/documents/?uuid=94025970-6bd0-4bcf-89d4-48f46a796268"]},{"id":"ITEM-3","itemData":{"DOI":"10.1111/j.1464-5491.2010.02918.x","ISBN":"0742-3071\\n1464-5491","ISSN":"14645491","PMID":"20536519","abstract":"AIMS: To report our experience of implementing the first community-based lifestyle intervention programme to detect high-risk individuals and prevent the development of Type 2 diabetes mellitus (T2DM) in a general population sample in Athens, Greece (the DE-PLAN Study). METHODS: The Finnish Type 2 Diabetes Risk Score (FINDRISC) questionnaire was distributed to 7900 people at workplaces and primary-care centres. High-risk individuals were invited to receive an oral glucose tolerance test (OGTT) and, after excluding persons with diabetes, to participate in a 1-year intervention programme, based on bimonthly sessions with a dietitian. RESULTS: Three thousand, two hundred and forty questionnaires were returned; 620 high-risk individuals were identified and 191 agreed to participate. Recruitment from workplaces was the most successful strategy for identifying high-risk persons, enrolling and maintaining them throughout the study. The 125 participants who fully completed the programme (66 did not return for a second OGTT) lost on average 1.0+/-4.7 kg (P=0.022). Higher adherence to the intervention sessions resulted in more significant weight loss (1.1+/-4.8 vs. 0.6+/-4.6 kg for low adherence). Persons with impaired fasting glucose (IFG) and/or impaired glucose tolerance (IGT) at baseline lost more weight than those with normal glucose tolerance (1.5+/-4.8 vs. -0.2+/-4.5 kg). The percentage of people with any type of dysglycaemia (IFG/IGT) was lower after the intervention (68.0% at baseline vs. 53.6% 1 year later, P=0.009); 5.6% developed diabetes. CONCLUSIONS: The implementation of a lifestyle intervention programme to prevent T2DM in the community is practical and feasible, accompanied by favourable lifestyle changes. Recruitment from workplaces was the most successful strategy.","author":[{"dropping-particle":"","family":"Makrilakis","given":"K.","non-dropping-particle":"","parse-names":false,"suffix":""},{"dropping-particle":"","family":"Liatis","given":"S.","non-dropping-particle":"","parse-names":false,"suffix":""},{"dropping-particle":"","family":"Grammatikou","given":"S.","non-dropping-particle":"","parse-names":false,"suffix":""},{"dropping-particle":"","family":"Perrea","given":"D.","non-dropping-particle":"","parse-names":false,"suffix":""},{"dropping-particle":"","family":"Katsilambros","given":"N.","non-dropping-particle":"","parse-names":false,"suffix":""}],"container-title":"Diabetic Medicine","id":"ITEM-3","issue":"4","issued":{"date-parts":[["2010"]]},"page":"459-465","title":"Implementation and effectiveness of the first community lifestyle intervention programme to prevent type 2 diabetes in Greece. The DE-PLAN study","type":"article-journal","volume":"27"},"uris":["http://www.mendeley.com/documents/?uuid=8fa5f81f-3e37-4e03-be5f-801dcd969a98"]},{"id":"ITEM-4","itemData":{"DOI":"10.2337/dc12-1250","ISBN":"0149-5992\\r1935-5548","ISSN":"01495992","PMID":"23275375","abstract":"OBJECTIVE: The landmark Diabetes Prevention Program (DPP) showed that lifestyle intervention can prevent or delay the onset of diabetes for those at risk. We evaluated a translational implementation of this intervention in a diverse set of American Indian and Alaska Native (AI/AN) communities.\\n\\nRESEARCH DESIGN AND METHODS: The Special Diabetes Program for Indians Diabetes Prevention (SDPI-DP) demonstration project implemented the DPP lifestyle intervention among 36 health care programs serving 80 tribes. A total of 2,553 participants with prediabetes were recruited and started intervention by 31 July 2008. They were offered the 16-session Lifestyle Balance Curriculum and underwent a thorough clinical assessment for evaluation of their diabetes status and risk at baseline, soon after completing the curriculum (postcurriculum), and annually for up to 3 years. Diabetes incidence was estimated. Weight loss, changes in blood pressure and lipid levels, and lifestyle changes after intervention were also evaluated.\\n\\nRESULTS: The completion rates of SDPI-DP were 74, 59, 42, and 33% for the postcurriculum and year 1, 2, and 3 assessments, respectively. The crude incidence of diabetes among SDPI-DP participants was 4.0% per year. Significant improvements in weight, blood pressure, and lipid levels were observed immediately after the intervention and annually thereafter for 3 years. Class attendance strongly correlated with diabetes incidence rate, weight loss, and change in systolic blood pressure.\\n\\nCONCLUSIONS: Our findings demonstrate the feasibility and potential of translating the lifestyle intervention in diverse AI/AN communities. They have important implications for future dissemination and institutionalization of the intervention throughout the Native American health system.","author":[{"dropping-particle":"","family":"Jiang","given":"Luohua","non-dropping-particle":"","parse-names":false,"suffix":""},{"dropping-particle":"","family":"Manson","given":"Spero M.","non-dropping-particle":"","parse-names":false,"suffix":""},{"dropping-particle":"","family":"Beals","given":"Janette","non-dropping-particle":"","parse-names":false,"suffix":""},{"dropping-particle":"","family":"Henderson","given":"William G.","non-dropping-particle":"","parse-names":false,"suffix":""},{"dropping-particle":"","family":"Huang","given":"Haixiao","non-dropping-particle":"","parse-names":false,"suffix":""},{"dropping-particle":"","family":"Acton","given":"Kelly J.","non-dropping-particle":"","parse-names":false,"suffix":""},{"dropping-particle":"","family":"Roubideaux","given":"Yvette","non-dropping-particle":"","parse-names":false,"suffix":""}],"container-title":"Diabetes Care","id":"ITEM-4","issue":"7","issued":{"date-parts":[["2013"]]},"page":"2027-2034","title":"Translating the diabetes prevention program into American Indian and Alaska native communities: results from the special diabetes program for Indians diabetes prevention demonstration project","type":"article-journal","volume":"36"},"uris":["http://www.mendeley.com/documents/?uuid=6fb8d6ab-39ae-48b6-b78a-5dcf85b9cf0a"]},{"id":"ITEM-5","itemData":{"DOI":"10.1186/1471-2458-7-249","ISBN":"1471-2458 (Electronic)\\r1471-2458 (Linking)","ISSN":"14712458","PMID":"17877832","abstract":"BACKGROUND: Randomised controlled trials demonstrate a 60% reduction in type 2 diabetes incidence through lifestyle modification programmes. The aim of this study is to determine whether such programmes are feasible in primary health care.\\n\\nMETHODS: An intervention study including 237 individuals 40-75 years of age with moderate or high risk of developing type 2 diabetes. A structured group programme with six 90 minute sessions delivered during an eight month period by trained nurses in Australian primary health care in 2004-2006. Main outcome measures taken at baseline, three, and 12 months included weight, height, waist circumference, fasting plasma glucose and lipids, plasma glucose two hours after oral glucose challenge, blood pressure, measures of psychological distress and general health outcomes. To test differences between baseline and follow-up, paired t-tests and Wilcoxon rank sum tests were performed.\\n\\nRESULTS: At twelve months participants' mean weight reduced by 2.52 kg (95% confidence interval 1.85 to 3.19) and waist circumference by 4.17 cm (3.48 to 4.87). Mean fasting glucose reduced by 0.14 mmol/l (0.07 to 0.20), plasma glucose two hours after oral glucose challenge by 0.58 mmol/l (0.36 to 0.79), total cholesterol by 0.29 mmol/l (0.18 to 0.40), low density lipoprotein cholesterol by 0.25 mmol/l (0.16 to 0.34), triglycerides by 0.15 mmol/l (0.05 to 0.24) and diastolic blood pressure by 2.14 mmHg (0.94 to 3.33). Significant improvements were also found in most psychological measures.\\n\\nCONCLUSION: This study provides evidence that a type 2 diabetes prevention programme using lifestyle intervention is feasible in primary health care settings, with reductions in risk factors approaching those observed in clinical trials.","author":[{"dropping-particle":"","family":"Laatikainen","given":"Tiina","non-dropping-particle":"","parse-names":false,"suffix":""},{"dropping-particle":"","family":"Dunbar","given":"James A.","non-dropping-particle":"","parse-names":false,"suffix":""},{"dropping-particle":"","family":"Chapman","given":"Anna","non-dropping-particle":"","parse-names":false,"suffix":""},{"dropping-particle":"","family":"Kilkkinen","given":"Annamari","non-dropping-particle":"","parse-names":false,"suffix":""},{"dropping-particle":"","family":"Vartiainen","given":"Erkki","non-dropping-particle":"","parse-names":false,"suffix":""},{"dropping-particle":"","family":"Heistaro","given":"Sami","non-dropping-particle":"","parse-names":false,"suffix":""},{"dropping-particle":"","family":"Philpot","given":"Ben","non-dropping-particle":"","parse-names":false,"suffix":""},{"dropping-particle":"","family":"Absetz","given":"Pilvikki","non-dropping-particle":"","parse-names":false,"suffix":""},{"dropping-particle":"","family":"Bunker","given":"Stephen","non-dropping-particle":"","parse-names":false,"suffix":""},{"dropping-particle":"","family":"O'Neil","given":"Adrienne","non-dropping-particle":"","parse-names":false,"suffix":""},{"dropping-particle":"","family":"Reddy","given":"Prasuna","non-dropping-particle":"","parse-names":false,"suffix":""},{"dropping-particle":"","family":"Best","given":"James D.","non-dropping-particle":"","parse-names":false,"suffix":""},{"dropping-particle":"","family":"Janus","given":"Edward D.","non-dropping-particle":"","parse-names":false,"suffix":""}],"container-title":"BMC Public Health","id":"ITEM-5","issue":"249","issued":{"date-parts":[["2007"]]},"title":"Prevention of type 2 diabetes by lifestyle intervention in an Australian primary health care setting: greater green triangle (GGT) diabetes prevention project","type":"article-journal","volume":"7"},"uris":["http://www.mendeley.com/documents/?uuid=ef090087-0d56-42cf-8079-ddbfceb8d350"]},{"id":"ITEM-6","itemData":{"DOI":"10.1016/j.puhe.2014.11.001","ISBN":"1476-5616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Health","id":"ITEM-6","issued":{"date-parts":[["2014"]]},"page":"674-77","publisher":"The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trial","type":"article-journal","volume":"128"},"uris":["http://www.mendeley.com/documents/?uuid=1abeaa8a-5178-4243-9733-7fd8d5ef92d5"]},{"id":"ITEM-7","itemData":{"DOI":"10.1016/j.jneb.2015.12.002","ISBN":"1499-4046","ISSN":"14994046","PMID":"26787601","abstract":"Objective: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Behavior","id":"ITEM-7","issue":"3","issued":{"date-parts":[["2016"]]},"page":"160-69","publisher":"Elsevier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trial","type":"article-journal","volume":"48"},"uris":["http://www.mendeley.com/documents/?uuid=2d8c03a8-0024-4655-930b-c43e21a3fdf8"]}],"mendeley":{"formattedCitation":"(Almeida, F.A., Shetterly, S., Smith-Ray, R.L., Estabrooks, 2010; Bernstein, A.M., Gendy, G., Rudd, N., Doyle, J., Fay, S., Moffett, K., 2014; Jiang et al., 2013; Laatikainen et al., 2007; Makrilakis et al., 2010; Miller et al., 2016; Payne WR, Walsh KJ., Harvey JT, Livy MF, Mckenzie KJ, Donaldson A, 2008)","manualFormatting":"(Almeida, Shetterly, Smith-Ray, Estabrooks, 2010; Bernstein, Gendy, Rudd, Doyle, Fay, Moffett, 2014; Jiang et al., 2013; Laatikainen et al., 2007; Makrilakis et al., 2010; Miller et al., 2016; Payne, Walsh, Harvey, Livy, Mckenzie, Donaldson, 2008)","plainTextFormattedCitation":"(Almeida, F.A., Shetterly, S., Smith-Ray, R.L., Estabrooks, 2010; Bernstein, A.M., Gendy, G., Rudd, N., Doyle, J., Fay, S., Moffett, K., 2014; Jiang et al., 2013; Laatikainen et al., 2007; Makrilakis et al., 2010; Miller et al., 2016; Payne WR, Walsh KJ., Harvey JT, Livy MF, Mckenzie KJ, Donaldson A, 2008)","previouslyFormattedCitation":"(Almeida, F.A., Shetterly, S., Smith-Ray, R.L., Estabrooks, 2010; Bernstein, A.M., Gendy, G., Rudd, N., Doyle, J., Fay, S., Moffett, K., 2014; Jiang et al., 2013; Laatikainen et al., 2007; Makrilakis et al., 2010; Miller et al., 2016; Payne WR, Walsh KJ., Harvey JT, Livy MF, Mckenzie KJ, Donaldson A, 2008)"},"properties":{"noteIndex":0},"schema":"https://github.com/citation-style-language/schema/raw/master/csl-citation.json"}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(Almeida, Shetterly, Smith-Ray, Estabrooks, 2010; Bernstein, Gendy, Rudd, Doyle, Fay, Moffett, 2014; Jiang et al., 2013; Laatikainen et al., 2007; Makrilakis et al., 2010; Miller et al., 2016; Payne, Walsh, Harvey, Livy, Mckenzie</w:t>
      </w:r>
      <w:r w:rsidR="00484A3C" w:rsidRPr="00103A0B">
        <w:rPr>
          <w:rFonts w:ascii="Arial" w:hAnsi="Arial" w:cs="Arial"/>
          <w:noProof/>
          <w:sz w:val="24"/>
          <w:szCs w:val="24"/>
        </w:rPr>
        <w:t>,</w:t>
      </w:r>
      <w:r w:rsidR="001B5F7B" w:rsidRPr="00103A0B">
        <w:rPr>
          <w:rFonts w:ascii="Arial" w:hAnsi="Arial" w:cs="Arial"/>
          <w:noProof/>
          <w:sz w:val="24"/>
          <w:szCs w:val="24"/>
        </w:rPr>
        <w:t xml:space="preserve"> Donaldson, 2008)</w:t>
      </w:r>
      <w:r w:rsidRPr="00103A0B">
        <w:rPr>
          <w:rFonts w:ascii="Arial" w:hAnsi="Arial" w:cs="Arial"/>
          <w:sz w:val="24"/>
          <w:szCs w:val="24"/>
        </w:rPr>
        <w:fldChar w:fldCharType="end"/>
      </w:r>
      <w:r w:rsidRPr="00103A0B">
        <w:rPr>
          <w:rFonts w:ascii="Arial" w:hAnsi="Arial" w:cs="Arial"/>
          <w:sz w:val="24"/>
          <w:szCs w:val="24"/>
        </w:rPr>
        <w:t xml:space="preserve">. The majority of DPPs used “instruction on how to perform a behaviour”, which involved advising participants how to perform a particular behaviour through exercise or cookery classes. Goal setting (behaviour) was also identified in the majority of DPPs, which included setting </w:t>
      </w:r>
      <w:r w:rsidRPr="00103A0B">
        <w:rPr>
          <w:rFonts w:ascii="Arial" w:hAnsi="Arial" w:cs="Arial"/>
          <w:sz w:val="24"/>
          <w:szCs w:val="24"/>
        </w:rPr>
        <w:lastRenderedPageBreak/>
        <w:t xml:space="preserve">or agreeing a behavioural goal as part of the intervention, like agreeing to undertake a certain amount of daily exercise. Although NICE guidelines recommend incorporating BCTs such as goal planning for successful behaviour change </w:t>
      </w:r>
      <w:r w:rsidRPr="00103A0B">
        <w:rPr>
          <w:rFonts w:ascii="Arial" w:hAnsi="Arial" w:cs="Arial"/>
          <w:sz w:val="24"/>
          <w:szCs w:val="24"/>
        </w:rPr>
        <w:fldChar w:fldCharType="begin" w:fldLock="1"/>
      </w:r>
      <w:r w:rsidR="008D109C" w:rsidRPr="00103A0B">
        <w:rPr>
          <w:rFonts w:ascii="Arial" w:hAnsi="Arial" w:cs="Arial"/>
          <w:sz w:val="24"/>
          <w:szCs w:val="24"/>
        </w:rPr>
        <w:instrText>ADDIN CSL_CITATION {"citationItems":[{"id":"ITEM-1","itemData":{"abstract":"The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Commissioners and providers have a responsibility to promote an environmentally sustainable health and care system and should assess and reduce the environmental impact of implementing NICE recommendations wherever possible.","author":[{"dropping-particle":"","family":"National Institute for Health and Care Excellence (NICE)","given":"","non-dropping-particle":"","parse-names":false,"suffix":""}],"id":"ITEM-1","issued":{"date-parts":[["2014"]]},"number-of-pages":"1-76","title":"Behaviour change: individual approaches","type":"report"},"uris":["http://www.mendeley.com/documents/?uuid=26517e3d-97cd-445c-919c-8b6d70ebb275"]}],"mendeley":{"formattedCitation":"(National Institute for Health and Care Excellence (NICE), 2014)","plainTextFormattedCitation":"(National Institute for Health and Care Excellence (NICE), 2014)","previouslyFormattedCitation":"(National Institute for Health and Care Excellence (NICE), 2014)"},"properties":{"noteIndex":0},"schema":"https://github.com/citation-style-language/schema/raw/master/csl-citation.json"}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(National Institute for Health and Care Excellence (NICE), 2014)</w:t>
      </w:r>
      <w:r w:rsidRPr="00103A0B">
        <w:rPr>
          <w:rFonts w:ascii="Arial" w:hAnsi="Arial" w:cs="Arial"/>
          <w:sz w:val="24"/>
          <w:szCs w:val="24"/>
        </w:rPr>
        <w:fldChar w:fldCharType="end"/>
      </w:r>
      <w:r w:rsidRPr="00103A0B">
        <w:rPr>
          <w:rFonts w:ascii="Arial" w:hAnsi="Arial" w:cs="Arial"/>
          <w:sz w:val="24"/>
          <w:szCs w:val="24"/>
        </w:rPr>
        <w:t xml:space="preserve">, this BCT was present in both high and low retention programmes, so was not a clear correlate of retention. </w:t>
      </w:r>
    </w:p>
    <w:p w14:paraId="6085702D" w14:textId="43288180" w:rsidR="00324C56" w:rsidRPr="00103A0B" w:rsidRDefault="00324C56" w:rsidP="00CD5919">
      <w:pPr>
        <w:spacing w:line="360" w:lineRule="auto"/>
        <w:jc w:val="both"/>
        <w:rPr>
          <w:rFonts w:ascii="Arial" w:hAnsi="Arial" w:cs="Arial"/>
          <w:sz w:val="24"/>
          <w:szCs w:val="24"/>
        </w:rPr>
      </w:pPr>
      <w:r w:rsidRPr="00103A0B">
        <w:rPr>
          <w:rFonts w:ascii="Arial" w:hAnsi="Arial" w:cs="Arial"/>
          <w:sz w:val="24"/>
          <w:szCs w:val="24"/>
        </w:rPr>
        <w:t xml:space="preserve">Furthermore, the programmes with high levels of retention were more likely to provide incentives for participation, use problem-solving, demonstrate the behaviour, use behavioural practice/rehearsal, and use techniques to reduce negative emotions. Those with lower levels of retention were more likely to use goal setting (outcome); similar findings have been reported for group-based weight management programmes </w:t>
      </w:r>
      <w:r w:rsidRPr="00103A0B">
        <w:rPr>
          <w:rFonts w:ascii="Arial" w:hAnsi="Arial" w:cs="Arial"/>
          <w:sz w:val="24"/>
          <w:szCs w:val="24"/>
        </w:rPr>
        <w:fldChar w:fldCharType="begin" w:fldLock="1"/>
      </w:r>
      <w:r w:rsidR="008D109C" w:rsidRPr="00103A0B">
        <w:rPr>
          <w:rFonts w:ascii="Arial" w:hAnsi="Arial" w:cs="Arial"/>
          <w:sz w:val="24"/>
          <w:szCs w:val="24"/>
        </w:rPr>
        <w:instrText>ADDIN CSL_CITATION {"citationItems":[{"id":"ITEM-1","itemData":{"author":[{"dropping-particle":"","family":"Gidlow","given":"C.","non-dropping-particle":"","parse-names":false,"suffix":""},{"dropping-particle":"","family":"Povey","given":"R.","non-dropping-particle":"","parse-names":false,"suffix":""},{"dropping-particle":"","family":"Ellis","given":"N.","non-dropping-particle":"","parse-names":false,"suffix":""},{"dropping-particle":"","family":"Begum","given":"S.","non-dropping-particle":"","parse-names":false,"suffix":""},{"dropping-particle":"","family":"Riley","given":"V.","non-dropping-particle":"","parse-names":false,"suffix":""},{"dropping-particle":"","family":"Chadwick","given":"P.","non-dropping-particle":"","parse-names":false,"suffix":""},{"dropping-particle":"","family":"Chadborn","given":"T.","non-dropping-particle":"","parse-names":false,"suffix":""},{"dropping-particle":"","family":"Gold","given":"N.","non-dropping-particle":"","parse-names":false,"suffix":""}],"id":"ITEM-1","issued":{"date-parts":[["2018"]]},"number-of-pages":"1-92","title":"Uptake and retention in group-based weight-management services","type":"report"},"uris":["http://www.mendeley.com/documents/?uuid=61411186-5f6d-4d8e-9f1a-27b3c50aa121"]}],"mendeley":{"formattedCitation":"(Gidlow et al., 2018)","plainTextFormattedCitation":"(Gidlow et al., 2018)","previouslyFormattedCitation":"(Gidlow et al., 2018)"},"properties":{"noteIndex":0},"schema":"https://github.com/citation-style-language/schema/raw/master/csl-citation.json"}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(Gidlow et al., 2018)</w:t>
      </w:r>
      <w:r w:rsidRPr="00103A0B">
        <w:rPr>
          <w:rFonts w:ascii="Arial" w:hAnsi="Arial" w:cs="Arial"/>
          <w:sz w:val="24"/>
          <w:szCs w:val="24"/>
        </w:rPr>
        <w:fldChar w:fldCharType="end"/>
      </w:r>
      <w:r w:rsidRPr="00103A0B">
        <w:rPr>
          <w:rFonts w:ascii="Arial" w:hAnsi="Arial" w:cs="Arial"/>
          <w:sz w:val="24"/>
          <w:szCs w:val="24"/>
        </w:rPr>
        <w:t xml:space="preserve">. This suggests that to encourage retention, it is more useful to focus on changing a </w:t>
      </w:r>
      <w:r w:rsidRPr="00103A0B">
        <w:rPr>
          <w:rFonts w:ascii="Arial" w:hAnsi="Arial" w:cs="Arial"/>
          <w:i/>
          <w:iCs/>
          <w:sz w:val="24"/>
          <w:szCs w:val="24"/>
        </w:rPr>
        <w:t xml:space="preserve">behaviour </w:t>
      </w:r>
      <w:r w:rsidRPr="00103A0B">
        <w:rPr>
          <w:rFonts w:ascii="Arial" w:hAnsi="Arial" w:cs="Arial"/>
          <w:sz w:val="24"/>
          <w:szCs w:val="24"/>
        </w:rPr>
        <w:t xml:space="preserve">like diet or exercise, rather than an </w:t>
      </w:r>
      <w:r w:rsidRPr="00103A0B">
        <w:rPr>
          <w:rFonts w:ascii="Arial" w:hAnsi="Arial" w:cs="Arial"/>
          <w:i/>
          <w:iCs/>
          <w:sz w:val="24"/>
          <w:szCs w:val="24"/>
        </w:rPr>
        <w:t>outcome</w:t>
      </w:r>
      <w:r w:rsidRPr="00103A0B">
        <w:rPr>
          <w:rFonts w:ascii="Arial" w:hAnsi="Arial" w:cs="Arial"/>
          <w:sz w:val="24"/>
          <w:szCs w:val="24"/>
        </w:rPr>
        <w:t xml:space="preserve"> such as weight. Programmes with low retention were more likely to include self-monitoring of behaviour. This contradicts research that suggests that self-monitoring of behaviour is one of the BCTs to improve retention or reduce T2DM incidence, so this finding should be treated with caution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DOI":"10.1111/cob.12180","author":[{"dropping-particle":"","family":"Burgess","given":"E","non-dropping-particle":"","parse-names":false,"suffix":""},{"dropping-particle":"","family":"Hassmén","given":"P","non-dropping-particle":"","parse-names":false,"suffix":""},{"dropping-particle":"","family":"Welvaert","given":"M","non-dropping-particle":"","parse-names":false,"suffix":""},{"dropping-particle":"","family":"Pumpa","given":"K L","non-dropping-particle":"","parse-names":false,"suffix":""}],"container-title":"Clinical obesity","id":"ITEM-1","issued":{"date-parts":[["2017"]]},"page":"105-14","title":"Behavioural treatment strategies improve adherence to lifestyle intervention programmes in adults with obesity : a systematic review and meta-analysis","type":"article-journal"},"uris":["http://www.mendeley.com/documents/?uuid=fe1feef7-25e6-42f6-8d75-41e41bc87de2"]},{"id":"ITEM-2","itemData":{"DOI":"10.1016/j.diabres.2010.06.030","author":[{"dropping-particle":"","family":"Baker","given":"Michael K","non-dropping-particle":"","parse-names":false,"suffix":""},{"dropping-particle":"","family":"Simpson","given":"Kylie","non-dropping-particle":"","parse-names":false,"suffix":""},{"dropping-particle":"","family":"Lloyd","given":"Bradley","non-dropping-particle":"","parse-names":false,"suffix":""},{"dropping-particle":"","family":"Bauman","given":"Adrian E","non-dropping-particle":"","parse-names":false,"suffix":""},{"dropping-particle":"","family":"Fiatarone","given":"Maria A","non-dropping-particle":"","parse-names":false,"suffix":""}],"container-title":"Diabetes Research &amp; Clinical Practice","id":"ITEM-2","issued":{"date-parts":[["2011"]]},"page":"1-12","title":"Behavioral strategies in diabetes prevention programs : a systematic review of randomized controlled trials","type":"article-journal","volume":"91"},"uris":["http://www.mendeley.com/documents/?uuid=ca11108e-594a-4906-b196-71cde5ba5849"]}],"mendeley":{"formattedCitation":"(Baker et al., 2011; Burgess et al., 2017)","plainTextFormattedCitation":"(Baker et al., 2011; Burgess et al., 2017)","previouslyFormattedCitation":"(Baker et al., 2011; Burgess et al., 2017)"},"properties":{"noteIndex":0},"schema":"https://github.com/citation-style-language/schema/raw/master/csl-citation.json"}</w:instrText>
      </w:r>
      <w:r w:rsidRPr="00103A0B">
        <w:rPr>
          <w:rFonts w:ascii="Arial" w:hAnsi="Arial" w:cs="Arial"/>
          <w:sz w:val="24"/>
          <w:szCs w:val="24"/>
        </w:rPr>
        <w:fldChar w:fldCharType="separate"/>
      </w:r>
      <w:r w:rsidR="00445FC8" w:rsidRPr="00103A0B">
        <w:rPr>
          <w:rFonts w:ascii="Arial" w:hAnsi="Arial" w:cs="Arial"/>
          <w:noProof/>
          <w:sz w:val="24"/>
          <w:szCs w:val="24"/>
        </w:rPr>
        <w:t>(Baker et al., 2011; Burgess et al., 2017)</w:t>
      </w:r>
      <w:r w:rsidRPr="00103A0B">
        <w:rPr>
          <w:rFonts w:ascii="Arial" w:hAnsi="Arial" w:cs="Arial"/>
          <w:sz w:val="24"/>
          <w:szCs w:val="24"/>
        </w:rPr>
        <w:fldChar w:fldCharType="end"/>
      </w:r>
      <w:r w:rsidRPr="00103A0B">
        <w:rPr>
          <w:rFonts w:ascii="Arial" w:hAnsi="Arial" w:cs="Arial"/>
          <w:sz w:val="24"/>
          <w:szCs w:val="24"/>
        </w:rPr>
        <w:t>. However, it is possible that participants may have felt that self-monitoring their behaviour was burdensome and time consuming (if a high level of self-monitoring was required) resulting in them losing interest in the programme, and therefore dropping out. Another reason may be that self-monitoring led participants to become demotivated to remain in the programme due to not achieving their dietary and/or physical activity expectations after completing questionnaires or activity logs to record their behaviour.</w:t>
      </w:r>
      <w:r w:rsidR="005B70A3" w:rsidRPr="00103A0B">
        <w:rPr>
          <w:rFonts w:ascii="Arial" w:hAnsi="Arial" w:cs="Arial"/>
          <w:sz w:val="24"/>
          <w:szCs w:val="24"/>
        </w:rPr>
        <w:t xml:space="preserve"> </w:t>
      </w:r>
      <w:r w:rsidRPr="00103A0B">
        <w:rPr>
          <w:rFonts w:ascii="Arial" w:hAnsi="Arial" w:cs="Arial"/>
          <w:sz w:val="24"/>
          <w:szCs w:val="24"/>
        </w:rPr>
        <w:t xml:space="preserve">This can lead to some individuals feeling discouraged or avoidant </w:t>
      </w:r>
      <w:r w:rsidRPr="00103A0B">
        <w:rPr>
          <w:rFonts w:ascii="Arial" w:hAnsi="Arial" w:cs="Arial"/>
          <w:sz w:val="24"/>
          <w:szCs w:val="24"/>
        </w:rPr>
        <w:fldChar w:fldCharType="begin" w:fldLock="1"/>
      </w:r>
      <w:r w:rsidR="008D109C" w:rsidRPr="00103A0B">
        <w:rPr>
          <w:rFonts w:ascii="Arial" w:hAnsi="Arial" w:cs="Arial"/>
          <w:sz w:val="24"/>
          <w:szCs w:val="24"/>
        </w:rPr>
        <w:instrText>ADDIN CSL_CITATION {"citationItems":[{"id":"ITEM-1","itemData":{"DOI":"10.1001/jama.2018.2921","ISSN":"15383598","author":[{"dropping-particle":"","family":"Kangovi","given":"Shreya","non-dropping-particle":"","parse-names":false,"suffix":""},{"dropping-particle":"","family":"Asch","given":"David A.","non-dropping-particle":"","parse-names":false,"suffix":""}],"container-title":"JAMA - Journal of the American Medical Association","id":"ITEM-1","issue":"20","issued":{"date-parts":[["2018"]]},"page":"2075-2076","title":"Behavioral phenotyping in health promotion embracing or avoiding failure","type":"article-journal","volume":"319"},"uris":["http://www.mendeley.com/documents/?uuid=9e31803c-8930-4d52-afa8-da12bef55741"]}],"mendeley":{"formattedCitation":"(Kangovi &amp; Asch, 2018)","plainTextFormattedCitation":"(Kangovi &amp; Asch, 2018)","previouslyFormattedCitation":"(Kangovi &amp; Asch, 2018)"},"properties":{"noteIndex":0},"schema":"https://github.com/citation-style-language/schema/raw/master/csl-citation.json"}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(Kangovi &amp; Asch, 2018)</w:t>
      </w:r>
      <w:r w:rsidRPr="00103A0B">
        <w:rPr>
          <w:rFonts w:ascii="Arial" w:hAnsi="Arial" w:cs="Arial"/>
          <w:sz w:val="24"/>
          <w:szCs w:val="24"/>
        </w:rPr>
        <w:fldChar w:fldCharType="end"/>
      </w:r>
      <w:r w:rsidRPr="00103A0B">
        <w:rPr>
          <w:rFonts w:ascii="Arial" w:hAnsi="Arial" w:cs="Arial"/>
          <w:sz w:val="24"/>
          <w:szCs w:val="24"/>
        </w:rPr>
        <w:t>. This interesting and unexpected finding would merit further investigation.</w:t>
      </w:r>
    </w:p>
    <w:p w14:paraId="7A2D6212" w14:textId="15BDE5E3" w:rsidR="00324C56" w:rsidRPr="00103A0B" w:rsidRDefault="00324C56" w:rsidP="00CD5919">
      <w:pPr>
        <w:tabs>
          <w:tab w:val="left" w:pos="1470"/>
        </w:tabs>
        <w:spacing w:line="360" w:lineRule="auto"/>
        <w:jc w:val="both"/>
        <w:rPr>
          <w:rFonts w:ascii="Arial" w:hAnsi="Arial" w:cs="Arial"/>
          <w:sz w:val="24"/>
          <w:szCs w:val="24"/>
        </w:rPr>
      </w:pPr>
      <w:r w:rsidRPr="00103A0B">
        <w:rPr>
          <w:rFonts w:ascii="Arial" w:eastAsia="Times New Roman" w:hAnsi="Arial" w:cs="Arial"/>
          <w:sz w:val="24"/>
          <w:szCs w:val="24"/>
          <w:lang w:eastAsia="en-GB"/>
        </w:rPr>
        <w:t>In the high retention programmes, “incentive for participation” involved participants being given cash, gift vouchers or certificates at various points in the programme. This behaviour change technique does not fit into any of the 93 BCTs from the taxonomy as it refers to using rewards to encourage taking part, rather than rewards to encourage performing the health behaviour.</w:t>
      </w:r>
      <w:r w:rsidR="005B70A3" w:rsidRPr="00103A0B">
        <w:rPr>
          <w:rFonts w:ascii="Arial" w:eastAsia="Times New Roman" w:hAnsi="Arial" w:cs="Arial"/>
          <w:sz w:val="24"/>
          <w:szCs w:val="24"/>
          <w:lang w:eastAsia="en-GB"/>
        </w:rPr>
        <w:t xml:space="preserve"> </w:t>
      </w:r>
      <w:r w:rsidRPr="00103A0B">
        <w:rPr>
          <w:rFonts w:ascii="Arial" w:eastAsia="Times New Roman" w:hAnsi="Arial" w:cs="Arial"/>
          <w:sz w:val="24"/>
          <w:szCs w:val="24"/>
          <w:lang w:eastAsia="en-GB"/>
        </w:rPr>
        <w:t xml:space="preserve">This suggests that providing incentives for people to participate in behaviour change programmes should be considered to promote retention in DPPs by motivating participants to continue attending </w:t>
      </w:r>
      <w:r w:rsidRPr="00103A0B">
        <w:rPr>
          <w:rFonts w:ascii="Arial" w:eastAsia="Times New Roman" w:hAnsi="Arial" w:cs="Arial"/>
          <w:sz w:val="24"/>
          <w:szCs w:val="24"/>
          <w:lang w:eastAsia="en-GB"/>
        </w:rPr>
        <w:fldChar w:fldCharType="begin" w:fldLock="1"/>
      </w:r>
      <w:r w:rsidR="000D70A8" w:rsidRPr="00103A0B">
        <w:rPr>
          <w:rFonts w:ascii="Arial" w:eastAsia="Times New Roman" w:hAnsi="Arial" w:cs="Arial"/>
          <w:sz w:val="24"/>
          <w:szCs w:val="24"/>
          <w:lang w:eastAsia="en-GB"/>
        </w:rPr>
        <w:instrText>ADDIN CSL_CITATION {"citationItems":[{"id":"ITEM-1","itemData":{"author":[{"dropping-particle":"","family":"Public Health England","given":"","non-dropping-particle":"","parse-names":false,"suffix":""}],"id":"ITEM-1","issued":{"date-parts":[["2016"]]},"number-of-pages":"1-20","title":"NHS diabetes prevention programme: an opportunity to partner with the behavioural insight team to improve outcomes","type":"report"},"uris":["http://www.mendeley.com/documents/?uuid=6f0e8253-27d4-40ef-bf26-4af34232fd90"]}],"mendeley":{"formattedCitation":"(Public Health England, 2016)","plainTextFormattedCitation":"(Public Health England, 2016)","previouslyFormattedCitation":"(Public Health England,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D70A8" w:rsidRPr="00103A0B">
        <w:rPr>
          <w:rFonts w:ascii="Arial" w:eastAsia="Times New Roman" w:hAnsi="Arial" w:cs="Arial"/>
          <w:noProof/>
          <w:sz w:val="24"/>
          <w:szCs w:val="24"/>
          <w:lang w:eastAsia="en-GB"/>
        </w:rPr>
        <w:t>(Public Health England,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However, providing monetary incentives to participants may not be feasible or sustainable in many settings, particularly in low- and middle-income </w:t>
      </w:r>
      <w:r w:rsidRPr="00103A0B">
        <w:rPr>
          <w:rFonts w:ascii="Arial" w:eastAsia="Times New Roman" w:hAnsi="Arial" w:cs="Arial"/>
          <w:sz w:val="24"/>
          <w:szCs w:val="24"/>
          <w:lang w:eastAsia="en-GB"/>
        </w:rPr>
        <w:lastRenderedPageBreak/>
        <w:t xml:space="preserve">countries, so non-monetary rewards, such as certificates or other incentives might also be worth considering. Some qualitative evidence suggested attrition was related to effectiveness of incentives </w:t>
      </w:r>
      <w:r w:rsidRPr="00103A0B">
        <w:rPr>
          <w:rFonts w:ascii="Arial" w:eastAsia="Times New Roman" w:hAnsi="Arial" w:cs="Arial"/>
          <w:sz w:val="24"/>
          <w:szCs w:val="24"/>
          <w:lang w:eastAsia="en-GB"/>
        </w:rPr>
        <w:fldChar w:fldCharType="begin" w:fldLock="1"/>
      </w:r>
      <w:r w:rsidR="00643C08" w:rsidRPr="00103A0B">
        <w:rPr>
          <w:rFonts w:ascii="Arial" w:eastAsia="Times New Roman" w:hAnsi="Arial" w:cs="Arial"/>
          <w:sz w:val="24"/>
          <w:szCs w:val="24"/>
          <w:lang w:eastAsia="en-GB"/>
        </w:rPr>
        <w:instrText>ADDIN CSL_CITATION {"citationItems":[{"id":"ITEM-1","itemData":{"DOI":"10.1377/hlthaff.2011.1009","ISBN":"0278-2715","ISSN":"02782715","PMID":"22232096","abstract":"We conducted a systematic review and meta-analysis of twenty-eight US-based studies applying the findings of the Diabetes Prevention Program, a clinical trial that tested the effects of a lifestyle intervention for people at high risk for diabetes, in real-world settings. The average weight change at twelve months after the intervention was a loss of about 4 percent from participants' baseline weight. Change in weight was similar regardless of whether the intervention was delivered by clinically trained professionals or lay educators. Additional analyses limited to seventeen studies with a nine-month or greater follow-up assessment showed similar weight change. With every additional lifestyle session attended, weight loss increased by 0.26 percentage point. We conclude that costs associated with diabetes prevention can be lowered without sacrificing effectiveness, using nonmedical personnel and motivating higher attendance at program sessions.","author":[{"dropping-particle":"","family":"Ali","given":"Mohammed K.","non-dropping-particle":"","parse-names":false,"suffix":""},{"dropping-particle":"","family":"Echouffo-Tcheugui","given":"Justin","non-dropping-particle":"","parse-names":false,"suffix":""},{"dropping-particle":"","family":"Williamson","given":"David F.","non-dropping-particle":"","parse-names":false,"suffix":""}],"container-title":"Health Affairs","id":"ITEM-1","issue":"1","issued":{"date-parts":[["2012"]]},"page":"67-75","title":"How effective were lifestyle interventions in real-world settings that were modeled on the diabetes prevention program?","type":"article-journal","volume":"31"},"uris":["http://www.mendeley.com/documents/?uuid=26117989-2306-4df9-98ef-7e2fb5b4c053"]}],"mendeley":{"formattedCitation":"(Ali et al., 2012)","plainTextFormattedCitation":"(Ali et al., 2012)","previouslyFormattedCitation":"(Ali et al., 2012)"},"properties":{"noteIndex":0},"schema":"https://github.com/citation-style-language/schema/raw/master/csl-citation.json"}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445FC8" w:rsidRPr="00103A0B">
        <w:rPr>
          <w:rFonts w:ascii="Arial" w:eastAsia="Times New Roman" w:hAnsi="Arial" w:cs="Arial"/>
          <w:noProof/>
          <w:sz w:val="24"/>
          <w:szCs w:val="24"/>
          <w:lang w:eastAsia="en-GB"/>
        </w:rPr>
        <w:t>(Ali et al., 2012)</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but whether incentives promote retention requires further investigation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{"citationItems":[{"id":"ITEM-1","itemData":{"author":[{"dropping-particle":"","family":"Jochelson","given":"Karen","non-dropping-particle":"","parse-names":false,"suffix":""}],"id":"ITEM-1","issued":{"date-parts":[["2007"]]},"number-of-pages":"1-22","title":"Paying the patient improving health using financial incentives","type":"report"},"uris":["http://www.mendeley.com/documents/?uuid=bf4a27e4-b3e8-431e-9a46-15b6fb624d51"]}],"mendeley":{"formattedCitation":"(Jochelson, 2007)","plainTextFormattedCitation":"(Jochelson, 2007)","previouslyFormattedCitation":"(Jochelson, 2007)"},"properties":{"noteIndex":0},"schema":"https://github.com/citation-style-language/schema/raw/master/csl-citation.json"}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(Jochelson, 2007)</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r w:rsidRPr="00103A0B">
        <w:rPr>
          <w:rFonts w:ascii="Arial" w:hAnsi="Arial" w:cs="Arial"/>
          <w:sz w:val="24"/>
          <w:szCs w:val="24"/>
        </w:rPr>
        <w:t>Problem-solving was more likely to be included in high-retention programmes.</w:t>
      </w:r>
      <w:r w:rsidR="000B0782" w:rsidRPr="00103A0B">
        <w:rPr>
          <w:rFonts w:ascii="Arial" w:hAnsi="Arial" w:cs="Arial"/>
          <w:sz w:val="24"/>
          <w:szCs w:val="24"/>
        </w:rPr>
        <w:t xml:space="preserve"> </w:t>
      </w:r>
      <w:r w:rsidRPr="00103A0B">
        <w:rPr>
          <w:rFonts w:ascii="Arial" w:hAnsi="Arial" w:cs="Arial"/>
          <w:sz w:val="24"/>
          <w:szCs w:val="24"/>
        </w:rPr>
        <w:t xml:space="preserve">It involved identifying barriers to making lifestyle changes and devising strategies to overcome them. This enables participants to have an active involvement in making the desired changes, and may encourage them to continue with the programme </w:t>
      </w:r>
      <w:r w:rsidRPr="00103A0B">
        <w:rPr>
          <w:rFonts w:ascii="Arial" w:hAnsi="Arial" w:cs="Arial"/>
          <w:sz w:val="24"/>
          <w:szCs w:val="24"/>
        </w:rPr>
        <w:fldChar w:fldCharType="begin" w:fldLock="1"/>
      </w:r>
      <w:r w:rsidR="008D109C" w:rsidRPr="00103A0B">
        <w:rPr>
          <w:rFonts w:ascii="Arial" w:hAnsi="Arial" w:cs="Arial"/>
          <w:sz w:val="24"/>
          <w:szCs w:val="24"/>
        </w:rPr>
        <w:instrText>ADDIN CSL_CITATION {"citationItems":[{"id":"ITEM-1","itemData":{"author":[{"dropping-particle":"","family":"Gidlow","given":"C.","non-dropping-particle":"","parse-names":false,"suffix":""},{"dropping-particle":"","family":"Povey","given":"R.","non-dropping-particle":"","parse-names":false,"suffix":""},{"dropping-particle":"","family":"Ellis","given":"N.","non-dropping-particle":"","parse-names":false,"suffix":""},{"dropping-particle":"","family":"Begum","given":"S.","non-dropping-particle":"","parse-names":false,"suffix":""},{"dropping-particle":"","family":"Riley","given":"V.","non-dropping-particle":"","parse-names":false,"suffix":""},{"dropping-particle":"","family":"Chadwick","given":"P.","non-dropping-particle":"","parse-names":false,"suffix":""},{"dropping-particle":"","family":"Chadborn","given":"T.","non-dropping-particle":"","parse-names":false,"suffix":""},{"dropping-particle":"","family":"Gold","given":"N.","non-dropping-particle":"","parse-names":false,"suffix":""}],"id":"ITEM-1","issued":{"date-parts":[["2018"]]},"number-of-pages":"1-92","title":"Uptake and retention in group-based weight-management services","type":"report"},"uris":["http://www.mendeley.com/documents/?uuid=61411186-5f6d-4d8e-9f1a-27b3c50aa121"]}],"mendeley":{"formattedCitation":"(Gidlow et al., 2018)","plainTextFormattedCitation":"(Gidlow et al., 2018)","previouslyFormattedCitation":"(Gidlow et al., 2018)"},"properties":{"noteIndex":0},"schema":"https://github.com/citation-style-language/schema/raw/master/csl-citation.json"}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(Gidlow et al., 2018)</w:t>
      </w:r>
      <w:r w:rsidRPr="00103A0B">
        <w:rPr>
          <w:rFonts w:ascii="Arial" w:hAnsi="Arial" w:cs="Arial"/>
          <w:sz w:val="24"/>
          <w:szCs w:val="24"/>
        </w:rPr>
        <w:fldChar w:fldCharType="end"/>
      </w:r>
      <w:r w:rsidRPr="00103A0B">
        <w:rPr>
          <w:rFonts w:ascii="Arial" w:hAnsi="Arial" w:cs="Arial"/>
          <w:sz w:val="24"/>
          <w:szCs w:val="24"/>
        </w:rPr>
        <w:t xml:space="preserve">. </w:t>
      </w:r>
    </w:p>
    <w:p w14:paraId="3A184E77" w14:textId="75BFEBFF" w:rsidR="00324C56" w:rsidRPr="00103A0B" w:rsidRDefault="00324C56" w:rsidP="00CD5919">
      <w:pPr>
        <w:tabs>
          <w:tab w:val="left" w:pos="1470"/>
        </w:tabs>
        <w:spacing w:line="360" w:lineRule="auto"/>
        <w:jc w:val="both"/>
        <w:rPr>
          <w:rFonts w:ascii="Arial" w:eastAsia="Times New Roman" w:hAnsi="Arial" w:cs="Arial"/>
          <w:sz w:val="24"/>
          <w:szCs w:val="24"/>
          <w:lang w:eastAsia="en-GB"/>
        </w:rPr>
      </w:pPr>
      <w:r w:rsidRPr="00103A0B">
        <w:rPr>
          <w:rFonts w:ascii="Arial" w:hAnsi="Arial" w:cs="Arial"/>
          <w:sz w:val="24"/>
          <w:szCs w:val="24"/>
        </w:rPr>
        <w:t xml:space="preserve">Demonstration of the behaviour included participants being shown how to perform the behaviour, for example how to exercise was demonstrated during physical activity sessions through observation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Medicine","id":"ITEM-1","issue":"4","issued":{"date-parts":[["2015"]]},"page":"547-551","title":"Translation of the diabetes prevention program for diabetes risk reduction in Chinese immigrants in New York city","type":"article-journal","volume":"33"},"uris":["http://www.mendeley.com/documents/?uuid=05391168-7679-4063-baae-26f96e47d08a"]},{"id":"ITEM-2","itemData":{"DOI":"10.1186/1472-6882-14-212","ISBN":"1472-6882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Medicine","id":"ITEM-2","issue":"1","issued":{"date-parts":[["2014"]]},"page":"212","title":"A yoga intervention for type 2 diabetes risk reduction: a pilot randomized controlled trial","type":"article-journal","volume":"14"},"uris":["http://www.mendeley.com/documents/?uuid=934d80fb-c55d-4626-908a-2ca578b57990"]},{"id":"ITEM-3","itemData":{"DOI":"10.1371/journal.pone.0146095","ISBN":"1932-6203","ISSN":"1932-6203","PMID":"26731676","abstract":"In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One","id":"ITEM-3","issue":"1","issued":{"date-parts":[["2016"]]},"page":"e0146095","title":"Long-term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island","type":"article-journal","volume":"11"},"uris":["http://www.mendeley.com/documents/?uuid=e072a9e3-f17a-48e3-98af-f3db4a1c8ee3"]}],"mendeley":{"formattedCitation":"(Fianu et al., 2016; McDermott et al., 2014; Yeh et al., 2015)","plainTextFormattedCitation":"(Fianu et al., 2016; McDermott et al., 2014; Yeh et al., 2015)","previouslyFormattedCitation":"(Fianu et al., 2016; McDermott et al., 2014; Yeh et al., 2015)"},"properties":{"noteIndex":0},"schema":"https://github.com/citation-style-language/schema/raw/master/csl-citation.json"}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(Fianu et al., 2016; McDermott et al., 2014; Yeh et al., 2015)</w:t>
      </w:r>
      <w:r w:rsidRPr="00103A0B">
        <w:rPr>
          <w:rFonts w:ascii="Arial" w:hAnsi="Arial" w:cs="Arial"/>
          <w:sz w:val="24"/>
          <w:szCs w:val="24"/>
        </w:rPr>
        <w:fldChar w:fldCharType="end"/>
      </w:r>
      <w:r w:rsidRPr="00103A0B">
        <w:rPr>
          <w:rFonts w:ascii="Arial" w:hAnsi="Arial" w:cs="Arial"/>
          <w:sz w:val="24"/>
          <w:szCs w:val="24"/>
        </w:rPr>
        <w:t xml:space="preserve">, healthy eating was demonstrated through showing portion sizes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Medicine","id":"ITEM-1","issue":"4","issued":{"date-parts":[["2015"]]},"page":"547-551","title":"Translation of the diabetes prevention program for diabetes risk reduction in Chinese immigrants in New York city","type":"article-journal","volume":"33"},"uris":["http://www.mendeley.com/documents/?uuid=05391168-7679-4063-baae-26f96e47d08a"]}],"mendeley":{"formattedCitation":"(Yeh et al., 2015)","plainTextFormattedCitation":"(Yeh et al., 2015)","previouslyFormattedCitation":"(Yeh et al., 2015)"},"properties":{"noteIndex":0},"schema":"https://github.com/citation-style-language/schema/raw/master/csl-citation.json"}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(Yeh et al., 2015)</w:t>
      </w:r>
      <w:r w:rsidRPr="00103A0B">
        <w:rPr>
          <w:rFonts w:ascii="Arial" w:hAnsi="Arial" w:cs="Arial"/>
          <w:sz w:val="24"/>
          <w:szCs w:val="24"/>
        </w:rPr>
        <w:fldChar w:fldCharType="end"/>
      </w:r>
      <w:r w:rsidRPr="00103A0B">
        <w:rPr>
          <w:rFonts w:ascii="Arial" w:hAnsi="Arial" w:cs="Arial"/>
          <w:sz w:val="24"/>
          <w:szCs w:val="24"/>
        </w:rPr>
        <w:t xml:space="preserve"> or healthy cooking methods </w:t>
      </w:r>
      <w:r w:rsidRPr="00103A0B">
        <w:rPr>
          <w:rFonts w:ascii="Arial" w:hAnsi="Arial" w:cs="Arial"/>
          <w:sz w:val="24"/>
          <w:szCs w:val="24"/>
        </w:rPr>
        <w:fldChar w:fldCharType="begin" w:fldLock="1"/>
      </w:r>
      <w:r w:rsidR="00810F86" w:rsidRPr="00103A0B">
        <w:rPr>
          <w:rFonts w:ascii="Arial" w:hAnsi="Arial" w:cs="Arial"/>
          <w:sz w:val="24"/>
          <w:szCs w:val="24"/>
        </w:rPr>
        <w:instrText>ADDIN CSL_CITATION {"citationItems":[{"id":"ITEM-1","itemData":{"DOI":"10.2105/AJPH.2011.300357","ISBN":"1541-0048 (Electronic)\\r0090-0036 (Linking)","ISSN":"00900036","PMID":"22390448","abstract":"OBJECTIVES: We tested the effectiveness of a community-based, literacy-sensitive, and culturally tailored lifestyle intervention on weight loss and diabetes risk reduction among low-income, Spanish-speaking Latinos at increased diabetes risk.\\n\\nMETHODS: Three hundred twelve participants from Lawrence, Massachusetts, were randomly assigned to lifestyle intervention care (IC) or usual care (UC) between 2004 and 2007. The intervention was implemented by trained Spanish-speaking individuals from the community. Each participant was followed for 1 year.\\n\\nRESULTS: The participants' mean age was 52 years; 59% had less than a high school education. The 1-year retention rate was 94%. Compared with the UC group, the IC group had a modest but significant weight reduction (-2.5 vs 0.63 lb; P = .04) and a clinically meaningful reduction in hemoglobin A1c (-0.10% vs -0.04%; P = .009). Likewise, insulin resistance improved significantly in the IC compared with the UC group. The IC group also had greater reductions in percentage of calories from total and saturated fat.\\n\\nCONCLUSIONS: We developed an inexpensive, culturally sensitive diabetes prevention program that resulted in weight loss, improved HbA1c, and improved insulin resistance in a high-risk Latino population.","author":[{"dropping-particle":"","family":"Ockene","given":"Ira S.","non-dropping-particle":"","parse-names":false,"suffix":""},{"dropping-particle":"","family":"Tellez","given":"Trinidad L.","non-dropping-particle":"","parse-names":false,"suffix":""},{"dropping-particle":"","family":"Rosal","given":"Milagros C.","non-dropping-particle":"","parse-names":false,"suffix":""},{"dropping-particle":"","family":"Reed","given":"George W.","non-dropping-particle":"","parse-names":false,"suffix":""},{"dropping-particle":"","family":"Mordes","given":"John","non-dropping-particle":"","parse-names":false,"suffix":""},{"dropping-particle":"","family":"Merriam","given":"Philip A.","non-dropping-particle":"","parse-names":false,"suffix":""},{"dropping-particle":"","family":"Olendzki","given":"Barbara C.","non-dropping-particle":"","parse-names":false,"suffix":""},{"dropping-particle":"","family":"Handelman","given":"Garry","non-dropping-particle":"","parse-names":false,"suffix":""},{"dropping-particle":"","family":"Nicolosi","given":"Robert","non-dropping-particle":"","parse-names":false,"suffix":""},{"dropping-particle":"","family":"Ma","given":"Yunsheng","non-dropping-particle":"","parse-names":false,"suffix":""}],"container-title":"American Journal of Public Health","id":"ITEM-1","issue":"2","issued":{"date-parts":[["2012"]]},"page":"336-342","title":"Outcomes of a Latino community-based intervention for the prevention of diabetes: the lawrence Latino diabetes prevention project","type":"article-journal","volume":"102"},"uris":["http://www.mendeley.com/documents/?uuid=6b9cb080-dc52-4e71-a5c6-bb5e3c90945b"]}],"mendeley":{"formattedCitation":"(Ockene et al., 2012)","plainTextFormattedCitation":"(Ockene et al., 2012)","previouslyFormattedCitation":"(Ockene et al., 2012)"},"properties":{"noteIndex":0},"schema":"https://github.com/citation-style-language/schema/raw/master/csl-citation.json"}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(Ockene et al., 2012)</w:t>
      </w:r>
      <w:r w:rsidRPr="00103A0B">
        <w:rPr>
          <w:rFonts w:ascii="Arial" w:hAnsi="Arial" w:cs="Arial"/>
          <w:sz w:val="24"/>
          <w:szCs w:val="24"/>
        </w:rPr>
        <w:fldChar w:fldCharType="end"/>
      </w:r>
      <w:r w:rsidRPr="00103A0B">
        <w:rPr>
          <w:rFonts w:ascii="Arial" w:hAnsi="Arial" w:cs="Arial"/>
          <w:sz w:val="24"/>
          <w:szCs w:val="24"/>
        </w:rPr>
        <w:t xml:space="preserve">. Behavioural practice/rehearsal involved participants cooking healthy foods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{"citationItems":[{"id":"ITEM-1","itemData":{"DOI":"10.1016/j.puhe.2014.11.001","ISBN":"1476-5616 (Electronic) 0033-3506 (Linking)","ISSN":"14765616","PMID":"24996961","abstract":"Type 2 diabetes (T2DM) is epidemic in the United States (U.S.) with 11% of adults carrying the diagnosis. Nearly one in five African-American adults are diabetic and 78% of African-American women are overweight or obese — the highest rate of any group in the U.S. The Diabetes Prevention Program demonstrated that lifestyle modification can significantly reduce the incidence of diabetes but there have been few translational studies and most have had limited efficacy. For this reason, an innovative lifestyle modification program was designed for overweight and obese African-American women with prediabetes based on our 1-year Lifestyle 180 program. Our objective was to determine whether participants would adhere with the program and whether the program could help participants reduce weight and blood glucose. The study, known as Fitness, Relaxation, and Eating to Stay Healthy (FRESH), was a pilot parallel randomized controlled trial. (PsycINFO Database Record (c) 2016 APA, all rights reserved)","author":[{"dropping-particle":"","family":"Bernstein, A.M., Gendy, G., Rudd, N., Doyle, J., Fay, S., Moffett, K.","given":"et al.","non-dropping-particle":"","parse-names":false,"suffix":""}],"container-title":"Public Health","id":"ITEM-1","issued":{"date-parts":[["2014"]]},"page":"674-77","publisher":"The Royal Society for Public Health","title":"Management of prediabetes through lifestyle modification in overweight and obese African-American women: the fitness, relaxation and eating to stay health (FRESH) randomized controlled trial","type":"article-journal","volume":"128"},"uris":["http://www.mendeley.com/documents/?uuid=1abeaa8a-5178-4243-9733-7fd8d5ef92d5"]},{"id":"ITEM-2","itemData":{"DOI":"10.1371/journal.pone.0146095","ISBN":"1932-6203","ISSN":"1932-6203","PMID":"26731676","abstract":"In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One","id":"ITEM-2","issue":"1","issued":{"date-parts":[["2016"]]},"page":"e0146095","title":"Long-term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island","type":"article-journal","volume":"11"},"uris":["http://www.mendeley.com/documents/?uuid=e072a9e3-f17a-48e3-98af-f3db4a1c8ee3"]}],"mendeley":{"formattedCitation":"(Bernstein, A.M., Gendy, G., Rudd, N., Doyle, J., Fay, S., Moffett, K., 2014; Fianu et al., 2016)","manualFormatting":"(Bernstein, Gendy, Rudd, Doyle, Fay, Moffett, 2014; Fianu et al., 2016)","plainTextFormattedCitation":"(Bernstein, A.M., Gendy, G., Rudd, N., Doyle, J., Fay, S., Moffett, K., 2014; Fianu et al., 2016)","previouslyFormattedCitation":"(Bernstein, A.M., Gendy, G., Rudd, N., Doyle, J., Fay, S., Moffett, K., 2014; Fianu et al., 2016)"},"properties":{"noteIndex":0},"schema":"https://github.com/citation-style-language/schema/raw/master/csl-citation.json"}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(Bernstein, Gendy, Rudd, Doyle, Fay, Moffett, 2014; Fianu et al., 2016)</w:t>
      </w:r>
      <w:r w:rsidRPr="00103A0B">
        <w:rPr>
          <w:rFonts w:ascii="Arial" w:hAnsi="Arial" w:cs="Arial"/>
          <w:sz w:val="24"/>
          <w:szCs w:val="24"/>
        </w:rPr>
        <w:fldChar w:fldCharType="end"/>
      </w:r>
      <w:r w:rsidRPr="00103A0B">
        <w:rPr>
          <w:rFonts w:ascii="Arial" w:hAnsi="Arial" w:cs="Arial"/>
          <w:sz w:val="24"/>
          <w:szCs w:val="24"/>
        </w:rPr>
        <w:t xml:space="preserve"> or participating in physical activity within the sessions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{"citationItems":[{"id":"ITEM-1","itemData":{"DOI":"10.1111/dme.12848","ISBN":"0742-3071","ISSN":"14645491","PMID":"26179569","abstract":"METHODS: A total of 60 Chinese immigrants with prediabetes were randomized into either a Diabetes Prevention Program lifestyle intervention (n = 30) consisting of 12 bi-weekly core sessions and six monthly post-core sessions or the control intervention (n = 30), consisting of quarterly mailing of diabetes prevention information. Each Diabetes Prevention Program intervention session lasted 1.5-2 h and covered topics such as healthy eating, physical activity, stress reduction and problem-solving skills. Outcomes such as percent change in weight, BMI, and HbA1c concentration were assessed at baseline, 6 and 12 months. A mixed-effects linear regression was applied to test the intervention effect at months 6 and 12. Data were collected in the period 2012-2013 and analysed in 2014.RESULTS: The participant attrition rate was &lt; 5% (2 out of 60) at 12 months. There was a significantly greater percent weight loss in the intervention group (-3.5 vs. -0.1%; P = 0.0001) at 6 months, which was largely maintained at 12 months (-3.3 vs. 0.3%; P = 0.0003).CONCLUSIONS: Participants in a Diabetes Prevention Program-based intervention achieved greater weight loss and improvements in HbA1c concentration than control participants. Evaluation of the Chinese Diabetes Prevention Program curriculum in a larger trial is warranted.AIMS: To evaluate the effectiveness and feasibility of implementing a linguistically and culturally tailored Diabetes Prevention Program among Chinese immigrants with prediabetes living in New York City","author":[{"dropping-particle":"","family":"Yeh","given":"M. C.","non-dropping-particle":"","parse-names":false,"suffix":""},{"dropping-particle":"","family":"Heo","given":"M.","non-dropping-particle":"","parse-names":false,"suffix":""},{"dropping-particle":"","family":"Suchday","given":"S.","non-dropping-particle":"","parse-names":false,"suffix":""},{"dropping-particle":"","family":"Wong","given":"A.","non-dropping-particle":"","parse-names":false,"suffix":""},{"dropping-particle":"","family":"Poon","given":"E.","non-dropping-particle":"","parse-names":false,"suffix":""},{"dropping-particle":"","family":"Liu","given":"G.","non-dropping-particle":"","parse-names":false,"suffix":""},{"dropping-particle":"","family":"Wylie-Rosett","given":"J.","non-dropping-particle":"","parse-names":false,"suffix":""}],"container-title":"Diabetic Medicine","id":"ITEM-1","issue":"4","issued":{"date-parts":[["2015"]]},"page":"547-551","title":"Translation of the diabetes prevention program for diabetes risk reduction in Chinese immigrants in New York city","type":"article-journal","volume":"33"},"uris":["http://www.mendeley.com/documents/?uuid=05391168-7679-4063-baae-26f96e47d08a"]},{"id":"ITEM-2","itemData":{"DOI":"10.1186/1472-6882-14-212","ISBN":"1472-6882 (Electronic)\\r1472-6882 (Linking)","ISSN":"1472-6882","PMID":"24980650","abstract":"BACKGROUND Type 2 diabetes is a major health problem in many countries including India. Yoga may be an effective type 2 diabetes prevention strategy in India, particularly given its cultural familiarity. METHODS This was a parallel, randomized controlled pilot study to collect feasibility and preliminary efficacy data on yoga for diabetes risk factors among people at high risk of diabetes. Primary outcomes included: changes in BMI, waist circumference, fasting blood glucose, postprandial blood glucose, insulin, insulin resistance, blood pressure, and cholesterol. We also looked at measures of psychological well-being including changes in depression, anxiety, positive and negative affect and perceived stress. Forty-one participants with elevated fasting blood glucose in Bangalore, India were randomized to either yoga (n = 21) or a walking control (n = 20). Participants were asked to either attend yoga classes or complete monitored walking 3-6 days per week for eight weeks. Randomization and allocation was performed using computer-generated random numbers and group assignments delivered in sealed, opaque envelopes generated by off-site study staff. Data were analyzed based on intention to treat. RESULTS This study was feasible in terms of recruitment, retention and adherence. In addition, yoga participants had significantly greater reductions in weight, waist circumference and BMI versus control (weight -0.8 ± 2.1 vs. 1.4 ± 3.6, p = 0.02; waist circumference -4.2 ± 4.8 vs. 0.7 ± 4.2, p &lt; 0.01; BMI -0.2 ± 0.8 vs. 0.6 ± 1.6, p = 0.05). There were no between group differences in fasting blood glucose, postprandial blood glucose, insulin resistance or any other factors related to diabetes risk or psychological well-being. There were significant reductions in systolic and diastolic blood pressure, total cholesterol, anxiety, depression, negative affect and perceived stress in both the yoga intervention and walking control over the course of the study. CONCLUSION Among Indians with elevated fasting blood glucose, we found that participation in an 8-week yoga intervention was feasible and resulted in greater weight loss and reduction in waist circumference when compared to a walking control. Yoga offers a promising lifestyle intervention for decreasing weight-related type 2 diabetes risk factors and potentially increasing psychological well-being. TRIAL REGISTRATION ClinicalTrials.gov Identified NCT00090506.","author":[{"dropping-particle":"","family":"McDermott","given":"Kelly A","non-dropping-particle":"","parse-names":false,"suffix":""},{"dropping-particle":"","family":"Rao","given":"Mohan Raghavendra","non-dropping-particle":"","parse-names":false,"suffix":""},{"dropping-particle":"","family":"Nagarathna","given":"Raghuram","non-dropping-particle":"","parse-names":false,"suffix":""},{"dropping-particle":"","family":"Murphy","given":"Elizabeth J","non-dropping-particle":"","parse-names":false,"suffix":""},{"dropping-particle":"","family":"Burke","given":"Adam","non-dropping-particle":"","parse-names":false,"suffix":""},{"dropping-particle":"","family":"Nagendra","given":"Ramarao Hongasandra","non-dropping-particle":"","parse-names":false,"suffix":""},{"dropping-particle":"","family":"Hecht","given":"Frederick M","non-dropping-particle":"","parse-names":false,"suffix":""}],"container-title":"BMC Complementary and Alternative Medicine","id":"ITEM-2","issue":"1","issued":{"date-parts":[["2014"]]},"page":"212","title":"A yoga intervention for type 2 diabetes risk reduction: a pilot randomized controlled trial","type":"article-journal","volume":"14"},"uris":["http://www.mendeley.com/documents/?uuid=934d80fb-c55d-4626-908a-2ca578b57990"]},{"id":"ITEM-3","itemData":{"DOI":"10.1371/journal.pone.0146095","ISBN":"1932-6203","ISSN":"1932-6203","PMID":"26731676","abstract":"In type 2 diabetes (T2D) prevention research, evidence for maintenance of risk factor reduction after three years of follow-up is needed. The objective of this study was to evaluate the long-term effectiveness of a combined lifestyle intervention aiming at controlling body weight (BW) and waist circumference (WC) in non-diabetic, overweight/obese adults living in a low socio-economic community. On Reunion Island, 445 adults living in deprived areas, aged 18-40 and at high-risk for T2D, were included in an intervention versus control trial for primary prevention (2001-2002). The intervention promoted a healthy diet and moderate regular physical activity, through actions strengthening individuals or community and improving living conditions. The control group received a one-shot medical information and nutritional advices. After the end of the trial (2003), 259 of the subjects participated in a follow-up study (2010-2011). The outcomes were the nine-year changes from baseline in BW, body mass index (BMI) and WC measurements, separately. Statistical analyses were performed on an intention-to-treat basis, using available and imputed datasets. At inclusion, T2D risk factors were prevalent: family history of diabetes in first-degree relatives (42%), women with a personal history of gestational diabetes (11%), total obesity (43%, median BMI 29.1 kg/m²) and central obesity (71%). At follow-up, the adjusted effect on imputed dataset was significant for WC -2.4 cm (95% confidence interval: -4.7 to -0.0 cm, p = 0.046), non-significant for BW -2.2 kg (-4.6 to +0.2 kg, p = 0.073) and BMI -0.81 kg/m² (-1.69 to +0.08 kg/m², p = 0.074). A specific long-term effect was the increased likelihood of reduction in adiposity: BW loss, BMI reduction, and WC reduction were more frequent in the intervention group. In the context of low socio-economic communities, our data support the assumption of long-term effect of lifestyle interventions targeting total obesity and central obesity two major drivers of T2D.","author":[{"dropping-particle":"","family":"Fianu","given":"Adrian","non-dropping-particle":"","parse-names":false,"suffix":""},{"dropping-particle":"","family":"Bourse","given":"Léa","non-dropping-particle":"","parse-names":false,"suffix":""},{"dropping-particle":"","family":"Naty","given":"Nadège","non-dropping-particle":"","parse-names":false,"suffix":""},{"dropping-particle":"","family":"Moullec","given":"Nathalie","non-dropping-particle":"Le","parse-names":false,"suffix":""},{"dropping-particle":"","family":"Lepage","given":"Benoît","non-dropping-particle":"","parse-names":false,"suffix":""},{"dropping-particle":"","family":"Lang","given":"Thierry","non-dropping-particle":"","parse-names":false,"suffix":""},{"dropping-particle":"","family":"Favier","given":"François","non-dropping-particle":"","parse-names":false,"suffix":""}],"container-title":"Plos One","id":"ITEM-3","issue":"1","issued":{"date-parts":[["2016"]]},"page":"e0146095","title":"Long-term effectiveness of a lifestyle intervention for the primary prevention of type 2 diabetes in a low socio-economic community – an intervention follow-up study on reunion island","type":"article-journal","volume":"11"},"uris":["http://www.mendeley.com/documents/?uuid=e072a9e3-f17a-48e3-98af-f3db4a1c8ee3"]}],"mendeley":{"formattedCitation":"(Fianu et al., 2016; McDermott et al., 2014; Yeh et al., 2015)","plainTextFormattedCitation":"(Fianu et al., 2016; McDermott et al., 2014; Yeh et al., 2015)","previouslyFormattedCitation":"(Fianu et al., 2016; McDermott et al., 2014; Yeh et al., 2015)"},"properties":{"noteIndex":0},"schema":"https://github.com/citation-style-language/schema/raw/master/csl-citation.json"}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(Fianu et al., 2016; McDermott et al., 2014; Yeh et al., 2015)</w:t>
      </w:r>
      <w:r w:rsidRPr="00103A0B">
        <w:rPr>
          <w:rFonts w:ascii="Arial" w:hAnsi="Arial" w:cs="Arial"/>
          <w:sz w:val="24"/>
          <w:szCs w:val="24"/>
        </w:rPr>
        <w:fldChar w:fldCharType="end"/>
      </w:r>
      <w:r w:rsidRPr="00103A0B">
        <w:rPr>
          <w:rFonts w:ascii="Arial" w:hAnsi="Arial" w:cs="Arial"/>
          <w:sz w:val="24"/>
          <w:szCs w:val="24"/>
        </w:rPr>
        <w:t xml:space="preserve">. Demonstrating and rehearsing the ideal behaviour as part of the behaviour change strategy, may equip participants with the confidence and capability to make the desired lifestyle changes and ultimately motivate them to continue with the programme </w:t>
      </w:r>
      <w:r w:rsidRPr="00103A0B">
        <w:rPr>
          <w:rFonts w:ascii="Arial" w:hAnsi="Arial" w:cs="Arial"/>
          <w:sz w:val="24"/>
          <w:szCs w:val="24"/>
        </w:rPr>
        <w:fldChar w:fldCharType="begin" w:fldLock="1"/>
      </w:r>
      <w:r w:rsidR="008D109C" w:rsidRPr="00103A0B">
        <w:rPr>
          <w:rFonts w:ascii="Arial" w:hAnsi="Arial" w:cs="Arial"/>
          <w:sz w:val="24"/>
          <w:szCs w:val="24"/>
        </w:rPr>
        <w:instrText>ADDIN CSL_CITATION {"citationItems":[{"id":"ITEM-1","itemData":{"author":[{"dropping-particle":"","family":"Dixon","given":"Anna","non-dropping-particle":"","parse-names":false,"suffix":""}],"id":"ITEM-1","issued":{"date-parts":[["2008"]]},"number-of-pages":"1-20","title":"Motivation and confidence : what does it take to change behaviour?","type":"report"},"uris":["http://www.mendeley.com/documents/?uuid=187a6deb-e3d0-4ca7-bb9a-5b915af9201c"]}],"mendeley":{"formattedCitation":"(Dixon, 2008)","plainTextFormattedCitation":"(Dixon, 2008)","previouslyFormattedCitation":"(Dixon, 2008)"},"properties":{"noteIndex":0},"schema":"https://github.com/citation-style-language/schema/raw/master/csl-citation.json"}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(Dixon, 2008)</w:t>
      </w:r>
      <w:r w:rsidRPr="00103A0B">
        <w:rPr>
          <w:rFonts w:ascii="Arial" w:hAnsi="Arial" w:cs="Arial"/>
          <w:sz w:val="24"/>
          <w:szCs w:val="24"/>
        </w:rPr>
        <w:fldChar w:fldCharType="end"/>
      </w:r>
      <w:r w:rsidRPr="00103A0B">
        <w:rPr>
          <w:rFonts w:ascii="Arial" w:hAnsi="Arial" w:cs="Arial"/>
          <w:sz w:val="24"/>
          <w:szCs w:val="24"/>
        </w:rPr>
        <w:t xml:space="preserve">. This is supported by research on RCTs that found DPPs which successfully reduced T2DM incidence and had good retention had used BCTs such as demonstration and rehearsal of the ideal behaviour </w:t>
      </w:r>
      <w:r w:rsidRPr="00103A0B">
        <w:rPr>
          <w:rFonts w:ascii="Arial" w:hAnsi="Arial" w:cs="Arial"/>
          <w:sz w:val="24"/>
          <w:szCs w:val="24"/>
        </w:rPr>
        <w:fldChar w:fldCharType="begin" w:fldLock="1"/>
      </w:r>
      <w:r w:rsidR="008D109C" w:rsidRPr="00103A0B">
        <w:rPr>
          <w:rFonts w:ascii="Arial" w:hAnsi="Arial" w:cs="Arial"/>
          <w:sz w:val="24"/>
          <w:szCs w:val="24"/>
        </w:rPr>
        <w:instrText>ADDIN CSL_CITATION {"citationItems":[{"id":"ITEM-1","itemData":{"DOI":"10.1016/j.diabres.2010.06.030","author":[{"dropping-particle":"","family":"Baker","given":"Michael K","non-dropping-particle":"","parse-names":false,"suffix":""},{"dropping-particle":"","family":"Simpson","given":"Kylie","non-dropping-particle":"","parse-names":false,"suffix":""},{"dropping-particle":"","family":"Lloyd","given":"Bradley","non-dropping-particle":"","parse-names":false,"suffix":""},{"dropping-particle":"","family":"Bauman","given":"Adrian E","non-dropping-particle":"","parse-names":false,"suffix":""},{"dropping-particle":"","family":"Fiatarone","given":"Maria A","non-dropping-particle":"","parse-names":false,"suffix":""}],"container-title":"Diabetes Research &amp; Clinical Practice","id":"ITEM-1","issued":{"date-parts":[["2011"]]},"page":"1-12","title":"Behavioral strategies in diabetes prevention programs : a systematic review of randomized controlled trials","type":"article-journal","volume":"91"},"uris":["http://www.mendeley.com/documents/?uuid=ca11108e-594a-4906-b196-71cde5ba5849"]}],"mendeley":{"formattedCitation":"(Baker et al., 2011)","plainTextFormattedCitation":"(Baker et al., 2011)","previouslyFormattedCitation":"(Baker et al., 2011)"},"properties":{"noteIndex":0},"schema":"https://github.com/citation-style-language/schema/raw/master/csl-citation.json"}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(Baker et al., 2011)</w:t>
      </w:r>
      <w:r w:rsidRPr="00103A0B">
        <w:rPr>
          <w:rFonts w:ascii="Arial" w:hAnsi="Arial" w:cs="Arial"/>
          <w:sz w:val="24"/>
          <w:szCs w:val="24"/>
        </w:rPr>
        <w:fldChar w:fldCharType="end"/>
      </w:r>
      <w:r w:rsidRPr="00103A0B">
        <w:rPr>
          <w:rFonts w:ascii="Arial" w:hAnsi="Arial" w:cs="Arial"/>
          <w:sz w:val="24"/>
          <w:szCs w:val="24"/>
        </w:rPr>
        <w:t xml:space="preserve">.   </w:t>
      </w:r>
    </w:p>
    <w:p w14:paraId="43AC5748" w14:textId="36930C2F" w:rsidR="00324C56" w:rsidRPr="00103A0B" w:rsidRDefault="00324C56" w:rsidP="00CD5919">
      <w:pPr>
        <w:spacing w:line="360" w:lineRule="auto"/>
        <w:jc w:val="both"/>
        <w:rPr>
          <w:rFonts w:ascii="Arial" w:hAnsi="Arial" w:cs="Arial"/>
          <w:sz w:val="24"/>
          <w:szCs w:val="24"/>
        </w:rPr>
      </w:pPr>
      <w:r w:rsidRPr="00103A0B">
        <w:rPr>
          <w:rFonts w:ascii="Arial" w:hAnsi="Arial" w:cs="Arial"/>
          <w:sz w:val="24"/>
          <w:szCs w:val="24"/>
        </w:rPr>
        <w:t>Although only</w:t>
      </w:r>
      <w:r w:rsidR="001B657A" w:rsidRPr="00103A0B">
        <w:rPr>
          <w:rFonts w:ascii="Arial" w:hAnsi="Arial" w:cs="Arial"/>
          <w:sz w:val="24"/>
          <w:szCs w:val="24"/>
        </w:rPr>
        <w:t xml:space="preserve"> a</w:t>
      </w:r>
      <w:r w:rsidRPr="00103A0B">
        <w:rPr>
          <w:rFonts w:ascii="Arial" w:hAnsi="Arial" w:cs="Arial"/>
          <w:sz w:val="24"/>
          <w:szCs w:val="24"/>
        </w:rPr>
        <w:t xml:space="preserve"> few programmes included the BCT “reducing negative emotions”, it was more prevalent in those with high retention. It was related specifically to stress-management and educating participants in finding ways to reduce stress. This supports previous findings which have suggested it is important for retention </w:t>
      </w:r>
      <w:r w:rsidRPr="00103A0B">
        <w:rPr>
          <w:rFonts w:ascii="Arial" w:hAnsi="Arial" w:cs="Arial"/>
          <w:sz w:val="24"/>
          <w:szCs w:val="24"/>
        </w:rPr>
        <w:fldChar w:fldCharType="begin" w:fldLock="1"/>
      </w:r>
      <w:r w:rsidR="008D109C" w:rsidRPr="00103A0B">
        <w:rPr>
          <w:rFonts w:ascii="Arial" w:hAnsi="Arial" w:cs="Arial"/>
          <w:sz w:val="24"/>
          <w:szCs w:val="24"/>
        </w:rPr>
        <w:instrText>ADDIN CSL_CITATION {"citationItems":[{"id":"ITEM-1","itemData":{"author":[{"dropping-particle":"","family":"Gidlow","given":"C.","non-dropping-particle":"","parse-names":false,"suffix":""},{"dropping-particle":"","family":"Povey","given":"R.","non-dropping-particle":"","parse-names":false,"suffix":""},{"dropping-particle":"","family":"Ellis","given":"N.","non-dropping-particle":"","parse-names":false,"suffix":""},{"dropping-particle":"","family":"Begum","given":"S.","non-dropping-particle":"","parse-names":false,"suffix":""},{"dropping-particle":"","family":"Riley","given":"V.","non-dropping-particle":"","parse-names":false,"suffix":""},{"dropping-particle":"","family":"Chadwick","given":"P.","non-dropping-particle":"","parse-names":false,"suffix":""},{"dropping-particle":"","family":"Chadborn","given":"T.","non-dropping-particle":"","parse-names":false,"suffix":""},{"dropping-particle":"","family":"Gold","given":"N.","non-dropping-particle":"","parse-names":false,"suffix":""}],"id":"ITEM-1","issued":{"date-parts":[["2018"]]},"number-of-pages":"1-92","title":"Uptake and retention in group-based weight-management services","type":"report"},"uris":["http://www.mendeley.com/documents/?uuid=61411186-5f6d-4d8e-9f1a-27b3c50aa121"]}],"mendeley":{"formattedCitation":"(Gidlow et al., 2018)","plainTextFormattedCitation":"(Gidlow et al., 2018)","previouslyFormattedCitation":"(Gidlow et al., 2018)"},"properties":{"noteIndex":0},"schema":"https://github.com/citation-style-language/schema/raw/master/csl-citation.json"}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(Gidlow et al., 2018)</w:t>
      </w:r>
      <w:r w:rsidRPr="00103A0B">
        <w:rPr>
          <w:rFonts w:ascii="Arial" w:hAnsi="Arial" w:cs="Arial"/>
          <w:sz w:val="24"/>
          <w:szCs w:val="24"/>
        </w:rPr>
        <w:fldChar w:fldCharType="end"/>
      </w:r>
      <w:r w:rsidRPr="00103A0B">
        <w:rPr>
          <w:rFonts w:ascii="Arial" w:hAnsi="Arial" w:cs="Arial"/>
          <w:sz w:val="24"/>
          <w:szCs w:val="24"/>
        </w:rPr>
        <w:t xml:space="preserve">. As there are established links between cognitions, emotions and behaviour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{"citationItems":[{"id":"ITEM-1","itemData":{"DOI":"10.1080/08870446.2017.1385787","ISSN":"0887-0446","author":[{"dropping-particle":"","family":"Ferrer","given":"Rebecca A","non-dropping-particle":"","parse-names":false,"suffix":""},{"dropping-particle":"","family":"Mendes","given":"Wendy Berry","non-dropping-particle":"","parse-names":false,"suffix":""}],"container-title":"Psychology &amp; Health","id":"ITEM-1","issue":"1","issued":{"date-parts":[["2018"]]},"page":"1-16","publisher":"Routledge","title":"Emotion, health decision making, and health behaviour","type":"article-journal","volume":"33"},"uris":["http://www.mendeley.com/documents/?uuid=4a111c20-a882-4dba-8dd4-758c8536575b"]},{"id":"ITEM-2","itemData":{"DOI":"10.1080/08870446.2017.1314478.","author":[{"dropping-particle":"","family":"Carpenter","given":"Stephanie M","non-dropping-particle":"","parse-names":false,"suffix":""},{"dropping-particle":"","family":"Niedenthal","given":"Paula M","non-dropping-particle":"","parse-names":false,"suffix":""}],"container-title":"Psychology &amp; Health","id":"ITEM-2","issue":"1","issued":{"date-parts":[["2019"]]},"page":"58-76","title":"Emotional processes in risky and multiattribute health decisions","type":"article-journal","volume":"33"},"uris":["http://www.mendeley.com/documents/?uuid=b15747d8-501e-4b72-9fe3-18a8047c4167"]},{"id":"ITEM-3","itemData":{"DOI":"10.1080/08870446.2017.1336240","ISSN":"0887-0446","author":[{"dropping-particle":"","family":"Conner","given":"Mark","non-dropping-particle":"","parse-names":false,"suffix":""},{"dropping-particle":"","family":"Norman","given":"Paul","non-dropping-particle":"","parse-names":false,"suffix":""}],"container-title":"Psychology &amp; Health","id":"ITEM-3","issue":"8","issued":{"date-parts":[["2017"]]},"page":"895-906","publisher":"Routledge","title":"Health behaviour : current issues and challenges","type":"article-journal","volume":"32"},"uris":["http://www.mendeley.com/documents/?uuid=bfccae5f-f910-4fa2-ba07-a67828f54b1c"]}],"mendeley":{"formattedCitation":"(Carpenter &amp; Niedenthal, 2019; Conner &amp; Norman, 2017; Ferrer &amp; Mendes, 2018)","plainTextFormattedCitation":"(Carpenter &amp; Niedenthal, 2019; Conner &amp; Norman, 2017; Ferrer &amp; Mendes, 2018)","previouslyFormattedCitation":"(Carpenter &amp; Niedenthal, 2019; Conner &amp; Norman, 2017; Ferrer &amp; Mendes, 2018)"},"properties":{"noteIndex":0},"schema":"https://github.com/citation-style-language/schema/raw/master/csl-citation.json"}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(Carpenter &amp; Niedenthal, 2019; Conner &amp; Norman, 2017; Ferrer &amp; Mendes, 2018)</w:t>
      </w:r>
      <w:r w:rsidRPr="00103A0B">
        <w:rPr>
          <w:rFonts w:ascii="Arial" w:hAnsi="Arial" w:cs="Arial"/>
          <w:sz w:val="24"/>
          <w:szCs w:val="24"/>
        </w:rPr>
        <w:fldChar w:fldCharType="end"/>
      </w:r>
      <w:r w:rsidRPr="00103A0B">
        <w:rPr>
          <w:rFonts w:ascii="Arial" w:hAnsi="Arial" w:cs="Arial"/>
          <w:sz w:val="24"/>
          <w:szCs w:val="24"/>
        </w:rPr>
        <w:t xml:space="preserve">, it is important to consider emotional changes and how to deal with negative emotion as part of a behaviour change programme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{"citationItems":[{"id":"ITEM-1","itemData":{"DOI":"http://dx.doi.org/10.1037/a0030259","author":[{"dropping-particle":"","family":"DeSteno","given":"David","non-dropping-particle":"","parse-names":false,"suffix":""},{"dropping-particle":"","family":"Gross","given":"James J","non-dropping-particle":"","parse-names":false,"suffix":""},{"dropping-particle":"","family":"Kubzansky","given":"Laura","non-dropping-particle":"","parse-names":false,"suffix":""}],"container-title":"Health Psychology","id":"ITEM-1","issue":"5","issued":{"date-parts":[["2013"]]},"page":"474-486","title":"Affective science and health: the importance of emotion and emotion regulation","type":"article-journal","volume":"32"},"uris":["http://www.mendeley.com/documents/?uuid=4c9605fa-4fc2-4fc3-b35c-2af17121daeb"]}],"mendeley":{"formattedCitation":"(DeSteno et al., 2013)","plainTextFormattedCitation":"(DeSteno et al., 2013)","previouslyFormattedCitation":"(DeSteno et al., 2013)"},"properties":{"noteIndex":0},"schema":"https://github.com/citation-style-language/schema/raw/master/csl-citation.json"}</w:instrText>
      </w:r>
      <w:r w:rsidRPr="00103A0B">
        <w:rPr>
          <w:rFonts w:ascii="Arial" w:hAnsi="Arial" w:cs="Arial"/>
          <w:sz w:val="24"/>
          <w:szCs w:val="24"/>
        </w:rPr>
        <w:fldChar w:fldCharType="separate"/>
      </w:r>
      <w:r w:rsidR="00445FC8" w:rsidRPr="00103A0B">
        <w:rPr>
          <w:rFonts w:ascii="Arial" w:hAnsi="Arial" w:cs="Arial"/>
          <w:noProof/>
          <w:sz w:val="24"/>
          <w:szCs w:val="24"/>
        </w:rPr>
        <w:t>(DeSteno et al., 2013)</w:t>
      </w:r>
      <w:r w:rsidRPr="00103A0B">
        <w:rPr>
          <w:rFonts w:ascii="Arial" w:hAnsi="Arial" w:cs="Arial"/>
          <w:sz w:val="24"/>
          <w:szCs w:val="24"/>
        </w:rPr>
        <w:fldChar w:fldCharType="end"/>
      </w:r>
      <w:r w:rsidRPr="00103A0B">
        <w:rPr>
          <w:rFonts w:ascii="Arial" w:hAnsi="Arial" w:cs="Arial"/>
          <w:sz w:val="24"/>
          <w:szCs w:val="24"/>
        </w:rPr>
        <w:t xml:space="preserve">. If people are given the correct tools to deal with negative emotions, and programmes can address these potential emotional changes, this may help to increase participants’ motivation and capability of change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{"citationItems":[{"id":"ITEM-1","itemData":{"author":[{"dropping-particle":"","family":"Dixon","given":"Anna","non-dropping-particle":"","parse-names":false,"suffix":""}],"id":"ITEM-1","issued":{"date-parts":[["2008"]]},"number-of-pages":"1-20","title":"Motivation and confidence : what does it take to change behaviour?","type":"report"},"uris":["http://www.mendeley.com/documents/?uuid=187a6deb-e3d0-4ca7-bb9a-5b915af9201c"]},{"id":"ITEM-2","itemData":{"DOI":"http://dx.doi.org/10.1037/a0030259","author":[{"dropping-particle":"","family":"DeSteno","given":"David","non-dropping-particle":"","parse-names":false,"suffix":""},{"dropping-particle":"","family":"Gross","given":"James J","non-dropping-particle":"","parse-names":false,"suffix":""},{"dropping-particle":"","family":"Kubzansky","given":"Laura","non-dropping-particle":"","parse-names":false,"suffix":""}],"container-title":"Health Psychology","id":"ITEM-2","issue":"5","issued":{"date-parts":[["2013"]]},"page":"474-486","title":"Affective science and health: the importance of emotion and emotion regulation","type":"article-journal","volume":"32"},"uris":["http://www.mendeley.com/documents/?uuid=4c9605fa-4fc2-4fc3-b35c-2af17121daeb"]}],"mendeley":{"formattedCitation":"(DeSteno et al., 2013; Dixon, 2008)","plainTextFormattedCitation":"(DeSteno et al., 2013; Dixon, 2008)","previouslyFormattedCitation":"(DeSteno et al., 2013; Dixon, 2008)"},"properties":{"noteIndex":0},"schema":"https://github.com/citation-style-language/schema/raw/master/csl-citation.json"}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(DeSteno et al., 2013; Dixon, 2008)</w:t>
      </w:r>
      <w:r w:rsidRPr="00103A0B">
        <w:rPr>
          <w:rFonts w:ascii="Arial" w:hAnsi="Arial" w:cs="Arial"/>
          <w:sz w:val="24"/>
          <w:szCs w:val="24"/>
        </w:rPr>
        <w:fldChar w:fldCharType="end"/>
      </w:r>
      <w:r w:rsidRPr="00103A0B">
        <w:rPr>
          <w:rFonts w:ascii="Arial" w:hAnsi="Arial" w:cs="Arial"/>
          <w:sz w:val="24"/>
          <w:szCs w:val="24"/>
        </w:rPr>
        <w:t xml:space="preserve">, promote good </w:t>
      </w:r>
      <w:r w:rsidRPr="00103A0B">
        <w:rPr>
          <w:rFonts w:ascii="Arial" w:hAnsi="Arial" w:cs="Arial"/>
          <w:sz w:val="24"/>
          <w:szCs w:val="24"/>
        </w:rPr>
        <w:lastRenderedPageBreak/>
        <w:t xml:space="preserve">decision-making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{"citationItems":[{"id":"ITEM-1","itemData":{"DOI":"10.1080/08870446.2017.1314478.","author":[{"dropping-particle":"","family":"Carpenter","given":"Stephanie M","non-dropping-particle":"","parse-names":false,"suffix":""},{"dropping-particle":"","family":"Niedenthal","given":"Paula M","non-dropping-particle":"","parse-names":false,"suffix":""}],"container-title":"Psychology &amp; Health","id":"ITEM-1","issue":"1","issued":{"date-parts":[["2019"]]},"page":"58-76","title":"Emotional processes in risky and multiattribute health decisions","type":"article-journal","volume":"33"},"uris":["http://www.mendeley.com/documents/?uuid=b15747d8-501e-4b72-9fe3-18a8047c4167"]}],"mendeley":{"formattedCitation":"(Carpenter &amp; Niedenthal, 2019)","plainTextFormattedCitation":"(Carpenter &amp; Niedenthal, 2019)","previouslyFormattedCitation":"(Carpenter &amp; Niedenthal, 2019)"},"properties":{"noteIndex":0},"schema":"https://github.com/citation-style-language/schema/raw/master/csl-citation.json"}</w:instrText>
      </w:r>
      <w:r w:rsidRPr="00103A0B">
        <w:rPr>
          <w:rFonts w:ascii="Arial" w:hAnsi="Arial" w:cs="Arial"/>
          <w:sz w:val="24"/>
          <w:szCs w:val="24"/>
        </w:rPr>
        <w:fldChar w:fldCharType="separate"/>
      </w:r>
      <w:r w:rsidR="001B5F7B" w:rsidRPr="00103A0B">
        <w:rPr>
          <w:rFonts w:ascii="Arial" w:hAnsi="Arial" w:cs="Arial"/>
          <w:noProof/>
          <w:sz w:val="24"/>
          <w:szCs w:val="24"/>
        </w:rPr>
        <w:t>(Carpenter &amp; Niedenthal, 2019)</w:t>
      </w:r>
      <w:r w:rsidRPr="00103A0B">
        <w:rPr>
          <w:rFonts w:ascii="Arial" w:hAnsi="Arial" w:cs="Arial"/>
          <w:sz w:val="24"/>
          <w:szCs w:val="24"/>
        </w:rPr>
        <w:fldChar w:fldCharType="end"/>
      </w:r>
      <w:r w:rsidRPr="00103A0B">
        <w:rPr>
          <w:rFonts w:ascii="Arial" w:hAnsi="Arial" w:cs="Arial"/>
          <w:sz w:val="24"/>
          <w:szCs w:val="24"/>
        </w:rPr>
        <w:t xml:space="preserve"> and ultimately increase programme retention.   </w:t>
      </w:r>
      <w:r w:rsidRPr="00103A0B">
        <w:rPr>
          <w:rFonts w:ascii="Arial" w:hAnsi="Arial" w:cs="Arial"/>
        </w:rPr>
        <w:t xml:space="preserve"> </w:t>
      </w:r>
    </w:p>
    <w:p w14:paraId="459D33C2" w14:textId="5928150F" w:rsidR="00324C56" w:rsidRPr="00103A0B" w:rsidRDefault="00C054AD" w:rsidP="005B70A3">
      <w:pPr>
        <w:keepLines/>
        <w:jc w:val="both"/>
        <w:rPr>
          <w:rFonts w:ascii="Arial" w:hAnsi="Arial" w:cs="Arial"/>
          <w:b/>
          <w:bCs/>
          <w:sz w:val="24"/>
          <w:szCs w:val="24"/>
        </w:rPr>
      </w:pPr>
      <w:bookmarkStart w:id="110" w:name="_Toc41404599"/>
      <w:bookmarkStart w:id="111" w:name="_Hlk40008192"/>
      <w:r w:rsidRPr="00103A0B">
        <w:rPr>
          <w:rFonts w:ascii="Arial" w:hAnsi="Arial" w:cs="Arial"/>
          <w:b/>
          <w:bCs/>
          <w:sz w:val="24"/>
          <w:szCs w:val="24"/>
        </w:rPr>
        <w:t xml:space="preserve">2.4.3 </w:t>
      </w:r>
      <w:r w:rsidR="00324C56" w:rsidRPr="00103A0B">
        <w:rPr>
          <w:rFonts w:ascii="Arial" w:hAnsi="Arial" w:cs="Arial"/>
          <w:b/>
          <w:bCs/>
          <w:sz w:val="24"/>
          <w:szCs w:val="24"/>
        </w:rPr>
        <w:t>Considerations/</w:t>
      </w:r>
      <w:r w:rsidR="00484A3C" w:rsidRPr="00103A0B">
        <w:rPr>
          <w:rFonts w:ascii="Arial" w:hAnsi="Arial" w:cs="Arial"/>
          <w:b/>
          <w:bCs/>
          <w:sz w:val="24"/>
          <w:szCs w:val="24"/>
        </w:rPr>
        <w:t>L</w:t>
      </w:r>
      <w:r w:rsidR="00324C56" w:rsidRPr="00103A0B">
        <w:rPr>
          <w:rFonts w:ascii="Arial" w:hAnsi="Arial" w:cs="Arial"/>
          <w:b/>
          <w:bCs/>
          <w:sz w:val="24"/>
          <w:szCs w:val="24"/>
        </w:rPr>
        <w:t xml:space="preserve">imitations and </w:t>
      </w:r>
      <w:r w:rsidR="00484A3C" w:rsidRPr="00103A0B">
        <w:rPr>
          <w:rFonts w:ascii="Arial" w:hAnsi="Arial" w:cs="Arial"/>
          <w:b/>
          <w:bCs/>
          <w:sz w:val="24"/>
          <w:szCs w:val="24"/>
        </w:rPr>
        <w:t>F</w:t>
      </w:r>
      <w:r w:rsidR="00324C56" w:rsidRPr="00103A0B">
        <w:rPr>
          <w:rFonts w:ascii="Arial" w:hAnsi="Arial" w:cs="Arial"/>
          <w:b/>
          <w:bCs/>
          <w:sz w:val="24"/>
          <w:szCs w:val="24"/>
        </w:rPr>
        <w:t xml:space="preserve">uture </w:t>
      </w:r>
      <w:r w:rsidR="00484A3C" w:rsidRPr="00103A0B">
        <w:rPr>
          <w:rFonts w:ascii="Arial" w:hAnsi="Arial" w:cs="Arial"/>
          <w:b/>
          <w:bCs/>
          <w:sz w:val="24"/>
          <w:szCs w:val="24"/>
        </w:rPr>
        <w:t>R</w:t>
      </w:r>
      <w:r w:rsidR="00324C56" w:rsidRPr="00103A0B">
        <w:rPr>
          <w:rFonts w:ascii="Arial" w:hAnsi="Arial" w:cs="Arial"/>
          <w:b/>
          <w:bCs/>
          <w:sz w:val="24"/>
          <w:szCs w:val="24"/>
        </w:rPr>
        <w:t>esearch</w:t>
      </w:r>
      <w:bookmarkEnd w:id="110"/>
      <w:r w:rsidR="00324C56" w:rsidRPr="00103A0B">
        <w:rPr>
          <w:rFonts w:ascii="Arial" w:hAnsi="Arial" w:cs="Arial"/>
          <w:b/>
          <w:bCs/>
          <w:sz w:val="24"/>
          <w:szCs w:val="24"/>
        </w:rPr>
        <w:t xml:space="preserve"> </w:t>
      </w:r>
    </w:p>
    <w:bookmarkEnd w:id="111"/>
    <w:p w14:paraId="73CC3A7D" w14:textId="61A47E01" w:rsidR="00324C56" w:rsidRPr="00103A0B" w:rsidRDefault="00324C56" w:rsidP="00CD5919">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Several limitations are recognised. Firstly, although results from the searches were discussed regularly by the research team, the search was conducted entirely by one author (</w:t>
      </w:r>
      <w:r w:rsidR="00400D30" w:rsidRPr="00103A0B">
        <w:rPr>
          <w:rFonts w:ascii="Arial" w:eastAsia="Times New Roman" w:hAnsi="Arial" w:cs="Arial"/>
          <w:sz w:val="24"/>
          <w:szCs w:val="24"/>
          <w:lang w:eastAsia="en-GB"/>
        </w:rPr>
        <w:t>SB</w:t>
      </w:r>
      <w:r w:rsidRPr="00103A0B">
        <w:rPr>
          <w:rFonts w:ascii="Arial" w:eastAsia="Times New Roman" w:hAnsi="Arial" w:cs="Arial"/>
          <w:sz w:val="24"/>
          <w:szCs w:val="24"/>
          <w:lang w:eastAsia="en-GB"/>
        </w:rPr>
        <w:t xml:space="preserve">) which may compromise the comprehensiveness of the search. Secondly, it was not possible to determine whether some DPPs were group-based due to insufficient reporting. This may have led to some </w:t>
      </w:r>
      <w:proofErr w:type="gramStart"/>
      <w:r w:rsidRPr="00103A0B">
        <w:rPr>
          <w:rFonts w:ascii="Arial" w:eastAsia="Times New Roman" w:hAnsi="Arial" w:cs="Arial"/>
          <w:sz w:val="24"/>
          <w:szCs w:val="24"/>
          <w:lang w:eastAsia="en-GB"/>
        </w:rPr>
        <w:t>group-based</w:t>
      </w:r>
      <w:proofErr w:type="gramEnd"/>
      <w:r w:rsidRPr="00103A0B">
        <w:rPr>
          <w:rFonts w:ascii="Arial" w:eastAsia="Times New Roman" w:hAnsi="Arial" w:cs="Arial"/>
          <w:sz w:val="24"/>
          <w:szCs w:val="24"/>
          <w:lang w:eastAsia="en-GB"/>
        </w:rPr>
        <w:t xml:space="preserve"> DPPs not being included, despite our systematic review methods and requests to authors for clarifying information. </w:t>
      </w:r>
      <w:bookmarkStart w:id="112" w:name="_Hlk81758298"/>
      <w:r w:rsidRPr="00103A0B">
        <w:rPr>
          <w:rFonts w:ascii="Arial" w:eastAsia="Times New Roman" w:hAnsi="Arial" w:cs="Arial"/>
          <w:sz w:val="24"/>
          <w:szCs w:val="24"/>
          <w:lang w:eastAsia="en-GB"/>
        </w:rPr>
        <w:t>In addition, the review only considered programmes which identified people who had glucose-defined prediabetes; other lifestyle-based diabetes prevention programmes conducted in the community or healthcare settings use diabetes risk scores or HbA1c</w:t>
      </w:r>
      <w:r w:rsidR="009D2985" w:rsidRPr="00103A0B">
        <w:rPr>
          <w:rStyle w:val="FootnoteReference"/>
          <w:rFonts w:ascii="Arial" w:eastAsia="Times New Roman" w:hAnsi="Arial" w:cs="Arial"/>
          <w:sz w:val="24"/>
          <w:szCs w:val="24"/>
          <w:lang w:eastAsia="en-GB"/>
        </w:rPr>
        <w:footnoteReference w:id="1"/>
      </w:r>
      <w:r w:rsidRPr="00103A0B">
        <w:rPr>
          <w:rFonts w:ascii="Arial" w:eastAsia="Times New Roman" w:hAnsi="Arial" w:cs="Arial"/>
          <w:sz w:val="24"/>
          <w:szCs w:val="24"/>
          <w:lang w:eastAsia="en-GB"/>
        </w:rPr>
        <w:t xml:space="preserve"> to identify high-risk individuals. </w:t>
      </w:r>
      <w:bookmarkEnd w:id="112"/>
      <w:r w:rsidRPr="00103A0B">
        <w:rPr>
          <w:rFonts w:ascii="Arial" w:eastAsia="Times New Roman" w:hAnsi="Arial" w:cs="Arial"/>
          <w:sz w:val="24"/>
          <w:szCs w:val="24"/>
          <w:lang w:eastAsia="en-GB"/>
        </w:rPr>
        <w:t xml:space="preserve">Lack of reported information prevented rates being determined, particularly for response and uptake. Additionally, participants often drop out of sessions progressively, which is an important part of the retention issue. However, it was not possible to explore this matter in such depth due to the heterogeneity of sessions across the included DPPs </w:t>
      </w:r>
      <w:proofErr w:type="gramStart"/>
      <w:r w:rsidRPr="00103A0B">
        <w:rPr>
          <w:rFonts w:ascii="Arial" w:eastAsia="Times New Roman" w:hAnsi="Arial" w:cs="Arial"/>
          <w:sz w:val="24"/>
          <w:szCs w:val="24"/>
          <w:lang w:eastAsia="en-GB"/>
        </w:rPr>
        <w:t>and also</w:t>
      </w:r>
      <w:proofErr w:type="gramEnd"/>
      <w:r w:rsidRPr="00103A0B">
        <w:rPr>
          <w:rFonts w:ascii="Arial" w:eastAsia="Times New Roman" w:hAnsi="Arial" w:cs="Arial"/>
          <w:sz w:val="24"/>
          <w:szCs w:val="24"/>
          <w:lang w:eastAsia="en-GB"/>
        </w:rPr>
        <w:t xml:space="preserve"> the lack of reported information on completion. It was also not possible to code BCTs for some of the DPPs due to insufficient information in the papers. For example, some authors stated the use of social support which is important to include in group-based DPPs </w:t>
      </w:r>
      <w:r w:rsidRPr="00103A0B">
        <w:rPr>
          <w:rFonts w:ascii="Arial" w:eastAsia="Times New Roman" w:hAnsi="Arial" w:cs="Arial"/>
          <w:sz w:val="24"/>
          <w:szCs w:val="24"/>
          <w:lang w:eastAsia="en-GB"/>
        </w:rPr>
        <w:fldChar w:fldCharType="begin" w:fldLock="1"/>
      </w:r>
      <w:r w:rsidR="000D70A8" w:rsidRPr="00103A0B">
        <w:rPr>
          <w:rFonts w:ascii="Arial" w:eastAsia="Times New Roman" w:hAnsi="Arial" w:cs="Arial"/>
          <w:sz w:val="24"/>
          <w:szCs w:val="24"/>
          <w:lang w:eastAsia="en-GB"/>
        </w:rPr>
        <w:instrText>ADDIN CSL_CITATION {"citationItems":[{"id":"ITEM-1","itemData":{"author":[{"dropping-particle":"","family":"Public Health England","given":"","non-dropping-particle":"","parse-names":false,"suffix":""}],"id":"ITEM-1","issued":{"date-parts":[["2016"]]},"number-of-pages":"1-20","title":"NHS diabetes prevention programme: an opportunity to partner with the behavioural insight team to improve outcomes","type":"report"},"uris":["http://www.mendeley.com/documents/?uuid=6f0e8253-27d4-40ef-bf26-4af34232fd90"]},{"id":"ITEM-2","itemData":{"abstract":"The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Commissioners and providers have a responsibility to promote an environmentally sustainable health and care system and should assess and reduce the environmental impact of implementing NICE recommendations wherever possible.","author":[{"dropping-particle":"","family":"National Institute for Health and Care Excellence (NICE)","given":"","non-dropping-particle":"","parse-names":false,"suffix":""}],"id":"ITEM-2","issued":{"date-parts":[["2014"]]},"number-of-pages":"1-76","title":"Behaviour change: individual approaches","type":"report"},"uris":["http://www.mendeley.com/documents/?uuid=26517e3d-97cd-445c-919c-8b6d70ebb275"]},{"id":"ITEM-3","itemData":{"DOI":"10.1055/s-0029-1240928","ISSN":"0018-5043","abstract":"Background: The prevalence and socioeconomic burden of type 2 diabetes (T2DM) and associated co-morbidities are rising worldwide. Aims: This guideline provides evidence-based recommendations for preventing T2DM. Methods: A European multidisciplinary consortium systematically reviewed the evidence on the effectiveness of screening and interventions for T2DM prevention using SIGN criteria. Results: Obesity and sedentary lifestyle are the main modifiable risk factors. Age and ethnicity are non-modifiable risk factors. Case-finding should follow a step-wise procedure using risk questionnaires and oral glucose tolerance testing. Persons with impaired glucose tolerance and/or fasting glucose are at high-risk and should be prioritized for intensive intervention. Interventions supporting lifestyle changes delay the onset of T2DM in high-risk adults (number-needed-to-treat: 6.4 over 1.84.6 years). These should be supported by inter-sectoral strategies that create health promoting environments. Sustained body weight reduction by 5% lowers risk. Currently metformin, acarbose and orlistat can be considered as second-line prevention options. The population approach should use organized measures to raise awareness and change lifestyle with specific approaches for adolescents, minorities and disadvantaged people. Interventions promoting lifestyle changes are more effective if they target both diet and physical activity, mobilize social support, involve the planned use of established behaviour change techniques, and provide frequent contacts. Cost-effectiveness analysis should take a societal perspective. Conclusions: Prevention using lifestyle modifications in high-risk individuals is cost-effective and should be embedded in evaluated models of care. Effective prevention plans are predicated upon sustained government initiatives comprising advocacy, community support, fiscal and legislative changes, private sector engagement and continuous media communication. (copyright) Georg Thieme Verlag KG Stuttgart - New York.","author":[{"dropping-particle":"","family":"Paulweber","given":"B.","non-dropping-particle":"","parse-names":false,"suffix":""},{"dropping-particle":"","family":"Valensi","given":"P.","non-dropping-particle":"","parse-names":false,"suffix":""},{"dropping-particle":"","family":"Lindstrom","given":"J.","non-dropping-particle":"","parse-names":false,"suffix":""},{"dropping-particle":"","family":"Lalic","given":"N.M.","non-dropping-particle":"","parse-names":false,"suffix":""},{"dropping-particle":"","family":"Greaves","given":"C.J.","non-dropping-particle":"","parse-names":false,"suffix":""},{"dropping-particle":"","family":"McKee, M","given":"et al.","non-dropping-particle":"","parse-names":false,"suffix":""}],"container-title":"Hormone and Metabolic Research","id":"ITEM-3","issued":{"date-parts":[["2010"]]},"page":"S3-S36","title":"A European evidence-based guideline for the prevention of type 2 diabetes","type":"article-journal","volume":"42"},"uris":["http://www.mendeley.com/documents/?uuid=0e4d9bf8-0919-4929-8ec0-4271ab08d47f"]}],"mendeley":{"formattedCitation":"(National Institute for Health and Care Excellence (NICE), 2014; Paulweber et al., 2010; Public Health England, 2016)","plainTextFormattedCitation":"(National Institute for Health and Care Excellence (NICE), 2014; Paulweber et al., 2010; Public Health England, 2016)","previouslyFormattedCitation":"(National Institute for Health and Care Excellence (NICE), 2014; Paulweber et al., 2010; Public Health England,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D70A8" w:rsidRPr="00103A0B">
        <w:rPr>
          <w:rFonts w:ascii="Arial" w:eastAsia="Times New Roman" w:hAnsi="Arial" w:cs="Arial"/>
          <w:noProof/>
          <w:sz w:val="24"/>
          <w:szCs w:val="24"/>
          <w:lang w:eastAsia="en-GB"/>
        </w:rPr>
        <w:t>(National Institute for Health and Care Excellence (NICE), 2014; Paulweber et al., 2010; Public Health England,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whereas others did not provide enough detail to be coded specifically as a BCT. This included one DPP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{"citationItems":[{"id":"ITEM-1","itemData":{"DOI":"10.1016/j.nutres.2010.03.003","ISBN":"0271-5317","ISSN":"02715317","PMID":"20417879","abstract":"The aim of this study was to evaluate the effects of a nutrition education program (NEP) on anthropometric, dietetic, and metabolic parameters in high-risk subjects for type 2 diabetes mellitus. Fifty-one participants, both sexes, were randomly assigned to either the control (58.8%) or the intervention (NEP) group. The intervention group received frequent individual and group nutritional counseling from a team of nutritionists. Participants were assessed at baseline (M0) and after 12 months (M1) for anthropometric, dietetic, and metabolic parameters. The hypothesis was that high-risk subjects for type 2 diabetes mellitus participating in NEP would show an improvement in these parameters. At M1, the intervention group showed a significant decline in body weight (-3.4%), body mass index (-5.7%), cholesterol intake (-49.5%), fasting glycemia (-14.0%), fasting insulin (-9.0%), postprandial glycemia (-21.0%), postprandial insulin (-71.0%), total serum cholesterol (-23.0%), and glycated hemoglobin (-24.0%). A decrease in energy intake (5%, P = .06) and low-density lipoprotein cholesterol (25%, P = .07) was observed in the interventional group, although it did not reach statistical significance. In contrast, the control group presented a significantly higher energy intake (19%, P = .04) and a nonsignificant increase in consumption of all macronutrients. The long-term NEP was found to improve anthropometric, dietary, and metabolic parameters in high-risk subjects for type 2 diabetes mellitus. © 2010 Elsevier Inc.","author":[{"dropping-particle":"","family":"Pimentel","given":"Gustavo D.","non-dropping-particle":"","parse-names":false,"suffix":""},{"dropping-particle":"","family":"Portero-Mclellan","given":"Kátia C.","non-dropping-particle":"","parse-names":false,"suffix":""},{"dropping-particle":"","family":"Oliveira","given":"Érick P.","non-dropping-particle":"","parse-names":false,"suffix":""},{"dropping-particle":"","family":"Spada","given":"Ana P.M.","non-dropping-particle":"","parse-names":false,"suffix":""},{"dropping-particle":"","family":"Oshiiwa","given":"Marie","non-dropping-particle":"","parse-names":false,"suffix":""},{"dropping-particle":"","family":"Zemdegs","given":"Juliane C.S.","non-dropping-particle":"","parse-names":false,"suffix":""},{"dropping-particle":"","family":"Barbalho","given":"Sandra M.","non-dropping-particle":"","parse-names":false,"suffix":""}],"container-title":"Nutrition Research","id":"ITEM-1","issue":"3","issued":{"date-parts":[["2010"]]},"page":"186-190","publisher":"Elsevier Inc.","title":"Long-term nutrition education reduces several risk factors for type 2 diabetes mellitus in Brazilians with impaired glucose tolerance","type":"article-journal","volume":"30"},"uris":["http://www.mendeley.com/documents/?uuid=24bc950c-bfd2-4632-8ad0-a20eee1f7dc8"]}],"mendeley":{"formattedCitation":"(Pimentel et al., 2010)","plainTextFormattedCitation":"(Pimentel et al., 2010)","previouslyFormattedCitation":"(Pimentel et al.,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(Pimentel et al.,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which stated that “discussion-format group sessions that took place”, but provided no further detail on what this entailed.  </w:t>
      </w:r>
    </w:p>
    <w:p w14:paraId="1F2F24AF" w14:textId="5BC54803" w:rsidR="00324C56" w:rsidRPr="00103A0B" w:rsidRDefault="00324C56" w:rsidP="00CD5919">
      <w:pPr>
        <w:tabs>
          <w:tab w:val="left" w:pos="1470"/>
        </w:tabs>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Future qualitative work could explore in depth the factors that impact the decisions of participants to start and continue with attending </w:t>
      </w:r>
      <w:proofErr w:type="gramStart"/>
      <w:r w:rsidRPr="00103A0B">
        <w:rPr>
          <w:rFonts w:ascii="Arial" w:eastAsia="Times New Roman" w:hAnsi="Arial" w:cs="Arial"/>
          <w:sz w:val="24"/>
          <w:szCs w:val="24"/>
          <w:lang w:eastAsia="en-GB"/>
        </w:rPr>
        <w:t>group-based</w:t>
      </w:r>
      <w:proofErr w:type="gramEnd"/>
      <w:r w:rsidRPr="00103A0B">
        <w:rPr>
          <w:rFonts w:ascii="Arial" w:eastAsia="Times New Roman" w:hAnsi="Arial" w:cs="Arial"/>
          <w:sz w:val="24"/>
          <w:szCs w:val="24"/>
          <w:lang w:eastAsia="en-GB"/>
        </w:rPr>
        <w:t xml:space="preserve"> DPPs. A qualitative approach would provide a richer insight into the facilitators and barriers, as well as exploring strategies to overcome challenges to maximise uptake and retention </w:t>
      </w:r>
      <w:r w:rsidRPr="00103A0B">
        <w:rPr>
          <w:rFonts w:ascii="Arial" w:eastAsia="Times New Roman" w:hAnsi="Arial" w:cs="Arial"/>
          <w:sz w:val="24"/>
          <w:szCs w:val="24"/>
          <w:lang w:eastAsia="en-GB"/>
        </w:rPr>
        <w:fldChar w:fldCharType="begin" w:fldLock="1"/>
      </w:r>
      <w:r w:rsidR="008D109C" w:rsidRPr="00103A0B">
        <w:rPr>
          <w:rFonts w:ascii="Arial" w:eastAsia="Times New Roman" w:hAnsi="Arial" w:cs="Arial"/>
          <w:sz w:val="24"/>
          <w:szCs w:val="24"/>
          <w:lang w:eastAsia="en-GB"/>
        </w:rPr>
        <w:instrText>ADDIN CSL_CITATION {"citationItems":[{"id":"ITEM-1","itemData":{"DOI":"10.1111/j.1365-2702.2009.03041.x","author":[{"dropping-particle":"","family":"Gul","given":"Raisa B","non-dropping-particle":"","parse-names":false,"suffix":""},{"dropping-particle":"","family":"Ali","given":"Parveen A","non-dropping-particle":"","parse-names":false,"suffix":""}],"container-title":"Journal of Clinical Nursing","id":"ITEM-1","issued":{"date-parts":[["2010"]]},"page":"227-33","title":"Clinical trials : the challenge of recruitment and retention of participants","type":"article-journal","volume":"19"},"uris":["http://www.mendeley.com/documents/?uuid=2a2e7aa7-44fb-4afb-b2bf-1135edae5ba1"]}],"mendeley":{"formattedCitation":"(Gul &amp; Ali, 2010)","plainTextFormattedCitation":"(Gul &amp; Ali, 2010)","previouslyFormattedCitation":"(Gul &amp; Ali, 2010)"},"properties":{"noteIndex":0},"schema":"https://github.com/citation-style-language/schema/raw/master/csl-citation.json"}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1B5F7B" w:rsidRPr="00103A0B">
        <w:rPr>
          <w:rFonts w:ascii="Arial" w:eastAsia="Times New Roman" w:hAnsi="Arial" w:cs="Arial"/>
          <w:noProof/>
          <w:sz w:val="24"/>
          <w:szCs w:val="24"/>
          <w:lang w:eastAsia="en-GB"/>
        </w:rPr>
        <w:t>(Gul &amp; Ali, 2010)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Future studies of DPPs need to include detailed reporting of recruitment processes, sufficient information to allow extraction of BCTs and calculation of </w:t>
      </w:r>
      <w:r w:rsidRPr="00103A0B">
        <w:rPr>
          <w:rFonts w:ascii="Arial" w:eastAsia="Times New Roman" w:hAnsi="Arial" w:cs="Arial"/>
          <w:sz w:val="24"/>
          <w:szCs w:val="24"/>
          <w:lang w:eastAsia="en-GB"/>
        </w:rPr>
        <w:lastRenderedPageBreak/>
        <w:t xml:space="preserve">response, </w:t>
      </w:r>
      <w:proofErr w:type="gramStart"/>
      <w:r w:rsidRPr="00103A0B">
        <w:rPr>
          <w:rFonts w:ascii="Arial" w:eastAsia="Times New Roman" w:hAnsi="Arial" w:cs="Arial"/>
          <w:sz w:val="24"/>
          <w:szCs w:val="24"/>
          <w:lang w:eastAsia="en-GB"/>
        </w:rPr>
        <w:t>uptake</w:t>
      </w:r>
      <w:proofErr w:type="gramEnd"/>
      <w:r w:rsidRPr="00103A0B">
        <w:rPr>
          <w:rFonts w:ascii="Arial" w:eastAsia="Times New Roman" w:hAnsi="Arial" w:cs="Arial"/>
          <w:sz w:val="24"/>
          <w:szCs w:val="24"/>
          <w:lang w:eastAsia="en-GB"/>
        </w:rPr>
        <w:t xml:space="preserve"> and retention rates. This will enable better evaluation of </w:t>
      </w:r>
      <w:proofErr w:type="gramStart"/>
      <w:r w:rsidRPr="00103A0B">
        <w:rPr>
          <w:rFonts w:ascii="Arial" w:eastAsia="Times New Roman" w:hAnsi="Arial" w:cs="Arial"/>
          <w:sz w:val="24"/>
          <w:szCs w:val="24"/>
          <w:lang w:eastAsia="en-GB"/>
        </w:rPr>
        <w:t>group-based</w:t>
      </w:r>
      <w:proofErr w:type="gramEnd"/>
      <w:r w:rsidRPr="00103A0B">
        <w:rPr>
          <w:rFonts w:ascii="Arial" w:eastAsia="Times New Roman" w:hAnsi="Arial" w:cs="Arial"/>
          <w:sz w:val="24"/>
          <w:szCs w:val="24"/>
          <w:lang w:eastAsia="en-GB"/>
        </w:rPr>
        <w:t xml:space="preserve"> DPPs and provide evidence to help improve uptake and retention. </w:t>
      </w:r>
    </w:p>
    <w:p w14:paraId="6E9F16ED" w14:textId="2C3E53F5" w:rsidR="00324C56" w:rsidRPr="00103A0B" w:rsidRDefault="00C054AD" w:rsidP="00400D30">
      <w:pPr>
        <w:keepLines/>
        <w:jc w:val="both"/>
        <w:rPr>
          <w:rFonts w:ascii="Arial" w:hAnsi="Arial" w:cs="Arial"/>
          <w:b/>
          <w:bCs/>
          <w:sz w:val="24"/>
          <w:szCs w:val="24"/>
        </w:rPr>
      </w:pPr>
      <w:bookmarkStart w:id="113" w:name="_Toc41404600"/>
      <w:r w:rsidRPr="00103A0B">
        <w:rPr>
          <w:rFonts w:ascii="Arial" w:hAnsi="Arial" w:cs="Arial"/>
          <w:b/>
          <w:bCs/>
          <w:sz w:val="24"/>
          <w:szCs w:val="24"/>
        </w:rPr>
        <w:t xml:space="preserve">2.4.4 </w:t>
      </w:r>
      <w:r w:rsidR="00324C56" w:rsidRPr="00103A0B">
        <w:rPr>
          <w:rFonts w:ascii="Arial" w:hAnsi="Arial" w:cs="Arial"/>
          <w:b/>
          <w:bCs/>
          <w:sz w:val="24"/>
          <w:szCs w:val="24"/>
        </w:rPr>
        <w:t>Conclusion</w:t>
      </w:r>
      <w:bookmarkEnd w:id="113"/>
    </w:p>
    <w:p w14:paraId="21357E89" w14:textId="6F6AECEF" w:rsidR="00BB4E63" w:rsidRPr="00103A0B" w:rsidRDefault="00324C56" w:rsidP="00CD5919">
      <w:pPr>
        <w:tabs>
          <w:tab w:val="left" w:pos="1470"/>
        </w:tabs>
        <w:spacing w:line="360" w:lineRule="auto"/>
        <w:jc w:val="both"/>
        <w:rPr>
          <w:rFonts w:ascii="Arial" w:hAnsi="Arial" w:cs="Arial"/>
          <w:sz w:val="24"/>
          <w:szCs w:val="24"/>
        </w:rPr>
      </w:pPr>
      <w:r w:rsidRPr="00103A0B">
        <w:rPr>
          <w:rFonts w:ascii="Arial" w:eastAsia="Times New Roman" w:hAnsi="Arial" w:cs="Arial"/>
          <w:sz w:val="24"/>
          <w:szCs w:val="24"/>
          <w:lang w:eastAsia="en-GB"/>
        </w:rPr>
        <w:t xml:space="preserve">This review indicated that </w:t>
      </w:r>
      <w:proofErr w:type="gramStart"/>
      <w:r w:rsidRPr="00103A0B">
        <w:rPr>
          <w:rFonts w:ascii="Arial" w:eastAsia="Times New Roman" w:hAnsi="Arial" w:cs="Arial"/>
          <w:sz w:val="24"/>
          <w:szCs w:val="24"/>
          <w:lang w:eastAsia="en-GB"/>
        </w:rPr>
        <w:t>group-based</w:t>
      </w:r>
      <w:proofErr w:type="gramEnd"/>
      <w:r w:rsidRPr="00103A0B">
        <w:rPr>
          <w:rFonts w:ascii="Arial" w:eastAsia="Times New Roman" w:hAnsi="Arial" w:cs="Arial"/>
          <w:sz w:val="24"/>
          <w:szCs w:val="24"/>
          <w:lang w:eastAsia="en-GB"/>
        </w:rPr>
        <w:t xml:space="preserve"> DPPs with highest retention tend to include </w:t>
      </w:r>
      <w:r w:rsidRPr="00103A0B">
        <w:rPr>
          <w:rFonts w:ascii="Arial" w:hAnsi="Arial" w:cs="Arial"/>
          <w:sz w:val="24"/>
          <w:szCs w:val="24"/>
        </w:rPr>
        <w:t>incentives for participation, problem-solving, reducing negative emotions, behaviour demonstration and practice</w:t>
      </w:r>
      <w:r w:rsidRPr="00103A0B">
        <w:rPr>
          <w:rFonts w:ascii="Arial" w:eastAsia="Times New Roman" w:hAnsi="Arial" w:cs="Arial"/>
          <w:sz w:val="24"/>
          <w:szCs w:val="24"/>
          <w:lang w:eastAsia="en-GB"/>
        </w:rPr>
        <w:t xml:space="preserve">. Identification of links between recruitment strategies and response or uptake rates were limited by reporting. By clinicians and programme organisers focusing their efforts on identifying effective recruitment strategies and incorporating ideal behaviour change techniques into their programmes, this will contribute towards maximising response, </w:t>
      </w:r>
      <w:proofErr w:type="gramStart"/>
      <w:r w:rsidRPr="00103A0B">
        <w:rPr>
          <w:rFonts w:ascii="Arial" w:eastAsia="Times New Roman" w:hAnsi="Arial" w:cs="Arial"/>
          <w:sz w:val="24"/>
          <w:szCs w:val="24"/>
          <w:lang w:eastAsia="en-GB"/>
        </w:rPr>
        <w:t>uptake</w:t>
      </w:r>
      <w:proofErr w:type="gramEnd"/>
      <w:r w:rsidRPr="00103A0B">
        <w:rPr>
          <w:rFonts w:ascii="Arial" w:eastAsia="Times New Roman" w:hAnsi="Arial" w:cs="Arial"/>
          <w:sz w:val="24"/>
          <w:szCs w:val="24"/>
          <w:lang w:eastAsia="en-GB"/>
        </w:rPr>
        <w:t xml:space="preserve"> and retention rates. More comprehensive reporting of recruitment strategies and intervention components is essential to allow accurate evaluations of DPPs, to ensure they are more cost-effective and viable. </w:t>
      </w:r>
      <w:r w:rsidR="00C054AD" w:rsidRPr="00103A0B">
        <w:rPr>
          <w:rFonts w:ascii="Arial" w:eastAsia="Times New Roman" w:hAnsi="Arial" w:cs="Arial"/>
          <w:sz w:val="24"/>
          <w:szCs w:val="24"/>
          <w:lang w:eastAsia="en-GB"/>
        </w:rPr>
        <w:t xml:space="preserve">The next chapter in this thesis is the methodology chapter. This chapter </w:t>
      </w:r>
      <w:r w:rsidR="00C054AD" w:rsidRPr="00103A0B">
        <w:rPr>
          <w:rFonts w:ascii="Arial" w:hAnsi="Arial" w:cs="Arial"/>
          <w:sz w:val="24"/>
          <w:szCs w:val="24"/>
        </w:rPr>
        <w:t>will provide an overview on the methodologies and methods used as well as the rationale for the chosen analyses for th</w:t>
      </w:r>
      <w:r w:rsidR="00EA0571" w:rsidRPr="00103A0B">
        <w:rPr>
          <w:rFonts w:ascii="Arial" w:hAnsi="Arial" w:cs="Arial"/>
          <w:sz w:val="24"/>
          <w:szCs w:val="24"/>
        </w:rPr>
        <w:t>is</w:t>
      </w:r>
      <w:r w:rsidR="00C054AD" w:rsidRPr="00103A0B">
        <w:rPr>
          <w:rFonts w:ascii="Arial" w:hAnsi="Arial" w:cs="Arial"/>
          <w:sz w:val="24"/>
          <w:szCs w:val="24"/>
        </w:rPr>
        <w:t xml:space="preserve"> research. </w:t>
      </w:r>
      <w:bookmarkStart w:id="114" w:name="_Toc230491620"/>
      <w:bookmarkStart w:id="115" w:name="_Toc234644067"/>
      <w:bookmarkStart w:id="116" w:name="_Toc241127578"/>
    </w:p>
    <w:p w14:paraId="7317D9F6" w14:textId="77777777" w:rsidR="00484A3C" w:rsidRPr="00103A0B" w:rsidRDefault="00484A3C" w:rsidP="00CD5919">
      <w:pPr>
        <w:tabs>
          <w:tab w:val="left" w:pos="1470"/>
        </w:tabs>
        <w:spacing w:line="360" w:lineRule="auto"/>
        <w:jc w:val="both"/>
        <w:rPr>
          <w:rFonts w:ascii="Arial" w:eastAsia="Times New Roman" w:hAnsi="Arial" w:cs="Arial"/>
          <w:sz w:val="24"/>
          <w:szCs w:val="24"/>
          <w:lang w:eastAsia="en-GB"/>
        </w:rPr>
      </w:pPr>
    </w:p>
    <w:p w14:paraId="04B92BA9" w14:textId="3A688244" w:rsidR="00C054AD" w:rsidRPr="00103A0B" w:rsidRDefault="00C054AD" w:rsidP="00CD5919">
      <w:pPr>
        <w:pStyle w:val="NoSpacing"/>
        <w:spacing w:line="360" w:lineRule="auto"/>
        <w:jc w:val="both"/>
        <w:rPr>
          <w:rFonts w:ascii="Arial" w:hAnsi="Arial" w:cs="Arial"/>
          <w:b/>
          <w:bCs/>
          <w:sz w:val="28"/>
          <w:szCs w:val="28"/>
          <w:u w:val="single"/>
          <w:lang w:eastAsia="en-GB"/>
        </w:rPr>
      </w:pPr>
    </w:p>
    <w:p w14:paraId="565A491D" w14:textId="60B3B247" w:rsidR="000F4572" w:rsidRPr="00103A0B" w:rsidRDefault="000F4572" w:rsidP="00CD5919">
      <w:pPr>
        <w:pStyle w:val="NoSpacing"/>
        <w:spacing w:line="360" w:lineRule="auto"/>
        <w:jc w:val="both"/>
        <w:rPr>
          <w:rFonts w:ascii="Arial" w:hAnsi="Arial" w:cs="Arial"/>
          <w:b/>
          <w:bCs/>
          <w:sz w:val="28"/>
          <w:szCs w:val="28"/>
          <w:u w:val="single"/>
          <w:lang w:eastAsia="en-GB"/>
        </w:rPr>
      </w:pPr>
    </w:p>
    <w:p w14:paraId="68CB3857" w14:textId="3B1B6EFB" w:rsidR="000F4572" w:rsidRPr="00103A0B" w:rsidRDefault="000F4572" w:rsidP="00CD5919">
      <w:pPr>
        <w:pStyle w:val="NoSpacing"/>
        <w:spacing w:line="360" w:lineRule="auto"/>
        <w:jc w:val="both"/>
        <w:rPr>
          <w:rFonts w:ascii="Arial" w:hAnsi="Arial" w:cs="Arial"/>
          <w:b/>
          <w:bCs/>
          <w:sz w:val="28"/>
          <w:szCs w:val="28"/>
          <w:u w:val="single"/>
          <w:lang w:eastAsia="en-GB"/>
        </w:rPr>
      </w:pPr>
    </w:p>
    <w:p w14:paraId="7E1DE66A" w14:textId="77777777" w:rsidR="000F4572" w:rsidRPr="00103A0B" w:rsidRDefault="000F4572" w:rsidP="00CD5919">
      <w:pPr>
        <w:pStyle w:val="NoSpacing"/>
        <w:spacing w:line="360" w:lineRule="auto"/>
        <w:jc w:val="both"/>
        <w:rPr>
          <w:rFonts w:ascii="Arial" w:hAnsi="Arial" w:cs="Arial"/>
          <w:b/>
          <w:bCs/>
          <w:sz w:val="28"/>
          <w:szCs w:val="28"/>
          <w:u w:val="single"/>
          <w:lang w:eastAsia="en-GB"/>
        </w:rPr>
      </w:pPr>
    </w:p>
    <w:p w14:paraId="39501F4D" w14:textId="77777777" w:rsidR="005624C5" w:rsidRPr="00103A0B" w:rsidRDefault="005624C5">
      <w:pPr>
        <w:rPr>
          <w:rFonts w:ascii="Arial" w:eastAsiaTheme="minorEastAsia" w:hAnsi="Arial" w:cs="Arial"/>
          <w:b/>
          <w:sz w:val="32"/>
          <w:szCs w:val="32"/>
          <w:lang w:bidi="en-US"/>
        </w:rPr>
      </w:pPr>
      <w:r w:rsidRPr="00103A0B">
        <w:rPr>
          <w:rFonts w:ascii="Arial" w:hAnsi="Arial" w:cs="Arial"/>
        </w:rPr>
        <w:br w:type="page"/>
      </w:r>
    </w:p>
    <w:p w14:paraId="77CB94CA" w14:textId="02455810" w:rsidR="00BB4E63" w:rsidRPr="00103A0B" w:rsidRDefault="00BB4E63" w:rsidP="00400D30">
      <w:pPr>
        <w:pStyle w:val="Heading1"/>
        <w:keepLines/>
        <w:numPr>
          <w:ilvl w:val="0"/>
          <w:numId w:val="0"/>
        </w:numPr>
        <w:ind w:left="431" w:hanging="431"/>
        <w:rPr>
          <w:rFonts w:ascii="Arial" w:hAnsi="Arial" w:cs="Arial"/>
        </w:rPr>
      </w:pPr>
      <w:bookmarkStart w:id="117" w:name="_Toc151548309"/>
      <w:r w:rsidRPr="00103A0B">
        <w:rPr>
          <w:rFonts w:ascii="Arial" w:hAnsi="Arial" w:cs="Arial"/>
        </w:rPr>
        <w:lastRenderedPageBreak/>
        <w:t>Chapter 3: Methodology</w:t>
      </w:r>
      <w:bookmarkEnd w:id="117"/>
    </w:p>
    <w:p w14:paraId="76FCCEE8" w14:textId="78839D6E" w:rsidR="00BB4E63" w:rsidRPr="00103A0B" w:rsidRDefault="001465A1" w:rsidP="00400D30">
      <w:pPr>
        <w:pStyle w:val="Heading2"/>
        <w:numPr>
          <w:ilvl w:val="0"/>
          <w:numId w:val="0"/>
        </w:numPr>
        <w:ind w:left="578" w:hanging="578"/>
        <w:jc w:val="both"/>
        <w:rPr>
          <w:rFonts w:ascii="Arial" w:hAnsi="Arial" w:cs="Arial"/>
          <w:sz w:val="28"/>
        </w:rPr>
      </w:pPr>
      <w:bookmarkStart w:id="118" w:name="_Toc151548310"/>
      <w:r w:rsidRPr="00103A0B">
        <w:rPr>
          <w:rFonts w:ascii="Arial" w:hAnsi="Arial" w:cs="Arial"/>
          <w:sz w:val="28"/>
        </w:rPr>
        <w:t xml:space="preserve">3.1 </w:t>
      </w:r>
      <w:r w:rsidR="00BB4E63" w:rsidRPr="00103A0B">
        <w:rPr>
          <w:rFonts w:ascii="Arial" w:hAnsi="Arial" w:cs="Arial"/>
          <w:sz w:val="28"/>
        </w:rPr>
        <w:t>Introduction</w:t>
      </w:r>
      <w:bookmarkEnd w:id="118"/>
      <w:r w:rsidR="00BB4E63" w:rsidRPr="00103A0B">
        <w:rPr>
          <w:rFonts w:ascii="Arial" w:hAnsi="Arial" w:cs="Arial"/>
          <w:sz w:val="28"/>
        </w:rPr>
        <w:t xml:space="preserve"> </w:t>
      </w:r>
    </w:p>
    <w:p w14:paraId="6C2DE00A" w14:textId="7D782CE9" w:rsidR="00882055" w:rsidRPr="00103A0B" w:rsidRDefault="001465A1" w:rsidP="00E154D0">
      <w:pPr>
        <w:autoSpaceDE w:val="0"/>
        <w:autoSpaceDN w:val="0"/>
        <w:adjustRightInd w:val="0"/>
        <w:spacing w:after="0" w:line="360" w:lineRule="auto"/>
        <w:jc w:val="both"/>
        <w:rPr>
          <w:rFonts w:ascii="Arial" w:hAnsi="Arial" w:cs="Arial"/>
          <w:sz w:val="24"/>
          <w:szCs w:val="24"/>
          <w:lang w:eastAsia="en-GB"/>
        </w:rPr>
      </w:pPr>
      <w:r w:rsidRPr="00103A0B">
        <w:rPr>
          <w:rFonts w:ascii="Arial" w:hAnsi="Arial" w:cs="Arial"/>
          <w:sz w:val="24"/>
          <w:szCs w:val="24"/>
          <w:lang w:eastAsia="en-GB"/>
        </w:rPr>
        <w:t xml:space="preserve">The various studies for this research were designed to answer applied questions which were important for the development of the Healthier You: NHS Diabetes Prevention Programme (NHSDPP) in England. The programme of research was initiated through collaborations with Public Health England and with a local provider of the NHSDPP, where the need for qualitative data </w:t>
      </w:r>
      <w:proofErr w:type="gramStart"/>
      <w:r w:rsidRPr="00103A0B">
        <w:rPr>
          <w:rFonts w:ascii="Arial" w:hAnsi="Arial" w:cs="Arial"/>
          <w:sz w:val="24"/>
          <w:szCs w:val="24"/>
          <w:lang w:eastAsia="en-GB"/>
        </w:rPr>
        <w:t>in regard to</w:t>
      </w:r>
      <w:proofErr w:type="gramEnd"/>
      <w:r w:rsidRPr="00103A0B">
        <w:rPr>
          <w:rFonts w:ascii="Arial" w:hAnsi="Arial" w:cs="Arial"/>
          <w:sz w:val="24"/>
          <w:szCs w:val="24"/>
          <w:lang w:eastAsia="en-GB"/>
        </w:rPr>
        <w:t xml:space="preserve"> exploring uptake and retention were discussed, particularly with BAME communities or ethnic minorities (Chapters 5 and 6). The need for this approach was also confirmed after conducting a literature review (Chapter 1). </w:t>
      </w:r>
      <w:bookmarkStart w:id="119" w:name="_Hlk121473845"/>
    </w:p>
    <w:p w14:paraId="49812D2C" w14:textId="77777777" w:rsidR="00712346" w:rsidRPr="00103A0B" w:rsidRDefault="00712346" w:rsidP="00E154D0">
      <w:pPr>
        <w:autoSpaceDE w:val="0"/>
        <w:autoSpaceDN w:val="0"/>
        <w:adjustRightInd w:val="0"/>
        <w:spacing w:after="0" w:line="360" w:lineRule="auto"/>
        <w:jc w:val="both"/>
        <w:rPr>
          <w:rFonts w:ascii="Arial" w:hAnsi="Arial" w:cs="Arial"/>
          <w:sz w:val="24"/>
          <w:szCs w:val="24"/>
          <w:lang w:eastAsia="en-GB"/>
        </w:rPr>
      </w:pPr>
      <w:bookmarkStart w:id="120" w:name="_Hlk151456144"/>
      <w:bookmarkEnd w:id="119"/>
    </w:p>
    <w:p w14:paraId="044332F3" w14:textId="213A0291" w:rsidR="00BC486F" w:rsidRPr="00103A0B" w:rsidRDefault="00BC486F" w:rsidP="00E154D0">
      <w:pPr>
        <w:autoSpaceDE w:val="0"/>
        <w:autoSpaceDN w:val="0"/>
        <w:adjustRightInd w:val="0"/>
        <w:spacing w:after="0" w:line="360" w:lineRule="auto"/>
        <w:jc w:val="both"/>
        <w:rPr>
          <w:rFonts w:ascii="Arial" w:hAnsi="Arial" w:cs="Arial"/>
          <w:sz w:val="24"/>
          <w:szCs w:val="24"/>
        </w:rPr>
      </w:pPr>
      <w:r w:rsidRPr="00103A0B">
        <w:rPr>
          <w:rFonts w:ascii="Arial" w:hAnsi="Arial" w:cs="Arial"/>
          <w:sz w:val="24"/>
          <w:szCs w:val="24"/>
          <w:lang w:eastAsia="en-GB"/>
        </w:rPr>
        <w:t xml:space="preserve">From April to November 2017, individual, face-to-face, semi-structured interviews were conducted after participants attended their initial assessment (IA- a brief appointment all participants are required to attend before starting the first session of the diabetes prevention programme). </w:t>
      </w:r>
      <w:r w:rsidRPr="00103A0B">
        <w:rPr>
          <w:rFonts w:ascii="Arial" w:hAnsi="Arial" w:cs="Arial"/>
          <w:sz w:val="24"/>
          <w:szCs w:val="24"/>
        </w:rPr>
        <w:t>After attending the IA, participants who did not start the programme were classified as “non-attenders” and those who attended at least one session, were classified as “attenders”. This was determined through</w:t>
      </w:r>
      <w:r w:rsidRPr="00103A0B">
        <w:rPr>
          <w:rFonts w:ascii="Arial" w:hAnsi="Arial" w:cs="Arial"/>
          <w:sz w:val="24"/>
          <w:szCs w:val="24"/>
          <w:lang w:eastAsia="en-GB"/>
        </w:rPr>
        <w:t xml:space="preserve"> </w:t>
      </w:r>
      <w:r w:rsidRPr="00103A0B">
        <w:rPr>
          <w:rFonts w:ascii="Arial" w:hAnsi="Arial" w:cs="Arial"/>
          <w:sz w:val="24"/>
          <w:szCs w:val="24"/>
        </w:rPr>
        <w:t xml:space="preserve">regular updates from the local provider (LP) regarding whether the interviewed participants had started the programme. Attenders and non-attenders were then followed up with a short telephone call discussing reasons for their attendance or non-attendance </w:t>
      </w:r>
      <w:bookmarkStart w:id="121" w:name="_Hlk124938996"/>
      <w:r w:rsidRPr="00103A0B">
        <w:rPr>
          <w:rFonts w:ascii="Arial" w:hAnsi="Arial" w:cs="Arial"/>
          <w:sz w:val="24"/>
          <w:szCs w:val="24"/>
        </w:rPr>
        <w:t xml:space="preserve">(August 2017 to May 2018). </w:t>
      </w:r>
      <w:bookmarkStart w:id="122" w:name="_Hlk151020975"/>
      <w:bookmarkEnd w:id="121"/>
      <w:r w:rsidRPr="00103A0B">
        <w:rPr>
          <w:rFonts w:ascii="Arial" w:hAnsi="Arial" w:cs="Arial"/>
          <w:sz w:val="24"/>
          <w:szCs w:val="24"/>
        </w:rPr>
        <w:t>These two sets of interviews provide the data for the study described in Chapter 5.</w:t>
      </w:r>
      <w:bookmarkEnd w:id="122"/>
      <w:r w:rsidRPr="00103A0B">
        <w:rPr>
          <w:rFonts w:ascii="Arial" w:hAnsi="Arial" w:cs="Arial"/>
          <w:sz w:val="24"/>
          <w:szCs w:val="24"/>
        </w:rPr>
        <w:t xml:space="preserve"> From January 2018 to September 2018, the researcher received monthly updates from the LP as to </w:t>
      </w:r>
      <w:proofErr w:type="gramStart"/>
      <w:r w:rsidRPr="00103A0B">
        <w:rPr>
          <w:rFonts w:ascii="Arial" w:hAnsi="Arial" w:cs="Arial"/>
          <w:sz w:val="24"/>
          <w:szCs w:val="24"/>
        </w:rPr>
        <w:t>whether or not</w:t>
      </w:r>
      <w:proofErr w:type="gramEnd"/>
      <w:r w:rsidRPr="00103A0B">
        <w:rPr>
          <w:rFonts w:ascii="Arial" w:hAnsi="Arial" w:cs="Arial"/>
          <w:sz w:val="24"/>
          <w:szCs w:val="24"/>
        </w:rPr>
        <w:t xml:space="preserve"> the attenders completed the programme. Those who attended at least 75% of sessions (14/18) were classified as “completers”; this was in line with the definition used by NHS England for payment by completion (NHS England, 2016b). Completers and non-completers were then contacted, and individual semi-structured telephone interviews were conducted after obtaining their informed consent (March 2018 to September 2018).  </w:t>
      </w:r>
      <w:bookmarkStart w:id="123" w:name="_Hlk151020991"/>
      <w:r w:rsidRPr="00103A0B">
        <w:rPr>
          <w:rFonts w:ascii="Arial" w:hAnsi="Arial" w:cs="Arial"/>
          <w:sz w:val="24"/>
          <w:szCs w:val="24"/>
        </w:rPr>
        <w:t xml:space="preserve">These interviews form the basis of the study described in Chapter 6.  </w:t>
      </w:r>
    </w:p>
    <w:bookmarkEnd w:id="120"/>
    <w:bookmarkEnd w:id="123"/>
    <w:p w14:paraId="2ECDE692" w14:textId="77777777" w:rsidR="000B1CC7" w:rsidRPr="00103A0B" w:rsidRDefault="000B1CC7" w:rsidP="000B1CC7">
      <w:pPr>
        <w:autoSpaceDE w:val="0"/>
        <w:autoSpaceDN w:val="0"/>
        <w:adjustRightInd w:val="0"/>
        <w:spacing w:after="0" w:line="360" w:lineRule="auto"/>
        <w:jc w:val="both"/>
        <w:rPr>
          <w:rFonts w:ascii="Arial" w:hAnsi="Arial" w:cs="Arial"/>
          <w:sz w:val="24"/>
          <w:szCs w:val="24"/>
        </w:rPr>
      </w:pPr>
    </w:p>
    <w:p w14:paraId="60B95770" w14:textId="3BB046BB" w:rsidR="001465A1" w:rsidRPr="00103A0B" w:rsidRDefault="001465A1" w:rsidP="000B1CC7">
      <w:pPr>
        <w:autoSpaceDE w:val="0"/>
        <w:autoSpaceDN w:val="0"/>
        <w:adjustRightInd w:val="0"/>
        <w:spacing w:after="0" w:line="360" w:lineRule="auto"/>
        <w:jc w:val="both"/>
        <w:rPr>
          <w:rFonts w:ascii="Arial" w:hAnsi="Arial" w:cs="Arial"/>
          <w:sz w:val="24"/>
          <w:szCs w:val="24"/>
        </w:rPr>
      </w:pPr>
      <w:bookmarkStart w:id="124" w:name="_Hlk121473966"/>
      <w:r w:rsidRPr="00103A0B">
        <w:rPr>
          <w:rFonts w:ascii="Arial" w:hAnsi="Arial" w:cs="Arial"/>
          <w:sz w:val="24"/>
          <w:szCs w:val="24"/>
          <w:lang w:eastAsia="en-GB"/>
        </w:rPr>
        <w:t>When the qualitative studies were being conducted, service evaluation data that had already been collected by</w:t>
      </w:r>
      <w:r w:rsidR="005307BF" w:rsidRPr="00103A0B">
        <w:rPr>
          <w:rFonts w:ascii="Arial" w:hAnsi="Arial" w:cs="Arial"/>
          <w:sz w:val="24"/>
          <w:szCs w:val="24"/>
          <w:lang w:eastAsia="en-GB"/>
        </w:rPr>
        <w:t xml:space="preserve"> the local provider </w:t>
      </w:r>
      <w:r w:rsidRPr="00103A0B">
        <w:rPr>
          <w:rFonts w:ascii="Arial" w:hAnsi="Arial" w:cs="Arial"/>
          <w:sz w:val="24"/>
          <w:szCs w:val="24"/>
          <w:lang w:eastAsia="en-GB"/>
        </w:rPr>
        <w:t xml:space="preserve">were offered to provide us with some </w:t>
      </w:r>
      <w:r w:rsidRPr="00103A0B">
        <w:rPr>
          <w:rFonts w:ascii="Arial" w:hAnsi="Arial" w:cs="Arial"/>
          <w:sz w:val="24"/>
          <w:szCs w:val="24"/>
          <w:lang w:eastAsia="en-GB"/>
        </w:rPr>
        <w:lastRenderedPageBreak/>
        <w:t xml:space="preserve">additional quantitative data to explore predictors of uptake and retention further. Questionnaires measuring illness perceptions, self-efficacy and mental wellbeing </w:t>
      </w:r>
      <w:r w:rsidR="00074E71" w:rsidRPr="00103A0B">
        <w:rPr>
          <w:rFonts w:ascii="Arial" w:hAnsi="Arial" w:cs="Arial"/>
          <w:sz w:val="24"/>
          <w:szCs w:val="24"/>
          <w:lang w:eastAsia="en-GB"/>
        </w:rPr>
        <w:t>had been</w:t>
      </w:r>
      <w:r w:rsidRPr="00103A0B">
        <w:rPr>
          <w:rFonts w:ascii="Arial" w:hAnsi="Arial" w:cs="Arial"/>
          <w:sz w:val="24"/>
          <w:szCs w:val="24"/>
          <w:lang w:eastAsia="en-GB"/>
        </w:rPr>
        <w:t xml:space="preserve"> given to participants when they attended their </w:t>
      </w:r>
      <w:r w:rsidR="00BC486F" w:rsidRPr="00103A0B">
        <w:rPr>
          <w:rFonts w:ascii="Arial" w:hAnsi="Arial" w:cs="Arial"/>
          <w:sz w:val="24"/>
          <w:szCs w:val="24"/>
          <w:lang w:eastAsia="en-GB"/>
        </w:rPr>
        <w:t xml:space="preserve">IA (April 2016 to January 2018). These data were given to us in April 2018 and </w:t>
      </w:r>
      <w:r w:rsidRPr="00103A0B">
        <w:rPr>
          <w:rFonts w:ascii="Arial" w:hAnsi="Arial" w:cs="Arial"/>
          <w:sz w:val="24"/>
          <w:szCs w:val="24"/>
          <w:lang w:eastAsia="en-GB"/>
        </w:rPr>
        <w:t xml:space="preserve">provided an opportunity to explore predictors of uptake and </w:t>
      </w:r>
      <w:r w:rsidR="00074E71" w:rsidRPr="00103A0B">
        <w:rPr>
          <w:rFonts w:ascii="Arial" w:hAnsi="Arial" w:cs="Arial"/>
          <w:sz w:val="24"/>
          <w:szCs w:val="24"/>
          <w:lang w:eastAsia="en-GB"/>
        </w:rPr>
        <w:t>retention</w:t>
      </w:r>
      <w:r w:rsidRPr="00103A0B">
        <w:rPr>
          <w:rFonts w:ascii="Arial" w:hAnsi="Arial" w:cs="Arial"/>
          <w:sz w:val="24"/>
          <w:szCs w:val="24"/>
          <w:lang w:eastAsia="en-GB"/>
        </w:rPr>
        <w:t xml:space="preserve"> from a quantitative perspective, complementing the other studies which took a qualitative approach.</w:t>
      </w:r>
      <w:r w:rsidR="00882055" w:rsidRPr="00103A0B">
        <w:rPr>
          <w:rFonts w:ascii="Arial" w:hAnsi="Arial" w:cs="Arial"/>
          <w:sz w:val="24"/>
          <w:szCs w:val="24"/>
          <w:lang w:eastAsia="en-GB"/>
        </w:rPr>
        <w:t xml:space="preserve"> </w:t>
      </w:r>
      <w:r w:rsidR="00BC486F" w:rsidRPr="00103A0B">
        <w:rPr>
          <w:rFonts w:ascii="Arial" w:hAnsi="Arial" w:cs="Arial"/>
          <w:sz w:val="24"/>
          <w:szCs w:val="24"/>
          <w:lang w:eastAsia="en-GB"/>
        </w:rPr>
        <w:t>T</w:t>
      </w:r>
      <w:r w:rsidR="00BC486F" w:rsidRPr="00103A0B">
        <w:rPr>
          <w:rFonts w:ascii="Arial" w:hAnsi="Arial" w:cs="Arial"/>
          <w:sz w:val="24"/>
          <w:szCs w:val="24"/>
        </w:rPr>
        <w:t xml:space="preserve">hese data are reported and analysed in </w:t>
      </w:r>
      <w:r w:rsidR="00BC486F" w:rsidRPr="00103A0B">
        <w:rPr>
          <w:rFonts w:ascii="Arial" w:hAnsi="Arial" w:cs="Arial"/>
          <w:sz w:val="24"/>
          <w:szCs w:val="24"/>
          <w:lang w:eastAsia="en-GB"/>
        </w:rPr>
        <w:t xml:space="preserve">Chapter 7.  </w:t>
      </w:r>
    </w:p>
    <w:bookmarkEnd w:id="124"/>
    <w:p w14:paraId="3183CE5E" w14:textId="77777777" w:rsidR="001465A1" w:rsidRPr="00103A0B" w:rsidRDefault="001465A1" w:rsidP="00CD5919">
      <w:pPr>
        <w:autoSpaceDE w:val="0"/>
        <w:autoSpaceDN w:val="0"/>
        <w:adjustRightInd w:val="0"/>
        <w:spacing w:after="0" w:line="360" w:lineRule="auto"/>
        <w:jc w:val="both"/>
        <w:rPr>
          <w:rFonts w:ascii="Arial" w:hAnsi="Arial" w:cs="Arial"/>
          <w:sz w:val="24"/>
          <w:szCs w:val="24"/>
          <w:lang w:eastAsia="en-GB"/>
        </w:rPr>
      </w:pPr>
    </w:p>
    <w:p w14:paraId="0DADD351" w14:textId="57DB620F" w:rsidR="001465A1" w:rsidRPr="00103A0B" w:rsidRDefault="001465A1" w:rsidP="00CD5919">
      <w:pPr>
        <w:autoSpaceDE w:val="0"/>
        <w:autoSpaceDN w:val="0"/>
        <w:adjustRightInd w:val="0"/>
        <w:spacing w:after="0" w:line="360" w:lineRule="auto"/>
        <w:jc w:val="both"/>
        <w:rPr>
          <w:rFonts w:ascii="Arial" w:hAnsi="Arial" w:cs="Arial"/>
          <w:sz w:val="24"/>
          <w:szCs w:val="24"/>
          <w:lang w:eastAsia="en-GB"/>
        </w:rPr>
      </w:pPr>
      <w:r w:rsidRPr="00103A0B">
        <w:rPr>
          <w:rFonts w:ascii="Arial" w:hAnsi="Arial" w:cs="Arial"/>
          <w:sz w:val="24"/>
          <w:szCs w:val="24"/>
          <w:lang w:eastAsia="en-GB"/>
        </w:rPr>
        <w:t xml:space="preserve">Collaboration is a mutually beneficial relationship where two or more organisations work together to achieve shared goals as they share similar interests </w:t>
      </w:r>
      <w:r w:rsidRPr="00103A0B">
        <w:rPr>
          <w:rFonts w:ascii="Arial" w:hAnsi="Arial" w:cs="Arial"/>
          <w:sz w:val="24"/>
          <w:szCs w:val="24"/>
          <w:lang w:eastAsia="en-GB"/>
        </w:rPr>
        <w:fldChar w:fldCharType="begin" w:fldLock="1"/>
      </w:r>
      <w:r w:rsidRPr="00103A0B">
        <w:rPr>
          <w:rFonts w:ascii="Arial" w:hAnsi="Arial" w:cs="Arial"/>
          <w:sz w:val="24"/>
          <w:szCs w:val="24"/>
          <w:lang w:eastAsia="en-GB"/>
        </w:rPr>
        <w:instrText>ADDIN CSL_CITATION {"citationItems":[{"id":"ITEM-1","itemData":{"ISBN":"0940069024","author":[{"dropping-particle":"","family":"Mattessich","given":"P.W.","non-dropping-particle":"","parse-names":false,"suffix":""},{"dropping-particle":"","family":"Monsey","given":"B.R.","non-dropping-particle":"","parse-names":false,"suffix":""}],"id":"ITEM-1","issued":{"date-parts":[["1992"]]},"number-of-pages":"1-57","publisher":"Amherst H. Wilder Foundation","publisher-place":"Saint Paul, Minnesota","title":"Collaboration: what makes it work- a review of research literature on factors influencing successful collaboration","type":"book"},"uris":["http://www.mendeley.com/documents/?uuid=2a9225f6-c3ca-4fcc-a9c4-c8a1e88482ba"]},{"id":"ITEM-2","itemData":{"DOI":"10.7899/jce-14-36","ISSN":"1042-5055","PMID":"25594446","abstract":"Interprofessional collaboration occurs when 2 or more professions work together to achieve common goals and is often used as a means for solving a variety of problems and complex issues. The benefits of collaboration allow participants to achieve together more than they can individually, serve larger groups of people, and grow on individual and organizational levels. This editorial provides an overview of interprofessional collaboration in the areas of clinical practice, education, and research; discusses barriers to collaboration; and suggests potential means to overcome them.","author":[{"dropping-particle":"","family":"Green","given":"Bart N.","non-dropping-particle":"","parse-names":false,"suffix":""},{"dropping-particle":"","family":"Johnson","given":"Claire D.","non-dropping-particle":"","parse-names":false,"suffix":""}],"container-title":"Journal of Chiropractic Education","id":"ITEM-2","issue":"1","issued":{"date-parts":[["2015"]]},"page":"1-10","title":"Interprofessional collaboration in research, education, and clinical practice: working together for a better future","type":"article-journal","volume":"29"},"uris":["http://www.mendeley.com/documents/?uuid=28933598-4116-4e30-b392-d9f0b625501e"]}],"mendeley":{"formattedCitation":"(Green &amp; Johnson, 2015; Mattessich &amp; Monsey, 1992)","plainTextFormattedCitation":"(Green &amp; Johnson, 2015; Mattessich &amp; Monsey, 1992)","previouslyFormattedCitation":"(Green &amp; Johnson, 2015; Mattessich &amp; Monsey, 1992)"},"properties":{"noteIndex":0},"schema":"https://github.com/citation-style-language/schema/raw/master/csl-citation.json"}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(Green &amp; Johnson, 2015; Mattessich &amp; Monsey, 1992)</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w:t>
      </w:r>
      <w:bookmarkStart w:id="125" w:name="_Hlk121342166"/>
      <w:r w:rsidRPr="00103A0B">
        <w:rPr>
          <w:rFonts w:ascii="Arial" w:hAnsi="Arial" w:cs="Arial"/>
          <w:sz w:val="24"/>
          <w:szCs w:val="24"/>
          <w:lang w:eastAsia="en-GB"/>
        </w:rPr>
        <w:t>One of the benefits of collaboration include</w:t>
      </w:r>
      <w:r w:rsidR="001B657A" w:rsidRPr="00103A0B">
        <w:rPr>
          <w:rFonts w:ascii="Arial" w:hAnsi="Arial" w:cs="Arial"/>
          <w:sz w:val="24"/>
          <w:szCs w:val="24"/>
          <w:lang w:eastAsia="en-GB"/>
        </w:rPr>
        <w:t>s</w:t>
      </w:r>
      <w:r w:rsidRPr="00103A0B">
        <w:rPr>
          <w:rFonts w:ascii="Arial" w:hAnsi="Arial" w:cs="Arial"/>
          <w:sz w:val="24"/>
          <w:szCs w:val="24"/>
          <w:lang w:eastAsia="en-GB"/>
        </w:rPr>
        <w:t xml:space="preserve"> </w:t>
      </w:r>
      <w:bookmarkEnd w:id="125"/>
      <w:r w:rsidRPr="00103A0B">
        <w:rPr>
          <w:rFonts w:ascii="Arial" w:hAnsi="Arial" w:cs="Arial"/>
          <w:sz w:val="24"/>
          <w:szCs w:val="24"/>
          <w:lang w:eastAsia="en-GB"/>
        </w:rPr>
        <w:t xml:space="preserve">providing a means for organisations, institutions, or professions to achieve more than they can on their own </w:t>
      </w:r>
      <w:r w:rsidRPr="00103A0B">
        <w:rPr>
          <w:rFonts w:ascii="Arial" w:hAnsi="Arial" w:cs="Arial"/>
          <w:sz w:val="24"/>
          <w:szCs w:val="24"/>
          <w:lang w:eastAsia="en-GB"/>
        </w:rPr>
        <w:fldChar w:fldCharType="begin" w:fldLock="1"/>
      </w:r>
      <w:r w:rsidRPr="00103A0B">
        <w:rPr>
          <w:rFonts w:ascii="Arial" w:hAnsi="Arial" w:cs="Arial"/>
          <w:sz w:val="24"/>
          <w:szCs w:val="24"/>
          <w:lang w:eastAsia="en-GB"/>
        </w:rPr>
        <w:instrText>ADDIN CSL_CITATION {"citationItems":[{"id":"ITEM-1","itemData":{"DOI":"10.7899/jce-14-36","ISSN":"1042-5055","PMID":"25594446","abstract":"Interprofessional collaboration occurs when 2 or more professions work together to achieve common goals and is often used as a means for solving a variety of problems and complex issues. The benefits of collaboration allow participants to achieve together more than they can individually, serve larger groups of people, and grow on individual and organizational levels. This editorial provides an overview of interprofessional collaboration in the areas of clinical practice, education, and research; discusses barriers to collaboration; and suggests potential means to overcome them.","author":[{"dropping-particle":"","family":"Green","given":"Bart N.","non-dropping-particle":"","parse-names":false,"suffix":""},{"dropping-particle":"","family":"Johnson","given":"Claire D.","non-dropping-particle":"","parse-names":false,"suffix":""}],"container-title":"Journal of Chiropractic Education","id":"ITEM-1","issue":"1","issued":{"date-parts":[["2015"]]},"page":"1-10","title":"Interprofessional collaboration in research, education, and clinical practice: working together for a better future","type":"article-journal","volume":"29"},"uris":["http://www.mendeley.com/documents/?uuid=28933598-4116-4e30-b392-d9f0b625501e"]}],"mendeley":{"formattedCitation":"(Green &amp; Johnson, 2015)","plainTextFormattedCitation":"(Green &amp; Johnson, 2015)","previouslyFormattedCitation":"(Green &amp; Johnson, 2015)"},"properties":{"noteIndex":0},"schema":"https://github.com/citation-style-language/schema/raw/master/csl-citation.json"}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(Green &amp; Johnson, 2015)</w:t>
      </w:r>
      <w:r w:rsidRPr="00103A0B">
        <w:rPr>
          <w:rFonts w:ascii="Arial" w:hAnsi="Arial" w:cs="Arial"/>
          <w:sz w:val="24"/>
          <w:szCs w:val="24"/>
          <w:lang w:eastAsia="en-GB"/>
        </w:rPr>
        <w:fldChar w:fldCharType="end"/>
      </w:r>
      <w:r w:rsidRPr="00103A0B">
        <w:rPr>
          <w:rFonts w:ascii="Arial" w:hAnsi="Arial" w:cs="Arial"/>
          <w:sz w:val="24"/>
          <w:szCs w:val="24"/>
          <w:lang w:eastAsia="en-GB"/>
        </w:rPr>
        <w:t>. In this research, we worked closely together with the local provider in a collaborative manner (as we shared similar interests) to ensure development and implementation of these studies. These studies have allowed us to fill the gaps in the literature (see Chapter 1) and ha</w:t>
      </w:r>
      <w:r w:rsidR="00074E71" w:rsidRPr="00103A0B">
        <w:rPr>
          <w:rFonts w:ascii="Arial" w:hAnsi="Arial" w:cs="Arial"/>
          <w:sz w:val="24"/>
          <w:szCs w:val="24"/>
          <w:lang w:eastAsia="en-GB"/>
        </w:rPr>
        <w:t>ve</w:t>
      </w:r>
      <w:r w:rsidRPr="00103A0B">
        <w:rPr>
          <w:rFonts w:ascii="Arial" w:hAnsi="Arial" w:cs="Arial"/>
          <w:sz w:val="24"/>
          <w:szCs w:val="24"/>
          <w:lang w:eastAsia="en-GB"/>
        </w:rPr>
        <w:t xml:space="preserve"> enabled us to produce recommendations to improve uptake and retention, so the NHSDPP is more viable, potentially resulting in more individuals being able to attend and complete this programme, enhancing their lives and reducing their T2DM risk.   </w:t>
      </w:r>
    </w:p>
    <w:p w14:paraId="60908DC9" w14:textId="77777777" w:rsidR="001465A1" w:rsidRPr="00103A0B" w:rsidRDefault="001465A1" w:rsidP="00CD5919">
      <w:pPr>
        <w:autoSpaceDE w:val="0"/>
        <w:autoSpaceDN w:val="0"/>
        <w:adjustRightInd w:val="0"/>
        <w:spacing w:after="0" w:line="360" w:lineRule="auto"/>
        <w:jc w:val="both"/>
        <w:rPr>
          <w:rFonts w:ascii="Arial" w:hAnsi="Arial" w:cs="Arial"/>
          <w:sz w:val="24"/>
          <w:szCs w:val="24"/>
          <w:lang w:eastAsia="en-GB"/>
        </w:rPr>
      </w:pPr>
    </w:p>
    <w:p w14:paraId="32056B66" w14:textId="083B37E4" w:rsidR="00A65CCA" w:rsidRPr="00103A0B" w:rsidRDefault="001465A1" w:rsidP="00400D30">
      <w:pPr>
        <w:spacing w:after="0" w:line="360" w:lineRule="auto"/>
        <w:contextualSpacing/>
        <w:jc w:val="both"/>
        <w:rPr>
          <w:rFonts w:ascii="Arial" w:hAnsi="Arial" w:cs="Arial"/>
          <w:sz w:val="24"/>
          <w:szCs w:val="24"/>
          <w:lang w:eastAsia="en-GB"/>
        </w:rPr>
      </w:pPr>
      <w:r w:rsidRPr="00103A0B">
        <w:rPr>
          <w:rFonts w:ascii="Arial" w:hAnsi="Arial" w:cs="Arial"/>
          <w:sz w:val="24"/>
          <w:szCs w:val="24"/>
          <w:lang w:eastAsia="en-GB"/>
        </w:rPr>
        <w:t xml:space="preserve">Collaboration allows access to resources such as participants so that more complex or meaningful research can take place </w:t>
      </w:r>
      <w:r w:rsidRPr="00103A0B">
        <w:rPr>
          <w:rFonts w:ascii="Arial" w:hAnsi="Arial" w:cs="Arial"/>
          <w:sz w:val="24"/>
          <w:szCs w:val="24"/>
          <w:lang w:eastAsia="en-GB"/>
        </w:rPr>
        <w:fldChar w:fldCharType="begin" w:fldLock="1"/>
      </w:r>
      <w:r w:rsidRPr="00103A0B">
        <w:rPr>
          <w:rFonts w:ascii="Arial" w:hAnsi="Arial" w:cs="Arial"/>
          <w:sz w:val="24"/>
          <w:szCs w:val="24"/>
          <w:lang w:eastAsia="en-GB"/>
        </w:rPr>
        <w:instrText>ADDIN CSL_CITATION {"citationItems":[{"id":"ITEM-1","itemData":{"DOI":"10.7899/jce-14-36","ISSN":"1042-5055","PMID":"25594446","abstract":"Interprofessional collaboration occurs when 2 or more professions work together to achieve common goals and is often used as a means for solving a variety of problems and complex issues. The benefits of collaboration allow participants to achieve together more than they can individually, serve larger groups of people, and grow on individual and organizational levels. This editorial provides an overview of interprofessional collaboration in the areas of clinical practice, education, and research; discusses barriers to collaboration; and suggests potential means to overcome them.","author":[{"dropping-particle":"","family":"Green","given":"Bart N.","non-dropping-particle":"","parse-names":false,"suffix":""},{"dropping-particle":"","family":"Johnson","given":"Claire D.","non-dropping-particle":"","parse-names":false,"suffix":""}],"container-title":"Journal of Chiropractic Education","id":"ITEM-1","issue":"1","issued":{"date-parts":[["2015"]]},"page":"1-10","title":"Interprofessional collaboration in research, education, and clinical practice: working together for a better future","type":"article-journal","volume":"29"},"uris":["http://www.mendeley.com/documents/?uuid=28933598-4116-4e30-b392-d9f0b625501e"]}],"mendeley":{"formattedCitation":"(Green &amp; Johnson, 2015)","plainTextFormattedCitation":"(Green &amp; Johnson, 2015)","previouslyFormattedCitation":"(Green &amp; Johnson, 2015)"},"properties":{"noteIndex":0},"schema":"https://github.com/citation-style-language/schema/raw/master/csl-citation.json"}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(Green &amp; Johnson, 2015)</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In this research, by working closely with the local provider, access to participants was granted, and without this important collaboration, research with NHSDPP participants may not have been possible. Good communication between collaborators is a key factor for collaboration success, with the potential of also facilitating sharing of information, resources and enabling learning to take place </w:t>
      </w:r>
      <w:r w:rsidRPr="00103A0B">
        <w:rPr>
          <w:rFonts w:ascii="Arial" w:hAnsi="Arial" w:cs="Arial"/>
          <w:sz w:val="24"/>
          <w:szCs w:val="24"/>
          <w:lang w:eastAsia="en-GB"/>
        </w:rPr>
        <w:fldChar w:fldCharType="begin" w:fldLock="1"/>
      </w:r>
      <w:r w:rsidRPr="00103A0B">
        <w:rPr>
          <w:rFonts w:ascii="Arial" w:hAnsi="Arial" w:cs="Arial"/>
          <w:sz w:val="24"/>
          <w:szCs w:val="24"/>
          <w:lang w:eastAsia="en-GB"/>
        </w:rPr>
        <w:instrText>ADDIN CSL_CITATION {"citationItems":[{"id":"ITEM-1","itemData":{"DOI":"10.3310/hsdr03440","ISSN":"2050-4349","abstract":"Our starting point was to test the theory that bringing higher education institutions and health-care organisations closer together catalyses knowledge mobilisation. The overall purpose was to develop explanatory theory regarding implementation through CLAHRCs and answer the question ‘what works, for whom, why and in what circumstances?’. The study objectives focused on identifying and tracking implementation mechanisms and processes over time; determining what influences whether or not and how research is used in CLAHRCs; investigating the role played by boundary objects in the success or failure of implementation; and determining whether or not and how CLAHRCs develop and sustain interactions and communities of practice. Conclusions: Most studies of implementation focus on researching one-off projects, so a strength of this study was in researching a systems approach to knowledge mobilisation over time. Although CLAHRC-like approaches show promise, realising their full potential will require a longer and more sustained focus on relationship building, resource allocation and, in some cases, culture change. This reinforces the point that research implementation within a CLAHRC model is a long-term investment and one that is set within a life cycle of organisational collaboration","author":[{"dropping-particle":"","family":"Rycroft-Malone","given":"Jo","non-dropping-particle":"","parse-names":false,"suffix":""},{"dropping-particle":"","family":"Burton","given":"Christopher","non-dropping-particle":"","parse-names":false,"suffix":""},{"dropping-particle":"","family":"Wilkinson","given":"Joyce","non-dropping-particle":"","parse-names":false,"suffix":""},{"dropping-particle":"","family":"Harvey","given":"Gill","non-dropping-particle":"","parse-names":false,"suffix":""},{"dropping-particle":"","family":"McCormack","given":"Brendan","non-dropping-particle":"","parse-names":false,"suffix":""},{"dropping-particle":"","family":"Baker","given":"Richard","non-dropping-particle":"","parse-names":false,"suffix":""},{"dropping-particle":"","family":"Dopson","given":"Sue","non-dropping-particle":"","parse-names":false,"suffix":""},{"dropping-particle":"","family":"Graham","given":"Ian","non-dropping-particle":"","parse-names":false,"suffix":""},{"dropping-particle":"","family":"Staniszewska","given":"Sophie","non-dropping-particle":"","parse-names":false,"suffix":""},{"dropping-particle":"","family":"Thompson","given":"Carl","non-dropping-particle":"","parse-names":false,"suffix":""},{"dropping-particle":"","family":"Ariss","given":"Steven","non-dropping-particle":"","parse-names":false,"suffix":""},{"dropping-particle":"","family":"Melville-Richards","given":"Lucy","non-dropping-particle":"","parse-names":false,"suffix":""},{"dropping-particle":"","family":"Williams","given":"Lynne","non-dropping-particle":"","parse-names":false,"suffix":""}],"container-title":"Health Services and Delivery Research","id":"ITEM-1","issue":"44","issued":{"date-parts":[["2015"]]},"page":"1-200","title":"Collective action for knowledge mobilisation: a realist evaluation of the collaborations for leadership in applied health research and care","type":"article-journal","volume":"3"},"uris":["http://www.mendeley.com/documents/?uuid=7d5015ca-3df4-48c8-9db4-0573f234d89b"]}],"mendeley":{"formattedCitation":"(Rycroft-Malone et al., 2015)","plainTextFormattedCitation":"(Rycroft-Malone et al., 2015)","previouslyFormattedCitation":"(Rycroft-Malone et al., 2015)"},"properties":{"noteIndex":0},"schema":"https://github.com/citation-style-language/schema/raw/master/csl-citation.json"}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(Rycroft-Malone et al., 2015)</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w:t>
      </w:r>
      <w:r w:rsidR="00074E71" w:rsidRPr="00103A0B">
        <w:rPr>
          <w:rFonts w:ascii="Arial" w:hAnsi="Arial" w:cs="Arial"/>
          <w:sz w:val="24"/>
          <w:szCs w:val="24"/>
          <w:lang w:eastAsia="en-GB"/>
        </w:rPr>
        <w:t xml:space="preserve">This research involved engaging with the local provider, both with the senior team involved in design and programme management, with the staff involved in implementing the programme, and those responsible for programme logistics. These studies (Chapters 5 and 6) </w:t>
      </w:r>
      <w:r w:rsidRPr="00103A0B">
        <w:rPr>
          <w:rFonts w:ascii="Arial" w:hAnsi="Arial" w:cs="Arial"/>
          <w:sz w:val="24"/>
          <w:szCs w:val="24"/>
          <w:lang w:eastAsia="en-GB"/>
        </w:rPr>
        <w:t xml:space="preserve">were designed and implemented after collaborating with the senior team and working closely with staff who were responsible for programme delivery and logistics. </w:t>
      </w:r>
      <w:bookmarkStart w:id="126" w:name="_Hlk81934079"/>
      <w:r w:rsidRPr="00103A0B">
        <w:rPr>
          <w:rFonts w:ascii="Arial" w:hAnsi="Arial" w:cs="Arial"/>
          <w:sz w:val="24"/>
          <w:szCs w:val="24"/>
          <w:lang w:eastAsia="en-GB"/>
        </w:rPr>
        <w:t xml:space="preserve">The findings of this research have been written up for publication and one of the authors (PC) who was part of the senior team of </w:t>
      </w:r>
      <w:r w:rsidR="005307BF" w:rsidRPr="00103A0B">
        <w:rPr>
          <w:rFonts w:ascii="Arial" w:hAnsi="Arial" w:cs="Arial"/>
          <w:sz w:val="24"/>
          <w:szCs w:val="24"/>
          <w:lang w:eastAsia="en-GB"/>
        </w:rPr>
        <w:t>the local provider</w:t>
      </w:r>
      <w:r w:rsidRPr="00103A0B">
        <w:rPr>
          <w:rFonts w:ascii="Arial" w:hAnsi="Arial" w:cs="Arial"/>
          <w:sz w:val="24"/>
          <w:szCs w:val="24"/>
          <w:lang w:eastAsia="en-GB"/>
        </w:rPr>
        <w:t xml:space="preserve">, was involved in the write </w:t>
      </w:r>
      <w:r w:rsidRPr="00103A0B">
        <w:rPr>
          <w:rFonts w:ascii="Arial" w:hAnsi="Arial" w:cs="Arial"/>
          <w:sz w:val="24"/>
          <w:szCs w:val="24"/>
          <w:lang w:eastAsia="en-GB"/>
        </w:rPr>
        <w:lastRenderedPageBreak/>
        <w:t>up of these papers.</w:t>
      </w:r>
      <w:r w:rsidR="00074E71" w:rsidRPr="00103A0B">
        <w:rPr>
          <w:rFonts w:ascii="Arial" w:hAnsi="Arial" w:cs="Arial"/>
          <w:sz w:val="24"/>
          <w:szCs w:val="24"/>
          <w:lang w:eastAsia="en-GB"/>
        </w:rPr>
        <w:t xml:space="preserve"> Recommendations for improving the NHSDPP have been made (Chapter 8) </w:t>
      </w:r>
      <w:r w:rsidRPr="00103A0B">
        <w:rPr>
          <w:rFonts w:ascii="Arial" w:hAnsi="Arial" w:cs="Arial"/>
          <w:sz w:val="24"/>
          <w:szCs w:val="24"/>
          <w:lang w:eastAsia="en-GB"/>
        </w:rPr>
        <w:t xml:space="preserve">and hopefully these will be implemented and taken into consideration when trying to improve uptake and retention to the NHSDPP both locally and nationally, as well as for other diabetes prevention programmes. </w:t>
      </w:r>
      <w:r w:rsidR="003117E0" w:rsidRPr="00103A0B">
        <w:rPr>
          <w:rFonts w:ascii="Arial" w:hAnsi="Arial" w:cs="Arial"/>
          <w:sz w:val="24"/>
          <w:szCs w:val="24"/>
          <w:lang w:eastAsia="en-GB"/>
        </w:rPr>
        <w:t xml:space="preserve">The main findings of this thesis including suggestions for improvements will be given to the local provider. </w:t>
      </w:r>
      <w:bookmarkEnd w:id="126"/>
    </w:p>
    <w:p w14:paraId="255BC54D" w14:textId="77777777" w:rsidR="00400D30" w:rsidRPr="00103A0B" w:rsidRDefault="00400D30" w:rsidP="00CD5919">
      <w:pPr>
        <w:autoSpaceDE w:val="0"/>
        <w:autoSpaceDN w:val="0"/>
        <w:adjustRightInd w:val="0"/>
        <w:spacing w:after="0" w:line="360" w:lineRule="auto"/>
        <w:contextualSpacing/>
        <w:jc w:val="both"/>
        <w:rPr>
          <w:rFonts w:ascii="Arial" w:hAnsi="Arial" w:cs="Arial"/>
          <w:sz w:val="24"/>
          <w:szCs w:val="24"/>
          <w:lang w:eastAsia="en-GB"/>
        </w:rPr>
      </w:pPr>
    </w:p>
    <w:p w14:paraId="490A8BF0" w14:textId="7FF0E603" w:rsidR="00BB4E63" w:rsidRPr="00103A0B" w:rsidRDefault="001465A1" w:rsidP="00E154D0">
      <w:pPr>
        <w:autoSpaceDE w:val="0"/>
        <w:autoSpaceDN w:val="0"/>
        <w:adjustRightInd w:val="0"/>
        <w:spacing w:after="0" w:line="360" w:lineRule="auto"/>
        <w:contextualSpacing/>
        <w:jc w:val="both"/>
        <w:rPr>
          <w:rFonts w:ascii="Arial" w:hAnsi="Arial" w:cs="Arial"/>
          <w:sz w:val="24"/>
          <w:szCs w:val="24"/>
          <w:lang w:eastAsia="en-GB"/>
        </w:rPr>
      </w:pPr>
      <w:proofErr w:type="gramStart"/>
      <w:r w:rsidRPr="00103A0B">
        <w:rPr>
          <w:rFonts w:ascii="Arial" w:hAnsi="Arial" w:cs="Arial"/>
          <w:sz w:val="24"/>
          <w:szCs w:val="24"/>
          <w:lang w:eastAsia="en-GB"/>
        </w:rPr>
        <w:t>In order to</w:t>
      </w:r>
      <w:proofErr w:type="gramEnd"/>
      <w:r w:rsidRPr="00103A0B">
        <w:rPr>
          <w:rFonts w:ascii="Arial" w:hAnsi="Arial" w:cs="Arial"/>
          <w:sz w:val="24"/>
          <w:szCs w:val="24"/>
          <w:lang w:eastAsia="en-GB"/>
        </w:rPr>
        <w:t xml:space="preserve"> ensure high quality research is undertaken, a sound rationale for each study needs to be provided which includes justifying why the selected methodology, data collection and analysis approaches were taken. The following sections will highlight the rationale for the data collection and analyses adopted in this research, starting with the qualitative studies (</w:t>
      </w:r>
      <w:r w:rsidR="00714650" w:rsidRPr="00103A0B">
        <w:rPr>
          <w:rFonts w:ascii="Arial" w:hAnsi="Arial" w:cs="Arial"/>
          <w:sz w:val="24"/>
          <w:szCs w:val="24"/>
          <w:lang w:eastAsia="en-GB"/>
        </w:rPr>
        <w:t>C</w:t>
      </w:r>
      <w:r w:rsidRPr="00103A0B">
        <w:rPr>
          <w:rFonts w:ascii="Arial" w:hAnsi="Arial" w:cs="Arial"/>
          <w:sz w:val="24"/>
          <w:szCs w:val="24"/>
          <w:lang w:eastAsia="en-GB"/>
        </w:rPr>
        <w:t xml:space="preserve">hapters 5 </w:t>
      </w:r>
      <w:r w:rsidR="00714650" w:rsidRPr="00103A0B">
        <w:rPr>
          <w:rFonts w:ascii="Arial" w:hAnsi="Arial" w:cs="Arial"/>
          <w:sz w:val="24"/>
          <w:szCs w:val="24"/>
          <w:lang w:eastAsia="en-GB"/>
        </w:rPr>
        <w:t>and</w:t>
      </w:r>
      <w:r w:rsidRPr="00103A0B">
        <w:rPr>
          <w:rFonts w:ascii="Arial" w:hAnsi="Arial" w:cs="Arial"/>
          <w:sz w:val="24"/>
          <w:szCs w:val="24"/>
          <w:lang w:eastAsia="en-GB"/>
        </w:rPr>
        <w:t xml:space="preserve"> 6) followed by the quantitative study (</w:t>
      </w:r>
      <w:r w:rsidR="00714650" w:rsidRPr="00103A0B">
        <w:rPr>
          <w:rFonts w:ascii="Arial" w:hAnsi="Arial" w:cs="Arial"/>
          <w:sz w:val="24"/>
          <w:szCs w:val="24"/>
          <w:lang w:eastAsia="en-GB"/>
        </w:rPr>
        <w:t>C</w:t>
      </w:r>
      <w:r w:rsidRPr="00103A0B">
        <w:rPr>
          <w:rFonts w:ascii="Arial" w:hAnsi="Arial" w:cs="Arial"/>
          <w:sz w:val="24"/>
          <w:szCs w:val="24"/>
          <w:lang w:eastAsia="en-GB"/>
        </w:rPr>
        <w:t xml:space="preserve">hapter 7). </w:t>
      </w:r>
    </w:p>
    <w:p w14:paraId="57B509FC" w14:textId="3DD263F4" w:rsidR="00E154D0" w:rsidRPr="00103A0B" w:rsidRDefault="00E154D0" w:rsidP="00E154D0">
      <w:pPr>
        <w:autoSpaceDE w:val="0"/>
        <w:autoSpaceDN w:val="0"/>
        <w:adjustRightInd w:val="0"/>
        <w:spacing w:after="0" w:line="360" w:lineRule="auto"/>
        <w:contextualSpacing/>
        <w:jc w:val="both"/>
        <w:rPr>
          <w:rFonts w:ascii="Arial" w:hAnsi="Arial" w:cs="Arial"/>
          <w:sz w:val="24"/>
          <w:szCs w:val="24"/>
          <w:lang w:eastAsia="en-GB"/>
        </w:rPr>
      </w:pPr>
    </w:p>
    <w:p w14:paraId="4B516D65" w14:textId="77777777" w:rsidR="00E154D0" w:rsidRPr="00103A0B" w:rsidRDefault="00E154D0" w:rsidP="00E154D0">
      <w:pPr>
        <w:autoSpaceDE w:val="0"/>
        <w:autoSpaceDN w:val="0"/>
        <w:adjustRightInd w:val="0"/>
        <w:spacing w:after="0" w:line="360" w:lineRule="auto"/>
        <w:contextualSpacing/>
        <w:jc w:val="both"/>
        <w:rPr>
          <w:rFonts w:ascii="Arial" w:hAnsi="Arial" w:cs="Arial"/>
          <w:sz w:val="24"/>
          <w:szCs w:val="24"/>
          <w:lang w:eastAsia="en-GB"/>
        </w:rPr>
      </w:pPr>
    </w:p>
    <w:p w14:paraId="34A747C9" w14:textId="3FF4F904" w:rsidR="00BB4E63" w:rsidRPr="00103A0B" w:rsidRDefault="00714650" w:rsidP="00CD5919">
      <w:pPr>
        <w:pStyle w:val="Heading2"/>
        <w:numPr>
          <w:ilvl w:val="0"/>
          <w:numId w:val="0"/>
        </w:numPr>
        <w:jc w:val="both"/>
        <w:rPr>
          <w:rFonts w:ascii="Arial" w:hAnsi="Arial" w:cs="Arial"/>
          <w:sz w:val="28"/>
        </w:rPr>
      </w:pPr>
      <w:bookmarkStart w:id="127" w:name="_Toc151548311"/>
      <w:r w:rsidRPr="00103A0B">
        <w:rPr>
          <w:rFonts w:ascii="Arial" w:hAnsi="Arial" w:cs="Arial"/>
          <w:sz w:val="28"/>
        </w:rPr>
        <w:t xml:space="preserve">3.2 </w:t>
      </w:r>
      <w:r w:rsidR="00BB4E63" w:rsidRPr="00103A0B">
        <w:rPr>
          <w:rFonts w:ascii="Arial" w:hAnsi="Arial" w:cs="Arial"/>
          <w:sz w:val="28"/>
        </w:rPr>
        <w:t xml:space="preserve">Qualitative Studies (Chapters 5 </w:t>
      </w:r>
      <w:r w:rsidRPr="00103A0B">
        <w:rPr>
          <w:rFonts w:ascii="Arial" w:hAnsi="Arial" w:cs="Arial"/>
          <w:sz w:val="28"/>
        </w:rPr>
        <w:t>and</w:t>
      </w:r>
      <w:r w:rsidR="00BB4E63" w:rsidRPr="00103A0B">
        <w:rPr>
          <w:rFonts w:ascii="Arial" w:hAnsi="Arial" w:cs="Arial"/>
          <w:sz w:val="28"/>
        </w:rPr>
        <w:t xml:space="preserve"> 6)</w:t>
      </w:r>
      <w:bookmarkEnd w:id="127"/>
    </w:p>
    <w:p w14:paraId="1079BC72" w14:textId="2D09DEBD" w:rsidR="00BB4E63" w:rsidRPr="00103A0B" w:rsidRDefault="00714650" w:rsidP="00400D30">
      <w:pPr>
        <w:keepLines/>
        <w:jc w:val="both"/>
        <w:rPr>
          <w:rFonts w:ascii="Arial" w:hAnsi="Arial" w:cs="Arial"/>
          <w:b/>
          <w:bCs/>
          <w:sz w:val="24"/>
          <w:szCs w:val="24"/>
          <w:lang w:eastAsia="en-GB"/>
        </w:rPr>
      </w:pPr>
      <w:r w:rsidRPr="00103A0B">
        <w:rPr>
          <w:rFonts w:ascii="Arial" w:hAnsi="Arial" w:cs="Arial"/>
          <w:b/>
          <w:bCs/>
          <w:sz w:val="24"/>
          <w:szCs w:val="24"/>
          <w:lang w:eastAsia="en-GB"/>
        </w:rPr>
        <w:t xml:space="preserve">3.2.1 </w:t>
      </w:r>
      <w:r w:rsidR="00BB4E63" w:rsidRPr="00103A0B">
        <w:rPr>
          <w:rFonts w:ascii="Arial" w:hAnsi="Arial" w:cs="Arial"/>
          <w:b/>
          <w:bCs/>
          <w:sz w:val="24"/>
          <w:szCs w:val="24"/>
          <w:lang w:eastAsia="en-GB"/>
        </w:rPr>
        <w:t xml:space="preserve">Data Collection Techniques </w:t>
      </w:r>
    </w:p>
    <w:p w14:paraId="245254E2" w14:textId="0232E4D3" w:rsidR="00770264" w:rsidRPr="00103A0B" w:rsidRDefault="00770264" w:rsidP="00CD5919">
      <w:pPr>
        <w:spacing w:after="0" w:line="360" w:lineRule="auto"/>
        <w:ind w:hanging="11"/>
        <w:jc w:val="both"/>
        <w:rPr>
          <w:rFonts w:ascii="Arial" w:hAnsi="Arial" w:cs="Arial"/>
          <w:sz w:val="24"/>
          <w:szCs w:val="24"/>
        </w:rPr>
      </w:pPr>
      <w:r w:rsidRPr="00103A0B">
        <w:rPr>
          <w:rFonts w:ascii="Arial" w:hAnsi="Arial" w:cs="Arial"/>
          <w:sz w:val="24"/>
          <w:szCs w:val="24"/>
          <w:lang w:eastAsia="en-GB"/>
        </w:rPr>
        <w:t xml:space="preserve">Research included in Chapters 5 and 6 involve the use of qualitative interviewing to gain much needed in depth knowledge and understanding into the key influences of decisions of participants from ethnically diverse backgrounds living in a socioeconomically deprived area to attend and complete the Healthier You: NHS Diabetes Prevention Programme (NHSDPP). It was important to gain rich data, so semi-structured interviews were selected as the best methods to allow participants to express their views and experiences. </w:t>
      </w:r>
      <w:r w:rsidRPr="00103A0B">
        <w:rPr>
          <w:rFonts w:ascii="Arial" w:hAnsi="Arial" w:cs="Arial"/>
          <w:sz w:val="24"/>
          <w:szCs w:val="24"/>
        </w:rPr>
        <w:t xml:space="preserve">The following will detail the possible data collection techniques and why semi-structured interviews were selected. </w:t>
      </w:r>
    </w:p>
    <w:p w14:paraId="72F1CD6E" w14:textId="77777777" w:rsidR="00BB4E63" w:rsidRPr="00103A0B" w:rsidRDefault="00BB4E63" w:rsidP="00CD5919">
      <w:pPr>
        <w:spacing w:after="0" w:line="360" w:lineRule="auto"/>
        <w:jc w:val="both"/>
        <w:rPr>
          <w:rFonts w:ascii="Arial" w:hAnsi="Arial" w:cs="Arial"/>
          <w:szCs w:val="24"/>
          <w:lang w:eastAsia="en-GB"/>
        </w:rPr>
      </w:pPr>
    </w:p>
    <w:p w14:paraId="4162EAD3" w14:textId="040B2D76" w:rsidR="00BB4E63" w:rsidRPr="00103A0B" w:rsidRDefault="00714650" w:rsidP="00CD5919">
      <w:pPr>
        <w:jc w:val="both"/>
        <w:rPr>
          <w:rFonts w:ascii="Arial" w:hAnsi="Arial" w:cs="Arial"/>
          <w:b/>
          <w:bCs/>
          <w:sz w:val="24"/>
          <w:szCs w:val="24"/>
        </w:rPr>
      </w:pPr>
      <w:r w:rsidRPr="00103A0B">
        <w:rPr>
          <w:rFonts w:ascii="Arial" w:hAnsi="Arial" w:cs="Arial"/>
          <w:b/>
          <w:bCs/>
          <w:sz w:val="24"/>
          <w:szCs w:val="24"/>
        </w:rPr>
        <w:t xml:space="preserve">3.2.2 </w:t>
      </w:r>
      <w:r w:rsidR="00BB4E63" w:rsidRPr="00103A0B">
        <w:rPr>
          <w:rFonts w:ascii="Arial" w:hAnsi="Arial" w:cs="Arial"/>
          <w:b/>
          <w:bCs/>
          <w:sz w:val="24"/>
          <w:szCs w:val="24"/>
        </w:rPr>
        <w:t xml:space="preserve">Why </w:t>
      </w:r>
      <w:r w:rsidRPr="00103A0B">
        <w:rPr>
          <w:rFonts w:ascii="Arial" w:hAnsi="Arial" w:cs="Arial"/>
          <w:b/>
          <w:bCs/>
          <w:sz w:val="24"/>
          <w:szCs w:val="24"/>
        </w:rPr>
        <w:t>O</w:t>
      </w:r>
      <w:r w:rsidR="00BB4E63" w:rsidRPr="00103A0B">
        <w:rPr>
          <w:rFonts w:ascii="Arial" w:hAnsi="Arial" w:cs="Arial"/>
          <w:b/>
          <w:bCs/>
          <w:sz w:val="24"/>
          <w:szCs w:val="24"/>
        </w:rPr>
        <w:t xml:space="preserve">ther </w:t>
      </w:r>
      <w:r w:rsidRPr="00103A0B">
        <w:rPr>
          <w:rFonts w:ascii="Arial" w:hAnsi="Arial" w:cs="Arial"/>
          <w:b/>
          <w:bCs/>
          <w:sz w:val="24"/>
          <w:szCs w:val="24"/>
        </w:rPr>
        <w:t>D</w:t>
      </w:r>
      <w:r w:rsidR="00BB4E63" w:rsidRPr="00103A0B">
        <w:rPr>
          <w:rFonts w:ascii="Arial" w:hAnsi="Arial" w:cs="Arial"/>
          <w:b/>
          <w:bCs/>
          <w:sz w:val="24"/>
          <w:szCs w:val="24"/>
        </w:rPr>
        <w:t xml:space="preserve">ata </w:t>
      </w:r>
      <w:r w:rsidRPr="00103A0B">
        <w:rPr>
          <w:rFonts w:ascii="Arial" w:hAnsi="Arial" w:cs="Arial"/>
          <w:b/>
          <w:bCs/>
          <w:sz w:val="24"/>
          <w:szCs w:val="24"/>
        </w:rPr>
        <w:t>C</w:t>
      </w:r>
      <w:r w:rsidR="00BB4E63" w:rsidRPr="00103A0B">
        <w:rPr>
          <w:rFonts w:ascii="Arial" w:hAnsi="Arial" w:cs="Arial"/>
          <w:b/>
          <w:bCs/>
          <w:sz w:val="24"/>
          <w:szCs w:val="24"/>
        </w:rPr>
        <w:t xml:space="preserve">ollection </w:t>
      </w:r>
      <w:r w:rsidRPr="00103A0B">
        <w:rPr>
          <w:rFonts w:ascii="Arial" w:hAnsi="Arial" w:cs="Arial"/>
          <w:b/>
          <w:bCs/>
          <w:sz w:val="24"/>
          <w:szCs w:val="24"/>
        </w:rPr>
        <w:t>T</w:t>
      </w:r>
      <w:r w:rsidR="00BB4E63" w:rsidRPr="00103A0B">
        <w:rPr>
          <w:rFonts w:ascii="Arial" w:hAnsi="Arial" w:cs="Arial"/>
          <w:b/>
          <w:bCs/>
          <w:sz w:val="24"/>
          <w:szCs w:val="24"/>
        </w:rPr>
        <w:t xml:space="preserve">echniques </w:t>
      </w:r>
      <w:r w:rsidRPr="00103A0B">
        <w:rPr>
          <w:rFonts w:ascii="Arial" w:hAnsi="Arial" w:cs="Arial"/>
          <w:b/>
          <w:bCs/>
          <w:sz w:val="24"/>
          <w:szCs w:val="24"/>
        </w:rPr>
        <w:t>W</w:t>
      </w:r>
      <w:r w:rsidR="00BB4E63" w:rsidRPr="00103A0B">
        <w:rPr>
          <w:rFonts w:ascii="Arial" w:hAnsi="Arial" w:cs="Arial"/>
          <w:b/>
          <w:bCs/>
          <w:sz w:val="24"/>
          <w:szCs w:val="24"/>
        </w:rPr>
        <w:t xml:space="preserve">ere </w:t>
      </w:r>
      <w:r w:rsidRPr="00103A0B">
        <w:rPr>
          <w:rFonts w:ascii="Arial" w:hAnsi="Arial" w:cs="Arial"/>
          <w:b/>
          <w:bCs/>
          <w:sz w:val="24"/>
          <w:szCs w:val="24"/>
        </w:rPr>
        <w:t>N</w:t>
      </w:r>
      <w:r w:rsidR="00BB4E63" w:rsidRPr="00103A0B">
        <w:rPr>
          <w:rFonts w:ascii="Arial" w:hAnsi="Arial" w:cs="Arial"/>
          <w:b/>
          <w:bCs/>
          <w:sz w:val="24"/>
          <w:szCs w:val="24"/>
        </w:rPr>
        <w:t xml:space="preserve">ot </w:t>
      </w:r>
      <w:r w:rsidRPr="00103A0B">
        <w:rPr>
          <w:rFonts w:ascii="Arial" w:hAnsi="Arial" w:cs="Arial"/>
          <w:b/>
          <w:bCs/>
          <w:sz w:val="24"/>
          <w:szCs w:val="24"/>
        </w:rPr>
        <w:t>U</w:t>
      </w:r>
      <w:r w:rsidR="00BB4E63" w:rsidRPr="00103A0B">
        <w:rPr>
          <w:rFonts w:ascii="Arial" w:hAnsi="Arial" w:cs="Arial"/>
          <w:b/>
          <w:bCs/>
          <w:sz w:val="24"/>
          <w:szCs w:val="24"/>
        </w:rPr>
        <w:t xml:space="preserve">sed.  </w:t>
      </w:r>
    </w:p>
    <w:p w14:paraId="3FF0A7F9" w14:textId="77777777" w:rsidR="00770264" w:rsidRPr="00103A0B" w:rsidRDefault="00770264" w:rsidP="00CD5919">
      <w:pPr>
        <w:spacing w:after="0" w:line="360" w:lineRule="auto"/>
        <w:jc w:val="both"/>
        <w:rPr>
          <w:rFonts w:ascii="Arial" w:hAnsi="Arial" w:cs="Arial"/>
          <w:sz w:val="24"/>
          <w:szCs w:val="24"/>
        </w:rPr>
      </w:pPr>
      <w:r w:rsidRPr="00103A0B">
        <w:rPr>
          <w:rFonts w:ascii="Arial" w:hAnsi="Arial" w:cs="Arial"/>
          <w:sz w:val="24"/>
          <w:szCs w:val="24"/>
        </w:rPr>
        <w:t>Other data collection techniques can be used to generate qualitative data, and both strengths and weaknesses of these techniques will be discussed.</w:t>
      </w:r>
    </w:p>
    <w:p w14:paraId="0E68D167" w14:textId="77777777" w:rsidR="00770264" w:rsidRPr="00103A0B" w:rsidRDefault="00770264" w:rsidP="00CD5919">
      <w:pPr>
        <w:spacing w:after="0" w:line="360" w:lineRule="auto"/>
        <w:jc w:val="both"/>
        <w:rPr>
          <w:rFonts w:ascii="Arial" w:hAnsi="Arial" w:cs="Arial"/>
          <w:sz w:val="24"/>
          <w:szCs w:val="24"/>
        </w:rPr>
      </w:pPr>
      <w:r w:rsidRPr="00103A0B">
        <w:rPr>
          <w:rFonts w:ascii="Arial" w:hAnsi="Arial" w:cs="Arial"/>
          <w:sz w:val="24"/>
          <w:szCs w:val="24"/>
        </w:rPr>
        <w:t xml:space="preserve"> </w:t>
      </w:r>
    </w:p>
    <w:p w14:paraId="66361D01" w14:textId="77777777" w:rsidR="00770264" w:rsidRPr="00103A0B" w:rsidRDefault="00770264" w:rsidP="00CD5919">
      <w:pPr>
        <w:pStyle w:val="ListParagraph"/>
        <w:numPr>
          <w:ilvl w:val="0"/>
          <w:numId w:val="7"/>
        </w:numPr>
        <w:spacing w:after="0" w:line="360" w:lineRule="auto"/>
        <w:jc w:val="both"/>
        <w:rPr>
          <w:rFonts w:ascii="Arial" w:hAnsi="Arial" w:cs="Arial"/>
          <w:i/>
          <w:iCs/>
          <w:sz w:val="24"/>
          <w:szCs w:val="24"/>
        </w:rPr>
      </w:pPr>
      <w:r w:rsidRPr="00103A0B">
        <w:rPr>
          <w:rFonts w:ascii="Arial" w:hAnsi="Arial" w:cs="Arial"/>
          <w:i/>
          <w:iCs/>
          <w:sz w:val="24"/>
          <w:szCs w:val="24"/>
        </w:rPr>
        <w:t xml:space="preserve">Structured and Unstructured Interviews </w:t>
      </w:r>
    </w:p>
    <w:p w14:paraId="45039F3B" w14:textId="7AF654F1" w:rsidR="00770264" w:rsidRPr="00103A0B" w:rsidRDefault="00770264"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 xml:space="preserve">Structured interviews involve the researcher having pre-determined questions, where specific answers are required </w:t>
      </w:r>
      <w:r w:rsidRPr="00103A0B">
        <w:rPr>
          <w:rFonts w:ascii="Arial" w:hAnsi="Arial" w:cs="Arial"/>
          <w:sz w:val="24"/>
          <w:szCs w:val="24"/>
          <w:lang w:eastAsia="en-GB"/>
        </w:rPr>
        <w:fldChar w:fldCharType="begin" w:fldLock="1"/>
      </w:r>
      <w:r w:rsidR="00F47617" w:rsidRPr="00103A0B">
        <w:rPr>
          <w:rFonts w:ascii="Arial" w:hAnsi="Arial" w:cs="Arial"/>
          <w:sz w:val="24"/>
          <w:szCs w:val="24"/>
          <w:lang w:eastAsia="en-GB"/>
        </w:rPr>
        <w:instrText>ADDIN CSL_CITATION {"citationItems":[{"id":"ITEM-1","itemData":{"author":[{"dropping-particle":"","family":"Bowling","given":"A.","non-dropping-particle":"","parse-names":false,"suffix":""}],"edition":"4th","id":"ITEM-1","issued":{"date-parts":[["2014"]]},"number-of-pages":"1-448","publisher":"Open University Press","publisher-place":"Maidenhead","title":"Research methods in health: investigating health and health services","type":"book"},"uris":["http://www.mendeley.com/documents/?uuid=09c8f41f-4f19-49a8-9dd9-1523b54c910d"]}],"mendeley":{"formattedCitation":"(Bowling, 2014)","plainTextFormattedCitation":"(Bowling, 2014)","previouslyFormattedCitation":"(Bowling, 2014)"},"properties":{"noteIndex":0},"schema":"https://github.com/citation-style-language/schema/raw/master/csl-citation.json"}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(Bowling, 2014)</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Although the researcher has more control over what takes place during the interview and it can be argued there is more </w:t>
      </w:r>
      <w:r w:rsidRPr="00103A0B">
        <w:rPr>
          <w:rFonts w:ascii="Arial" w:hAnsi="Arial" w:cs="Arial"/>
          <w:sz w:val="24"/>
          <w:szCs w:val="24"/>
          <w:lang w:eastAsia="en-GB"/>
        </w:rPr>
        <w:lastRenderedPageBreak/>
        <w:t xml:space="preserve">reliability with this type of interview due to the same format being used for each participant, structured interviews do not allow flexibility in the questions and limit what participants can discuss </w:t>
      </w:r>
      <w:r w:rsidRPr="00103A0B">
        <w:rPr>
          <w:rFonts w:ascii="Arial" w:hAnsi="Arial" w:cs="Arial"/>
          <w:sz w:val="24"/>
          <w:szCs w:val="24"/>
          <w:lang w:eastAsia="en-GB"/>
        </w:rPr>
        <w:fldChar w:fldCharType="begin" w:fldLock="1"/>
      </w:r>
      <w:r w:rsidR="00300D96" w:rsidRPr="00103A0B">
        <w:rPr>
          <w:rFonts w:ascii="Arial" w:hAnsi="Arial" w:cs="Arial"/>
          <w:sz w:val="24"/>
          <w:szCs w:val="24"/>
          <w:lang w:eastAsia="en-GB"/>
        </w:rPr>
        <w:instrText>ADDIN CSL_CITATION {"citationItems":[{"id":"ITEM-1","itemData":{"author":[{"dropping-particle":"","family":"Smith","given":"J.A.","non-dropping-particle":"","parse-names":false,"suffix":""},{"dropping-particle":"","family":"Osborn","given":"M.","non-dropping-particle":"","parse-names":false,"suffix":""}],"container-title":"Qualitative psychology: a practical guide to research methods","edition":"3rd","editor":[{"dropping-particle":"","family":"Smith","given":"J.A.","non-dropping-particle":"","parse-names":false,"suffix":""}],"id":"ITEM-1","issued":{"date-parts":[["2015"]]},"page":"25-52","publisher":"SAGE Publications Ltd","publisher-place":"London","title":"Interpretative phenomenological analysis","type":"chapter"},"uris":["http://www.mendeley.com/documents/?uuid=cd70c665-25ff-49c8-b83a-d833e642f457"]}],"mendeley":{"formattedCitation":"(J. A. Smith &amp; Osborn, 2015)","manualFormatting":"(Smith &amp; Osborn, 2015)","plainTextFormattedCitation":"(J. A. Smith &amp; Osborn, 2015)","previouslyFormattedCitation":"(J. A. Smith &amp; Osborn, 2015)"},"properties":{"noteIndex":0},"schema":"https://github.com/citation-style-language/schema/raw/master/csl-citation.json"}</w:instrText>
      </w:r>
      <w:r w:rsidRPr="00103A0B">
        <w:rPr>
          <w:rFonts w:ascii="Arial" w:hAnsi="Arial" w:cs="Arial"/>
          <w:sz w:val="24"/>
          <w:szCs w:val="24"/>
          <w:lang w:eastAsia="en-GB"/>
        </w:rPr>
        <w:fldChar w:fldCharType="separate"/>
      </w:r>
      <w:r w:rsidR="00643C08" w:rsidRPr="00103A0B">
        <w:rPr>
          <w:rFonts w:ascii="Arial" w:hAnsi="Arial" w:cs="Arial"/>
          <w:noProof/>
          <w:sz w:val="24"/>
          <w:szCs w:val="24"/>
          <w:lang w:eastAsia="en-GB"/>
        </w:rPr>
        <w:t>(Smith &amp; Osborn, 2015)</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The current research aimed to explore participant views and experiences of the programme, so having flexibility in the questions was important to explore this. So, this methodology was not selected for this research. </w:t>
      </w:r>
    </w:p>
    <w:p w14:paraId="2890468F" w14:textId="4EEBC965" w:rsidR="00770264" w:rsidRPr="00103A0B" w:rsidRDefault="00770264"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 xml:space="preserve">Unstructured interviews do not involve pre-determined questions as the researcher asks open-ended questions and the participants express their views freely </w:t>
      </w:r>
      <w:r w:rsidRPr="00103A0B">
        <w:rPr>
          <w:rFonts w:ascii="Arial" w:hAnsi="Arial" w:cs="Arial"/>
          <w:sz w:val="24"/>
          <w:szCs w:val="24"/>
          <w:lang w:eastAsia="en-GB"/>
        </w:rPr>
        <w:fldChar w:fldCharType="begin" w:fldLock="1"/>
      </w:r>
      <w:r w:rsidRPr="00103A0B">
        <w:rPr>
          <w:rFonts w:ascii="Arial" w:hAnsi="Arial" w:cs="Arial"/>
          <w:sz w:val="24"/>
          <w:szCs w:val="24"/>
          <w:lang w:eastAsia="en-GB"/>
        </w:rPr>
        <w:instrText>ADDIN CSL_CITATION {"citationItems":[{"id":"ITEM-1","itemData":{"author":[{"dropping-particle":"","family":"Edwards","given":"R.","non-dropping-particle":"","parse-names":false,"suffix":""},{"dropping-particle":"","family":"Holland","given":"J.","non-dropping-particle":"","parse-names":false,"suffix":""}],"id":"ITEM-1","issued":{"date-parts":[["2013"]]},"number-of-pages":"1-125","publisher":"Bloomsbury","publisher-place":"London","title":"What is qualitative interviewing?","type":"book"},"uris":["http://www.mendeley.com/documents/?uuid=3d0a5642-cb48-4158-8d49-6e044b461b66"]}],"mendeley":{"formattedCitation":"(Edwards &amp; Holland, 2013)","plainTextFormattedCitation":"(Edwards &amp; Holland, 2013)","previouslyFormattedCitation":"(Edwards &amp; Holland, 2013)"},"properties":{"noteIndex":0},"schema":"https://github.com/citation-style-language/schema/raw/master/csl-citation.json"}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(Edwards &amp; Holland, 2013)</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Although rich in-depth data can be generated, there is little room for standardisation as each interview is different and conducting and transcribing this type of interview can be time consuming </w:t>
      </w:r>
      <w:r w:rsidRPr="00103A0B">
        <w:rPr>
          <w:rFonts w:ascii="Arial" w:hAnsi="Arial" w:cs="Arial"/>
          <w:sz w:val="24"/>
          <w:szCs w:val="24"/>
          <w:lang w:eastAsia="en-GB"/>
        </w:rPr>
        <w:fldChar w:fldCharType="begin" w:fldLock="1"/>
      </w:r>
      <w:r w:rsidR="008E0722" w:rsidRPr="00103A0B">
        <w:rPr>
          <w:rFonts w:ascii="Arial" w:hAnsi="Arial" w:cs="Arial"/>
          <w:sz w:val="24"/>
          <w:szCs w:val="24"/>
          <w:lang w:eastAsia="en-GB"/>
        </w:rPr>
        <w:instrText>ADDIN CSL_CITATION {"citationItems":[{"id":"ITEM-1","itemData":{"DOI":"10.5901/mjss.2014.v5n16p60","ISSN":"20392117","abstract":"Interviewing is one of the data collection methods which are employed when one adopts the qualitative methodology to conduct research. This article relies on extensive literature review to critique interviewing as a data collection method. Although interviews have various forms and styles, it is important to note that there is no one interview style that fits every occasion or all respondents. The interviewer must work diligently to ensure the validity and reliability of the interview data otherwise, interviewers themselves, can turn out to be weaknesses due to their own bias, subjectivities and lack of interviewing skills. It is also important to note that interviewers themselves become part of the \"interviewing picture\" by asking questions and responding to the respondent and sometimes even sharing their experiences with interviewees; working with the interview data, selecting from it, interpreting and describing and analysing it regardless of their discipline and dedication in keeping the interview data as the product of the respondent. Weaknesses of interviewing have been both discussed and critiqued from different theoretical perspectives which are \"postmodern, feminist, sociolinguistic\" \"conversation analytic\", \"ethnomethodological perspectives\" and even data analysis.","author":[{"dropping-particle":"","family":"Hofisi","given":"Costa","non-dropping-particle":"","parse-names":false,"suffix":""},{"dropping-particle":"","family":"Hofisi","given":"Miriam","non-dropping-particle":"","parse-names":false,"suffix":""},{"dropping-particle":"","family":"Mago","given":"Stephen","non-dropping-particle":"","parse-names":false,"suffix":""}],"container-title":"Mediterranean Journal of Social Sciences","id":"ITEM-1","issue":"16","issued":{"date-parts":[["2014"]]},"page":"60-64","title":"Critiquing interviewing as a data collection method","type":"article-journal","volume":"5"},"uris":["http://www.mendeley.com/documents/?uuid=a85f0d80-cb91-46ca-a9b2-f385a89c2973"]}],"mendeley":{"formattedCitation":"(Hofisi et al., 2014)","plainTextFormattedCitation":"(Hofisi et al., 2014)","previouslyFormattedCitation":"(Hofisi et al., 2014)"},"properties":{"noteIndex":0},"schema":"https://github.com/citation-style-language/schema/raw/master/csl-citation.json"}</w:instrText>
      </w:r>
      <w:r w:rsidRPr="00103A0B">
        <w:rPr>
          <w:rFonts w:ascii="Arial" w:hAnsi="Arial" w:cs="Arial"/>
          <w:sz w:val="24"/>
          <w:szCs w:val="24"/>
          <w:lang w:eastAsia="en-GB"/>
        </w:rPr>
        <w:fldChar w:fldCharType="separate"/>
      </w:r>
      <w:r w:rsidR="00643C08" w:rsidRPr="00103A0B">
        <w:rPr>
          <w:rFonts w:ascii="Arial" w:hAnsi="Arial" w:cs="Arial"/>
          <w:noProof/>
          <w:sz w:val="24"/>
          <w:szCs w:val="24"/>
          <w:lang w:eastAsia="en-GB"/>
        </w:rPr>
        <w:t>(Hofisi et al., 2014)</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hence why this methodology was not chosen.  </w:t>
      </w:r>
    </w:p>
    <w:p w14:paraId="41EFA53B" w14:textId="77777777" w:rsidR="00770264" w:rsidRPr="00103A0B" w:rsidRDefault="00770264" w:rsidP="00400D30">
      <w:pPr>
        <w:pStyle w:val="ListParagraph"/>
        <w:keepLines/>
        <w:numPr>
          <w:ilvl w:val="0"/>
          <w:numId w:val="6"/>
        </w:numPr>
        <w:spacing w:after="200" w:line="360" w:lineRule="auto"/>
        <w:ind w:left="714" w:hanging="357"/>
        <w:jc w:val="both"/>
        <w:rPr>
          <w:rFonts w:ascii="Arial" w:hAnsi="Arial" w:cs="Arial"/>
          <w:i/>
          <w:iCs/>
          <w:sz w:val="24"/>
          <w:szCs w:val="24"/>
        </w:rPr>
      </w:pPr>
      <w:bookmarkStart w:id="128" w:name="_Toc354334846"/>
      <w:bookmarkStart w:id="129" w:name="_Toc354334991"/>
      <w:bookmarkStart w:id="130" w:name="_Toc354335136"/>
      <w:bookmarkStart w:id="131" w:name="_Toc354335281"/>
      <w:bookmarkStart w:id="132" w:name="_Toc354335426"/>
      <w:bookmarkStart w:id="133" w:name="_Toc354335571"/>
      <w:bookmarkStart w:id="134" w:name="_Toc354335716"/>
      <w:bookmarkStart w:id="135" w:name="_Toc354351623"/>
      <w:bookmarkStart w:id="136" w:name="_Toc354352402"/>
      <w:bookmarkStart w:id="137" w:name="_Toc354352557"/>
      <w:bookmarkStart w:id="138" w:name="_Toc354352712"/>
      <w:bookmarkStart w:id="139" w:name="_Toc363208613"/>
      <w:r w:rsidRPr="00103A0B">
        <w:rPr>
          <w:rFonts w:ascii="Arial" w:hAnsi="Arial" w:cs="Arial"/>
          <w:i/>
          <w:iCs/>
          <w:sz w:val="24"/>
          <w:szCs w:val="24"/>
        </w:rPr>
        <w:t>Focus Groups</w:t>
      </w:r>
      <w:bookmarkEnd w:id="128"/>
      <w:bookmarkEnd w:id="129"/>
      <w:bookmarkEnd w:id="130"/>
      <w:bookmarkEnd w:id="131"/>
      <w:bookmarkEnd w:id="132"/>
      <w:bookmarkEnd w:id="133"/>
      <w:bookmarkEnd w:id="134"/>
      <w:bookmarkEnd w:id="135"/>
      <w:bookmarkEnd w:id="136"/>
      <w:bookmarkEnd w:id="137"/>
      <w:bookmarkEnd w:id="138"/>
      <w:bookmarkEnd w:id="139"/>
    </w:p>
    <w:p w14:paraId="21A294A3" w14:textId="1BE213EE" w:rsidR="00770264" w:rsidRPr="00103A0B" w:rsidRDefault="00770264" w:rsidP="00CD5919">
      <w:pPr>
        <w:spacing w:line="360" w:lineRule="auto"/>
        <w:jc w:val="both"/>
        <w:rPr>
          <w:rFonts w:ascii="Arial" w:hAnsi="Arial" w:cs="Arial"/>
          <w:sz w:val="24"/>
          <w:szCs w:val="24"/>
        </w:rPr>
      </w:pPr>
      <w:r w:rsidRPr="00103A0B">
        <w:rPr>
          <w:rFonts w:ascii="Arial" w:hAnsi="Arial" w:cs="Arial"/>
          <w:sz w:val="24"/>
          <w:szCs w:val="24"/>
        </w:rPr>
        <w:t xml:space="preserve">Focus groups involve having informal group discussions with a small number of people where a particular topic or set of issues are discussed </w:t>
      </w:r>
      <w:r w:rsidRPr="00103A0B">
        <w:rPr>
          <w:rFonts w:ascii="Arial" w:hAnsi="Arial" w:cs="Arial"/>
          <w:sz w:val="24"/>
          <w:szCs w:val="24"/>
        </w:rPr>
        <w:fldChar w:fldCharType="begin" w:fldLock="1"/>
      </w:r>
      <w:r w:rsidR="00095E2C" w:rsidRPr="00103A0B">
        <w:rPr>
          <w:rFonts w:ascii="Arial" w:hAnsi="Arial" w:cs="Arial"/>
          <w:sz w:val="24"/>
          <w:szCs w:val="24"/>
        </w:rPr>
        <w:instrText>ADDIN CSL_CITATION {"citationItems":[{"id":"ITEM-1","itemData":{"author":[{"dropping-particle":"","family":"Wilkinson","given":"S","non-dropping-particle":"","parse-names":false,"suffix":""}],"container-title":"Qualitative psychology: a practical guide to research methods","edition":"3rd","editor":[{"dropping-particle":"","family":"Smith","given":"J.A.","non-dropping-particle":"","parse-names":false,"suffix":""}],"id":"ITEM-1","issued":{"date-parts":[["2015"]]},"page":"199-221","publisher":"SAGE Publications Ltd","publisher-place":"London","title":"Focus groups","type":"chapter"},"uris":["http://www.mendeley.com/documents/?uuid=105f9201-d6ad-4620-8266-2f3e92050853"]}],"mendeley":{"formattedCitation":"(Wilkinson, 2015)","plainTextFormattedCitation":"(Wilkinson, 2015)","previouslyFormattedCitation":"(Wilkinson,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(Wilkinson, 2015)</w:t>
      </w:r>
      <w:r w:rsidRPr="00103A0B">
        <w:rPr>
          <w:rFonts w:ascii="Arial" w:hAnsi="Arial" w:cs="Arial"/>
          <w:sz w:val="24"/>
          <w:szCs w:val="24"/>
        </w:rPr>
        <w:fldChar w:fldCharType="end"/>
      </w:r>
      <w:r w:rsidRPr="00103A0B">
        <w:rPr>
          <w:rFonts w:ascii="Arial" w:hAnsi="Arial" w:cs="Arial"/>
          <w:sz w:val="24"/>
          <w:szCs w:val="24"/>
        </w:rPr>
        <w:t>. The researcher acts as a moderator</w:t>
      </w:r>
      <w:r w:rsidR="00712346" w:rsidRPr="00103A0B">
        <w:rPr>
          <w:rFonts w:ascii="Arial" w:hAnsi="Arial" w:cs="Arial"/>
          <w:sz w:val="24"/>
          <w:szCs w:val="24"/>
        </w:rPr>
        <w:t>,</w:t>
      </w:r>
      <w:r w:rsidRPr="00103A0B">
        <w:rPr>
          <w:rFonts w:ascii="Arial" w:hAnsi="Arial" w:cs="Arial"/>
          <w:sz w:val="24"/>
          <w:szCs w:val="24"/>
        </w:rPr>
        <w:t xml:space="preserve"> facilitating these discussions and encouraging group interaction </w:t>
      </w:r>
      <w:r w:rsidRPr="00103A0B">
        <w:rPr>
          <w:rFonts w:ascii="Arial" w:hAnsi="Arial" w:cs="Arial"/>
          <w:sz w:val="24"/>
          <w:szCs w:val="24"/>
        </w:rPr>
        <w:fldChar w:fldCharType="begin" w:fldLock="1"/>
      </w:r>
      <w:r w:rsidR="00095E2C" w:rsidRPr="00103A0B">
        <w:rPr>
          <w:rFonts w:ascii="Arial" w:hAnsi="Arial" w:cs="Arial"/>
          <w:sz w:val="24"/>
          <w:szCs w:val="24"/>
        </w:rPr>
        <w:instrText>ADDIN CSL_CITATION {"citationItems":[{"id":"ITEM-1","itemData":{"author":[{"dropping-particle":"","family":"Wilkinson","given":"S","non-dropping-particle":"","parse-names":false,"suffix":""}],"container-title":"Qualitative psychology: a practical guide to research methods","edition":"3rd","editor":[{"dropping-particle":"","family":"Smith","given":"J.A.","non-dropping-particle":"","parse-names":false,"suffix":""}],"id":"ITEM-1","issued":{"date-parts":[["2015"]]},"page":"199-221","publisher":"SAGE Publications Ltd","publisher-place":"London","title":"Focus groups","type":"chapter"},"uris":["http://www.mendeley.com/documents/?uuid=105f9201-d6ad-4620-8266-2f3e92050853"]}],"mendeley":{"formattedCitation":"(Wilkinson, 2015)","plainTextFormattedCitation":"(Wilkinson, 2015)","previouslyFormattedCitation":"(Wilkinson,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(Wilkinson, 2015)</w:t>
      </w:r>
      <w:r w:rsidRPr="00103A0B">
        <w:rPr>
          <w:rFonts w:ascii="Arial" w:hAnsi="Arial" w:cs="Arial"/>
          <w:sz w:val="24"/>
          <w:szCs w:val="24"/>
        </w:rPr>
        <w:fldChar w:fldCharType="end"/>
      </w:r>
      <w:r w:rsidRPr="00103A0B">
        <w:rPr>
          <w:rFonts w:ascii="Arial" w:hAnsi="Arial" w:cs="Arial"/>
          <w:sz w:val="24"/>
          <w:szCs w:val="24"/>
        </w:rPr>
        <w:t xml:space="preserve">. It can be argued that focus groups are more naturalistic in comparison to interviews as they best represent everyday conversations where different communicative processes are used such as storytelling and disagreements </w:t>
      </w:r>
      <w:r w:rsidRPr="00103A0B">
        <w:rPr>
          <w:rFonts w:ascii="Arial" w:hAnsi="Arial" w:cs="Arial"/>
          <w:sz w:val="24"/>
          <w:szCs w:val="24"/>
        </w:rPr>
        <w:fldChar w:fldCharType="begin" w:fldLock="1"/>
      </w:r>
      <w:r w:rsidR="00095E2C" w:rsidRPr="00103A0B">
        <w:rPr>
          <w:rFonts w:ascii="Arial" w:hAnsi="Arial" w:cs="Arial"/>
          <w:sz w:val="24"/>
          <w:szCs w:val="24"/>
        </w:rPr>
        <w:instrText>ADDIN CSL_CITATION {"citationItems":[{"id":"ITEM-1","itemData":{"author":[{"dropping-particle":"","family":"Wilkinson","given":"S","non-dropping-particle":"","parse-names":false,"suffix":""}],"container-title":"Qualitative psychology: a practical guide to research methods","edition":"3rd","editor":[{"dropping-particle":"","family":"Smith","given":"J.A.","non-dropping-particle":"","parse-names":false,"suffix":""}],"id":"ITEM-1","issued":{"date-parts":[["2015"]]},"page":"199-221","publisher":"SAGE Publications Ltd","publisher-place":"London","title":"Focus groups","type":"chapter"},"uris":["http://www.mendeley.com/documents/?uuid=105f9201-d6ad-4620-8266-2f3e92050853"]}],"mendeley":{"formattedCitation":"(Wilkinson, 2015)","plainTextFormattedCitation":"(Wilkinson, 2015)","previouslyFormattedCitation":"(Wilkinson,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(Wilkinson, 2015)</w:t>
      </w:r>
      <w:r w:rsidRPr="00103A0B">
        <w:rPr>
          <w:rFonts w:ascii="Arial" w:hAnsi="Arial" w:cs="Arial"/>
          <w:sz w:val="24"/>
          <w:szCs w:val="24"/>
        </w:rPr>
        <w:fldChar w:fldCharType="end"/>
      </w:r>
      <w:r w:rsidRPr="00103A0B">
        <w:rPr>
          <w:rFonts w:ascii="Arial" w:hAnsi="Arial" w:cs="Arial"/>
          <w:sz w:val="24"/>
          <w:szCs w:val="24"/>
        </w:rPr>
        <w:t xml:space="preserve">. However, this methodology was not used as the research aimed to gain an understanding of individual views and experiences of the programme and </w:t>
      </w:r>
      <w:bookmarkStart w:id="140" w:name="_Hlk121342453"/>
      <w:r w:rsidRPr="00103A0B">
        <w:rPr>
          <w:rFonts w:ascii="Arial" w:hAnsi="Arial" w:cs="Arial"/>
          <w:sz w:val="24"/>
          <w:szCs w:val="24"/>
        </w:rPr>
        <w:t xml:space="preserve">wanted to minimise group influences that can </w:t>
      </w:r>
      <w:r w:rsidR="00EC0B5C" w:rsidRPr="00103A0B">
        <w:rPr>
          <w:rFonts w:ascii="Arial" w:hAnsi="Arial" w:cs="Arial"/>
          <w:sz w:val="24"/>
          <w:szCs w:val="24"/>
        </w:rPr>
        <w:t>a</w:t>
      </w:r>
      <w:r w:rsidRPr="00103A0B">
        <w:rPr>
          <w:rFonts w:ascii="Arial" w:hAnsi="Arial" w:cs="Arial"/>
          <w:sz w:val="24"/>
          <w:szCs w:val="24"/>
        </w:rPr>
        <w:t xml:space="preserve">ffect responses given to questions. </w:t>
      </w:r>
    </w:p>
    <w:bookmarkEnd w:id="140"/>
    <w:p w14:paraId="752D00A3" w14:textId="77777777" w:rsidR="00770264" w:rsidRPr="00103A0B" w:rsidRDefault="00770264" w:rsidP="00CD5919">
      <w:pPr>
        <w:pStyle w:val="ListParagraph"/>
        <w:numPr>
          <w:ilvl w:val="0"/>
          <w:numId w:val="6"/>
        </w:numPr>
        <w:spacing w:after="200" w:line="360" w:lineRule="auto"/>
        <w:jc w:val="both"/>
        <w:rPr>
          <w:rFonts w:ascii="Arial" w:hAnsi="Arial" w:cs="Arial"/>
          <w:sz w:val="24"/>
          <w:szCs w:val="24"/>
        </w:rPr>
      </w:pPr>
      <w:r w:rsidRPr="00103A0B">
        <w:rPr>
          <w:rFonts w:ascii="Arial" w:hAnsi="Arial" w:cs="Arial"/>
          <w:i/>
          <w:iCs/>
          <w:sz w:val="24"/>
          <w:szCs w:val="24"/>
        </w:rPr>
        <w:t>Personal Diaries</w:t>
      </w:r>
      <w:r w:rsidRPr="00103A0B">
        <w:rPr>
          <w:rFonts w:ascii="Arial" w:hAnsi="Arial" w:cs="Arial"/>
          <w:sz w:val="24"/>
          <w:szCs w:val="24"/>
        </w:rPr>
        <w:t xml:space="preserve"> </w:t>
      </w:r>
    </w:p>
    <w:p w14:paraId="5A7E5BBC" w14:textId="49DB5071" w:rsidR="00770264" w:rsidRPr="00103A0B" w:rsidRDefault="00770264"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 xml:space="preserve">Diaries can offer an in-depth account of personal experiences where participants can record their experiences in their own time and pace, and presence of the researcher is not required so there are no practical issues such as agreeing with interview timing and location </w:t>
      </w:r>
      <w:r w:rsidRPr="00103A0B">
        <w:rPr>
          <w:rFonts w:ascii="Arial" w:hAnsi="Arial" w:cs="Arial"/>
          <w:sz w:val="24"/>
          <w:szCs w:val="24"/>
          <w:lang w:eastAsia="en-GB"/>
        </w:rPr>
        <w:fldChar w:fldCharType="begin" w:fldLock="1"/>
      </w:r>
      <w:r w:rsidR="00F064BD" w:rsidRPr="00103A0B">
        <w:rPr>
          <w:rFonts w:ascii="Arial" w:hAnsi="Arial" w:cs="Arial"/>
          <w:sz w:val="24"/>
          <w:szCs w:val="24"/>
          <w:lang w:eastAsia="en-GB"/>
        </w:rPr>
        <w:instrText>ADDIN CSL_CITATION {"citationItems":[{"id":"ITEM-1","itemData":{"author":[{"dropping-particle":"","family":"Willig","given":"C.","non-dropping-particle":"","parse-names":false,"suffix":""}],"edition":"3rd","id":"ITEM-1","issued":{"date-parts":[["2013"]]},"number-of-pages":"1-150","publisher":"Open University Press","publisher-place":"Maidenhead","title":"Introducing qualitative research in psychology","type":"book"},"uris":["http://www.mendeley.com/documents/?uuid=29355e43-549a-4d38-8855-376682c8168a"]}],"mendeley":{"formattedCitation":"(Willig, 2013)","plainTextFormattedCitation":"(Willig, 2013)","previouslyFormattedCitation":"(Willig, 2013)"},"properties":{"noteIndex":0},"schema":"https://github.com/citation-style-language/schema/raw/master/csl-citation.json"}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(Willig, 2013)</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However, there is lack of personal interaction between the researcher and participant where opportunities to ask further questions about a concept that is discussed is limited. Furthermore, due to the burden and high demand of keeping diaries for the participant, this method can lead to poor recruitment and </w:t>
      </w:r>
      <w:r w:rsidRPr="00103A0B">
        <w:rPr>
          <w:rFonts w:ascii="Arial" w:hAnsi="Arial" w:cs="Arial"/>
          <w:sz w:val="24"/>
          <w:szCs w:val="24"/>
          <w:lang w:eastAsia="en-GB"/>
        </w:rPr>
        <w:lastRenderedPageBreak/>
        <w:t xml:space="preserve">high dropout rates </w:t>
      </w:r>
      <w:r w:rsidRPr="00103A0B">
        <w:rPr>
          <w:rFonts w:ascii="Arial" w:hAnsi="Arial" w:cs="Arial"/>
          <w:sz w:val="24"/>
          <w:szCs w:val="24"/>
          <w:lang w:eastAsia="en-GB"/>
        </w:rPr>
        <w:fldChar w:fldCharType="begin" w:fldLock="1"/>
      </w:r>
      <w:r w:rsidR="00F064BD" w:rsidRPr="00103A0B">
        <w:rPr>
          <w:rFonts w:ascii="Arial" w:hAnsi="Arial" w:cs="Arial"/>
          <w:sz w:val="24"/>
          <w:szCs w:val="24"/>
          <w:lang w:eastAsia="en-GB"/>
        </w:rPr>
        <w:instrText>ADDIN CSL_CITATION {"citationItems":[{"id":"ITEM-1","itemData":{"author":[{"dropping-particle":"","family":"Willig","given":"C.","non-dropping-particle":"","parse-names":false,"suffix":""}],"edition":"3rd","id":"ITEM-1","issued":{"date-parts":[["2013"]]},"number-of-pages":"1-150","publisher":"Open University Press","publisher-place":"Maidenhead","title":"Introducing qualitative research in psychology","type":"book"},"uris":["http://www.mendeley.com/documents/?uuid=29355e43-549a-4d38-8855-376682c8168a"]}],"mendeley":{"formattedCitation":"(Willig, 2013)","plainTextFormattedCitation":"(Willig, 2013)","previouslyFormattedCitation":"(Willig, 2013)"},"properties":{"noteIndex":0},"schema":"https://github.com/citation-style-language/schema/raw/master/csl-citation.json"}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(Willig, 2013)</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So, these are some of the reasons why diaries were not used as the selected methodology for this research. </w:t>
      </w:r>
    </w:p>
    <w:p w14:paraId="4B65FA72" w14:textId="082272FD" w:rsidR="00BB4E63" w:rsidRPr="00103A0B" w:rsidRDefault="00BB4E63" w:rsidP="00400D30">
      <w:pPr>
        <w:keepLines/>
        <w:spacing w:line="360" w:lineRule="auto"/>
        <w:jc w:val="both"/>
        <w:rPr>
          <w:rFonts w:ascii="Arial" w:hAnsi="Arial" w:cs="Arial"/>
          <w:b/>
          <w:bCs/>
          <w:sz w:val="24"/>
          <w:szCs w:val="24"/>
        </w:rPr>
      </w:pPr>
      <w:r w:rsidRPr="00103A0B">
        <w:rPr>
          <w:rFonts w:ascii="Arial" w:hAnsi="Arial" w:cs="Arial"/>
          <w:b/>
          <w:bCs/>
          <w:sz w:val="24"/>
          <w:szCs w:val="24"/>
        </w:rPr>
        <w:t>3.2.3</w:t>
      </w:r>
      <w:r w:rsidR="00770264" w:rsidRPr="00103A0B">
        <w:rPr>
          <w:rStyle w:val="Heading3Char"/>
          <w:rFonts w:ascii="Arial" w:hAnsi="Arial" w:cs="Arial"/>
          <w:sz w:val="24"/>
        </w:rPr>
        <w:t xml:space="preserve"> </w:t>
      </w:r>
      <w:r w:rsidRPr="00103A0B">
        <w:rPr>
          <w:rStyle w:val="Heading3Char"/>
          <w:rFonts w:ascii="Arial" w:hAnsi="Arial" w:cs="Arial"/>
          <w:sz w:val="24"/>
        </w:rPr>
        <w:t xml:space="preserve">Rationale for </w:t>
      </w:r>
      <w:r w:rsidR="00770264" w:rsidRPr="00103A0B">
        <w:rPr>
          <w:rStyle w:val="Heading3Char"/>
          <w:rFonts w:ascii="Arial" w:hAnsi="Arial" w:cs="Arial"/>
          <w:sz w:val="24"/>
        </w:rPr>
        <w:t>U</w:t>
      </w:r>
      <w:r w:rsidRPr="00103A0B">
        <w:rPr>
          <w:rStyle w:val="Heading3Char"/>
          <w:rFonts w:ascii="Arial" w:hAnsi="Arial" w:cs="Arial"/>
          <w:sz w:val="24"/>
        </w:rPr>
        <w:t xml:space="preserve">sing </w:t>
      </w:r>
      <w:r w:rsidR="00770264" w:rsidRPr="00103A0B">
        <w:rPr>
          <w:rStyle w:val="Heading3Char"/>
          <w:rFonts w:ascii="Arial" w:hAnsi="Arial" w:cs="Arial"/>
          <w:sz w:val="24"/>
        </w:rPr>
        <w:t>S</w:t>
      </w:r>
      <w:r w:rsidRPr="00103A0B">
        <w:rPr>
          <w:rStyle w:val="Heading3Char"/>
          <w:rFonts w:ascii="Arial" w:hAnsi="Arial" w:cs="Arial"/>
          <w:sz w:val="24"/>
        </w:rPr>
        <w:t>emi-</w:t>
      </w:r>
      <w:r w:rsidR="00770264" w:rsidRPr="00103A0B">
        <w:rPr>
          <w:rStyle w:val="Heading3Char"/>
          <w:rFonts w:ascii="Arial" w:hAnsi="Arial" w:cs="Arial"/>
          <w:sz w:val="24"/>
        </w:rPr>
        <w:t>S</w:t>
      </w:r>
      <w:r w:rsidRPr="00103A0B">
        <w:rPr>
          <w:rStyle w:val="Heading3Char"/>
          <w:rFonts w:ascii="Arial" w:hAnsi="Arial" w:cs="Arial"/>
          <w:sz w:val="24"/>
        </w:rPr>
        <w:t xml:space="preserve">tructured </w:t>
      </w:r>
      <w:r w:rsidR="00770264" w:rsidRPr="00103A0B">
        <w:rPr>
          <w:rStyle w:val="Heading3Char"/>
          <w:rFonts w:ascii="Arial" w:hAnsi="Arial" w:cs="Arial"/>
          <w:sz w:val="24"/>
        </w:rPr>
        <w:t>I</w:t>
      </w:r>
      <w:r w:rsidRPr="00103A0B">
        <w:rPr>
          <w:rStyle w:val="Heading3Char"/>
          <w:rFonts w:ascii="Arial" w:hAnsi="Arial" w:cs="Arial"/>
          <w:sz w:val="24"/>
        </w:rPr>
        <w:t>nterviews</w:t>
      </w:r>
      <w:r w:rsidRPr="00103A0B">
        <w:rPr>
          <w:rFonts w:ascii="Arial" w:hAnsi="Arial" w:cs="Arial"/>
          <w:b/>
          <w:bCs/>
          <w:sz w:val="24"/>
          <w:szCs w:val="24"/>
        </w:rPr>
        <w:t xml:space="preserve"> </w:t>
      </w:r>
    </w:p>
    <w:p w14:paraId="0A28DE8D" w14:textId="1CFA992E" w:rsidR="00A65CCA" w:rsidRPr="00103A0B" w:rsidRDefault="00770264" w:rsidP="002B7637">
      <w:pPr>
        <w:spacing w:after="0" w:line="360" w:lineRule="auto"/>
        <w:contextualSpacing/>
        <w:jc w:val="both"/>
        <w:rPr>
          <w:rFonts w:ascii="Arial" w:hAnsi="Arial" w:cs="Arial"/>
          <w:sz w:val="24"/>
          <w:szCs w:val="24"/>
          <w:lang w:eastAsia="en-GB"/>
        </w:rPr>
      </w:pPr>
      <w:r w:rsidRPr="00103A0B">
        <w:rPr>
          <w:rFonts w:ascii="Arial" w:hAnsi="Arial" w:cs="Arial"/>
          <w:sz w:val="24"/>
          <w:szCs w:val="24"/>
        </w:rPr>
        <w:t xml:space="preserve">Semi-structured, one-to-one, face-to-face interviews were deemed most appropriate for this research (Chapter 5) as rich, high-quality data would be generated. The questions asked in semi-structured interviews encourage and provide an opportunity for participants to express their views and experiences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{"citationItems":[{"id":"ITEM-1","itemData":{"author":[{"dropping-particle":"","family":"Willig","given":"C.","non-dropping-particle":"","parse-names":false,"suffix":""}],"edition":"3rd","id":"ITEM-1","issued":{"date-parts":[["2013"]]},"number-of-pages":"1-150","publisher":"Open University Press","publisher-place":"Maidenhead","title":"Introducing qualitative research in psychology","type":"book"},"uris":["http://www.mendeley.com/documents/?uuid=29355e43-549a-4d38-8855-376682c8168a"]}],"mendeley":{"formattedCitation":"(Willig, 2013)","plainTextFormattedCitation":"(Willig, 2013)","previouslyFormattedCitation":"(Willig, 2013)"},"properties":{"noteIndex":0},"schema":"https://github.com/citation-style-language/schema/raw/master/csl-citation.json"}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(Willig, 2013)</w:t>
      </w:r>
      <w:r w:rsidRPr="00103A0B">
        <w:rPr>
          <w:rFonts w:ascii="Arial" w:hAnsi="Arial" w:cs="Arial"/>
          <w:sz w:val="24"/>
          <w:szCs w:val="24"/>
        </w:rPr>
        <w:fldChar w:fldCharType="end"/>
      </w:r>
      <w:r w:rsidRPr="00103A0B">
        <w:rPr>
          <w:rFonts w:ascii="Arial" w:hAnsi="Arial" w:cs="Arial"/>
          <w:sz w:val="24"/>
          <w:szCs w:val="24"/>
        </w:rPr>
        <w:t xml:space="preserve">. Although the researcher prepares a set of questions (interview schedule-see Appendices 4 and 5) beforehand and has some level of control during the interview where they guide, facilitate and prompt, </w:t>
      </w:r>
      <w:r w:rsidR="00A65CCA" w:rsidRPr="00103A0B">
        <w:rPr>
          <w:rFonts w:ascii="Arial" w:hAnsi="Arial" w:cs="Arial"/>
          <w:sz w:val="24"/>
          <w:szCs w:val="24"/>
        </w:rPr>
        <w:t xml:space="preserve">there is flexibility in the questions asked which can be adopted, prompts can be used and clarification can be asked in certain situations when the need arises </w:t>
      </w:r>
      <w:r w:rsidR="00A65CCA" w:rsidRPr="00103A0B">
        <w:rPr>
          <w:rFonts w:ascii="Arial" w:hAnsi="Arial" w:cs="Arial"/>
          <w:sz w:val="24"/>
          <w:szCs w:val="24"/>
        </w:rPr>
        <w:fldChar w:fldCharType="begin" w:fldLock="1"/>
      </w:r>
      <w:r w:rsidR="00A65CCA" w:rsidRPr="00103A0B">
        <w:rPr>
          <w:rFonts w:ascii="Arial" w:hAnsi="Arial" w:cs="Arial"/>
          <w:sz w:val="24"/>
          <w:szCs w:val="24"/>
        </w:rPr>
        <w:instrText>ADDIN CSL_CITATION {"citationItems":[{"id":"ITEM-1","itemData":{"author":[{"dropping-particle":"","family":"Willig","given":"C.","non-dropping-particle":"","parse-names":false,"suffix":""}],"edition":"3rd","id":"ITEM-1","issued":{"date-parts":[["2013"]]},"number-of-pages":"1-150","publisher":"Open University Press","publisher-place":"Maidenhead","title":"Introducing qualitative research in psychology","type":"book"},"uris":["http://www.mendeley.com/documents/?uuid=29355e43-549a-4d38-8855-376682c8168a"]}],"mendeley":{"formattedCitation":"(Willig, 2013)","plainTextFormattedCitation":"(Willig, 2013)","previouslyFormattedCitation":"(Willig, 2013)"},"properties":{"noteIndex":0},"schema":"https://github.com/citation-style-language/schema/raw/master/csl-citation.json"}</w:instrText>
      </w:r>
      <w:r w:rsidR="00A65CCA" w:rsidRPr="00103A0B">
        <w:rPr>
          <w:rFonts w:ascii="Arial" w:hAnsi="Arial" w:cs="Arial"/>
          <w:sz w:val="24"/>
          <w:szCs w:val="24"/>
        </w:rPr>
        <w:fldChar w:fldCharType="separate"/>
      </w:r>
      <w:r w:rsidR="00A65CCA" w:rsidRPr="00103A0B">
        <w:rPr>
          <w:rFonts w:ascii="Arial" w:hAnsi="Arial" w:cs="Arial"/>
          <w:noProof/>
          <w:sz w:val="24"/>
          <w:szCs w:val="24"/>
        </w:rPr>
        <w:t>(Willig, 2013)</w:t>
      </w:r>
      <w:r w:rsidR="00A65CCA" w:rsidRPr="00103A0B">
        <w:rPr>
          <w:rFonts w:ascii="Arial" w:hAnsi="Arial" w:cs="Arial"/>
          <w:sz w:val="24"/>
          <w:szCs w:val="24"/>
        </w:rPr>
        <w:fldChar w:fldCharType="end"/>
      </w:r>
      <w:r w:rsidR="00A65CCA" w:rsidRPr="00103A0B">
        <w:rPr>
          <w:rFonts w:ascii="Arial" w:hAnsi="Arial" w:cs="Arial"/>
          <w:sz w:val="24"/>
          <w:szCs w:val="24"/>
        </w:rPr>
        <w:t xml:space="preserve">. </w:t>
      </w:r>
      <w:r w:rsidR="00A65CCA" w:rsidRPr="00103A0B">
        <w:rPr>
          <w:rFonts w:ascii="Arial" w:hAnsi="Arial" w:cs="Arial"/>
          <w:sz w:val="24"/>
          <w:szCs w:val="24"/>
          <w:lang w:eastAsia="en-GB"/>
        </w:rPr>
        <w:t xml:space="preserve">Taking into consideration that some participants did not always speak good English (Chapters 5 and 6), it was the most appropriate method as it enabled the use of prompts for answers, </w:t>
      </w:r>
      <w:proofErr w:type="gramStart"/>
      <w:r w:rsidR="00A65CCA" w:rsidRPr="00103A0B">
        <w:rPr>
          <w:rFonts w:ascii="Arial" w:hAnsi="Arial" w:cs="Arial"/>
          <w:sz w:val="24"/>
          <w:szCs w:val="24"/>
          <w:lang w:eastAsia="en-GB"/>
        </w:rPr>
        <w:t>and also</w:t>
      </w:r>
      <w:proofErr w:type="gramEnd"/>
      <w:r w:rsidR="00A65CCA" w:rsidRPr="00103A0B">
        <w:rPr>
          <w:rFonts w:ascii="Arial" w:hAnsi="Arial" w:cs="Arial"/>
          <w:sz w:val="24"/>
          <w:szCs w:val="24"/>
          <w:lang w:eastAsia="en-GB"/>
        </w:rPr>
        <w:t xml:space="preserve"> ask questions in a different way if participants did not understand.</w:t>
      </w:r>
    </w:p>
    <w:p w14:paraId="4350E89B" w14:textId="77777777" w:rsidR="002B7637" w:rsidRPr="00103A0B" w:rsidRDefault="002B7637" w:rsidP="00CD5919">
      <w:pPr>
        <w:spacing w:line="360" w:lineRule="auto"/>
        <w:contextualSpacing/>
        <w:jc w:val="both"/>
        <w:rPr>
          <w:rFonts w:ascii="Arial" w:hAnsi="Arial" w:cs="Arial"/>
          <w:sz w:val="24"/>
          <w:szCs w:val="24"/>
        </w:rPr>
      </w:pPr>
    </w:p>
    <w:p w14:paraId="1694C2AB" w14:textId="77777777" w:rsidR="002B7637" w:rsidRPr="00103A0B" w:rsidRDefault="00770264" w:rsidP="00CD5919">
      <w:pPr>
        <w:spacing w:line="360" w:lineRule="auto"/>
        <w:contextualSpacing/>
        <w:jc w:val="both"/>
        <w:rPr>
          <w:rFonts w:ascii="Arial" w:hAnsi="Arial" w:cs="Arial"/>
          <w:sz w:val="24"/>
          <w:szCs w:val="24"/>
        </w:rPr>
      </w:pPr>
      <w:r w:rsidRPr="00103A0B">
        <w:rPr>
          <w:rFonts w:ascii="Arial" w:hAnsi="Arial" w:cs="Arial"/>
          <w:sz w:val="24"/>
          <w:szCs w:val="24"/>
        </w:rPr>
        <w:t xml:space="preserve">These types of interviews can be recorded, allowing the conversation to flow naturally and enabling the researcher to fully focus on the participant instead of focusing on making written notes of what is being discussed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{"citationItems":[{"id":"ITEM-1","itemData":{"author":[{"dropping-particle":"","family":"Willig","given":"C.","non-dropping-particle":"","parse-names":false,"suffix":""}],"edition":"3rd","id":"ITEM-1","issued":{"date-parts":[["2013"]]},"number-of-pages":"1-150","publisher":"Open University Press","publisher-place":"Maidenhead","title":"Introducing qualitative research in psychology","type":"book"},"uris":["http://www.mendeley.com/documents/?uuid=29355e43-549a-4d38-8855-376682c8168a"]}],"mendeley":{"formattedCitation":"(Willig, 2013)","plainTextFormattedCitation":"(Willig, 2013)","previouslyFormattedCitation":"(Willig, 2013)"},"properties":{"noteIndex":0},"schema":"https://github.com/citation-style-language/schema/raw/master/csl-citation.json"}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(Willig, 2013)</w:t>
      </w:r>
      <w:r w:rsidRPr="00103A0B">
        <w:rPr>
          <w:rFonts w:ascii="Arial" w:hAnsi="Arial" w:cs="Arial"/>
          <w:sz w:val="24"/>
          <w:szCs w:val="24"/>
        </w:rPr>
        <w:fldChar w:fldCharType="end"/>
      </w:r>
      <w:r w:rsidRPr="00103A0B">
        <w:rPr>
          <w:rFonts w:ascii="Arial" w:hAnsi="Arial" w:cs="Arial"/>
          <w:sz w:val="24"/>
          <w:szCs w:val="24"/>
        </w:rPr>
        <w:t xml:space="preserve">. Skilled interviewing requires the researcher to implement active listening, be empathetic, non-judgemental and allow the participant to fully express their feelings, views and experiences </w:t>
      </w:r>
      <w:r w:rsidRPr="00103A0B">
        <w:rPr>
          <w:rFonts w:ascii="Arial" w:hAnsi="Arial" w:cs="Arial"/>
          <w:sz w:val="24"/>
          <w:szCs w:val="24"/>
        </w:rPr>
        <w:fldChar w:fldCharType="begin" w:fldLock="1"/>
      </w:r>
      <w:r w:rsidR="00F064BD" w:rsidRPr="00103A0B">
        <w:rPr>
          <w:rFonts w:ascii="Arial" w:hAnsi="Arial" w:cs="Arial"/>
          <w:sz w:val="24"/>
          <w:szCs w:val="24"/>
        </w:rPr>
        <w:instrText>ADDIN CSL_CITATION {"citationItems":[{"id":"ITEM-1","itemData":{"author":[{"dropping-particle":"","family":"Willig","given":"C.","non-dropping-particle":"","parse-names":false,"suffix":""}],"edition":"3rd","id":"ITEM-1","issued":{"date-parts":[["2013"]]},"number-of-pages":"1-150","publisher":"Open University Press","publisher-place":"Maidenhead","title":"Introducing qualitative research in psychology","type":"book"},"uris":["http://www.mendeley.com/documents/?uuid=29355e43-549a-4d38-8855-376682c8168a"]}],"mendeley":{"formattedCitation":"(Willig, 2013)","plainTextFormattedCitation":"(Willig, 2013)","previouslyFormattedCitation":"(Willig, 2013)"},"properties":{"noteIndex":0},"schema":"https://github.com/citation-style-language/schema/raw/master/csl-citation.json"}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(Willig, 2013)</w:t>
      </w:r>
      <w:r w:rsidRPr="00103A0B">
        <w:rPr>
          <w:rFonts w:ascii="Arial" w:hAnsi="Arial" w:cs="Arial"/>
          <w:sz w:val="24"/>
          <w:szCs w:val="24"/>
        </w:rPr>
        <w:fldChar w:fldCharType="end"/>
      </w:r>
      <w:r w:rsidRPr="00103A0B">
        <w:rPr>
          <w:rFonts w:ascii="Arial" w:hAnsi="Arial" w:cs="Arial"/>
          <w:sz w:val="24"/>
          <w:szCs w:val="24"/>
        </w:rPr>
        <w:t>. As the researcher gains more experience in conducting interviews, these skills are developed further which aids with obtaining in-depth, good quality data.</w:t>
      </w:r>
    </w:p>
    <w:p w14:paraId="77D210F0" w14:textId="77777777" w:rsidR="002B7637" w:rsidRPr="00103A0B" w:rsidRDefault="002B7637" w:rsidP="00CD5919">
      <w:pPr>
        <w:spacing w:line="360" w:lineRule="auto"/>
        <w:contextualSpacing/>
        <w:jc w:val="both"/>
        <w:rPr>
          <w:rFonts w:ascii="Arial" w:hAnsi="Arial" w:cs="Arial"/>
          <w:sz w:val="24"/>
          <w:szCs w:val="24"/>
        </w:rPr>
      </w:pPr>
    </w:p>
    <w:p w14:paraId="4B32D943" w14:textId="50E0ADC3" w:rsidR="00BB4E63" w:rsidRPr="00103A0B" w:rsidRDefault="00770264" w:rsidP="00CD5919">
      <w:pPr>
        <w:spacing w:line="360" w:lineRule="auto"/>
        <w:contextualSpacing/>
        <w:jc w:val="both"/>
        <w:rPr>
          <w:rFonts w:ascii="Arial" w:hAnsi="Arial" w:cs="Arial"/>
          <w:sz w:val="24"/>
          <w:szCs w:val="24"/>
          <w:lang w:eastAsia="en-GB"/>
        </w:rPr>
      </w:pPr>
      <w:r w:rsidRPr="00103A0B">
        <w:rPr>
          <w:rFonts w:ascii="Arial" w:hAnsi="Arial" w:cs="Arial"/>
          <w:sz w:val="24"/>
          <w:szCs w:val="24"/>
          <w:lang w:eastAsia="en-GB"/>
        </w:rPr>
        <w:t>Overall, semi-structured interview</w:t>
      </w:r>
      <w:r w:rsidR="00A65CCA" w:rsidRPr="00103A0B">
        <w:rPr>
          <w:rFonts w:ascii="Arial" w:hAnsi="Arial" w:cs="Arial"/>
          <w:sz w:val="24"/>
          <w:szCs w:val="24"/>
          <w:lang w:eastAsia="en-GB"/>
        </w:rPr>
        <w:t>ing</w:t>
      </w:r>
      <w:r w:rsidRPr="00103A0B">
        <w:rPr>
          <w:rFonts w:ascii="Arial" w:hAnsi="Arial" w:cs="Arial"/>
          <w:sz w:val="24"/>
          <w:szCs w:val="24"/>
          <w:lang w:eastAsia="en-GB"/>
        </w:rPr>
        <w:t xml:space="preserve"> was the chosen methodology as it allows the researcher and participant to build a good rapport, there is more flexibility in the questioning, and new, novel areas can be delved into when using this method compared to other data collection techniques </w:t>
      </w:r>
      <w:r w:rsidRPr="00103A0B">
        <w:rPr>
          <w:rFonts w:ascii="Arial" w:hAnsi="Arial" w:cs="Arial"/>
          <w:sz w:val="24"/>
          <w:szCs w:val="24"/>
          <w:lang w:eastAsia="en-GB"/>
        </w:rPr>
        <w:fldChar w:fldCharType="begin" w:fldLock="1"/>
      </w:r>
      <w:r w:rsidR="00F064BD" w:rsidRPr="00103A0B">
        <w:rPr>
          <w:rFonts w:ascii="Arial" w:hAnsi="Arial" w:cs="Arial"/>
          <w:sz w:val="24"/>
          <w:szCs w:val="24"/>
          <w:lang w:eastAsia="en-GB"/>
        </w:rPr>
        <w:instrText>ADDIN CSL_CITATION {"citationItems":[{"id":"ITEM-1","itemData":{"author":[{"dropping-particle":"","family":"Willig","given":"C.","non-dropping-particle":"","parse-names":false,"suffix":""}],"edition":"3rd","id":"ITEM-1","issued":{"date-parts":[["2013"]]},"number-of-pages":"1-150","publisher":"Open University Press","publisher-place":"Maidenhead","title":"Introducing qualitative research in psychology","type":"book"},"uris":["http://www.mendeley.com/documents/?uuid=29355e43-549a-4d38-8855-376682c8168a"]}],"mendeley":{"formattedCitation":"(Willig, 2013)","plainTextFormattedCitation":"(Willig, 2013)","previouslyFormattedCitation":"(Willig, 2013)"},"properties":{"noteIndex":0},"schema":"https://github.com/citation-style-language/schema/raw/master/csl-citation.json"}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(Willig, 2013)</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The researcher was also able to identify any important non-verbal cues which is not possible with other methods such as diaries. For the study described in </w:t>
      </w:r>
      <w:r w:rsidR="00D1378A" w:rsidRPr="00103A0B">
        <w:rPr>
          <w:rFonts w:ascii="Arial" w:hAnsi="Arial" w:cs="Arial"/>
          <w:sz w:val="24"/>
          <w:szCs w:val="24"/>
          <w:lang w:eastAsia="en-GB"/>
        </w:rPr>
        <w:t>C</w:t>
      </w:r>
      <w:r w:rsidRPr="00103A0B">
        <w:rPr>
          <w:rFonts w:ascii="Arial" w:hAnsi="Arial" w:cs="Arial"/>
          <w:sz w:val="24"/>
          <w:szCs w:val="24"/>
          <w:lang w:eastAsia="en-GB"/>
        </w:rPr>
        <w:t>hapter 6, semi-struct</w:t>
      </w:r>
      <w:r w:rsidR="00D1378A" w:rsidRPr="00103A0B">
        <w:rPr>
          <w:rFonts w:ascii="Arial" w:hAnsi="Arial" w:cs="Arial"/>
          <w:sz w:val="24"/>
          <w:szCs w:val="24"/>
          <w:lang w:eastAsia="en-GB"/>
        </w:rPr>
        <w:t>ur</w:t>
      </w:r>
      <w:r w:rsidRPr="00103A0B">
        <w:rPr>
          <w:rFonts w:ascii="Arial" w:hAnsi="Arial" w:cs="Arial"/>
          <w:sz w:val="24"/>
          <w:szCs w:val="24"/>
          <w:lang w:eastAsia="en-GB"/>
        </w:rPr>
        <w:t xml:space="preserve">ed telephone interviews were selected as the appropriate methodology to use as opposed to face-to-face semi-structured interviews. One of the advantages of conducting telephone interviews include being a convenient way of interviewing as no actual travel to a </w:t>
      </w:r>
      <w:r w:rsidRPr="00103A0B">
        <w:rPr>
          <w:rFonts w:ascii="Arial" w:hAnsi="Arial" w:cs="Arial"/>
          <w:sz w:val="24"/>
          <w:szCs w:val="24"/>
          <w:lang w:eastAsia="en-GB"/>
        </w:rPr>
        <w:lastRenderedPageBreak/>
        <w:t xml:space="preserve">specific location is required </w:t>
      </w:r>
      <w:r w:rsidRPr="00103A0B">
        <w:rPr>
          <w:rFonts w:ascii="Arial" w:hAnsi="Arial" w:cs="Arial"/>
          <w:sz w:val="24"/>
          <w:szCs w:val="24"/>
          <w:lang w:eastAsia="en-GB"/>
        </w:rPr>
        <w:fldChar w:fldCharType="begin" w:fldLock="1"/>
      </w:r>
      <w:r w:rsidR="008E0722" w:rsidRPr="00103A0B">
        <w:rPr>
          <w:rFonts w:ascii="Arial" w:hAnsi="Arial" w:cs="Arial"/>
          <w:sz w:val="24"/>
          <w:szCs w:val="24"/>
          <w:lang w:eastAsia="en-GB"/>
        </w:rPr>
        <w:instrText>ADDIN CSL_CITATION {"citationItems":[{"id":"ITEM-1","itemData":{"DOI":"10.5901/mjss.2014.v5n16p60","ISSN":"20392117","abstract":"Interviewing is one of the data collection methods which are employed when one adopts the qualitative methodology to conduct research. This article relies on extensive literature review to critique interviewing as a data collection method. Although interviews have various forms and styles, it is important to note that there is no one interview style that fits every occasion or all respondents. The interviewer must work diligently to ensure the validity and reliability of the interview data otherwise, interviewers themselves, can turn out to be weaknesses due to their own bias, subjectivities and lack of interviewing skills. It is also important to note that interviewers themselves become part of the \"interviewing picture\" by asking questions and responding to the respondent and sometimes even sharing their experiences with interviewees; working with the interview data, selecting from it, interpreting and describing and analysing it regardless of their discipline and dedication in keeping the interview data as the product of the respondent. Weaknesses of interviewing have been both discussed and critiqued from different theoretical perspectives which are \"postmodern, feminist, sociolinguistic\" \"conversation analytic\", \"ethnomethodological perspectives\" and even data analysis.","author":[{"dropping-particle":"","family":"Hofisi","given":"Costa","non-dropping-particle":"","parse-names":false,"suffix":""},{"dropping-particle":"","family":"Hofisi","given":"Miriam","non-dropping-particle":"","parse-names":false,"suffix":""},{"dropping-particle":"","family":"Mago","given":"Stephen","non-dropping-particle":"","parse-names":false,"suffix":""}],"container-title":"Mediterranean Journal of Social Sciences","id":"ITEM-1","issue":"16","issued":{"date-parts":[["2014"]]},"page":"60-64","title":"Critiquing interviewing as a data collection method","type":"article-journal","volume":"5"},"uris":["http://www.mendeley.com/documents/?uuid=a85f0d80-cb91-46ca-a9b2-f385a89c2973"]}],"mendeley":{"formattedCitation":"(Hofisi et al., 2014)","plainTextFormattedCitation":"(Hofisi et al., 2014)","previouslyFormattedCitation":"(Hofisi et al., 2014)"},"properties":{"noteIndex":0},"schema":"https://github.com/citation-style-language/schema/raw/master/csl-citation.json"}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(Hofisi et al., 2014)</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It can be argued telephone interviews allow a certain level of anonymity compared to face-to face interviews which can be an advantage where participants can freely answer a question, but, they may respond differently in ways they would not over the telephone than face-to-face </w:t>
      </w:r>
      <w:r w:rsidRPr="00103A0B">
        <w:rPr>
          <w:rFonts w:ascii="Arial" w:hAnsi="Arial" w:cs="Arial"/>
          <w:sz w:val="24"/>
          <w:szCs w:val="24"/>
          <w:lang w:eastAsia="en-GB"/>
        </w:rPr>
        <w:fldChar w:fldCharType="begin" w:fldLock="1"/>
      </w:r>
      <w:r w:rsidR="008E0722" w:rsidRPr="00103A0B">
        <w:rPr>
          <w:rFonts w:ascii="Arial" w:hAnsi="Arial" w:cs="Arial"/>
          <w:sz w:val="24"/>
          <w:szCs w:val="24"/>
          <w:lang w:eastAsia="en-GB"/>
        </w:rPr>
        <w:instrText>ADDIN CSL_CITATION {"citationItems":[{"id":"ITEM-1","itemData":{"DOI":"10.5901/mjss.2014.v5n16p60","ISSN":"20392117","abstract":"Interviewing is one of the data collection methods which are employed when one adopts the qualitative methodology to conduct research. This article relies on extensive literature review to critique interviewing as a data collection method. Although interviews have various forms and styles, it is important to note that there is no one interview style that fits every occasion or all respondents. The interviewer must work diligently to ensure the validity and reliability of the interview data otherwise, interviewers themselves, can turn out to be weaknesses due to their own bias, subjectivities and lack of interviewing skills. It is also important to note that interviewers themselves become part of the \"interviewing picture\" by asking questions and responding to the respondent and sometimes even sharing their experiences with interviewees; working with the interview data, selecting from it, interpreting and describing and analysing it regardless of their discipline and dedication in keeping the interview data as the product of the respondent. Weaknesses of interviewing have been both discussed and critiqued from different theoretical perspectives which are \"postmodern, feminist, sociolinguistic\" \"conversation analytic\", \"ethnomethodological perspectives\" and even data analysis.","author":[{"dropping-particle":"","family":"Hofisi","given":"Costa","non-dropping-particle":"","parse-names":false,"suffix":""},{"dropping-particle":"","family":"Hofisi","given":"Miriam","non-dropping-particle":"","parse-names":false,"suffix":""},{"dropping-particle":"","family":"Mago","given":"Stephen","non-dropping-particle":"","parse-names":false,"suffix":""}],"container-title":"Mediterranean Journal of Social Sciences","id":"ITEM-1","issue":"16","issued":{"date-parts":[["2014"]]},"page":"60-64","title":"Critiquing interviewing as a data collection method","type":"article-journal","volume":"5"},"uris":["http://www.mendeley.com/documents/?uuid=a85f0d80-cb91-46ca-a9b2-f385a89c2973"]}],"mendeley":{"formattedCitation":"(Hofisi et al., 2014)","plainTextFormattedCitation":"(Hofisi et al., 2014)","previouslyFormattedCitation":"(Hofisi et al., 2014)"},"properties":{"noteIndex":0},"schema":"https://github.com/citation-style-language/schema/raw/master/csl-citation.json"}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(Hofisi et al., 2014)</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However, as these were follow-up interviews for the study described in </w:t>
      </w:r>
      <w:r w:rsidR="00D1378A" w:rsidRPr="00103A0B">
        <w:rPr>
          <w:rFonts w:ascii="Arial" w:hAnsi="Arial" w:cs="Arial"/>
          <w:sz w:val="24"/>
          <w:szCs w:val="24"/>
          <w:lang w:eastAsia="en-GB"/>
        </w:rPr>
        <w:t>C</w:t>
      </w:r>
      <w:r w:rsidRPr="00103A0B">
        <w:rPr>
          <w:rFonts w:ascii="Arial" w:hAnsi="Arial" w:cs="Arial"/>
          <w:sz w:val="24"/>
          <w:szCs w:val="24"/>
          <w:lang w:eastAsia="en-GB"/>
        </w:rPr>
        <w:t xml:space="preserve">hapter 5, some of these issues would not apply. </w:t>
      </w:r>
    </w:p>
    <w:p w14:paraId="5677054E" w14:textId="2F1357A8" w:rsidR="002B7637" w:rsidRPr="00103A0B" w:rsidRDefault="002B7637" w:rsidP="00CD5919">
      <w:pPr>
        <w:spacing w:line="360" w:lineRule="auto"/>
        <w:contextualSpacing/>
        <w:jc w:val="both"/>
        <w:rPr>
          <w:rFonts w:ascii="Arial" w:hAnsi="Arial" w:cs="Arial"/>
          <w:sz w:val="24"/>
          <w:szCs w:val="24"/>
          <w:lang w:eastAsia="en-GB"/>
        </w:rPr>
      </w:pPr>
    </w:p>
    <w:p w14:paraId="78C5B5A7" w14:textId="5CAD2F9F" w:rsidR="00BB4E63" w:rsidRPr="00103A0B" w:rsidRDefault="00D1378A" w:rsidP="002B7637">
      <w:pPr>
        <w:keepLines/>
        <w:jc w:val="both"/>
        <w:rPr>
          <w:rFonts w:ascii="Arial" w:hAnsi="Arial" w:cs="Arial"/>
          <w:b/>
          <w:bCs/>
          <w:sz w:val="24"/>
          <w:szCs w:val="24"/>
          <w:lang w:eastAsia="en-GB"/>
        </w:rPr>
      </w:pPr>
      <w:r w:rsidRPr="00103A0B">
        <w:rPr>
          <w:rFonts w:ascii="Arial" w:hAnsi="Arial" w:cs="Arial"/>
          <w:b/>
          <w:bCs/>
          <w:sz w:val="24"/>
          <w:szCs w:val="24"/>
          <w:lang w:eastAsia="en-GB"/>
        </w:rPr>
        <w:t xml:space="preserve">3.2.4 </w:t>
      </w:r>
      <w:r w:rsidR="00030627" w:rsidRPr="00103A0B">
        <w:rPr>
          <w:rFonts w:ascii="Arial" w:hAnsi="Arial" w:cs="Arial"/>
          <w:b/>
          <w:bCs/>
          <w:sz w:val="24"/>
          <w:szCs w:val="24"/>
          <w:lang w:eastAsia="en-GB"/>
        </w:rPr>
        <w:t xml:space="preserve">Types of Qualitative Analysis </w:t>
      </w:r>
      <w:r w:rsidR="00BB4E63" w:rsidRPr="00103A0B">
        <w:rPr>
          <w:rFonts w:ascii="Arial" w:hAnsi="Arial" w:cs="Arial"/>
          <w:b/>
          <w:bCs/>
          <w:sz w:val="24"/>
          <w:szCs w:val="24"/>
          <w:lang w:eastAsia="en-GB"/>
        </w:rPr>
        <w:t xml:space="preserve"> </w:t>
      </w:r>
    </w:p>
    <w:p w14:paraId="732E7734" w14:textId="28DAC85A" w:rsidR="00BB4E63" w:rsidRPr="00103A0B" w:rsidRDefault="00D1378A" w:rsidP="00257F3E">
      <w:pPr>
        <w:spacing w:after="0" w:line="360" w:lineRule="auto"/>
        <w:ind w:hanging="11"/>
        <w:jc w:val="both"/>
        <w:rPr>
          <w:rFonts w:ascii="Arial" w:hAnsi="Arial" w:cs="Arial"/>
          <w:sz w:val="24"/>
          <w:szCs w:val="24"/>
        </w:rPr>
      </w:pPr>
      <w:r w:rsidRPr="00103A0B">
        <w:rPr>
          <w:rFonts w:ascii="Arial" w:hAnsi="Arial" w:cs="Arial"/>
          <w:sz w:val="24"/>
          <w:szCs w:val="24"/>
          <w:lang w:eastAsia="en-GB"/>
        </w:rPr>
        <w:t xml:space="preserve">This research involved the use of reflexive thematic analysis to analyse participant experiences of the NHSDPP and the key influences of programme uptake and retention. </w:t>
      </w:r>
      <w:r w:rsidRPr="00103A0B">
        <w:rPr>
          <w:rFonts w:ascii="Arial" w:hAnsi="Arial" w:cs="Arial"/>
          <w:sz w:val="24"/>
          <w:szCs w:val="24"/>
        </w:rPr>
        <w:t xml:space="preserve">The following will detail the possible data analysis techniques and why reflexive thematic analysis was selected. </w:t>
      </w:r>
    </w:p>
    <w:p w14:paraId="6C44F325" w14:textId="77777777" w:rsidR="00257F3E" w:rsidRPr="00103A0B" w:rsidRDefault="00257F3E" w:rsidP="00257F3E">
      <w:pPr>
        <w:spacing w:after="0" w:line="360" w:lineRule="auto"/>
        <w:ind w:hanging="11"/>
        <w:jc w:val="both"/>
        <w:rPr>
          <w:rFonts w:ascii="Arial" w:hAnsi="Arial" w:cs="Arial"/>
          <w:sz w:val="24"/>
          <w:szCs w:val="24"/>
        </w:rPr>
      </w:pPr>
    </w:p>
    <w:p w14:paraId="589FEFD7" w14:textId="6A8A3311" w:rsidR="00BB4E63" w:rsidRPr="00103A0B" w:rsidRDefault="00F25EA1" w:rsidP="00357383">
      <w:pPr>
        <w:keepLines/>
        <w:jc w:val="both"/>
        <w:rPr>
          <w:rFonts w:ascii="Arial" w:hAnsi="Arial" w:cs="Arial"/>
          <w:b/>
          <w:bCs/>
          <w:sz w:val="24"/>
          <w:szCs w:val="24"/>
        </w:rPr>
      </w:pPr>
      <w:r w:rsidRPr="00103A0B">
        <w:rPr>
          <w:rFonts w:ascii="Arial" w:hAnsi="Arial" w:cs="Arial"/>
          <w:b/>
          <w:bCs/>
          <w:sz w:val="24"/>
          <w:szCs w:val="24"/>
        </w:rPr>
        <w:t xml:space="preserve">3.2.5 </w:t>
      </w:r>
      <w:r w:rsidR="00BB4E63" w:rsidRPr="00103A0B">
        <w:rPr>
          <w:rFonts w:ascii="Arial" w:hAnsi="Arial" w:cs="Arial"/>
          <w:b/>
          <w:bCs/>
          <w:sz w:val="24"/>
          <w:szCs w:val="24"/>
        </w:rPr>
        <w:t xml:space="preserve">Why </w:t>
      </w:r>
      <w:r w:rsidRPr="00103A0B">
        <w:rPr>
          <w:rFonts w:ascii="Arial" w:hAnsi="Arial" w:cs="Arial"/>
          <w:b/>
          <w:bCs/>
          <w:sz w:val="24"/>
          <w:szCs w:val="24"/>
        </w:rPr>
        <w:t>O</w:t>
      </w:r>
      <w:r w:rsidR="00BB4E63" w:rsidRPr="00103A0B">
        <w:rPr>
          <w:rFonts w:ascii="Arial" w:hAnsi="Arial" w:cs="Arial"/>
          <w:b/>
          <w:bCs/>
          <w:sz w:val="24"/>
          <w:szCs w:val="24"/>
        </w:rPr>
        <w:t xml:space="preserve">ther </w:t>
      </w:r>
      <w:r w:rsidRPr="00103A0B">
        <w:rPr>
          <w:rFonts w:ascii="Arial" w:hAnsi="Arial" w:cs="Arial"/>
          <w:b/>
          <w:bCs/>
          <w:sz w:val="24"/>
          <w:szCs w:val="24"/>
        </w:rPr>
        <w:t>D</w:t>
      </w:r>
      <w:r w:rsidR="00BB4E63" w:rsidRPr="00103A0B">
        <w:rPr>
          <w:rFonts w:ascii="Arial" w:hAnsi="Arial" w:cs="Arial"/>
          <w:b/>
          <w:bCs/>
          <w:sz w:val="24"/>
          <w:szCs w:val="24"/>
        </w:rPr>
        <w:t xml:space="preserve">ata </w:t>
      </w:r>
      <w:r w:rsidRPr="00103A0B">
        <w:rPr>
          <w:rFonts w:ascii="Arial" w:hAnsi="Arial" w:cs="Arial"/>
          <w:b/>
          <w:bCs/>
          <w:sz w:val="24"/>
          <w:szCs w:val="24"/>
        </w:rPr>
        <w:t>A</w:t>
      </w:r>
      <w:r w:rsidR="00BB4E63" w:rsidRPr="00103A0B">
        <w:rPr>
          <w:rFonts w:ascii="Arial" w:hAnsi="Arial" w:cs="Arial"/>
          <w:b/>
          <w:bCs/>
          <w:sz w:val="24"/>
          <w:szCs w:val="24"/>
        </w:rPr>
        <w:t xml:space="preserve">nalysis </w:t>
      </w:r>
      <w:r w:rsidRPr="00103A0B">
        <w:rPr>
          <w:rFonts w:ascii="Arial" w:hAnsi="Arial" w:cs="Arial"/>
          <w:b/>
          <w:bCs/>
          <w:sz w:val="24"/>
          <w:szCs w:val="24"/>
        </w:rPr>
        <w:t>T</w:t>
      </w:r>
      <w:r w:rsidR="00BB4E63" w:rsidRPr="00103A0B">
        <w:rPr>
          <w:rFonts w:ascii="Arial" w:hAnsi="Arial" w:cs="Arial"/>
          <w:b/>
          <w:bCs/>
          <w:sz w:val="24"/>
          <w:szCs w:val="24"/>
        </w:rPr>
        <w:t xml:space="preserve">echniques </w:t>
      </w:r>
      <w:r w:rsidRPr="00103A0B">
        <w:rPr>
          <w:rFonts w:ascii="Arial" w:hAnsi="Arial" w:cs="Arial"/>
          <w:b/>
          <w:bCs/>
          <w:sz w:val="24"/>
          <w:szCs w:val="24"/>
        </w:rPr>
        <w:t>W</w:t>
      </w:r>
      <w:r w:rsidR="00BB4E63" w:rsidRPr="00103A0B">
        <w:rPr>
          <w:rFonts w:ascii="Arial" w:hAnsi="Arial" w:cs="Arial"/>
          <w:b/>
          <w:bCs/>
          <w:sz w:val="24"/>
          <w:szCs w:val="24"/>
        </w:rPr>
        <w:t xml:space="preserve">ere </w:t>
      </w:r>
      <w:r w:rsidRPr="00103A0B">
        <w:rPr>
          <w:rFonts w:ascii="Arial" w:hAnsi="Arial" w:cs="Arial"/>
          <w:b/>
          <w:bCs/>
          <w:sz w:val="24"/>
          <w:szCs w:val="24"/>
        </w:rPr>
        <w:t>N</w:t>
      </w:r>
      <w:r w:rsidR="00BB4E63" w:rsidRPr="00103A0B">
        <w:rPr>
          <w:rFonts w:ascii="Arial" w:hAnsi="Arial" w:cs="Arial"/>
          <w:b/>
          <w:bCs/>
          <w:sz w:val="24"/>
          <w:szCs w:val="24"/>
        </w:rPr>
        <w:t xml:space="preserve">ot </w:t>
      </w:r>
      <w:r w:rsidRPr="00103A0B">
        <w:rPr>
          <w:rFonts w:ascii="Arial" w:hAnsi="Arial" w:cs="Arial"/>
          <w:b/>
          <w:bCs/>
          <w:sz w:val="24"/>
          <w:szCs w:val="24"/>
        </w:rPr>
        <w:t>U</w:t>
      </w:r>
      <w:r w:rsidR="00BB4E63" w:rsidRPr="00103A0B">
        <w:rPr>
          <w:rFonts w:ascii="Arial" w:hAnsi="Arial" w:cs="Arial"/>
          <w:b/>
          <w:bCs/>
          <w:sz w:val="24"/>
          <w:szCs w:val="24"/>
        </w:rPr>
        <w:t xml:space="preserve">sed  </w:t>
      </w:r>
    </w:p>
    <w:p w14:paraId="4922A7F8" w14:textId="6353AC35" w:rsidR="00F25EA1" w:rsidRPr="00103A0B" w:rsidRDefault="00F25EA1" w:rsidP="00CD5919">
      <w:pPr>
        <w:spacing w:line="360" w:lineRule="auto"/>
        <w:jc w:val="both"/>
        <w:rPr>
          <w:rFonts w:ascii="Arial" w:eastAsia="Times New Roman" w:hAnsi="Arial" w:cs="Arial"/>
          <w:sz w:val="24"/>
          <w:szCs w:val="24"/>
        </w:rPr>
      </w:pPr>
      <w:r w:rsidRPr="00103A0B">
        <w:rPr>
          <w:rFonts w:ascii="Arial" w:eastAsia="Times New Roman" w:hAnsi="Arial" w:cs="Arial"/>
          <w:sz w:val="24"/>
          <w:szCs w:val="24"/>
        </w:rPr>
        <w:t xml:space="preserve">There are a variety of different qualitative analysis techniques with various perspectives being taken. The following will detail alternative data analysis techniques, alongside their strengths and weaknesses, and why they were not selected for this research. </w:t>
      </w:r>
    </w:p>
    <w:p w14:paraId="5192AA23" w14:textId="77777777" w:rsidR="00F25EA1" w:rsidRPr="00103A0B" w:rsidRDefault="00F25EA1" w:rsidP="00CD5919">
      <w:pPr>
        <w:pStyle w:val="ListParagraph"/>
        <w:numPr>
          <w:ilvl w:val="0"/>
          <w:numId w:val="6"/>
        </w:numPr>
        <w:spacing w:after="200" w:line="360" w:lineRule="auto"/>
        <w:jc w:val="both"/>
        <w:rPr>
          <w:rFonts w:ascii="Arial" w:hAnsi="Arial" w:cs="Arial"/>
          <w:i/>
          <w:iCs/>
          <w:sz w:val="24"/>
          <w:szCs w:val="24"/>
        </w:rPr>
      </w:pPr>
      <w:r w:rsidRPr="00103A0B">
        <w:rPr>
          <w:rFonts w:ascii="Arial" w:hAnsi="Arial" w:cs="Arial"/>
          <w:i/>
          <w:iCs/>
          <w:sz w:val="24"/>
          <w:szCs w:val="24"/>
        </w:rPr>
        <w:t>Interpretative Phenomenological Analysis (</w:t>
      </w:r>
      <w:r w:rsidRPr="00103A0B">
        <w:rPr>
          <w:rFonts w:ascii="Arial" w:eastAsia="Times New Roman" w:hAnsi="Arial" w:cs="Arial"/>
          <w:i/>
          <w:iCs/>
          <w:sz w:val="24"/>
          <w:szCs w:val="24"/>
        </w:rPr>
        <w:t>IPA)</w:t>
      </w:r>
    </w:p>
    <w:p w14:paraId="0295E0C7" w14:textId="1708E851" w:rsidR="00F25EA1" w:rsidRPr="00103A0B" w:rsidRDefault="00F25EA1" w:rsidP="00CD5919">
      <w:pPr>
        <w:spacing w:line="360" w:lineRule="auto"/>
        <w:jc w:val="both"/>
        <w:rPr>
          <w:rFonts w:ascii="Arial" w:hAnsi="Arial" w:cs="Arial"/>
          <w:sz w:val="24"/>
          <w:szCs w:val="24"/>
        </w:rPr>
      </w:pPr>
      <w:r w:rsidRPr="00103A0B">
        <w:rPr>
          <w:rFonts w:ascii="Arial" w:hAnsi="Arial" w:cs="Arial"/>
          <w:sz w:val="24"/>
          <w:szCs w:val="24"/>
        </w:rPr>
        <w:t>Interpretative Phenomenological Analysis (IPA) is an idiographic approach used to explore an individual`s lived experience where the meanings that the individual assigns is given greater importance</w:t>
      </w:r>
      <w:r w:rsidR="00DA1E8C" w:rsidRPr="00103A0B">
        <w:rPr>
          <w:rFonts w:ascii="Arial" w:hAnsi="Arial" w:cs="Arial"/>
          <w:sz w:val="24"/>
          <w:szCs w:val="24"/>
        </w:rPr>
        <w:t>,</w:t>
      </w:r>
      <w:r w:rsidRPr="00103A0B">
        <w:rPr>
          <w:rFonts w:ascii="Arial" w:hAnsi="Arial" w:cs="Arial"/>
          <w:sz w:val="24"/>
          <w:szCs w:val="24"/>
        </w:rPr>
        <w:t xml:space="preserve"> and aims to examine in detail how certain individuals have experienced particular events </w:t>
      </w:r>
      <w:r w:rsidRPr="00103A0B">
        <w:rPr>
          <w:rFonts w:ascii="Arial" w:hAnsi="Arial" w:cs="Arial"/>
          <w:sz w:val="24"/>
          <w:szCs w:val="24"/>
        </w:rPr>
        <w:fldChar w:fldCharType="begin" w:fldLock="1"/>
      </w:r>
      <w:r w:rsidR="00300D96" w:rsidRPr="00103A0B">
        <w:rPr>
          <w:rFonts w:ascii="Arial" w:hAnsi="Arial" w:cs="Arial"/>
          <w:sz w:val="24"/>
          <w:szCs w:val="24"/>
        </w:rPr>
        <w:instrText>ADDIN CSL_CITATION {"citationItems":[{"id":"ITEM-1","itemData":{"author":[{"dropping-particle":"","family":"Smith","given":"J.A.","non-dropping-particle":"","parse-names":false,"suffix":""},{"dropping-particle":"","family":"Osborn","given":"M.","non-dropping-particle":"","parse-names":false,"suffix":""}],"container-title":"Qualitative psychology: a practical guide to research methods","edition":"3rd","editor":[{"dropping-particle":"","family":"Smith","given":"J.A.","non-dropping-particle":"","parse-names":false,"suffix":""}],"id":"ITEM-1","issued":{"date-parts":[["2015"]]},"page":"25-52","publisher":"SAGE Publications Ltd","publisher-place":"London","title":"Interpretative phenomenological analysis","type":"chapter"},"uris":["http://www.mendeley.com/documents/?uuid=cd70c665-25ff-49c8-b83a-d833e642f457"]},{"id":"ITEM-2","itemData":{"author":[{"dropping-particle":"","family":"Shaw","given":"R.","non-dropping-particle":"","parse-names":false,"suffix":""}],"container-title":"Doing qualitative research in psychology: a practical guide","editor":[{"dropping-particle":"","family":"Forrester","given":"M.A.","non-dropping-particle":"","parse-names":false,"suffix":""}],"id":"ITEM-2","issued":{"date-parts":[["2010"]]},"page":"177-201","publisher":"SAGE Publications Ltd","publisher-place":"London","title":"QM3: Interpretative phenomenological analysis","type":"chapter"},"uris":["http://www.mendeley.com/documents/?uuid=6d24228d-c4ee-4ef1-92dc-3d6e921bf7aa"]}],"mendeley":{"formattedCitation":"(Shaw, 2010; J. A. Smith &amp; Osborn, 2015)","manualFormatting":"(Shaw, 2010; Smith &amp; Osborn, 2015)","plainTextFormattedCitation":"(Shaw, 2010; J. A. Smith &amp; Osborn, 2015)","previouslyFormattedCitation":"(Shaw, 2010; J. A. Smith &amp; Osborn, 2015)"},"properties":{"noteIndex":0},"schema":"https://github.com/citation-style-language/schema/raw/master/csl-citation.json"}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(Shaw, 2010; Smith &amp; Osborn, 2015)</w:t>
      </w:r>
      <w:r w:rsidRPr="00103A0B">
        <w:rPr>
          <w:rFonts w:ascii="Arial" w:hAnsi="Arial" w:cs="Arial"/>
          <w:sz w:val="24"/>
          <w:szCs w:val="24"/>
        </w:rPr>
        <w:fldChar w:fldCharType="end"/>
      </w:r>
      <w:r w:rsidRPr="00103A0B">
        <w:rPr>
          <w:rFonts w:ascii="Arial" w:hAnsi="Arial" w:cs="Arial"/>
          <w:sz w:val="24"/>
          <w:szCs w:val="24"/>
        </w:rPr>
        <w:t xml:space="preserve">. The idiosyncratic and culturally constructed factors that are associated with these experiences are explored, including how individuals make sense of their personal and social world </w:t>
      </w:r>
      <w:r w:rsidRPr="00103A0B">
        <w:rPr>
          <w:rFonts w:ascii="Arial" w:hAnsi="Arial" w:cs="Arial"/>
          <w:sz w:val="24"/>
          <w:szCs w:val="24"/>
        </w:rPr>
        <w:fldChar w:fldCharType="begin" w:fldLock="1"/>
      </w:r>
      <w:r w:rsidR="00300D96" w:rsidRPr="00103A0B">
        <w:rPr>
          <w:rFonts w:ascii="Arial" w:hAnsi="Arial" w:cs="Arial"/>
          <w:sz w:val="24"/>
          <w:szCs w:val="24"/>
        </w:rPr>
        <w:instrText>ADDIN CSL_CITATION {"citationItems":[{"id":"ITEM-1","itemData":{"author":[{"dropping-particle":"","family":"Smith","given":"J.A.","non-dropping-particle":"","parse-names":false,"suffix":""},{"dropping-particle":"","family":"Osborn","given":"M.","non-dropping-particle":"","parse-names":false,"suffix":""}],"container-title":"Qualitative psychology: a practical guide to research methods","edition":"3rd","editor":[{"dropping-particle":"","family":"Smith","given":"J.A.","non-dropping-particle":"","parse-names":false,"suffix":""}],"id":"ITEM-1","issued":{"date-parts":[["2015"]]},"page":"25-52","publisher":"SAGE Publications Ltd","publisher-place":"London","title":"Interpretative phenomenological analysis","type":"chapter"},"uris":["http://www.mendeley.com/documents/?uuid=cd70c665-25ff-49c8-b83a-d833e642f457"]},{"id":"ITEM-2","itemData":{"author":[{"dropping-particle":"","family":"Shaw","given":"R.","non-dropping-particle":"","parse-names":false,"suffix":""}],"container-title":"Doing qualitative research in psychology: a practical guide","editor":[{"dropping-particle":"","family":"Forrester","given":"M.A.","non-dropping-particle":"","parse-names":false,"suffix":""}],"id":"ITEM-2","issued":{"date-parts":[["2010"]]},"page":"177-201","publisher":"SAGE Publications Ltd","publisher-place":"London","title":"QM3: Interpretative phenomenological analysis","type":"chapter"},"uris":["http://www.mendeley.com/documents/?uuid=6d24228d-c4ee-4ef1-92dc-3d6e921bf7aa"]}],"mendeley":{"formattedCitation":"(Shaw, 2010; J. A. Smith &amp; Osborn, 2015)","manualFormatting":"(Shaw, 2010; Smith &amp; Osborn, 2015)","plainTextFormattedCitation":"(Shaw, 2010; J. A. Smith &amp; Osborn, 2015)","previouslyFormattedCitation":"(Shaw, 2010; J. A. Smith &amp; Osborn, 2015)"},"properties":{"noteIndex":0},"schema":"https://github.com/citation-style-language/schema/raw/master/csl-citation.json"}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(Shaw, 2010; Smith &amp; Osborn, 2015)</w:t>
      </w:r>
      <w:r w:rsidRPr="00103A0B">
        <w:rPr>
          <w:rFonts w:ascii="Arial" w:hAnsi="Arial" w:cs="Arial"/>
          <w:sz w:val="24"/>
          <w:szCs w:val="24"/>
        </w:rPr>
        <w:fldChar w:fldCharType="end"/>
      </w:r>
      <w:r w:rsidRPr="00103A0B">
        <w:rPr>
          <w:rFonts w:ascii="Arial" w:hAnsi="Arial" w:cs="Arial"/>
          <w:sz w:val="24"/>
          <w:szCs w:val="24"/>
        </w:rPr>
        <w:t xml:space="preserve">. An IPA approach was not the selected method of analysis for this research as generalised conclusions about participant experiences cannot be obtained when using IPA, as this approach provides a deeper, individual insight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Smith","given":"J.A.","non-dropping-particle":"","parse-names":false,"suffix":""},{"dropping-particle":"","family":"Osborn","given":"M.","non-dropping-particle":"","parse-names":false,"suffix":""}],"container-title":"Qualitative psychology: a practical guide to research methods","edition":"3rd","editor":[{"dropping-particle":"","family":"Smith","given":"J.A.","non-dropping-particle":"","parse-names":false,"suffix":""}],"id":"ITEM-1","issued":{"date-parts":[["2015"]]},"page":"25-52","publisher":"SAGE Publications Ltd","publisher-place":"London","title":"Interpretative phenomenological analysis","type":"chapter"},"uris":["http://www.mendeley.com/documents/?uuid=cd70c665-25ff-49c8-b83a-d833e642f457"]}],"mendeley":{"formattedCitation":"(J. A. Smith &amp; Osborn, 2015)","manualFormatting":"(Smith &amp; Osborn, 2015)","plainTextFormattedCitation":"(J. A. Smith &amp; Osborn, 2015)","previouslyFormattedCitation":"(J. A. Smith &amp; Osborn, 2015)"},"properties":{"noteIndex":0},"schema":"https://github.com/citation-style-language/schema/raw/master/csl-citation.json"}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(Smith &amp; Osborn, 2015)</w:t>
      </w:r>
      <w:r w:rsidRPr="00103A0B">
        <w:rPr>
          <w:rFonts w:ascii="Arial" w:hAnsi="Arial" w:cs="Arial"/>
          <w:sz w:val="24"/>
          <w:szCs w:val="24"/>
        </w:rPr>
        <w:fldChar w:fldCharType="end"/>
      </w:r>
      <w:r w:rsidRPr="00103A0B">
        <w:rPr>
          <w:rFonts w:ascii="Arial" w:hAnsi="Arial" w:cs="Arial"/>
          <w:sz w:val="24"/>
          <w:szCs w:val="24"/>
        </w:rPr>
        <w:t xml:space="preserve">. Due to the research being focused on gaining an understanding about participant experiences of the NHSDPP, the aims were not to gain an understanding of the idiosyncratic and culturally constructed factors associated with these experiences. </w:t>
      </w:r>
    </w:p>
    <w:p w14:paraId="4ADCE086" w14:textId="77777777" w:rsidR="00F25EA1" w:rsidRPr="00103A0B" w:rsidRDefault="00F25EA1" w:rsidP="00CD5919">
      <w:pPr>
        <w:pStyle w:val="ListParagraph"/>
        <w:numPr>
          <w:ilvl w:val="0"/>
          <w:numId w:val="6"/>
        </w:numPr>
        <w:spacing w:after="200" w:line="360" w:lineRule="auto"/>
        <w:jc w:val="both"/>
        <w:rPr>
          <w:rFonts w:ascii="Arial" w:hAnsi="Arial" w:cs="Arial"/>
          <w:i/>
          <w:iCs/>
          <w:sz w:val="24"/>
          <w:szCs w:val="24"/>
        </w:rPr>
      </w:pPr>
      <w:r w:rsidRPr="00103A0B">
        <w:rPr>
          <w:rFonts w:ascii="Arial" w:hAnsi="Arial" w:cs="Arial"/>
          <w:i/>
          <w:iCs/>
          <w:sz w:val="24"/>
          <w:szCs w:val="24"/>
        </w:rPr>
        <w:lastRenderedPageBreak/>
        <w:t xml:space="preserve">Discourse Analysis </w:t>
      </w:r>
    </w:p>
    <w:p w14:paraId="169E514C" w14:textId="67B78DA0" w:rsidR="00F25EA1" w:rsidRPr="00103A0B" w:rsidRDefault="00F25EA1" w:rsidP="00CD5919">
      <w:pPr>
        <w:spacing w:line="360" w:lineRule="auto"/>
        <w:jc w:val="both"/>
        <w:rPr>
          <w:rFonts w:ascii="Arial" w:hAnsi="Arial" w:cs="Arial"/>
          <w:sz w:val="24"/>
          <w:szCs w:val="24"/>
        </w:rPr>
      </w:pPr>
      <w:r w:rsidRPr="00103A0B">
        <w:rPr>
          <w:rFonts w:ascii="Arial" w:hAnsi="Arial" w:cs="Arial"/>
          <w:sz w:val="24"/>
          <w:szCs w:val="24"/>
        </w:rPr>
        <w:t xml:space="preserve">Discourse analysis focuses on the relationship between language, thoughts and feelings, including how language is used to understand the social world </w:t>
      </w:r>
      <w:r w:rsidRPr="00103A0B">
        <w:rPr>
          <w:rFonts w:ascii="Arial" w:hAnsi="Arial" w:cs="Arial"/>
          <w:sz w:val="24"/>
          <w:szCs w:val="24"/>
        </w:rPr>
        <w:fldChar w:fldCharType="begin" w:fldLock="1"/>
      </w:r>
      <w:r w:rsidR="00605D1E" w:rsidRPr="00103A0B">
        <w:rPr>
          <w:rFonts w:ascii="Arial" w:hAnsi="Arial" w:cs="Arial"/>
          <w:sz w:val="24"/>
          <w:szCs w:val="24"/>
        </w:rPr>
        <w:instrText>ADDIN CSL_CITATION {"citationItems":[{"id":"ITEM-1","itemData":{"author":[{"dropping-particle":"","family":"Wiggins","given":"S.","non-dropping-particle":"","parse-names":false,"suffix":""},{"dropping-particle":"","family":"Riley","given":"S.","non-dropping-particle":"","parse-names":false,"suffix":""}],"container-title":"Doing qualitative research in psychology: a practical guide","editor":[{"dropping-particle":"","family":"Forrester","given":"M.A.","non-dropping-particle":"","parse-names":false,"suffix":""}],"id":"ITEM-1","issued":{"date-parts":[["2010"]]},"page":"135-153","publisher":"SAGE Publications Ltd","publisher-place":"London","title":"QM1: Discourse analysis","type":"chapter"},"uris":["http://www.mendeley.com/documents/?uuid=859b9f95-0d51-456c-9679-763b65b6b423"]}],"mendeley":{"formattedCitation":"(Wiggins &amp; Riley, 2010)","plainTextFormattedCitation":"(Wiggins &amp; Riley, 2010)","previouslyFormattedCitation":"(Wiggins &amp; Riley,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(Wiggins &amp; Riley, 2010)</w:t>
      </w:r>
      <w:r w:rsidRPr="00103A0B">
        <w:rPr>
          <w:rFonts w:ascii="Arial" w:hAnsi="Arial" w:cs="Arial"/>
          <w:sz w:val="24"/>
          <w:szCs w:val="24"/>
        </w:rPr>
        <w:fldChar w:fldCharType="end"/>
      </w:r>
      <w:r w:rsidRPr="00103A0B">
        <w:rPr>
          <w:rFonts w:ascii="Arial" w:hAnsi="Arial" w:cs="Arial"/>
          <w:sz w:val="24"/>
          <w:szCs w:val="24"/>
        </w:rPr>
        <w:t xml:space="preserve">. However, this research is not focused on how language is used by participants, but to gain an overall picture of participant experiences of the NHSDPP and the key influences of their decisions to attend and complete the programme. </w:t>
      </w:r>
    </w:p>
    <w:p w14:paraId="52A18835" w14:textId="77777777" w:rsidR="00F25EA1" w:rsidRPr="00103A0B" w:rsidRDefault="00F25EA1" w:rsidP="00CD5919">
      <w:pPr>
        <w:pStyle w:val="ListParagraph"/>
        <w:numPr>
          <w:ilvl w:val="0"/>
          <w:numId w:val="6"/>
        </w:numPr>
        <w:spacing w:after="200" w:line="360" w:lineRule="auto"/>
        <w:jc w:val="both"/>
        <w:rPr>
          <w:rFonts w:ascii="Arial" w:hAnsi="Arial" w:cs="Arial"/>
          <w:i/>
          <w:iCs/>
          <w:sz w:val="24"/>
          <w:szCs w:val="24"/>
        </w:rPr>
      </w:pPr>
      <w:r w:rsidRPr="00103A0B">
        <w:rPr>
          <w:rFonts w:ascii="Arial" w:hAnsi="Arial" w:cs="Arial"/>
          <w:i/>
          <w:iCs/>
          <w:sz w:val="24"/>
          <w:szCs w:val="24"/>
        </w:rPr>
        <w:t>Grounded Theory</w:t>
      </w:r>
    </w:p>
    <w:p w14:paraId="19F32A8E" w14:textId="4BE2C4CE" w:rsidR="00F25EA1" w:rsidRPr="00103A0B" w:rsidRDefault="00F25EA1" w:rsidP="00CD5919">
      <w:pPr>
        <w:spacing w:line="360" w:lineRule="auto"/>
        <w:jc w:val="both"/>
        <w:rPr>
          <w:rFonts w:ascii="Arial" w:hAnsi="Arial" w:cs="Arial"/>
          <w:sz w:val="24"/>
          <w:szCs w:val="24"/>
        </w:rPr>
      </w:pPr>
      <w:r w:rsidRPr="00103A0B">
        <w:rPr>
          <w:rFonts w:ascii="Arial" w:hAnsi="Arial" w:cs="Arial"/>
          <w:sz w:val="24"/>
          <w:szCs w:val="24"/>
        </w:rPr>
        <w:t xml:space="preserve">Grounded Theory enables new theories to develop from the data with no predetermined ideas on how this will occur (i.e., in an inductive way) </w:t>
      </w:r>
      <w:r w:rsidRPr="00103A0B">
        <w:rPr>
          <w:rFonts w:ascii="Arial" w:hAnsi="Arial" w:cs="Arial"/>
          <w:sz w:val="24"/>
          <w:szCs w:val="24"/>
        </w:rPr>
        <w:fldChar w:fldCharType="begin" w:fldLock="1"/>
      </w:r>
      <w:r w:rsidR="00095E2C" w:rsidRPr="00103A0B">
        <w:rPr>
          <w:rFonts w:ascii="Arial" w:hAnsi="Arial" w:cs="Arial"/>
          <w:sz w:val="24"/>
          <w:szCs w:val="24"/>
        </w:rPr>
        <w:instrText>ADDIN CSL_CITATION {"citationItems":[{"id":"ITEM-1","itemData":{"author":[{"dropping-particle":"","family":"Gordon-Finlayson","given":"A.","non-dropping-particle":"","parse-names":false,"suffix":""}],"container-title":"Doing qualitative research in psychology: a practical guide","editor":[{"dropping-particle":"","family":"Forrester","given":"M.A.","non-dropping-particle":"","parse-names":false,"suffix":""}],"id":"ITEM-1","issued":{"date-parts":[["2010"]]},"page":"154-176","publisher":"SAGE Publications Ltd","publisher-place":"London","title":"QM2: Grounded theory","type":"chapter"},"uris":["http://www.mendeley.com/documents/?uuid=c42d2948-2feb-411f-bd0f-9b6a2ec3ea7a"]},{"id":"ITEM-2","itemData":{"author":[{"dropping-particle":"","family":"Charmaz","given":"K.","non-dropping-particle":"","parse-names":false,"suffix":""}],"container-title":"Qualitative psychology: a practical guide to research methods","edition":"3rd","editor":[{"dropping-particle":"","family":"Smith","given":"J.A.","non-dropping-particle":"","parse-names":false,"suffix":""}],"id":"ITEM-2","issued":{"date-parts":[["2015"]]},"page":"53-84","publisher":"SAGE Publications Ltd","publisher-place":"London","title":"Grounded theory","type":"chapter"},"uris":["http://www.mendeley.com/documents/?uuid=8a027d56-ffa6-4f24-8058-4d90277c666f"]}],"mendeley":{"formattedCitation":"(Charmaz, 2015; Gordon-Finlayson, 2010)","plainTextFormattedCitation":"(Charmaz, 2015; Gordon-Finlayson, 2010)","previouslyFormattedCitation":"(Charmaz, 2015; Gordon-Finlayson,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(Charmaz, 2015; Gordon-Finlayson, 2010)</w:t>
      </w:r>
      <w:r w:rsidRPr="00103A0B">
        <w:rPr>
          <w:rFonts w:ascii="Arial" w:hAnsi="Arial" w:cs="Arial"/>
          <w:sz w:val="24"/>
          <w:szCs w:val="24"/>
        </w:rPr>
        <w:fldChar w:fldCharType="end"/>
      </w:r>
      <w:r w:rsidRPr="00103A0B">
        <w:rPr>
          <w:rFonts w:ascii="Arial" w:hAnsi="Arial" w:cs="Arial"/>
          <w:sz w:val="24"/>
          <w:szCs w:val="24"/>
        </w:rPr>
        <w:t xml:space="preserve">.  However, focusing on a theoretical framework was not the aim of this research which was why this method of analysis was not chosen. </w:t>
      </w:r>
    </w:p>
    <w:p w14:paraId="20B44023" w14:textId="77777777" w:rsidR="00F25EA1" w:rsidRPr="00103A0B" w:rsidRDefault="00F25EA1" w:rsidP="00CD5919">
      <w:pPr>
        <w:pStyle w:val="ListParagraph"/>
        <w:numPr>
          <w:ilvl w:val="0"/>
          <w:numId w:val="6"/>
        </w:numPr>
        <w:spacing w:after="200" w:line="360" w:lineRule="auto"/>
        <w:jc w:val="both"/>
        <w:rPr>
          <w:rFonts w:ascii="Arial" w:hAnsi="Arial" w:cs="Arial"/>
          <w:i/>
          <w:iCs/>
          <w:sz w:val="24"/>
          <w:szCs w:val="24"/>
        </w:rPr>
      </w:pPr>
      <w:r w:rsidRPr="00103A0B">
        <w:rPr>
          <w:rFonts w:ascii="Arial" w:hAnsi="Arial" w:cs="Arial"/>
          <w:i/>
          <w:iCs/>
          <w:sz w:val="24"/>
          <w:szCs w:val="24"/>
        </w:rPr>
        <w:t xml:space="preserve">Content Analysis </w:t>
      </w:r>
    </w:p>
    <w:p w14:paraId="76EFE8C4" w14:textId="3AF4BF25" w:rsidR="00B105F5" w:rsidRPr="00103A0B" w:rsidRDefault="00F25EA1" w:rsidP="00CD5919">
      <w:pPr>
        <w:spacing w:line="360" w:lineRule="auto"/>
        <w:jc w:val="both"/>
        <w:rPr>
          <w:rFonts w:ascii="Arial" w:hAnsi="Arial" w:cs="Arial"/>
          <w:sz w:val="24"/>
          <w:szCs w:val="24"/>
        </w:rPr>
      </w:pPr>
      <w:r w:rsidRPr="00103A0B">
        <w:rPr>
          <w:rFonts w:ascii="Arial" w:hAnsi="Arial" w:cs="Arial"/>
          <w:sz w:val="24"/>
          <w:szCs w:val="24"/>
        </w:rPr>
        <w:t xml:space="preserve">This methodology involves identifying patterns and themes by often providing frequency counts and coding qualitative data into categories (as opposed to thematic analysis which does not quantify themes) </w:t>
      </w:r>
      <w:r w:rsidRPr="00103A0B">
        <w:rPr>
          <w:rFonts w:ascii="Arial" w:hAnsi="Arial" w:cs="Arial"/>
          <w:sz w:val="24"/>
          <w:szCs w:val="24"/>
        </w:rPr>
        <w:fldChar w:fldCharType="begin" w:fldLock="1"/>
      </w:r>
      <w:r w:rsidR="00095E2C" w:rsidRPr="00103A0B">
        <w:rPr>
          <w:rFonts w:ascii="Arial" w:hAnsi="Arial" w:cs="Arial"/>
          <w:sz w:val="24"/>
          <w:szCs w:val="24"/>
        </w:rPr>
        <w:instrText>ADDIN CSL_CITATION {"citationItems":[{"id":"ITEM-1","itemData":{"author":[{"dropping-particle":"","family":"Wilkinson","given":"S","non-dropping-particle":"","parse-names":false,"suffix":""}],"container-title":"Qualitative psychology: a practical guide to research methods","edition":"3rd","editor":[{"dropping-particle":"","family":"Smith","given":"J.A.","non-dropping-particle":"","parse-names":false,"suffix":""}],"id":"ITEM-1","issued":{"date-parts":[["2015"]]},"page":"199-221","publisher":"SAGE Publications Ltd","publisher-place":"London","title":"Focus groups","type":"chapter"},"uris":["http://www.mendeley.com/documents/?uuid=105f9201-d6ad-4620-8266-2f3e92050853"]}],"mendeley":{"formattedCitation":"(Wilkinson, 2015)","plainTextFormattedCitation":"(Wilkinson, 2015)","previouslyFormattedCitation":"(Wilkinson,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(Wilkinson, 2015)</w:t>
      </w:r>
      <w:r w:rsidRPr="00103A0B">
        <w:rPr>
          <w:rFonts w:ascii="Arial" w:hAnsi="Arial" w:cs="Arial"/>
          <w:sz w:val="24"/>
          <w:szCs w:val="24"/>
        </w:rPr>
        <w:fldChar w:fldCharType="end"/>
      </w:r>
      <w:r w:rsidRPr="00103A0B">
        <w:rPr>
          <w:rFonts w:ascii="Arial" w:hAnsi="Arial" w:cs="Arial"/>
          <w:sz w:val="24"/>
          <w:szCs w:val="24"/>
        </w:rPr>
        <w:t xml:space="preserve">. There is opportunity to alter qualitative data into quantitative form by using content analysis </w:t>
      </w:r>
      <w:r w:rsidRPr="00103A0B">
        <w:rPr>
          <w:rFonts w:ascii="Arial" w:hAnsi="Arial" w:cs="Arial"/>
          <w:sz w:val="24"/>
          <w:szCs w:val="24"/>
        </w:rPr>
        <w:fldChar w:fldCharType="begin" w:fldLock="1"/>
      </w:r>
      <w:r w:rsidR="00095E2C" w:rsidRPr="00103A0B">
        <w:rPr>
          <w:rFonts w:ascii="Arial" w:hAnsi="Arial" w:cs="Arial"/>
          <w:sz w:val="24"/>
          <w:szCs w:val="24"/>
        </w:rPr>
        <w:instrText>ADDIN CSL_CITATION {"citationItems":[{"id":"ITEM-1","itemData":{"author":[{"dropping-particle":"","family":"Wilkinson","given":"S","non-dropping-particle":"","parse-names":false,"suffix":""}],"container-title":"Qualitative psychology: a practical guide to research methods","edition":"3rd","editor":[{"dropping-particle":"","family":"Smith","given":"J.A.","non-dropping-particle":"","parse-names":false,"suffix":""}],"id":"ITEM-1","issued":{"date-parts":[["2015"]]},"page":"199-221","publisher":"SAGE Publications Ltd","publisher-place":"London","title":"Focus groups","type":"chapter"},"uris":["http://www.mendeley.com/documents/?uuid=105f9201-d6ad-4620-8266-2f3e92050853"]}],"mendeley":{"formattedCitation":"(Wilkinson, 2015)","plainTextFormattedCitation":"(Wilkinson, 2015)","previouslyFormattedCitation":"(Wilkinson,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(Wilkinson, 2015)</w:t>
      </w:r>
      <w:r w:rsidRPr="00103A0B">
        <w:rPr>
          <w:rFonts w:ascii="Arial" w:hAnsi="Arial" w:cs="Arial"/>
          <w:sz w:val="24"/>
          <w:szCs w:val="24"/>
        </w:rPr>
        <w:fldChar w:fldCharType="end"/>
      </w:r>
      <w:r w:rsidRPr="00103A0B">
        <w:rPr>
          <w:rFonts w:ascii="Arial" w:hAnsi="Arial" w:cs="Arial"/>
          <w:sz w:val="24"/>
          <w:szCs w:val="24"/>
        </w:rPr>
        <w:t xml:space="preserve">. However, this methodology can lead to important detail being lost as it can be difficult to identify appropriate quotations that represent the categories and at the same time be compelling to the reader </w:t>
      </w:r>
      <w:r w:rsidRPr="00103A0B">
        <w:rPr>
          <w:rFonts w:ascii="Arial" w:hAnsi="Arial" w:cs="Arial"/>
          <w:sz w:val="24"/>
          <w:szCs w:val="24"/>
        </w:rPr>
        <w:fldChar w:fldCharType="begin" w:fldLock="1"/>
      </w:r>
      <w:r w:rsidR="00095E2C" w:rsidRPr="00103A0B">
        <w:rPr>
          <w:rFonts w:ascii="Arial" w:hAnsi="Arial" w:cs="Arial"/>
          <w:sz w:val="24"/>
          <w:szCs w:val="24"/>
        </w:rPr>
        <w:instrText>ADDIN CSL_CITATION {"citationItems":[{"id":"ITEM-1","itemData":{"author":[{"dropping-particle":"","family":"Wilkinson","given":"S","non-dropping-particle":"","parse-names":false,"suffix":""}],"container-title":"Qualitative psychology: a practical guide to research methods","edition":"3rd","editor":[{"dropping-particle":"","family":"Smith","given":"J.A.","non-dropping-particle":"","parse-names":false,"suffix":""}],"id":"ITEM-1","issued":{"date-parts":[["2015"]]},"page":"199-221","publisher":"SAGE Publications Ltd","publisher-place":"London","title":"Focus groups","type":"chapter"},"uris":["http://www.mendeley.com/documents/?uuid=105f9201-d6ad-4620-8266-2f3e92050853"]}],"mendeley":{"formattedCitation":"(Wilkinson, 2015)","plainTextFormattedCitation":"(Wilkinson, 2015)","previouslyFormattedCitation":"(Wilkinson,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(Wilkinson, 2015)</w:t>
      </w:r>
      <w:r w:rsidRPr="00103A0B">
        <w:rPr>
          <w:rFonts w:ascii="Arial" w:hAnsi="Arial" w:cs="Arial"/>
          <w:sz w:val="24"/>
          <w:szCs w:val="24"/>
        </w:rPr>
        <w:fldChar w:fldCharType="end"/>
      </w:r>
      <w:r w:rsidRPr="00103A0B">
        <w:rPr>
          <w:rFonts w:ascii="Arial" w:hAnsi="Arial" w:cs="Arial"/>
          <w:sz w:val="24"/>
          <w:szCs w:val="24"/>
        </w:rPr>
        <w:t xml:space="preserve">. Also, a sense of individual participants can be lost when data </w:t>
      </w:r>
      <w:r w:rsidR="00257F3E" w:rsidRPr="00103A0B">
        <w:rPr>
          <w:rFonts w:ascii="Arial" w:hAnsi="Arial" w:cs="Arial"/>
          <w:sz w:val="24"/>
          <w:szCs w:val="24"/>
        </w:rPr>
        <w:t>are</w:t>
      </w:r>
      <w:r w:rsidRPr="00103A0B">
        <w:rPr>
          <w:rFonts w:ascii="Arial" w:hAnsi="Arial" w:cs="Arial"/>
          <w:sz w:val="24"/>
          <w:szCs w:val="24"/>
        </w:rPr>
        <w:t xml:space="preserve"> quantified </w:t>
      </w:r>
      <w:r w:rsidRPr="00103A0B">
        <w:rPr>
          <w:rFonts w:ascii="Arial" w:hAnsi="Arial" w:cs="Arial"/>
          <w:sz w:val="24"/>
          <w:szCs w:val="24"/>
        </w:rPr>
        <w:fldChar w:fldCharType="begin" w:fldLock="1"/>
      </w:r>
      <w:r w:rsidR="00095E2C" w:rsidRPr="00103A0B">
        <w:rPr>
          <w:rFonts w:ascii="Arial" w:hAnsi="Arial" w:cs="Arial"/>
          <w:sz w:val="24"/>
          <w:szCs w:val="24"/>
        </w:rPr>
        <w:instrText>ADDIN CSL_CITATION {"citationItems":[{"id":"ITEM-1","itemData":{"author":[{"dropping-particle":"","family":"Wilkinson","given":"S","non-dropping-particle":"","parse-names":false,"suffix":""}],"container-title":"Qualitative psychology: a practical guide to research methods","edition":"3rd","editor":[{"dropping-particle":"","family":"Smith","given":"J.A.","non-dropping-particle":"","parse-names":false,"suffix":""}],"id":"ITEM-1","issued":{"date-parts":[["2015"]]},"page":"199-221","publisher":"SAGE Publications Ltd","publisher-place":"London","title":"Focus groups","type":"chapter"},"uris":["http://www.mendeley.com/documents/?uuid=105f9201-d6ad-4620-8266-2f3e92050853"]}],"mendeley":{"formattedCitation":"(Wilkinson, 2015)","plainTextFormattedCitation":"(Wilkinson, 2015)","previouslyFormattedCitation":"(Wilkinson,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(Wilkinson, 2015)</w:t>
      </w:r>
      <w:r w:rsidRPr="00103A0B">
        <w:rPr>
          <w:rFonts w:ascii="Arial" w:hAnsi="Arial" w:cs="Arial"/>
          <w:sz w:val="24"/>
          <w:szCs w:val="24"/>
        </w:rPr>
        <w:fldChar w:fldCharType="end"/>
      </w:r>
      <w:r w:rsidRPr="00103A0B">
        <w:rPr>
          <w:rFonts w:ascii="Arial" w:hAnsi="Arial" w:cs="Arial"/>
          <w:sz w:val="24"/>
          <w:szCs w:val="24"/>
        </w:rPr>
        <w:t>. Content analysis was not selected as an appropriate methodology for this research as the aims were to explore participant experiences and motivations for attending and/or completing the NHSDPP, and it was important to capture individual data and not lose important detail through the process of quantifying the data. Although some numerical information was included in one of the qualitative studies (see Chapter 5), the purpose was to indicate the proportion of participants that discussed a certain concept before starting the programme, and whether they went on to attend or not, it was not to quantify themes and provide frequency counts to demonstrate the importance of a theme or percentage of participants that fall within each category of data, which content analysis aims to achieve. The numerical information provided some context, so the data w</w:t>
      </w:r>
      <w:r w:rsidR="00257F3E" w:rsidRPr="00103A0B">
        <w:rPr>
          <w:rFonts w:ascii="Arial" w:hAnsi="Arial" w:cs="Arial"/>
          <w:sz w:val="24"/>
          <w:szCs w:val="24"/>
        </w:rPr>
        <w:t>ere</w:t>
      </w:r>
      <w:r w:rsidRPr="00103A0B">
        <w:rPr>
          <w:rFonts w:ascii="Arial" w:hAnsi="Arial" w:cs="Arial"/>
          <w:sz w:val="24"/>
          <w:szCs w:val="24"/>
        </w:rPr>
        <w:t xml:space="preserve"> not </w:t>
      </w:r>
      <w:r w:rsidRPr="00103A0B">
        <w:rPr>
          <w:rFonts w:ascii="Arial" w:hAnsi="Arial" w:cs="Arial"/>
          <w:sz w:val="24"/>
          <w:szCs w:val="24"/>
        </w:rPr>
        <w:lastRenderedPageBreak/>
        <w:t xml:space="preserve">reduced to numbers where important meaning could be lost, instead numbers were used to supplement the qualitative data. </w:t>
      </w:r>
    </w:p>
    <w:p w14:paraId="1CA443F5" w14:textId="77777777" w:rsidR="00F25EA1" w:rsidRPr="00103A0B" w:rsidRDefault="00F25EA1" w:rsidP="00CD5919">
      <w:pPr>
        <w:pStyle w:val="ListParagraph"/>
        <w:numPr>
          <w:ilvl w:val="0"/>
          <w:numId w:val="6"/>
        </w:numPr>
        <w:spacing w:after="200" w:line="360" w:lineRule="auto"/>
        <w:jc w:val="both"/>
        <w:rPr>
          <w:rFonts w:ascii="Arial" w:hAnsi="Arial" w:cs="Arial"/>
          <w:i/>
          <w:iCs/>
          <w:sz w:val="24"/>
          <w:szCs w:val="24"/>
        </w:rPr>
      </w:pPr>
      <w:r w:rsidRPr="00103A0B">
        <w:rPr>
          <w:rFonts w:ascii="Arial" w:hAnsi="Arial" w:cs="Arial"/>
          <w:i/>
          <w:iCs/>
          <w:sz w:val="24"/>
          <w:szCs w:val="24"/>
        </w:rPr>
        <w:t xml:space="preserve">Narrative Approaches </w:t>
      </w:r>
    </w:p>
    <w:p w14:paraId="64CFC539" w14:textId="77777777" w:rsidR="00F25EA1" w:rsidRPr="00103A0B" w:rsidRDefault="00F25EA1" w:rsidP="00CD5919">
      <w:pPr>
        <w:spacing w:line="360" w:lineRule="auto"/>
        <w:jc w:val="both"/>
        <w:rPr>
          <w:rFonts w:ascii="Arial" w:hAnsi="Arial" w:cs="Arial"/>
          <w:sz w:val="24"/>
          <w:szCs w:val="24"/>
        </w:rPr>
      </w:pPr>
      <w:r w:rsidRPr="00103A0B">
        <w:rPr>
          <w:rFonts w:ascii="Arial" w:hAnsi="Arial" w:cs="Arial"/>
          <w:sz w:val="24"/>
          <w:szCs w:val="24"/>
        </w:rPr>
        <w:t xml:space="preserve">This type of analysis involves researchers using the stories people tell and analysing them in different ways in order to understand the meaning of these experiences that participants have reported in their stories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{"citationItems":[{"id":"ITEM-1","itemData":{"author":[{"dropping-particle":"","family":"Merriam","given":"S.B.","non-dropping-particle":"","parse-names":false,"suffix":""}],"id":"ITEM-1","issued":{"date-parts":[["2009"]]},"number-of-pages":"1-304","publisher":"Jossey-Bass A Wiley Imprint","publisher-place":"San Francisco","title":"Qualitative Research: A Guide to Design and Implementation","type":"book"},"uris":["http://www.mendeley.com/documents/?uuid=aff0e970-dba7-4c54-8878-240cef212f94"]}],"mendeley":{"formattedCitation":"(Merriam, 2009)","plainTextFormattedCitation":"(Merriam, 2009)","previouslyFormattedCitation":"(Merriam, 2009)"},"properties":{"noteIndex":0},"schema":"https://github.com/citation-style-language/schema/raw/master/csl-citation.json"}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(Merriam, 2009)</w:t>
      </w:r>
      <w:r w:rsidRPr="00103A0B">
        <w:rPr>
          <w:rFonts w:ascii="Arial" w:hAnsi="Arial" w:cs="Arial"/>
          <w:sz w:val="24"/>
          <w:szCs w:val="24"/>
        </w:rPr>
        <w:fldChar w:fldCharType="end"/>
      </w:r>
      <w:r w:rsidRPr="00103A0B">
        <w:rPr>
          <w:rFonts w:ascii="Arial" w:hAnsi="Arial" w:cs="Arial"/>
          <w:sz w:val="24"/>
          <w:szCs w:val="24"/>
        </w:rPr>
        <w:t xml:space="preserve">. However, this approach does not give an insight into the actual experience of individuals (i.e., what happens to participants and how these events had affected them), which was the main aim of this research, so narrative approaches were not used. </w:t>
      </w:r>
    </w:p>
    <w:p w14:paraId="2D64E9D8" w14:textId="2D53FF18" w:rsidR="00257F3E" w:rsidRPr="00103A0B" w:rsidRDefault="00F25EA1" w:rsidP="00CD5919">
      <w:pPr>
        <w:spacing w:after="0" w:line="360" w:lineRule="auto"/>
        <w:jc w:val="both"/>
        <w:rPr>
          <w:rFonts w:ascii="Arial" w:hAnsi="Arial" w:cs="Arial"/>
          <w:sz w:val="24"/>
          <w:szCs w:val="24"/>
          <w:lang w:eastAsia="en-GB"/>
        </w:rPr>
      </w:pPr>
      <w:r w:rsidRPr="00103A0B">
        <w:rPr>
          <w:rFonts w:ascii="Arial" w:hAnsi="Arial" w:cs="Arial"/>
          <w:sz w:val="24"/>
          <w:szCs w:val="24"/>
        </w:rPr>
        <w:t xml:space="preserve">Despite considering other qualitative </w:t>
      </w:r>
      <w:r w:rsidR="00DA1E8C" w:rsidRPr="00103A0B">
        <w:rPr>
          <w:rFonts w:ascii="Arial" w:hAnsi="Arial" w:cs="Arial"/>
          <w:sz w:val="24"/>
          <w:szCs w:val="24"/>
        </w:rPr>
        <w:t>analysis</w:t>
      </w:r>
      <w:r w:rsidRPr="00103A0B">
        <w:rPr>
          <w:rFonts w:ascii="Arial" w:hAnsi="Arial" w:cs="Arial"/>
          <w:sz w:val="24"/>
          <w:szCs w:val="24"/>
        </w:rPr>
        <w:t xml:space="preserve"> alongside their strengths and limitations, an inductive approach to thematic analysis </w:t>
      </w:r>
      <w:r w:rsidRPr="00103A0B">
        <w:rPr>
          <w:rFonts w:ascii="Arial" w:hAnsi="Arial" w:cs="Arial"/>
          <w:sz w:val="24"/>
          <w:szCs w:val="24"/>
          <w:lang w:eastAsia="en-GB"/>
        </w:rPr>
        <w:t xml:space="preserve">from an essentialist, realist perspective was considered the most appropriate method of analysis for this research. The following section provides a rationale for using thematic analysis. </w:t>
      </w:r>
    </w:p>
    <w:p w14:paraId="2B18FCC1" w14:textId="77777777" w:rsidR="00257F3E" w:rsidRPr="00103A0B" w:rsidRDefault="00257F3E" w:rsidP="00CD5919">
      <w:pPr>
        <w:spacing w:after="0" w:line="360" w:lineRule="auto"/>
        <w:jc w:val="both"/>
        <w:rPr>
          <w:rFonts w:ascii="Arial" w:hAnsi="Arial" w:cs="Arial"/>
          <w:b/>
          <w:bCs/>
        </w:rPr>
      </w:pPr>
    </w:p>
    <w:p w14:paraId="17028D3E" w14:textId="2E1926A2" w:rsidR="00030627" w:rsidRPr="00103A0B" w:rsidRDefault="00BB4E63" w:rsidP="00357383">
      <w:pPr>
        <w:keepLines/>
        <w:spacing w:line="360" w:lineRule="auto"/>
        <w:jc w:val="both"/>
        <w:rPr>
          <w:rFonts w:ascii="Arial" w:hAnsi="Arial" w:cs="Arial"/>
          <w:b/>
          <w:bCs/>
          <w:sz w:val="24"/>
          <w:szCs w:val="24"/>
        </w:rPr>
      </w:pPr>
      <w:bookmarkStart w:id="141" w:name="_Hlk121342868"/>
      <w:r w:rsidRPr="00103A0B">
        <w:rPr>
          <w:rFonts w:ascii="Arial" w:hAnsi="Arial" w:cs="Arial"/>
          <w:b/>
          <w:bCs/>
          <w:sz w:val="24"/>
          <w:szCs w:val="24"/>
        </w:rPr>
        <w:t>3.2.6</w:t>
      </w:r>
      <w:r w:rsidRPr="00103A0B">
        <w:rPr>
          <w:rStyle w:val="Heading3Char"/>
          <w:rFonts w:ascii="Arial" w:hAnsi="Arial" w:cs="Arial"/>
          <w:sz w:val="24"/>
        </w:rPr>
        <w:t xml:space="preserve">. </w:t>
      </w:r>
      <w:r w:rsidR="00030627" w:rsidRPr="00103A0B">
        <w:rPr>
          <w:rStyle w:val="Heading3Char"/>
          <w:rFonts w:ascii="Arial" w:hAnsi="Arial" w:cs="Arial"/>
          <w:sz w:val="24"/>
        </w:rPr>
        <w:t>R</w:t>
      </w:r>
      <w:r w:rsidRPr="00103A0B">
        <w:rPr>
          <w:rStyle w:val="Heading3Char"/>
          <w:rFonts w:ascii="Arial" w:hAnsi="Arial" w:cs="Arial"/>
          <w:sz w:val="24"/>
        </w:rPr>
        <w:t xml:space="preserve">ationale for </w:t>
      </w:r>
      <w:r w:rsidR="0052734C" w:rsidRPr="00103A0B">
        <w:rPr>
          <w:rStyle w:val="Heading3Char"/>
          <w:rFonts w:ascii="Arial" w:hAnsi="Arial" w:cs="Arial"/>
          <w:sz w:val="24"/>
        </w:rPr>
        <w:t>U</w:t>
      </w:r>
      <w:r w:rsidRPr="00103A0B">
        <w:rPr>
          <w:rStyle w:val="Heading3Char"/>
          <w:rFonts w:ascii="Arial" w:hAnsi="Arial" w:cs="Arial"/>
          <w:sz w:val="24"/>
        </w:rPr>
        <w:t xml:space="preserve">sing </w:t>
      </w:r>
      <w:r w:rsidR="00257F3E" w:rsidRPr="00103A0B">
        <w:rPr>
          <w:rStyle w:val="Heading3Char"/>
          <w:rFonts w:ascii="Arial" w:hAnsi="Arial" w:cs="Arial"/>
          <w:sz w:val="24"/>
        </w:rPr>
        <w:t xml:space="preserve">Reflexive </w:t>
      </w:r>
      <w:r w:rsidR="0052734C" w:rsidRPr="00103A0B">
        <w:rPr>
          <w:rStyle w:val="Heading3Char"/>
          <w:rFonts w:ascii="Arial" w:hAnsi="Arial" w:cs="Arial"/>
          <w:sz w:val="24"/>
        </w:rPr>
        <w:t>T</w:t>
      </w:r>
      <w:r w:rsidRPr="00103A0B">
        <w:rPr>
          <w:rStyle w:val="Heading3Char"/>
          <w:rFonts w:ascii="Arial" w:hAnsi="Arial" w:cs="Arial"/>
          <w:sz w:val="24"/>
        </w:rPr>
        <w:t xml:space="preserve">hematic </w:t>
      </w:r>
      <w:r w:rsidR="0052734C" w:rsidRPr="00103A0B">
        <w:rPr>
          <w:rStyle w:val="Heading3Char"/>
          <w:rFonts w:ascii="Arial" w:hAnsi="Arial" w:cs="Arial"/>
          <w:sz w:val="24"/>
        </w:rPr>
        <w:t>A</w:t>
      </w:r>
      <w:r w:rsidRPr="00103A0B">
        <w:rPr>
          <w:rStyle w:val="Heading3Char"/>
          <w:rFonts w:ascii="Arial" w:hAnsi="Arial" w:cs="Arial"/>
          <w:sz w:val="24"/>
        </w:rPr>
        <w:t>nalysis</w:t>
      </w:r>
    </w:p>
    <w:bookmarkEnd w:id="141"/>
    <w:p w14:paraId="157F2371" w14:textId="0A6E1650" w:rsidR="0052734C" w:rsidRPr="00103A0B" w:rsidRDefault="00257F3E" w:rsidP="00CD5919">
      <w:pPr>
        <w:tabs>
          <w:tab w:val="left" w:pos="3058"/>
        </w:tabs>
        <w:spacing w:line="360" w:lineRule="auto"/>
        <w:jc w:val="both"/>
        <w:rPr>
          <w:rFonts w:ascii="Arial" w:hAnsi="Arial" w:cs="Arial"/>
          <w:sz w:val="24"/>
          <w:szCs w:val="24"/>
          <w:lang w:eastAsia="en-GB"/>
        </w:rPr>
      </w:pPr>
      <w:r w:rsidRPr="00103A0B">
        <w:rPr>
          <w:rFonts w:ascii="Arial" w:hAnsi="Arial" w:cs="Arial"/>
          <w:sz w:val="24"/>
          <w:szCs w:val="24"/>
          <w:lang w:eastAsia="en-GB"/>
        </w:rPr>
        <w:t>Reflexive t</w:t>
      </w:r>
      <w:r w:rsidR="0052734C" w:rsidRPr="00103A0B">
        <w:rPr>
          <w:rFonts w:ascii="Arial" w:hAnsi="Arial" w:cs="Arial"/>
          <w:sz w:val="24"/>
          <w:szCs w:val="24"/>
          <w:lang w:eastAsia="en-GB"/>
        </w:rPr>
        <w:t xml:space="preserve">hematic analysis is a type of methodology used to search, identify, analyse and report patterns or themes within the data </w:t>
      </w:r>
      <w:r w:rsidR="0052734C" w:rsidRPr="00103A0B">
        <w:rPr>
          <w:rFonts w:ascii="Arial" w:hAnsi="Arial" w:cs="Arial"/>
          <w:sz w:val="24"/>
          <w:szCs w:val="24"/>
          <w:lang w:eastAsia="en-GB"/>
        </w:rPr>
        <w:fldChar w:fldCharType="begin" w:fldLock="1"/>
      </w:r>
      <w:r w:rsidR="00597BD1" w:rsidRPr="00103A0B">
        <w:rPr>
          <w:rFonts w:ascii="Arial" w:hAnsi="Arial" w:cs="Arial"/>
          <w:sz w:val="24"/>
          <w:szCs w:val="24"/>
          <w:lang w:eastAsia="en-GB"/>
        </w:rPr>
        <w:instrText>ADDIN CSL_CITATION {"citationItems":[{"id":"ITEM-1","itemData":{"author":[{"dropping-particle":"","family":"Braun, V.","given":"","non-dropping-particle":"","parse-names":false,"suffix":""},{"dropping-particle":"","family":"Clarke, V.","given":"","non-dropping-particle":"","parse-names":false,"suffix":""}],"id":"ITEM-1","issued":{"date-parts":[["2013"]]},"number-of-pages":"1-382","publisher":"SAGE Publications Ltd","publisher-place":"London","title":"Successful qualitative research: a practical guide for beginners","type":"book"},"uris":["http://www.mendeley.com/documents/?uuid=1f74fd6b-a2c1-442f-8c32-d5103d7531c6"]},{"id":"ITEM-2","itemData":{"author":[{"dropping-particle":"","family":"Braun","given":"V.","non-dropping-particle":"","parse-names":false,"suffix":""},{"dropping-particle":"","family":"Clarke","given":"V.","non-dropping-particle":"","parse-names":false,"suffix":""}],"container-title":"Qualitative Research in Psychology","id":"ITEM-2","issue":"2","issued":{"date-parts":[["2006"]]},"page":"77-101","title":"Using thematic analysis in psychology","type":"article-journal","volume":"3"},"uris":["http://www.mendeley.com/documents/?uuid=1366554b-d0d7-43f1-9a4f-92c3d9825f2e"]},{"id":"ITEM-3","itemData":{"DOI":"10.1037/13620-004","abstract":"This audit explores readmissions into inpatient services for adults with intellectual disabilities, using two case studies. Thirteen semi-structured interviews were conducted with professionals, to gain a multidisciplinary perspective, between February and March 2010, and analysed using thematic analysis. The main themes found in case study 1 were: narrow focus, environment, communication, early discharge, and deterioration. The main themes found in case study 2 were: deterioration, communication, discharge too soon, and environment. The aims of the audit were to contribute to good practice and provide a better understanding of readmission within our services.","author":[{"dropping-particle":"","family":"Braun","given":"V.","non-dropping-particle":"","parse-names":false,"suffix":""},{"dropping-particle":"","family":"Clarke","given":"V.","non-dropping-particle":"","parse-names":false,"suffix":""}],"container-title":"APA handbook of research methods in psychology","editor":[{"dropping-particle":"","family":"Cooper","given":"H.","non-dropping-particle":"","parse-names":false,"suffix":""}],"id":"ITEM-3","issued":{"date-parts":[["2012"]]},"page":"57-71","publisher":"American Psychological Association","title":"Thematic analysis","type":"chapter","volume":"2"},"uris":["http://www.mendeley.com/documents/?uuid=668a2497-079a-4cb4-a065-8f1d34d002f6"]}],"mendeley":{"formattedCitation":"(Braun, V. &amp; Clarke, V., 2013; Braun &amp; Clarke, 2006, 2012)","manualFormatting":"(Braun &amp; Clarke, 2013; Braun &amp; Clarke, 2006, 2012)","plainTextFormattedCitation":"(Braun, V. &amp; Clarke, V., 2013; Braun &amp; Clarke, 2006, 2012)","previouslyFormattedCitation":"(Braun, V. &amp; Clarke, V., 2013; Braun &amp; Clarke, 2006, 2012)"},"properties":{"noteIndex":0},"schema":"https://github.com/citation-style-language/schema/raw/master/csl-citation.json"}</w:instrText>
      </w:r>
      <w:r w:rsidR="0052734C" w:rsidRPr="00103A0B">
        <w:rPr>
          <w:rFonts w:ascii="Arial" w:hAnsi="Arial" w:cs="Arial"/>
          <w:sz w:val="24"/>
          <w:szCs w:val="24"/>
          <w:lang w:eastAsia="en-GB"/>
        </w:rPr>
        <w:fldChar w:fldCharType="separate"/>
      </w:r>
      <w:r w:rsidR="0052734C" w:rsidRPr="00103A0B">
        <w:rPr>
          <w:rFonts w:ascii="Arial" w:hAnsi="Arial" w:cs="Arial"/>
          <w:noProof/>
          <w:sz w:val="24"/>
          <w:szCs w:val="24"/>
          <w:lang w:eastAsia="en-GB"/>
        </w:rPr>
        <w:t>(Braun &amp; Clarke, 2013; Braun &amp; Clarke, 2006, 2012)</w:t>
      </w:r>
      <w:r w:rsidR="0052734C" w:rsidRPr="00103A0B">
        <w:rPr>
          <w:rFonts w:ascii="Arial" w:hAnsi="Arial" w:cs="Arial"/>
          <w:sz w:val="24"/>
          <w:szCs w:val="24"/>
          <w:lang w:eastAsia="en-GB"/>
        </w:rPr>
        <w:fldChar w:fldCharType="end"/>
      </w:r>
      <w:r w:rsidR="0052734C" w:rsidRPr="00103A0B">
        <w:rPr>
          <w:rFonts w:ascii="Arial" w:hAnsi="Arial" w:cs="Arial"/>
          <w:sz w:val="24"/>
          <w:szCs w:val="24"/>
          <w:lang w:eastAsia="en-GB"/>
        </w:rPr>
        <w:t xml:space="preserve">. </w:t>
      </w:r>
      <w:bookmarkStart w:id="142" w:name="_Hlk121342781"/>
      <w:r w:rsidR="0052734C" w:rsidRPr="00103A0B">
        <w:rPr>
          <w:rFonts w:ascii="Arial" w:hAnsi="Arial" w:cs="Arial"/>
          <w:sz w:val="24"/>
          <w:szCs w:val="24"/>
          <w:lang w:eastAsia="en-GB"/>
        </w:rPr>
        <w:t>It is a flexible approach where a variety of theoretical and epistemologi</w:t>
      </w:r>
      <w:r w:rsidR="00731982" w:rsidRPr="00103A0B">
        <w:rPr>
          <w:rFonts w:ascii="Arial" w:hAnsi="Arial" w:cs="Arial"/>
          <w:sz w:val="24"/>
          <w:szCs w:val="24"/>
          <w:lang w:eastAsia="en-GB"/>
        </w:rPr>
        <w:t>cal</w:t>
      </w:r>
      <w:r w:rsidR="0052734C" w:rsidRPr="00103A0B">
        <w:rPr>
          <w:rFonts w:ascii="Arial" w:hAnsi="Arial" w:cs="Arial"/>
          <w:sz w:val="24"/>
          <w:szCs w:val="24"/>
          <w:lang w:eastAsia="en-GB"/>
        </w:rPr>
        <w:t xml:space="preserve"> approaches can be applied </w:t>
      </w:r>
      <w:bookmarkEnd w:id="142"/>
      <w:r w:rsidR="0052734C" w:rsidRPr="00103A0B">
        <w:rPr>
          <w:rFonts w:ascii="Arial" w:hAnsi="Arial" w:cs="Arial"/>
          <w:sz w:val="24"/>
          <w:szCs w:val="24"/>
          <w:lang w:eastAsia="en-GB"/>
        </w:rPr>
        <w:fldChar w:fldCharType="begin" w:fldLock="1"/>
      </w:r>
      <w:r w:rsidR="00597BD1" w:rsidRPr="00103A0B">
        <w:rPr>
          <w:rFonts w:ascii="Arial" w:hAnsi="Arial" w:cs="Arial"/>
          <w:sz w:val="24"/>
          <w:szCs w:val="24"/>
          <w:lang w:eastAsia="en-GB"/>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psychology","type":"article-journal","volume":"3"},"uris":["http://www.mendeley.com/documents/?uuid=1366554b-d0d7-43f1-9a4f-92c3d9825f2e"]}],"mendeley":{"formattedCitation":"(Braun &amp; Clarke, 2006)","manualFormatting":"(Braun &amp; Clarke, 2006)","plainTextFormattedCitation":"(Braun &amp; Clarke, 2006)","previouslyFormattedCitation":"(Braun &amp; Clarke, 2006)"},"properties":{"noteIndex":0},"schema":"https://github.com/citation-style-language/schema/raw/master/csl-citation.json"}</w:instrText>
      </w:r>
      <w:r w:rsidR="0052734C" w:rsidRPr="00103A0B">
        <w:rPr>
          <w:rFonts w:ascii="Arial" w:hAnsi="Arial" w:cs="Arial"/>
          <w:sz w:val="24"/>
          <w:szCs w:val="24"/>
          <w:lang w:eastAsia="en-GB"/>
        </w:rPr>
        <w:fldChar w:fldCharType="separate"/>
      </w:r>
      <w:r w:rsidR="0052734C" w:rsidRPr="00103A0B">
        <w:rPr>
          <w:rFonts w:ascii="Arial" w:hAnsi="Arial" w:cs="Arial"/>
          <w:noProof/>
          <w:sz w:val="24"/>
          <w:szCs w:val="24"/>
          <w:lang w:eastAsia="en-GB"/>
        </w:rPr>
        <w:t>(Braun &amp; Clarke, 2006)</w:t>
      </w:r>
      <w:r w:rsidR="0052734C" w:rsidRPr="00103A0B">
        <w:rPr>
          <w:rFonts w:ascii="Arial" w:hAnsi="Arial" w:cs="Arial"/>
          <w:sz w:val="24"/>
          <w:szCs w:val="24"/>
          <w:lang w:eastAsia="en-GB"/>
        </w:rPr>
        <w:fldChar w:fldCharType="end"/>
      </w:r>
      <w:r w:rsidR="0052734C" w:rsidRPr="00103A0B">
        <w:rPr>
          <w:rFonts w:ascii="Arial" w:hAnsi="Arial" w:cs="Arial"/>
          <w:sz w:val="24"/>
          <w:szCs w:val="24"/>
          <w:lang w:eastAsia="en-GB"/>
        </w:rPr>
        <w:t>. Reflexive thematic analysis is theoretically flexible, it can be used within various frameworks and to answer various types of research questions</w:t>
      </w:r>
      <w:r w:rsidR="00DA1E8C" w:rsidRPr="00103A0B">
        <w:rPr>
          <w:rFonts w:ascii="Arial" w:hAnsi="Arial" w:cs="Arial"/>
          <w:sz w:val="24"/>
          <w:szCs w:val="24"/>
          <w:lang w:eastAsia="en-GB"/>
        </w:rPr>
        <w:t>,</w:t>
      </w:r>
      <w:r w:rsidR="0052734C" w:rsidRPr="00103A0B">
        <w:rPr>
          <w:rFonts w:ascii="Arial" w:hAnsi="Arial" w:cs="Arial"/>
          <w:sz w:val="24"/>
          <w:szCs w:val="24"/>
          <w:lang w:eastAsia="en-GB"/>
        </w:rPr>
        <w:t xml:space="preserve"> such as those related to people</w:t>
      </w:r>
      <w:r w:rsidR="00357383" w:rsidRPr="00103A0B">
        <w:rPr>
          <w:rFonts w:ascii="Arial" w:hAnsi="Arial" w:cs="Arial"/>
          <w:sz w:val="24"/>
          <w:szCs w:val="24"/>
          <w:lang w:eastAsia="en-GB"/>
        </w:rPr>
        <w:t>`s</w:t>
      </w:r>
      <w:r w:rsidR="0052734C" w:rsidRPr="00103A0B">
        <w:rPr>
          <w:rFonts w:ascii="Arial" w:hAnsi="Arial" w:cs="Arial"/>
          <w:sz w:val="24"/>
          <w:szCs w:val="24"/>
          <w:lang w:eastAsia="en-GB"/>
        </w:rPr>
        <w:t xml:space="preserve"> views and experiences </w:t>
      </w:r>
      <w:r w:rsidR="0052734C" w:rsidRPr="00103A0B">
        <w:rPr>
          <w:rFonts w:ascii="Arial" w:hAnsi="Arial" w:cs="Arial"/>
          <w:sz w:val="24"/>
          <w:szCs w:val="24"/>
          <w:lang w:eastAsia="en-GB"/>
        </w:rPr>
        <w:fldChar w:fldCharType="begin" w:fldLock="1"/>
      </w:r>
      <w:r w:rsidR="00AF410C" w:rsidRPr="00103A0B">
        <w:rPr>
          <w:rFonts w:ascii="Arial" w:hAnsi="Arial" w:cs="Arial"/>
          <w:sz w:val="24"/>
          <w:szCs w:val="24"/>
          <w:lang w:eastAsia="en-GB"/>
        </w:rPr>
        <w:instrText>ADDIN CSL_CITATION {"citationItems":[{"id":"ITEM-1","itemData":{"DOI":"10.2307/3681362","ISSN":"01489267","abstract":"https://cdn.auckland.ac.nz/assets/psych/about/our-research/documents/Answers%20to%20frequently%20asked%20questions%20about%20thematic%20analysis%20April%202019.pdf","author":[{"dropping-particle":"","family":"Braun, V.","given":"","non-dropping-particle":"","parse-names":false,"suffix":""},{"dropping-particle":"","family":"Clarke, V.","given":"","non-dropping-particle":"","parse-names":false,"suffix":""}],"container-title":"The University of Auckland","id":"ITEM-1","issued":{"date-parts":[["2019"]]},"number-of-pages":"1-23","title":"Anwsers to frequently asked questions about thematic analysis","type":"report"},"uris":["http://www.mendeley.com/documents/?uuid=73933775-c0f5-4c87-bfe4-fe8e1c6e2980"]},{"id":"ITEM-2","itemData":{"DOI":"10.1080/2159676X.2019.1628806","abstract":"RESUMEN.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Braun","given":"V.","non-dropping-particle":"","parse-names":false,"suffix":""},{"dropping-particle":"","family":"Clarke","given":"V.","non-dropping-particle":"","parse-names":false,"suffix":""}],"container-title":"Qualitative Research in Sport, Exercise and Health","id":"ITEM-2","issue":"4","issued":{"date-parts":[["2019"]]},"page":"589-597","title":"Reflecting on reflexive thematic analysis","type":"article-journal","volume":"11"},"uris":["http://www.mendeley.com/documents/?uuid=b6aa06b1-3909-42ea-9ed7-c27bd49432df"]},{"id":"ITEM-3","itemData":{"DOI":"10.1002/capr.12360","ISSN":"17461405","abstract":"Thematic analysis methods, including the reflexive approach we have developed, are widely used in counselling and psychotherapy research, as are other approaches that seek to develop ‘patterns’ (themes, categories) across cases. Without a thorough grounding in the conceptual foundations of a wide variety of across-case analytic approaches, and qualitative research more broadly—something rarely offered in counselling training—it can be difficult to understand how these differ, where they overlap, and which might be appropriate for a particular research project. Our aim in this paper is to support researchers in counselling and psychotherapy to select an appropriate across-case approach for their research, and to justify their choice, by discussing conceptual and procedural differences and similarities between reflexive thematic analysis (TA) and four other across-case approaches. Three of these are also widely used in counselling and psychotherapy research—qualitative content analysis, interpretative phenomenological analysis and grounded theory. The fourth—discourse analysis—is less widely used but importantly exemplifies the critical qualitative research tradition. We contextualise our comparative approach by highlighting the diversity within TA. TA is best thought of as a spectrum of methods—from types that prioritise coding accuracy and reliability to reflexive approaches like ours that emphasise the inescapable subjectivity of data interpretation. Although reflexive TA provides the point of comparison for our discussion of other across-case approaches, our aim is not to promote reflexive TA as ‘best’. Rather, we encourage the knowing selection and use of analytic methods and methodologies in counselling and psychotherapy research.","author":[{"dropping-particle":"","family":"Braun","given":"V.","non-dropping-particle":"","parse-names":false,"suffix":""},{"dropping-particle":"","family":"Clarke","given":"V.","non-dropping-particle":"","parse-names":false,"suffix":""}],"container-title":"Counselling and Psychotherapy Research","id":"ITEM-3","issue":"1","issued":{"date-parts":[["2021"]]},"page":"37-47","title":"Can I use TA? should I use TA? should I not use TA? comparing reflexive thematic analysis and other pattern-based qualitative analytic approaches","type":"article-journal","volume":"21"},"uris":["http://www.mendeley.com/documents/?uuid=33591136-7173-424b-abb2-19a78423fc58"]},{"id":"ITEM-4","itemData":{"DOI":"10.1080/14780887.2020.1769238","ISSN":"14780895","abstract":"Developing a universal quality standard for thematic analysis (TA) is complicated by the existence of numerous iterations of TA that differ paradigmatically, philosophically and procedurally. This plurality in TA is often not recognised by editors, reviewers or authors, who promote ‘coding reliability measures’ as universal requirements of quality TA. Focusing particularly on our reflexive TA approach, we discuss quality in TA with reference to ten common problems we have identified in published TA research that cites or claims to follow our guidance. Many of the common problems are underpinned by an assumption of homogeneity in TA. We end by outlining guidelines for reviewers and editors–in the form of twenty critical questions–to support them in promoting high(er) standards in TA research, and more deliberative and reflexive engagement with TA as method and practice.","author":[{"dropping-particle":"","family":"Braun","given":"V.","non-dropping-particle":"","parse-names":false,"suffix":""},{"dropping-particle":"","family":"Clarke","given":"V.","non-dropping-particle":"","parse-names":false,"suffix":""}],"container-title":"Qualitative Research in Psychology","id":"ITEM-4","issued":{"date-parts":[["2020"]]},"page":"1-25","publisher":"Routledge","title":"One size fits all? what counts as quality practice in (reflexive) thematic analysis?","type":"article-journal"},"uris":["http://www.mendeley.com/documents/?uuid=dd2c0694-c07a-4a6b-95a0-3a69edab899a"]},{"id":"ITEM-5","itemData":{"DOI":"10.1037/qup0000196","ISSN":"2326-3601","abstract":"Thematic analysis (TA) is widely used in qualitative psychology. In using TA, researchers must choose between a diverse range of approaches that can differ considerably in their underlying (but often implicit) conceptualizations of qualitative research, meaningful knowledge production, and key constructs such as themes, as well as analytic procedures. This diversity within the method of TA is typically poorly understood and rarely acknowledged, resulting in the frequent publication of research lacking in design coherence. Furthermore, because TA offers researchers something closer to a method (a transtheoretical tool or technique) rather than a methodology (a theoretically informed framework for research), one with considerable theoretical and design flexibility, researchers need to engage in careful conceptual and design thinking to produce TA research with methodological integrity. In this article, we support researchers in their conceptual and design thinking for TA, and particularly for the reflexive approach we have developed, by guiding them through the conceptual underpinnings of different approaches to TA, and key design considerations. We outline our typology of three main “schools” of TA—coding reliability, codebook, and reflexive—and consider how these differ in their conceptual underpinnings, with a particular focus on the distinct characteristics of our reflexive approach. We discuss key areas of design—research questions, data collection, participant/data item selection strategy and criteria, ethics, and quality standards and practices—and end with guidance on reporting standards for reflexive TA. (PsycInfo Database Record (c) 2021 APA, all rights reserved)","author":[{"dropping-particle":"","family":"Braun","given":"V.","non-dropping-particle":"","parse-names":false,"suffix":""},{"dropping-particle":"","family":"Clarke","given":"V.","non-dropping-particle":"","parse-names":false,"suffix":""}],"container-title":"Qualitative Psychology","id":"ITEM-5","issued":{"date-parts":[["2021"]]},"page":"1-25","title":"Conceptual and design thinking for thematic analysis.","type":"article-journal"},"uris":["http://www.mendeley.com/documents/?uuid=415310ab-8e52-4c5a-82cf-56fce2931842"]}],"mendeley":{"formattedCitation":"(Braun, V. &amp; Clarke, V., 2019; Braun &amp; Clarke, 2019, 2020, 2021a, 2021b)","manualFormatting":"(Braun &amp; Clarke, 2019; Braun &amp; Clarke, 2020, 2021a, 2021b; Braun &amp; Clarke, 2019)","plainTextFormattedCitation":"(Braun, V. &amp; Clarke, V., 2019; Braun &amp; Clarke, 2019, 2020, 2021a, 2021b)","previouslyFormattedCitation":"(Braun, V. &amp; Clarke, V., 2019; Braun &amp; Clarke, 2019, 2020, 2021a, 2021b)"},"properties":{"noteIndex":0},"schema":"https://github.com/citation-style-language/schema/raw/master/csl-citation.json"}</w:instrText>
      </w:r>
      <w:r w:rsidR="0052734C" w:rsidRPr="00103A0B">
        <w:rPr>
          <w:rFonts w:ascii="Arial" w:hAnsi="Arial" w:cs="Arial"/>
          <w:sz w:val="24"/>
          <w:szCs w:val="24"/>
          <w:lang w:eastAsia="en-GB"/>
        </w:rPr>
        <w:fldChar w:fldCharType="separate"/>
      </w:r>
      <w:r w:rsidR="0052734C" w:rsidRPr="00103A0B">
        <w:rPr>
          <w:rFonts w:ascii="Arial" w:hAnsi="Arial" w:cs="Arial"/>
          <w:noProof/>
          <w:sz w:val="24"/>
          <w:szCs w:val="24"/>
          <w:lang w:eastAsia="en-GB"/>
        </w:rPr>
        <w:t>(Braun &amp; Clarke, 2019; Braun &amp; Clarke, 2020, 2021a, 2021b; Braun &amp; Clarke, 2019)</w:t>
      </w:r>
      <w:r w:rsidR="0052734C" w:rsidRPr="00103A0B">
        <w:rPr>
          <w:rFonts w:ascii="Arial" w:hAnsi="Arial" w:cs="Arial"/>
          <w:sz w:val="24"/>
          <w:szCs w:val="24"/>
          <w:lang w:eastAsia="en-GB"/>
        </w:rPr>
        <w:fldChar w:fldCharType="end"/>
      </w:r>
      <w:r w:rsidR="0052734C" w:rsidRPr="00103A0B">
        <w:rPr>
          <w:rFonts w:ascii="Arial" w:hAnsi="Arial" w:cs="Arial"/>
          <w:sz w:val="24"/>
          <w:szCs w:val="24"/>
          <w:lang w:eastAsia="en-GB"/>
        </w:rPr>
        <w:t>. Accessibility is another strength of thematic analysis where individuals</w:t>
      </w:r>
      <w:r w:rsidR="00A3732C" w:rsidRPr="00103A0B">
        <w:rPr>
          <w:rFonts w:ascii="Arial" w:hAnsi="Arial" w:cs="Arial"/>
          <w:sz w:val="24"/>
          <w:szCs w:val="24"/>
          <w:lang w:eastAsia="en-GB"/>
        </w:rPr>
        <w:t>,</w:t>
      </w:r>
      <w:r w:rsidR="0052734C" w:rsidRPr="00103A0B">
        <w:rPr>
          <w:rFonts w:ascii="Arial" w:hAnsi="Arial" w:cs="Arial"/>
          <w:sz w:val="24"/>
          <w:szCs w:val="24"/>
          <w:lang w:eastAsia="en-GB"/>
        </w:rPr>
        <w:t xml:space="preserve"> particularly those who are not trained researchers or qualitative experts</w:t>
      </w:r>
      <w:r w:rsidR="00A3732C" w:rsidRPr="00103A0B">
        <w:rPr>
          <w:rFonts w:ascii="Arial" w:hAnsi="Arial" w:cs="Arial"/>
          <w:sz w:val="24"/>
          <w:szCs w:val="24"/>
          <w:lang w:eastAsia="en-GB"/>
        </w:rPr>
        <w:t>,</w:t>
      </w:r>
      <w:r w:rsidR="0052734C" w:rsidRPr="00103A0B">
        <w:rPr>
          <w:rFonts w:ascii="Arial" w:hAnsi="Arial" w:cs="Arial"/>
          <w:sz w:val="24"/>
          <w:szCs w:val="24"/>
          <w:lang w:eastAsia="en-GB"/>
        </w:rPr>
        <w:t xml:space="preserve"> are taught the mechanics of coding and analysing qualitative data in a systematic way </w:t>
      </w:r>
      <w:r w:rsidR="0052734C" w:rsidRPr="00103A0B">
        <w:rPr>
          <w:rFonts w:ascii="Arial" w:hAnsi="Arial" w:cs="Arial"/>
          <w:sz w:val="24"/>
          <w:szCs w:val="24"/>
          <w:lang w:eastAsia="en-GB"/>
        </w:rPr>
        <w:fldChar w:fldCharType="begin" w:fldLock="1"/>
      </w:r>
      <w:r w:rsidR="00AF410C" w:rsidRPr="00103A0B">
        <w:rPr>
          <w:rFonts w:ascii="Arial" w:hAnsi="Arial" w:cs="Arial"/>
          <w:sz w:val="24"/>
          <w:szCs w:val="24"/>
          <w:lang w:eastAsia="en-GB"/>
        </w:rPr>
        <w:instrText>ADDIN CSL_CITATION {"citationItems":[{"id":"ITEM-1","itemData":{"DOI":"10.1037/13620-004","abstract":"This audit explores readmissions into inpatient services for adults with intellectual disabilities, using two case studies. Thirteen semi-structured interviews were conducted with professionals, to gain a multidisciplinary perspective, between February and March 2010, and analysed using thematic analysis. The main themes found in case study 1 were: narrow focus, environment, communication, early discharge, and deterioration. The main themes found in case study 2 were: deterioration, communication, discharge too soon, and environment. The aims of the audit were to contribute to good practice and provide a better understanding of readmission within our services.","author":[{"dropping-particle":"","family":"Braun","given":"V.","non-dropping-particle":"","parse-names":false,"suffix":""},{"dropping-particle":"","family":"Clarke","given":"V.","non-dropping-particle":"","parse-names":false,"suffix":""}],"container-title":"APA handbook of research methods in psychology","editor":[{"dropping-particle":"","family":"Cooper","given":"H.","non-dropping-particle":"","parse-names":false,"suffix":""}],"id":"ITEM-1","issued":{"date-parts":[["2012"]]},"page":"57-71","publisher":"American Psychological Association","title":"Thematic analysis","type":"chapter","volume":"2"},"uris":["http://www.mendeley.com/documents/?uuid=668a2497-079a-4cb4-a065-8f1d34d002f6"]}],"mendeley":{"formattedCitation":"(Braun &amp; Clarke, 2012)","manualFormatting":"(Braun &amp; Clarke, 2012)","plainTextFormattedCitation":"(Braun &amp; Clarke, 2012)","previouslyFormattedCitation":"(Braun &amp; Clarke, 2012)"},"properties":{"noteIndex":0},"schema":"https://github.com/citation-style-language/schema/raw/master/csl-citation.json"}</w:instrText>
      </w:r>
      <w:r w:rsidR="0052734C" w:rsidRPr="00103A0B">
        <w:rPr>
          <w:rFonts w:ascii="Arial" w:hAnsi="Arial" w:cs="Arial"/>
          <w:sz w:val="24"/>
          <w:szCs w:val="24"/>
          <w:lang w:eastAsia="en-GB"/>
        </w:rPr>
        <w:fldChar w:fldCharType="separate"/>
      </w:r>
      <w:r w:rsidR="0052734C" w:rsidRPr="00103A0B">
        <w:rPr>
          <w:rFonts w:ascii="Arial" w:hAnsi="Arial" w:cs="Arial"/>
          <w:noProof/>
          <w:sz w:val="24"/>
          <w:szCs w:val="24"/>
          <w:lang w:eastAsia="en-GB"/>
        </w:rPr>
        <w:t>(Braun &amp; Clarke, 2012)</w:t>
      </w:r>
      <w:r w:rsidR="0052734C" w:rsidRPr="00103A0B">
        <w:rPr>
          <w:rFonts w:ascii="Arial" w:hAnsi="Arial" w:cs="Arial"/>
          <w:sz w:val="24"/>
          <w:szCs w:val="24"/>
          <w:lang w:eastAsia="en-GB"/>
        </w:rPr>
        <w:fldChar w:fldCharType="end"/>
      </w:r>
      <w:r w:rsidR="0052734C" w:rsidRPr="00103A0B">
        <w:rPr>
          <w:rFonts w:ascii="Arial" w:hAnsi="Arial" w:cs="Arial"/>
          <w:sz w:val="24"/>
          <w:szCs w:val="24"/>
          <w:lang w:eastAsia="en-GB"/>
        </w:rPr>
        <w:t xml:space="preserve">. </w:t>
      </w:r>
    </w:p>
    <w:p w14:paraId="497F6AFC" w14:textId="3C5A9F54" w:rsidR="0052734C" w:rsidRPr="00103A0B" w:rsidRDefault="0052734C" w:rsidP="00CD5919">
      <w:pPr>
        <w:tabs>
          <w:tab w:val="left" w:pos="3058"/>
        </w:tabs>
        <w:spacing w:line="360" w:lineRule="auto"/>
        <w:jc w:val="both"/>
        <w:rPr>
          <w:rFonts w:ascii="Arial" w:hAnsi="Arial" w:cs="Arial"/>
          <w:sz w:val="24"/>
          <w:szCs w:val="24"/>
          <w:lang w:eastAsia="en-GB"/>
        </w:rPr>
      </w:pPr>
      <w:r w:rsidRPr="00103A0B">
        <w:rPr>
          <w:rFonts w:ascii="Arial" w:hAnsi="Arial" w:cs="Arial"/>
          <w:sz w:val="24"/>
          <w:szCs w:val="24"/>
          <w:lang w:eastAsia="en-GB"/>
        </w:rPr>
        <w:t xml:space="preserve">Both the realist/essentialist and constructionist paradigms are compatible with thematic analysis </w:t>
      </w:r>
      <w:r w:rsidRPr="00103A0B">
        <w:rPr>
          <w:rFonts w:ascii="Arial" w:hAnsi="Arial" w:cs="Arial"/>
          <w:sz w:val="24"/>
          <w:szCs w:val="24"/>
          <w:lang w:eastAsia="en-GB"/>
        </w:rPr>
        <w:fldChar w:fldCharType="begin" w:fldLock="1"/>
      </w:r>
      <w:r w:rsidR="00597BD1" w:rsidRPr="00103A0B">
        <w:rPr>
          <w:rFonts w:ascii="Arial" w:hAnsi="Arial" w:cs="Arial"/>
          <w:sz w:val="24"/>
          <w:szCs w:val="24"/>
          <w:lang w:eastAsia="en-GB"/>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psychology","type":"article-journal","volume":"3"},"uris":["http://www.mendeley.com/documents/?uuid=1366554b-d0d7-43f1-9a4f-92c3d9825f2e"]}],"mendeley":{"formattedCitation":"(Braun &amp; Clarke, 2006)","manualFormatting":"(Braun &amp; Clarke, 2006)","plainTextFormattedCitation":"(Braun &amp; Clarke, 2006)","previouslyFormattedCitation":"(Braun &amp; Clarke, 2006)"},"properties":{"noteIndex":0},"schema":"https://github.com/citation-style-language/schema/raw/master/csl-citation.json"}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(Braun &amp; Clarke, 2006)</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When an essentialist, realist approach is taken, individual experiences, meanings, perceptions and motivations are explored </w:t>
      </w:r>
      <w:r w:rsidRPr="00103A0B">
        <w:rPr>
          <w:rFonts w:ascii="Arial" w:hAnsi="Arial" w:cs="Arial"/>
          <w:sz w:val="24"/>
          <w:szCs w:val="24"/>
          <w:lang w:eastAsia="en-GB"/>
        </w:rPr>
        <w:fldChar w:fldCharType="begin" w:fldLock="1"/>
      </w:r>
      <w:r w:rsidR="00597BD1" w:rsidRPr="00103A0B">
        <w:rPr>
          <w:rFonts w:ascii="Arial" w:hAnsi="Arial" w:cs="Arial"/>
          <w:sz w:val="24"/>
          <w:szCs w:val="24"/>
          <w:lang w:eastAsia="en-GB"/>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psychology","type":"article-journal","volume":"3"},"uris":["http://www.mendeley.com/documents/?uuid=1366554b-d0d7-43f1-9a4f-92c3d9825f2e"]}],"mendeley":{"formattedCitation":"(Braun &amp; Clarke, 2006)","manualFormatting":"(Braun &amp; Clarke, 2006)","plainTextFormattedCitation":"(Braun &amp; Clarke, 2006)","previouslyFormattedCitation":"(Braun &amp; Clarke, 2006)"},"properties":{"noteIndex":0},"schema":"https://github.com/citation-style-language/schema/raw/master/csl-citation.json"}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(Braun &amp; Clarke, 2006)</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This approach assumes that individuals have fixed qualities inside them (i.e., essences) like personality, which lead to the experiences and interpretations individuals report </w:t>
      </w:r>
      <w:r w:rsidRPr="00103A0B">
        <w:rPr>
          <w:rFonts w:ascii="Arial" w:hAnsi="Arial" w:cs="Arial"/>
          <w:sz w:val="24"/>
          <w:szCs w:val="24"/>
          <w:lang w:eastAsia="en-GB"/>
        </w:rPr>
        <w:fldChar w:fldCharType="begin" w:fldLock="1"/>
      </w:r>
      <w:r w:rsidR="00AF410C" w:rsidRPr="00103A0B">
        <w:rPr>
          <w:rFonts w:ascii="Arial" w:hAnsi="Arial" w:cs="Arial"/>
          <w:sz w:val="24"/>
          <w:szCs w:val="24"/>
          <w:lang w:eastAsia="en-GB"/>
        </w:rPr>
        <w:instrText>ADDIN CSL_CITATION {"citationItems":[{"id":"ITEM-1","itemData":{"ISBN":"9781446255278","author":[{"dropping-particle":"","family":"Braun","given":"V.","non-dropping-particle":"","parse-names":false,"suffix":""},{"dropping-particle":"","family":"Clarke","given":"V.","non-dropping-particle":"","parse-names":false,"suffix":""},{"dropping-particle":"","family":"Rance","given":"N.","non-dropping-particle":"","parse-names":false,"suffix":""}],"container-title":"The counselling and psychotherapy research handbook","editor":[{"dropping-particle":"","family":"Vossler","given":"A.","non-dropping-particle":"","parse-names":false,"suffix":""},{"dropping-particle":"","family":"Moller","given":"N.","non-dropping-particle":"","parse-names":false,"suffix":""}],"id":"ITEM-1","issued":{"date-parts":[["2015"]]},"page":"183-197","publisher":"SAGE Publications Ltd","publisher-place":"London","title":"How to use thematic analysis with interview data","type":"chapter"},"uris":["http://www.mendeley.com/documents/?uuid=c0b1168d-4425-4bea-a16a-2ca291a9f8c8"]}],"mendeley":{"formattedCitation":"(Braun et al., 2015)","manualFormatting":"(Braun, Clarke, &amp; Rance, 2015)","plainTextFormattedCitation":"(Braun et al., 2015)","previouslyFormattedCitation":"(Braun et al., 2015)"},"properties":{"noteIndex":0},"schema":"https://github.com/citation-style-language/schema/raw/master/csl-citation.json"}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(Braun, Clarke, &amp; Rance, 2015)</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Also, the words of individuals offer direct access to reality </w:t>
      </w:r>
      <w:r w:rsidRPr="00103A0B">
        <w:rPr>
          <w:rFonts w:ascii="Arial" w:hAnsi="Arial" w:cs="Arial"/>
          <w:sz w:val="24"/>
          <w:szCs w:val="24"/>
          <w:lang w:eastAsia="en-GB"/>
        </w:rPr>
        <w:fldChar w:fldCharType="begin" w:fldLock="1"/>
      </w:r>
      <w:r w:rsidR="00605D1E" w:rsidRPr="00103A0B">
        <w:rPr>
          <w:rFonts w:ascii="Arial" w:hAnsi="Arial" w:cs="Arial"/>
          <w:sz w:val="24"/>
          <w:szCs w:val="24"/>
          <w:lang w:eastAsia="en-GB"/>
        </w:rPr>
        <w:instrText>ADDIN CSL_CITATION {"citationItems":[{"id":"ITEM-1","itemData":{"ISBN":"9781473925212","author":[{"dropping-particle":"","family":"Terry","given":"G.","non-dropping-particle":"","parse-names":false,"suffix":""},{"dropping-particle":"","family":"Hayfield","given":"N.","non-dropping-particle":"","parse-names":false,"suffix":""},{"dropping-particle":"","family":"Clarke","given":"V.","non-dropping-particle":"","parse-names":false,"suffix":""},{"dropping-particle":"","family":"Braun","given":"V.","non-dropping-particle":"","parse-names":false,"suffix":""}],"container-title":"The SAGE handbook of qualitative research in psychology","editor":[{"dropping-particle":"","family":"Willig","given":"C.","non-dropping-particle":"","parse-names":false,"suffix":""},{"dropping-particle":"","family":"Rogers","given":"W.S.","non-dropping-particle":"","parse-names":false,"suffix":""}],"id":"ITEM-1","issued":{"date-parts":[["2017"]]},"page":"17-36","publisher":"SAGE Publications Ltd","publisher-place":"London","title":"Thematic analysis","type":"chapter"},"uris":["http://www.mendeley.com/documents/?uuid=90b1bdb4-a45d-4e70-a8d9-cad1c7e74ec2"]}],"mendeley":{"formattedCitation":"(Terry et al., 2017)","plainTextFormattedCitation":"(Terry et al., 2017)","previouslyFormattedCitation":"(Terry et al., 2017)"},"properties":{"noteIndex":0},"schema":"https://github.com/citation-style-language/schema/raw/master/csl-citation.json"}</w:instrText>
      </w:r>
      <w:r w:rsidRPr="00103A0B">
        <w:rPr>
          <w:rFonts w:ascii="Arial" w:hAnsi="Arial" w:cs="Arial"/>
          <w:sz w:val="24"/>
          <w:szCs w:val="24"/>
          <w:lang w:eastAsia="en-GB"/>
        </w:rPr>
        <w:fldChar w:fldCharType="separate"/>
      </w:r>
      <w:r w:rsidR="00643C08" w:rsidRPr="00103A0B">
        <w:rPr>
          <w:rFonts w:ascii="Arial" w:hAnsi="Arial" w:cs="Arial"/>
          <w:noProof/>
          <w:sz w:val="24"/>
          <w:szCs w:val="24"/>
          <w:lang w:eastAsia="en-GB"/>
        </w:rPr>
        <w:t>(Terry et al., 2017)</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However, when a </w:t>
      </w:r>
      <w:r w:rsidRPr="00103A0B">
        <w:rPr>
          <w:rFonts w:ascii="Arial" w:hAnsi="Arial" w:cs="Arial"/>
          <w:sz w:val="24"/>
          <w:szCs w:val="24"/>
          <w:lang w:eastAsia="en-GB"/>
        </w:rPr>
        <w:lastRenderedPageBreak/>
        <w:t xml:space="preserve">constructionist approach is taken, the ways in which events, realities, meanings and experiences are the effects of various discourses operating within a society is explored </w:t>
      </w:r>
      <w:r w:rsidRPr="00103A0B">
        <w:rPr>
          <w:rFonts w:ascii="Arial" w:hAnsi="Arial" w:cs="Arial"/>
          <w:sz w:val="24"/>
          <w:szCs w:val="24"/>
          <w:lang w:eastAsia="en-GB"/>
        </w:rPr>
        <w:fldChar w:fldCharType="begin" w:fldLock="1"/>
      </w:r>
      <w:r w:rsidR="00597BD1" w:rsidRPr="00103A0B">
        <w:rPr>
          <w:rFonts w:ascii="Arial" w:hAnsi="Arial" w:cs="Arial"/>
          <w:sz w:val="24"/>
          <w:szCs w:val="24"/>
          <w:lang w:eastAsia="en-GB"/>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psychology","type":"article-journal","volume":"3"},"uris":["http://www.mendeley.com/documents/?uuid=1366554b-d0d7-43f1-9a4f-92c3d9825f2e"]}],"mendeley":{"formattedCitation":"(Braun &amp; Clarke, 2006)","manualFormatting":"(Braun &amp; Clarke, 2006)","plainTextFormattedCitation":"(Braun &amp; Clarke, 2006)","previouslyFormattedCitation":"(Braun &amp; Clarke, 2006)"},"properties":{"noteIndex":0},"schema":"https://github.com/citation-style-language/schema/raw/master/csl-citation.json"}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(Braun &amp; Clarke, 2006)</w:t>
      </w:r>
      <w:r w:rsidRPr="00103A0B">
        <w:rPr>
          <w:rFonts w:ascii="Arial" w:hAnsi="Arial" w:cs="Arial"/>
          <w:sz w:val="24"/>
          <w:szCs w:val="24"/>
          <w:lang w:eastAsia="en-GB"/>
        </w:rPr>
        <w:fldChar w:fldCharType="end"/>
      </w:r>
      <w:r w:rsidRPr="00103A0B">
        <w:rPr>
          <w:rFonts w:ascii="Arial" w:hAnsi="Arial" w:cs="Arial"/>
          <w:sz w:val="24"/>
          <w:szCs w:val="24"/>
          <w:lang w:eastAsia="en-GB"/>
        </w:rPr>
        <w:t>. This analysis is carried out within a framework where a single reality or essence is not assumed</w:t>
      </w:r>
      <w:r w:rsidR="00DA1E8C" w:rsidRPr="00103A0B">
        <w:rPr>
          <w:rFonts w:ascii="Arial" w:hAnsi="Arial" w:cs="Arial"/>
          <w:sz w:val="24"/>
          <w:szCs w:val="24"/>
          <w:lang w:eastAsia="en-GB"/>
        </w:rPr>
        <w:t>,</w:t>
      </w:r>
      <w:r w:rsidRPr="00103A0B">
        <w:rPr>
          <w:rFonts w:ascii="Arial" w:hAnsi="Arial" w:cs="Arial"/>
          <w:sz w:val="24"/>
          <w:szCs w:val="24"/>
          <w:lang w:eastAsia="en-GB"/>
        </w:rPr>
        <w:t xml:space="preserve"> but multiple realities are theorised which are constructed through language and social processes </w:t>
      </w:r>
      <w:r w:rsidRPr="00103A0B">
        <w:rPr>
          <w:rFonts w:ascii="Arial" w:hAnsi="Arial" w:cs="Arial"/>
          <w:sz w:val="24"/>
          <w:szCs w:val="24"/>
          <w:lang w:eastAsia="en-GB"/>
        </w:rPr>
        <w:fldChar w:fldCharType="begin" w:fldLock="1"/>
      </w:r>
      <w:r w:rsidR="00AF410C" w:rsidRPr="00103A0B">
        <w:rPr>
          <w:rFonts w:ascii="Arial" w:hAnsi="Arial" w:cs="Arial"/>
          <w:sz w:val="24"/>
          <w:szCs w:val="24"/>
          <w:lang w:eastAsia="en-GB"/>
        </w:rPr>
        <w:instrText>ADDIN CSL_CITATION {"citationItems":[{"id":"ITEM-1","itemData":{"ISBN":"9781446255278","author":[{"dropping-particle":"","family":"Braun","given":"V.","non-dropping-particle":"","parse-names":false,"suffix":""},{"dropping-particle":"","family":"Clarke","given":"V.","non-dropping-particle":"","parse-names":false,"suffix":""},{"dropping-particle":"","family":"Rance","given":"N.","non-dropping-particle":"","parse-names":false,"suffix":""}],"container-title":"The counselling and psychotherapy research handbook","editor":[{"dropping-particle":"","family":"Vossler","given":"A.","non-dropping-particle":"","parse-names":false,"suffix":""},{"dropping-particle":"","family":"Moller","given":"N.","non-dropping-particle":"","parse-names":false,"suffix":""}],"id":"ITEM-1","issued":{"date-parts":[["2015"]]},"page":"183-197","publisher":"SAGE Publications Ltd","publisher-place":"London","title":"How to use thematic analysis with interview data","type":"chapter"},"uris":["http://www.mendeley.com/documents/?uuid=c0b1168d-4425-4bea-a16a-2ca291a9f8c8"]}],"mendeley":{"formattedCitation":"(Braun et al., 2015)","manualFormatting":"(Braun et al., 2015)","plainTextFormattedCitation":"(Braun et al., 2015)","previouslyFormattedCitation":"(Braun et al., 2015)"},"properties":{"noteIndex":0},"schema":"https://github.com/citation-style-language/schema/raw/master/csl-citation.json"}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(Braun et al., 2015)</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In between essentialism and constructionism, there is also the ‘contextualist’ or ‘critical realist’ method which can be used. This method takes into account the ways in which individuals understand their experience (i.e., how they make meaning of their experience), followed by the effects of the wider social context on these meanings, while continuing to focus on the material and other limits of reality </w:t>
      </w:r>
      <w:r w:rsidRPr="00103A0B">
        <w:rPr>
          <w:rFonts w:ascii="Arial" w:hAnsi="Arial" w:cs="Arial"/>
          <w:sz w:val="24"/>
          <w:szCs w:val="24"/>
          <w:lang w:eastAsia="en-GB"/>
        </w:rPr>
        <w:fldChar w:fldCharType="begin" w:fldLock="1"/>
      </w:r>
      <w:r w:rsidR="00597BD1" w:rsidRPr="00103A0B">
        <w:rPr>
          <w:rFonts w:ascii="Arial" w:hAnsi="Arial" w:cs="Arial"/>
          <w:sz w:val="24"/>
          <w:szCs w:val="24"/>
          <w:lang w:eastAsia="en-GB"/>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id":"ITEM-2","itemData":{"ISBN":"9781473925212","author":[{"dropping-particle":"","family":"Terry","given":"G.","non-dropping-particle":"","parse-names":false,"suffix":""},{"dropping-particle":"","family":"Hayfield","given":"N.","non-dropping-particle":"","parse-names":false,"suffix":""},{"dropping-particle":"","family":"Clarke","given":"V.","non-dropping-particle":"","parse-names":false,"suffix":""},{"dropping-particle":"","family":"Braun","given":"V.","non-dropping-particle":"","parse-names":false,"suffix":""}],"container-title":"The SAGE handbook of qualitative research in psychology","editor":[{"dropping-particle":"","family":"Willig","given":"C.","non-dropping-particle":"","parse-names":false,"suffix":""},{"dropping-particle":"","family":"Rogers","given":"W.S.","non-dropping-particle":"","parse-names":false,"suffix":""}],"id":"ITEM-2","issued":{"date-parts":[["2017"]]},"page":"17-36","publisher":"SAGE Publications Ltd","publisher-place":"London","title":"Thematic analysis","type":"chapter"},"uris":["http://www.mendeley.com/documents/?uuid=90b1bdb4-a45d-4e70-a8d9-cad1c7e74ec2"]}],"mendeley":{"formattedCitation":"(Braun &amp; Clarke, 2006; Terry et al., 2017)","manualFormatting":"(Braun &amp; Clarke, 2006; Terry et al., 2017)","plainTextFormattedCitation":"(Braun &amp; Clarke, 2006; Terry et al., 2017)","previouslyFormattedCitation":"(Braun &amp; Clarke, 2006; Terry et al., 2017)"},"properties":{"noteIndex":0},"schema":"https://github.com/citation-style-language/schema/raw/master/csl-citation.json"}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(Braun &amp; Clarke, 2006; Terry et al., 2017)</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w:t>
      </w:r>
    </w:p>
    <w:p w14:paraId="38382395" w14:textId="268AADBA" w:rsidR="0052734C" w:rsidRPr="00103A0B" w:rsidRDefault="0052734C" w:rsidP="00CD5919">
      <w:pPr>
        <w:tabs>
          <w:tab w:val="left" w:pos="3058"/>
        </w:tabs>
        <w:spacing w:line="360" w:lineRule="auto"/>
        <w:jc w:val="both"/>
        <w:rPr>
          <w:rFonts w:ascii="Arial" w:hAnsi="Arial" w:cs="Arial"/>
          <w:sz w:val="24"/>
          <w:szCs w:val="24"/>
          <w:lang w:eastAsia="en-GB"/>
        </w:rPr>
      </w:pPr>
      <w:r w:rsidRPr="00103A0B">
        <w:rPr>
          <w:rFonts w:ascii="Arial" w:hAnsi="Arial" w:cs="Arial"/>
          <w:sz w:val="24"/>
          <w:szCs w:val="24"/>
          <w:lang w:eastAsia="en-GB"/>
        </w:rPr>
        <w:t>An essentialist, realist perspective was the epistemological approach taken in this research. This research reports</w:t>
      </w:r>
      <w:r w:rsidRPr="00103A0B">
        <w:rPr>
          <w:rFonts w:ascii="Arial" w:hAnsi="Arial" w:cs="Arial"/>
          <w:sz w:val="24"/>
          <w:szCs w:val="24"/>
        </w:rPr>
        <w:t xml:space="preserve"> participant experiences, meanings, </w:t>
      </w:r>
      <w:proofErr w:type="gramStart"/>
      <w:r w:rsidRPr="00103A0B">
        <w:rPr>
          <w:rFonts w:ascii="Arial" w:hAnsi="Arial" w:cs="Arial"/>
          <w:sz w:val="24"/>
          <w:szCs w:val="24"/>
        </w:rPr>
        <w:t>perceptions</w:t>
      </w:r>
      <w:proofErr w:type="gramEnd"/>
      <w:r w:rsidRPr="00103A0B">
        <w:rPr>
          <w:rFonts w:ascii="Arial" w:hAnsi="Arial" w:cs="Arial"/>
          <w:sz w:val="24"/>
          <w:szCs w:val="24"/>
        </w:rPr>
        <w:t xml:space="preserve"> and motivations (which is compatible with a realist, essentialist approach)</w:t>
      </w:r>
      <w:r w:rsidR="002C1CF9" w:rsidRPr="00103A0B">
        <w:rPr>
          <w:rFonts w:ascii="Arial" w:hAnsi="Arial" w:cs="Arial"/>
          <w:sz w:val="24"/>
          <w:szCs w:val="24"/>
        </w:rPr>
        <w:t>,</w:t>
      </w:r>
      <w:r w:rsidRPr="00103A0B">
        <w:rPr>
          <w:rFonts w:ascii="Arial" w:hAnsi="Arial" w:cs="Arial"/>
          <w:sz w:val="24"/>
          <w:szCs w:val="24"/>
        </w:rPr>
        <w:t xml:space="preserve"> as opposed to exploring the ways in which events, realities, meanings and experiences are the effects of a range of discourses operating within society (which is compatible with a constructionist approach). </w:t>
      </w:r>
    </w:p>
    <w:p w14:paraId="3EB0464D" w14:textId="7C244131" w:rsidR="00B105F5" w:rsidRPr="00103A0B" w:rsidRDefault="00A3732C" w:rsidP="00CD5919">
      <w:pPr>
        <w:spacing w:line="360" w:lineRule="auto"/>
        <w:jc w:val="both"/>
        <w:rPr>
          <w:rFonts w:ascii="Arial" w:hAnsi="Arial" w:cs="Arial"/>
          <w:sz w:val="24"/>
          <w:szCs w:val="24"/>
        </w:rPr>
      </w:pPr>
      <w:r w:rsidRPr="00103A0B">
        <w:rPr>
          <w:rFonts w:ascii="Arial" w:hAnsi="Arial" w:cs="Arial"/>
          <w:sz w:val="24"/>
          <w:szCs w:val="24"/>
        </w:rPr>
        <w:t>Reflexive t</w:t>
      </w:r>
      <w:r w:rsidR="0052734C" w:rsidRPr="00103A0B">
        <w:rPr>
          <w:rFonts w:ascii="Arial" w:hAnsi="Arial" w:cs="Arial"/>
          <w:sz w:val="24"/>
          <w:szCs w:val="24"/>
        </w:rPr>
        <w:t xml:space="preserve">hematic analysis is a flexible approach which allows full data exploration without any restrictions (i.e., provides a detailed explanation of the data) </w:t>
      </w:r>
      <w:r w:rsidR="0052734C"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psychology","type":"article-journal","volume":"3"},"uris":["http://www.mendeley.com/documents/?uuid=1366554b-d0d7-43f1-9a4f-92c3d9825f2e"]},{"id":"ITEM-2","itemData":{"author":[{"dropping-particle":"","family":"Braun, V.","given":"","non-dropping-particle":"","parse-names":false,"suffix":""},{"dropping-particle":"","family":"Clarke, V.","given":"","non-dropping-particle":"","parse-names":false,"suffix":""}],"id":"ITEM-2","issued":{"date-parts":[["2013"]]},"number-of-pages":"1-382","publisher":"SAGE Publications Ltd","publisher-place":"London","title":"Successful qualitative research: a practical guide for beginners","type":"book"},"uris":["http://www.mendeley.com/documents/?uuid=1f74fd6b-a2c1-442f-8c32-d5103d7531c6"]}],"mendeley":{"formattedCitation":"(Braun, V. &amp; Clarke, V., 2013; Braun &amp; Clarke, 2006)","manualFormatting":"(Braun &amp; Clarke, 2013; Braun &amp; Clarke, 2006)","plainTextFormattedCitation":"(Braun, V. &amp; Clarke, V., 2013; Braun &amp; Clarke, 2006)","previouslyFormattedCitation":"(Braun, V. &amp; Clarke, V., 2013; Braun &amp; Clarke, 2006)"},"properties":{"noteIndex":0},"schema":"https://github.com/citation-style-language/schema/raw/master/csl-citation.json"}</w:instrText>
      </w:r>
      <w:r w:rsidR="0052734C" w:rsidRPr="00103A0B">
        <w:rPr>
          <w:rFonts w:ascii="Arial" w:hAnsi="Arial" w:cs="Arial"/>
          <w:sz w:val="24"/>
          <w:szCs w:val="24"/>
        </w:rPr>
        <w:fldChar w:fldCharType="separate"/>
      </w:r>
      <w:r w:rsidR="0052734C" w:rsidRPr="00103A0B">
        <w:rPr>
          <w:rFonts w:ascii="Arial" w:hAnsi="Arial" w:cs="Arial"/>
          <w:noProof/>
          <w:sz w:val="24"/>
          <w:szCs w:val="24"/>
        </w:rPr>
        <w:t>(Braun &amp; Clarke, 2013; Braun &amp; Clarke, 2006)</w:t>
      </w:r>
      <w:r w:rsidR="0052734C" w:rsidRPr="00103A0B">
        <w:rPr>
          <w:rFonts w:ascii="Arial" w:hAnsi="Arial" w:cs="Arial"/>
          <w:sz w:val="24"/>
          <w:szCs w:val="24"/>
        </w:rPr>
        <w:fldChar w:fldCharType="end"/>
      </w:r>
      <w:r w:rsidR="0052734C" w:rsidRPr="00103A0B">
        <w:rPr>
          <w:rFonts w:ascii="Arial" w:hAnsi="Arial" w:cs="Arial"/>
          <w:sz w:val="24"/>
          <w:szCs w:val="24"/>
        </w:rPr>
        <w:t xml:space="preserve">, and so was selected for this reason. The analysis allowed barriers and facilitators to attending and/or completing the NHSDPP to be identified and described. Themes or patterns in </w:t>
      </w:r>
      <w:r w:rsidRPr="00103A0B">
        <w:rPr>
          <w:rFonts w:ascii="Arial" w:hAnsi="Arial" w:cs="Arial"/>
          <w:sz w:val="24"/>
          <w:szCs w:val="24"/>
        </w:rPr>
        <w:t xml:space="preserve">reflexive </w:t>
      </w:r>
      <w:r w:rsidR="0052734C" w:rsidRPr="00103A0B">
        <w:rPr>
          <w:rFonts w:ascii="Arial" w:hAnsi="Arial" w:cs="Arial"/>
          <w:sz w:val="24"/>
          <w:szCs w:val="24"/>
        </w:rPr>
        <w:t xml:space="preserve">thematic analysis can be generated inductively from the data (i.e., ‘bottom up’ or data-driven) and/or deductively (i.e., ‘top down’ or theory-driven) </w:t>
      </w:r>
      <w:r w:rsidR="0052734C"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{"citationItems":[{"id":"ITEM-1","itemData":{"DOI":"10.1037/13620-004","abstract":"This audit explores readmissions into inpatient services for adults with intellectual disabilities, using two case studies. Thirteen semi-structured interviews were conducted with professionals, to gain a multidisciplinary perspective, between February and March 2010, and analysed using thematic analysis. The main themes found in case study 1 were: narrow focus, environment, communication, early discharge, and deterioration. The main themes found in case study 2 were: deterioration, communication, discharge too soon, and environment. The aims of the audit were to contribute to good practice and provide a better understanding of readmission within our services.","author":[{"dropping-particle":"","family":"Braun","given":"V.","non-dropping-particle":"","parse-names":false,"suffix":""},{"dropping-particle":"","family":"Clarke","given":"V.","non-dropping-particle":"","parse-names":false,"suffix":""}],"container-title":"APA handbook of research methods in psychology","editor":[{"dropping-particle":"","family":"Cooper","given":"H.","non-dropping-particle":"","parse-names":false,"suffix":""}],"id":"ITEM-1","issued":{"date-parts":[["2012"]]},"page":"57-71","publisher":"American Psychological Association","title":"Thematic analysis","type":"chapter","volume":"2"},"uris":["http://www.mendeley.com/documents/?uuid=668a2497-079a-4cb4-a065-8f1d34d002f6"]},{"id":"ITEM-2","itemData":{"author":[{"dropping-particle":"","family":"Braun, V.","given":"","non-dropping-particle":"","parse-names":false,"suffix":""},{"dropping-particle":"","family":"Clarke, V.","given":"","non-dropping-particle":"","parse-names":false,"suffix":""}],"id":"ITEM-2","issued":{"date-parts":[["2013"]]},"number-of-pages":"1-382","publisher":"SAGE Publications Ltd","publisher-place":"London","title":"Successful qualitative research: a practical guide for beginners","type":"book"},"uris":["http://www.mendeley.com/documents/?uuid=1f74fd6b-a2c1-442f-8c32-d5103d7531c6"]},{"id":"ITEM-3","itemData":{"author":[{"dropping-particle":"","family":"Braun","given":"V.","non-dropping-particle":"","parse-names":false,"suffix":""},{"dropping-particle":"","family":"Clarke","given":"V.","non-dropping-particle":"","parse-names":false,"suffix":""}],"container-title":"Qualitative Research in Psychology","id":"ITEM-3","issue":"2","issued":{"date-parts":[["2006"]]},"page":"77-101","title":"Using thematic analysis in psychology","type":"article-journal","volume":"3"},"uris":["http://www.mendeley.com/documents/?uuid=1366554b-d0d7-43f1-9a4f-92c3d9825f2e"]},{"id":"ITEM-4","itemData":{"DOI":"10.1002/capr.12360","ISSN":"17461405","abstract":"Thematic analysis methods, including the reflexive approach we have developed, are widely used in counselling and psychotherapy research, as are other approaches that seek to develop ‘patterns’ (themes, categories) across cases. Without a thorough grounding in the conceptual foundations of a wide variety of across-case analytic approaches, and qualitative research more broadly—something rarely offered in counselling training—it can be difficult to understand how these differ, where they overlap, and which might be appropriate for a particular research project. Our aim in this paper is to support researchers in counselling and psychotherapy to select an appropriate across-case approach for their research, and to justify their choice, by discussing conceptual and procedural differences and similarities between reflexive thematic analysis (TA) and four other across-case approaches. Three of these are also widely used in counselling and psychotherapy research—qualitative content analysis, interpretative phenomenological analysis and grounded theory. The fourth—discourse analysis—is less widely used but importantly exemplifies the critical qualitative research tradition. We contextualise our comparative approach by highlighting the diversity within TA. TA is best thought of as a spectrum of methods—from types that prioritise coding accuracy and reliability to reflexive approaches like ours that emphasise the inescapable subjectivity of data interpretation. Although reflexive TA provides the point of comparison for our discussion of other across-case approaches, our aim is not to promote reflexive TA as ‘best’. Rather, we encourage the knowing selection and use of analytic methods and methodologies in counselling and psychotherapy research.","author":[{"dropping-particle":"","family":"Braun","given":"V.","non-dropping-particle":"","parse-names":false,"suffix":""},{"dropping-particle":"","family":"Clarke","given":"V.","non-dropping-particle":"","parse-names":false,"suffix":""}],"container-title":"Counselling and Psychotherapy Research","id":"ITEM-4","issue":"1","issued":{"date-parts":[["2021"]]},"page":"37-47","title":"Can I use TA? should I use TA? should I not use TA? comparing reflexive thematic analysis and other pattern-based qualitative analytic approaches","type":"article-journal","volume":"21"},"uris":["http://www.mendeley.com/documents/?uuid=33591136-7173-424b-abb2-19a78423fc58"]}],"mendeley":{"formattedCitation":"(Braun, V. &amp; Clarke, V., 2013; Braun &amp; Clarke, 2006, 2012, 2021a)","manualFormatting":"(Braun &amp; Clarke, 2013; Braun &amp; Clarke, 2006, 2012, 2021a)","plainTextFormattedCitation":"(Braun, V. &amp; Clarke, V., 2013; Braun &amp; Clarke, 2006, 2012, 2021a)","previouslyFormattedCitation":"(Braun, V. &amp; Clarke, V., 2013; Braun &amp; Clarke, 2006, 2012, 2021a)"},"properties":{"noteIndex":0},"schema":"https://github.com/citation-style-language/schema/raw/master/csl-citation.json"}</w:instrText>
      </w:r>
      <w:r w:rsidR="0052734C" w:rsidRPr="00103A0B">
        <w:rPr>
          <w:rFonts w:ascii="Arial" w:hAnsi="Arial" w:cs="Arial"/>
          <w:sz w:val="24"/>
          <w:szCs w:val="24"/>
        </w:rPr>
        <w:fldChar w:fldCharType="separate"/>
      </w:r>
      <w:r w:rsidR="0052734C" w:rsidRPr="00103A0B">
        <w:rPr>
          <w:rFonts w:ascii="Arial" w:hAnsi="Arial" w:cs="Arial"/>
          <w:noProof/>
          <w:sz w:val="24"/>
          <w:szCs w:val="24"/>
        </w:rPr>
        <w:t>(Braun &amp; Clarke, 2013; Braun &amp; Clarke, 2006, 2012, 2021a)</w:t>
      </w:r>
      <w:r w:rsidR="0052734C" w:rsidRPr="00103A0B">
        <w:rPr>
          <w:rFonts w:ascii="Arial" w:hAnsi="Arial" w:cs="Arial"/>
          <w:sz w:val="24"/>
          <w:szCs w:val="24"/>
        </w:rPr>
        <w:fldChar w:fldCharType="end"/>
      </w:r>
      <w:r w:rsidR="0052734C" w:rsidRPr="00103A0B">
        <w:rPr>
          <w:rFonts w:ascii="Arial" w:hAnsi="Arial" w:cs="Arial"/>
          <w:sz w:val="24"/>
          <w:szCs w:val="24"/>
        </w:rPr>
        <w:t xml:space="preserve">. An inductive approach was taken for this research where data were coded without attempting to fit them into an already existing coding frame, or aligning them with the preconceptions of the researcher </w:t>
      </w:r>
      <w:r w:rsidR="0052734C"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psychology","type":"article-journal","volume":"3"},"uris":["http://www.mendeley.com/documents/?uuid=1366554b-d0d7-43f1-9a4f-92c3d9825f2e"]},{"id":"ITEM-2","itemData":{"DOI":"10.1037/13620-004","abstract":"This audit explores readmissions into inpatient services for adults with intellectual disabilities, using two case studies. Thirteen semi-structured interviews were conducted with professionals, to gain a multidisciplinary perspective, between February and March 2010, and analysed using thematic analysis. The main themes found in case study 1 were: narrow focus, environment, communication, early discharge, and deterioration. The main themes found in case study 2 were: deterioration, communication, discharge too soon, and environment. The aims of the audit were to contribute to good practice and provide a better understanding of readmission within our services.","author":[{"dropping-particle":"","family":"Braun","given":"V.","non-dropping-particle":"","parse-names":false,"suffix":""},{"dropping-particle":"","family":"Clarke","given":"V.","non-dropping-particle":"","parse-names":false,"suffix":""}],"container-title":"APA handbook of research methods in psychology","editor":[{"dropping-particle":"","family":"Cooper","given":"H.","non-dropping-particle":"","parse-names":false,"suffix":""}],"id":"ITEM-2","issued":{"date-parts":[["2012"]]},"page":"57-71","publisher":"American Psychological Association","title":"Thematic analysis","type":"chapter","volume":"2"},"uris":["http://www.mendeley.com/documents/?uuid=668a2497-079a-4cb4-a065-8f1d34d002f6"]},{"id":"ITEM-3","itemData":{"ISBN":"9781446255278","author":[{"dropping-particle":"","family":"Braun","given":"V.","non-dropping-particle":"","parse-names":false,"suffix":""},{"dropping-particle":"","family":"Clarke","given":"V.","non-dropping-particle":"","parse-names":false,"suffix":""},{"dropping-particle":"","family":"Rance","given":"N.","non-dropping-particle":"","parse-names":false,"suffix":""}],"container-title":"The counselling and psychotherapy research handbook","editor":[{"dropping-particle":"","family":"Vossler","given":"A.","non-dropping-particle":"","parse-names":false,"suffix":""},{"dropping-particle":"","family":"Moller","given":"N.","non-dropping-particle":"","parse-names":false,"suffix":""}],"id":"ITEM-3","issued":{"date-parts":[["2015"]]},"page":"183-197","publisher":"SAGE Publications Ltd","publisher-place":"London","title":"How to use thematic analysis with interview data","type":"chapter"},"uris":["http://www.mendeley.com/documents/?uuid=c0b1168d-4425-4bea-a16a-2ca291a9f8c8"]}],"mendeley":{"formattedCitation":"(Braun et al., 2015; Braun &amp; Clarke, 2006, 2012)","manualFormatting":"(Braun &amp; Clarke, 2006, 2012; Braun et al., 2015)","plainTextFormattedCitation":"(Braun et al., 2015; Braun &amp; Clarke, 2006, 2012)","previouslyFormattedCitation":"(Braun et al., 2015; Braun &amp; Clarke, 2006, 2012)"},"properties":{"noteIndex":0},"schema":"https://github.com/citation-style-language/schema/raw/master/csl-citation.json"}</w:instrText>
      </w:r>
      <w:r w:rsidR="0052734C" w:rsidRPr="00103A0B">
        <w:rPr>
          <w:rFonts w:ascii="Arial" w:hAnsi="Arial" w:cs="Arial"/>
          <w:sz w:val="24"/>
          <w:szCs w:val="24"/>
        </w:rPr>
        <w:fldChar w:fldCharType="separate"/>
      </w:r>
      <w:r w:rsidR="0052734C" w:rsidRPr="00103A0B">
        <w:rPr>
          <w:rFonts w:ascii="Arial" w:hAnsi="Arial" w:cs="Arial"/>
          <w:noProof/>
          <w:sz w:val="24"/>
          <w:szCs w:val="24"/>
        </w:rPr>
        <w:t>(Braun &amp; Clarke, 2006, 2012; Braun et al., 2015)</w:t>
      </w:r>
      <w:r w:rsidR="0052734C" w:rsidRPr="00103A0B">
        <w:rPr>
          <w:rFonts w:ascii="Arial" w:hAnsi="Arial" w:cs="Arial"/>
          <w:sz w:val="24"/>
          <w:szCs w:val="24"/>
        </w:rPr>
        <w:fldChar w:fldCharType="end"/>
      </w:r>
      <w:r w:rsidR="0052734C" w:rsidRPr="00103A0B">
        <w:rPr>
          <w:rFonts w:ascii="Arial" w:hAnsi="Arial" w:cs="Arial"/>
          <w:sz w:val="24"/>
          <w:szCs w:val="24"/>
        </w:rPr>
        <w:t xml:space="preserve">. It was important that these research findings were derived from the data itself and themes accurately represented participant experiences. Previous theory and research were then used to explain these findings.  </w:t>
      </w:r>
    </w:p>
    <w:p w14:paraId="04865A07" w14:textId="77777777" w:rsidR="00113A0F" w:rsidRPr="00103A0B" w:rsidRDefault="00113A0F" w:rsidP="00BD4312">
      <w:pPr>
        <w:keepLines/>
        <w:jc w:val="both"/>
        <w:rPr>
          <w:rFonts w:ascii="Arial" w:hAnsi="Arial" w:cs="Arial"/>
          <w:b/>
          <w:bCs/>
          <w:sz w:val="24"/>
          <w:szCs w:val="24"/>
        </w:rPr>
      </w:pPr>
    </w:p>
    <w:p w14:paraId="5F21887A" w14:textId="77777777" w:rsidR="00113A0F" w:rsidRPr="00103A0B" w:rsidRDefault="00113A0F" w:rsidP="00BD4312">
      <w:pPr>
        <w:keepLines/>
        <w:jc w:val="both"/>
        <w:rPr>
          <w:rFonts w:ascii="Arial" w:hAnsi="Arial" w:cs="Arial"/>
          <w:b/>
          <w:bCs/>
          <w:sz w:val="24"/>
          <w:szCs w:val="24"/>
        </w:rPr>
      </w:pPr>
    </w:p>
    <w:p w14:paraId="2801E6C5" w14:textId="31387D09" w:rsidR="00BB4E63" w:rsidRPr="00103A0B" w:rsidRDefault="0052734C" w:rsidP="00BD4312">
      <w:pPr>
        <w:keepLines/>
        <w:jc w:val="both"/>
        <w:rPr>
          <w:rFonts w:ascii="Arial" w:hAnsi="Arial" w:cs="Arial"/>
          <w:b/>
          <w:bCs/>
          <w:sz w:val="24"/>
          <w:szCs w:val="24"/>
        </w:rPr>
      </w:pPr>
      <w:r w:rsidRPr="00103A0B">
        <w:rPr>
          <w:rFonts w:ascii="Arial" w:hAnsi="Arial" w:cs="Arial"/>
          <w:b/>
          <w:bCs/>
          <w:sz w:val="24"/>
          <w:szCs w:val="24"/>
        </w:rPr>
        <w:lastRenderedPageBreak/>
        <w:t xml:space="preserve">3.2.7 </w:t>
      </w:r>
      <w:r w:rsidR="00BB4E63" w:rsidRPr="00103A0B">
        <w:rPr>
          <w:rFonts w:ascii="Arial" w:hAnsi="Arial" w:cs="Arial"/>
          <w:b/>
          <w:bCs/>
          <w:sz w:val="24"/>
          <w:szCs w:val="24"/>
        </w:rPr>
        <w:t xml:space="preserve">Further </w:t>
      </w:r>
      <w:r w:rsidRPr="00103A0B">
        <w:rPr>
          <w:rFonts w:ascii="Arial" w:hAnsi="Arial" w:cs="Arial"/>
          <w:b/>
          <w:bCs/>
          <w:sz w:val="24"/>
          <w:szCs w:val="24"/>
        </w:rPr>
        <w:t>D</w:t>
      </w:r>
      <w:r w:rsidR="00BB4E63" w:rsidRPr="00103A0B">
        <w:rPr>
          <w:rFonts w:ascii="Arial" w:hAnsi="Arial" w:cs="Arial"/>
          <w:b/>
          <w:bCs/>
          <w:sz w:val="24"/>
          <w:szCs w:val="24"/>
        </w:rPr>
        <w:t xml:space="preserve">etails on the </w:t>
      </w:r>
      <w:r w:rsidRPr="00103A0B">
        <w:rPr>
          <w:rFonts w:ascii="Arial" w:hAnsi="Arial" w:cs="Arial"/>
          <w:b/>
          <w:bCs/>
          <w:sz w:val="24"/>
          <w:szCs w:val="24"/>
        </w:rPr>
        <w:t>P</w:t>
      </w:r>
      <w:r w:rsidR="00BB4E63" w:rsidRPr="00103A0B">
        <w:rPr>
          <w:rFonts w:ascii="Arial" w:hAnsi="Arial" w:cs="Arial"/>
          <w:b/>
          <w:bCs/>
          <w:sz w:val="24"/>
          <w:szCs w:val="24"/>
        </w:rPr>
        <w:t xml:space="preserve">rocess of </w:t>
      </w:r>
      <w:r w:rsidRPr="00103A0B">
        <w:rPr>
          <w:rFonts w:ascii="Arial" w:hAnsi="Arial" w:cs="Arial"/>
          <w:b/>
          <w:bCs/>
          <w:sz w:val="24"/>
          <w:szCs w:val="24"/>
        </w:rPr>
        <w:t>D</w:t>
      </w:r>
      <w:r w:rsidR="00BB4E63" w:rsidRPr="00103A0B">
        <w:rPr>
          <w:rFonts w:ascii="Arial" w:hAnsi="Arial" w:cs="Arial"/>
          <w:b/>
          <w:bCs/>
          <w:sz w:val="24"/>
          <w:szCs w:val="24"/>
        </w:rPr>
        <w:t xml:space="preserve">ata </w:t>
      </w:r>
      <w:r w:rsidRPr="00103A0B">
        <w:rPr>
          <w:rFonts w:ascii="Arial" w:hAnsi="Arial" w:cs="Arial"/>
          <w:b/>
          <w:bCs/>
          <w:sz w:val="24"/>
          <w:szCs w:val="24"/>
        </w:rPr>
        <w:t>A</w:t>
      </w:r>
      <w:r w:rsidR="00BB4E63" w:rsidRPr="00103A0B">
        <w:rPr>
          <w:rFonts w:ascii="Arial" w:hAnsi="Arial" w:cs="Arial"/>
          <w:b/>
          <w:bCs/>
          <w:sz w:val="24"/>
          <w:szCs w:val="24"/>
        </w:rPr>
        <w:t>nalysis</w:t>
      </w:r>
    </w:p>
    <w:p w14:paraId="2969FCCF" w14:textId="1C2222F7" w:rsidR="000D641E" w:rsidRPr="00103A0B" w:rsidRDefault="000D641E" w:rsidP="00CD5919">
      <w:pPr>
        <w:spacing w:line="360" w:lineRule="auto"/>
        <w:jc w:val="both"/>
        <w:rPr>
          <w:rFonts w:ascii="Arial" w:hAnsi="Arial" w:cs="Arial"/>
          <w:sz w:val="24"/>
          <w:szCs w:val="24"/>
        </w:rPr>
      </w:pPr>
      <w:r w:rsidRPr="00103A0B">
        <w:rPr>
          <w:rFonts w:ascii="Arial" w:hAnsi="Arial" w:cs="Arial"/>
          <w:sz w:val="24"/>
          <w:szCs w:val="24"/>
        </w:rPr>
        <w:t xml:space="preserve">The following section details the process of conducting data analysis. All interviews were transcribed verbatim, and an inductive thematic analysis was used to explore the views and experiences of participants, as well as exploring key influences on attendance and completion (see Chapters 5 and 6). </w:t>
      </w:r>
    </w:p>
    <w:p w14:paraId="272B3A9E" w14:textId="5376E944" w:rsidR="00A3732C" w:rsidRPr="00103A0B" w:rsidRDefault="000D641E" w:rsidP="00BD4312">
      <w:pPr>
        <w:spacing w:line="360" w:lineRule="auto"/>
        <w:jc w:val="both"/>
        <w:rPr>
          <w:rFonts w:ascii="Arial" w:hAnsi="Arial" w:cs="Arial"/>
          <w:sz w:val="24"/>
          <w:szCs w:val="24"/>
        </w:rPr>
      </w:pPr>
      <w:r w:rsidRPr="00103A0B">
        <w:rPr>
          <w:rFonts w:ascii="Arial" w:hAnsi="Arial" w:cs="Arial"/>
          <w:sz w:val="24"/>
          <w:szCs w:val="24"/>
        </w:rPr>
        <w:t xml:space="preserve">Although there is not one agreed way of conducting thematic analysis, Braun and Clarke’s (2006) six phases to conducting thematic analysis, now preferred to be known as reflexive thematic analysis, was followed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{"citationItems":[{"id":"ITEM-1","itemData":{"DOI":"10.1002/capr.12360","ISSN":"17461405","abstract":"Thematic analysis methods, including the reflexive approach we have developed, are widely used in counselling and psychotherapy research, as are other approaches that seek to develop ‘patterns’ (themes, categories) across cases. Without a thorough grounding in the conceptual foundations of a wide variety of across-case analytic approaches, and qualitative research more broadly—something rarely offered in counselling training—it can be difficult to understand how these differ, where they overlap, and which might be appropriate for a particular research project. Our aim in this paper is to support researchers in counselling and psychotherapy to select an appropriate across-case approach for their research, and to justify their choice, by discussing conceptual and procedural differences and similarities between reflexive thematic analysis (TA) and four other across-case approaches. Three of these are also widely used in counselling and psychotherapy research—qualitative content analysis, interpretative phenomenological analysis and grounded theory. The fourth—discourse analysis—is less widely used but importantly exemplifies the critical qualitative research tradition. We contextualise our comparative approach by highlighting the diversity within TA. TA is best thought of as a spectrum of methods—from types that prioritise coding accuracy and reliability to reflexive approaches like ours that emphasise the inescapable subjectivity of data interpretation. Although reflexive TA provides the point of comparison for our discussion of other across-case approaches, our aim is not to promote reflexive TA as ‘best’. Rather, we encourage the knowing selection and use of analytic methods and methodologies in counselling and psychotherapy research.","author":[{"dropping-particle":"","family":"Braun","given":"V.","non-dropping-particle":"","parse-names":false,"suffix":""},{"dropping-particle":"","family":"Clarke","given":"V.","non-dropping-particle":"","parse-names":false,"suffix":""}],"container-title":"Counselling and Psychotherapy Research","id":"ITEM-1","issue":"1","issued":{"date-parts":[["2021"]]},"page":"37-47","title":"Can I use TA? should I use TA? should I not use TA? comparing reflexive thematic analysis and other pattern-based qualitative analytic approaches","type":"article-journal","volume":"21"},"uris":["http://www.mendeley.com/documents/?uuid=33591136-7173-424b-abb2-19a78423fc58"]},{"id":"ITEM-2","itemData":{"DOI":"10.1080/14780887.2020.1769238","ISSN":"14780895","abstract":"Developing a universal quality standard for thematic analysis (TA) is complicated by the existence of numerous iterations of TA that differ paradigmatically, philosophically and procedurally. This plurality in TA is often not recognised by editors, reviewers or authors, who promote ‘coding reliability measures’ as universal requirements of quality TA. Focusing particularly on our reflexive TA approach, we discuss quality in TA with reference to ten common problems we have identified in published TA research that cites or claims to follow our guidance. Many of the common problems are underpinned by an assumption of homogeneity in TA. We end by outlining guidelines for reviewers and editors–in the form of twenty critical questions–to support them in promoting high(er) standards in TA research, and more deliberative and reflexive engagement with TA as method and practice.","author":[{"dropping-particle":"","family":"Braun","given":"V.","non-dropping-particle":"","parse-names":false,"suffix":""},{"dropping-particle":"","family":"Clarke","given":"V.","non-dropping-particle":"","parse-names":false,"suffix":""}],"container-title":"Qualitative Research in Psychology","id":"ITEM-2","issued":{"date-parts":[["2020"]]},"page":"1-25","publisher":"Routledge","title":"One size fits all? what counts as quality practice in (reflexive) thematic analysis?","type":"article-journal"},"uris":["http://www.mendeley.com/documents/?uuid=dd2c0694-c07a-4a6b-95a0-3a69edab899a"]}],"mendeley":{"formattedCitation":"(Braun &amp; Clarke, 2020, 2021a)","manualFormatting":"(Braun &amp; Clarke, 2020, 2021a)","plainTextFormattedCitation":"(Braun &amp; Clarke, 2020, 2021a)","previouslyFormattedCitation":"(Braun &amp; Clarke, 2020, 2021a)"},"properties":{"noteIndex":0},"schema":"https://github.com/citation-style-language/schema/raw/master/csl-citation.json"}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(Braun &amp; Clarke, 2020, 2021a)</w:t>
      </w:r>
      <w:r w:rsidRPr="00103A0B">
        <w:rPr>
          <w:rFonts w:ascii="Arial" w:hAnsi="Arial" w:cs="Arial"/>
          <w:sz w:val="24"/>
          <w:szCs w:val="24"/>
        </w:rPr>
        <w:fldChar w:fldCharType="end"/>
      </w:r>
      <w:r w:rsidRPr="00103A0B">
        <w:rPr>
          <w:rFonts w:ascii="Arial" w:hAnsi="Arial" w:cs="Arial"/>
          <w:sz w:val="24"/>
          <w:szCs w:val="24"/>
        </w:rPr>
        <w:t xml:space="preserve">. It is important to note this was not a linear process of going through one phase to the next, rather it was a iterative and reflexive process, as the researcher moved back and forth through the phases as required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{"citationItems":[{"id":"ITEM-1","itemData":{"author":[{"dropping-particle":"","family":"Braun, V.","given":"","non-dropping-particle":"","parse-names":false,"suffix":""},{"dropping-particle":"","family":"Clarke, V.","given":"","non-dropping-particle":"","parse-names":false,"suffix":""}],"id":"ITEM-1","issued":{"date-parts":[["2013"]]},"number-of-pages":"1-382","publisher":"SAGE Publications Ltd","publisher-place":"London","title":"Successful qualitative research: a practical guide for beginners","type":"book"},"uris":["http://www.mendeley.com/documents/?uuid=1f74fd6b-a2c1-442f-8c32-d5103d7531c6"]},{"id":"ITEM-2","itemData":{"author":[{"dropping-particle":"","family":"Braun","given":"V.","non-dropping-particle":"","parse-names":false,"suffix":""},{"dropping-particle":"","family":"Clarke","given":"V.","non-dropping-particle":"","parse-names":false,"suffix":""}],"container-title":"Qualitative Research in Psychology","id":"ITEM-2","issue":"2","issued":{"date-parts":[["2006"]]},"page":"77-101","title":"Using thematic analysis in psychology","type":"article-journal","volume":"3"},"uris":["http://www.mendeley.com/documents/?uuid=1366554b-d0d7-43f1-9a4f-92c3d9825f2e"]},{"id":"ITEM-3","itemData":{"DOI":"10.1002/capr.12360","ISSN":"17461405","abstract":"Thematic analysis methods, including the reflexive approach we have developed, are widely used in counselling and psychotherapy research, as are other approaches that seek to develop ‘patterns’ (themes, categories) across cases. Without a thorough grounding in the conceptual foundations of a wide variety of across-case analytic approaches, and qualitative research more broadly—something rarely offered in counselling training—it can be difficult to understand how these differ, where they overlap, and which might be appropriate for a particular research project. Our aim in this paper is to support researchers in counselling and psychotherapy to select an appropriate across-case approach for their research, and to justify their choice, by discussing conceptual and procedural differences and similarities between reflexive thematic analysis (TA) and four other across-case approaches. Three of these are also widely used in counselling and psychotherapy research—qualitative content analysis, interpretative phenomenological analysis and grounded theory. The fourth—discourse analysis—is less widely used but importantly exemplifies the critical qualitative research tradition. We contextualise our comparative approach by highlighting the diversity within TA. TA is best thought of as a spectrum of methods—from types that prioritise coding accuracy and reliability to reflexive approaches like ours that emphasise the inescapable subjectivity of data interpretation. Although reflexive TA provides the point of comparison for our discussion of other across-case approaches, our aim is not to promote reflexive TA as ‘best’. Rather, we encourage the knowing selection and use of analytic methods and methodologies in counselling and psychotherapy research.","author":[{"dropping-particle":"","family":"Braun","given":"V.","non-dropping-particle":"","parse-names":false,"suffix":""},{"dropping-particle":"","family":"Clarke","given":"V.","non-dropping-particle":"","parse-names":false,"suffix":""}],"container-title":"Counselling and Psychotherapy Research","id":"ITEM-3","issue":"1","issued":{"date-parts":[["2021"]]},"page":"37-47","title":"Can I use TA? should I use TA? should I not use TA? comparing reflexive thematic analysis and other pattern-based qualitative analytic approaches","type":"article-journal","volume":"21"},"uris":["http://www.mendeley.com/documents/?uuid=33591136-7173-424b-abb2-19a78423fc58"]}],"mendeley":{"formattedCitation":"(Braun, V. &amp; Clarke, V., 2013; Braun &amp; Clarke, 2006, 2021a)","manualFormatting":"(Braun &amp; Clarke, 2013; Braun &amp; Clarke, 2006, 2021)","plainTextFormattedCitation":"(Braun, V. &amp; Clarke, V., 2013; Braun &amp; Clarke, 2006, 2021a)","previouslyFormattedCitation":"(Braun, V. &amp; Clarke, V., 2013; Braun &amp; Clarke, 2006, 2021a)"},"properties":{"noteIndex":0},"schema":"https://github.com/citation-style-language/schema/raw/master/csl-citation.json"}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(Braun &amp; Clarke, 2013; Braun &amp; Clarke, 2006, 2021)</w:t>
      </w:r>
      <w:r w:rsidRPr="00103A0B">
        <w:rPr>
          <w:rFonts w:ascii="Arial" w:hAnsi="Arial" w:cs="Arial"/>
          <w:sz w:val="24"/>
          <w:szCs w:val="24"/>
        </w:rPr>
        <w:fldChar w:fldCharType="end"/>
      </w:r>
      <w:r w:rsidRPr="00103A0B">
        <w:rPr>
          <w:rFonts w:ascii="Arial" w:hAnsi="Arial" w:cs="Arial"/>
          <w:sz w:val="24"/>
          <w:szCs w:val="24"/>
        </w:rPr>
        <w:t xml:space="preserve"> (see Table 4). </w:t>
      </w:r>
      <w:bookmarkStart w:id="143" w:name="_Ref345254118"/>
      <w:bookmarkStart w:id="144" w:name="_Ref354934175"/>
      <w:bookmarkStart w:id="145" w:name="_Toc363044830"/>
    </w:p>
    <w:bookmarkEnd w:id="143"/>
    <w:bookmarkEnd w:id="144"/>
    <w:p w14:paraId="1920EEE4" w14:textId="681D2F3B" w:rsidR="000D641E" w:rsidRPr="00103A0B" w:rsidRDefault="000D641E" w:rsidP="00BD4312">
      <w:pPr>
        <w:pStyle w:val="Caption"/>
        <w:keepLines/>
        <w:spacing w:after="0" w:line="360" w:lineRule="auto"/>
        <w:rPr>
          <w:rFonts w:ascii="Arial" w:hAnsi="Arial" w:cs="Arial"/>
          <w:b w:val="0"/>
          <w:i/>
          <w:szCs w:val="24"/>
          <w:u w:val="single"/>
          <w:lang w:eastAsia="en-GB"/>
        </w:rPr>
      </w:pPr>
      <w:r w:rsidRPr="00103A0B">
        <w:rPr>
          <w:rFonts w:ascii="Arial" w:hAnsi="Arial" w:cs="Arial"/>
          <w:b w:val="0"/>
          <w:bCs w:val="0"/>
          <w:i/>
          <w:iCs/>
          <w:szCs w:val="24"/>
        </w:rPr>
        <w:t>Table 4:</w:t>
      </w:r>
      <w:r w:rsidRPr="00103A0B">
        <w:rPr>
          <w:rFonts w:ascii="Arial" w:hAnsi="Arial" w:cs="Arial"/>
          <w:b w:val="0"/>
          <w:i/>
          <w:iCs/>
          <w:szCs w:val="24"/>
        </w:rPr>
        <w:t xml:space="preserve"> Six</w:t>
      </w:r>
      <w:r w:rsidRPr="00103A0B">
        <w:rPr>
          <w:rFonts w:ascii="Arial" w:hAnsi="Arial" w:cs="Arial"/>
          <w:b w:val="0"/>
          <w:i/>
          <w:szCs w:val="24"/>
        </w:rPr>
        <w:t xml:space="preserve"> phases for conducting </w:t>
      </w:r>
      <w:r w:rsidR="00B105F5" w:rsidRPr="00103A0B">
        <w:rPr>
          <w:rFonts w:ascii="Arial" w:hAnsi="Arial" w:cs="Arial"/>
          <w:b w:val="0"/>
          <w:i/>
          <w:szCs w:val="24"/>
        </w:rPr>
        <w:t>t</w:t>
      </w:r>
      <w:r w:rsidRPr="00103A0B">
        <w:rPr>
          <w:rFonts w:ascii="Arial" w:hAnsi="Arial" w:cs="Arial"/>
          <w:b w:val="0"/>
          <w:i/>
          <w:szCs w:val="24"/>
        </w:rPr>
        <w:t xml:space="preserve">hematic </w:t>
      </w:r>
      <w:r w:rsidR="00B105F5" w:rsidRPr="00103A0B">
        <w:rPr>
          <w:rFonts w:ascii="Arial" w:hAnsi="Arial" w:cs="Arial"/>
          <w:b w:val="0"/>
          <w:i/>
          <w:szCs w:val="24"/>
        </w:rPr>
        <w:t>a</w:t>
      </w:r>
      <w:r w:rsidRPr="00103A0B">
        <w:rPr>
          <w:rFonts w:ascii="Arial" w:hAnsi="Arial" w:cs="Arial"/>
          <w:b w:val="0"/>
          <w:i/>
          <w:szCs w:val="24"/>
        </w:rPr>
        <w:t>nalysis</w:t>
      </w:r>
      <w:bookmarkEnd w:id="145"/>
      <w:r w:rsidRPr="00103A0B">
        <w:rPr>
          <w:rFonts w:ascii="Arial" w:hAnsi="Arial" w:cs="Arial"/>
          <w:b w:val="0"/>
          <w:i/>
          <w:szCs w:val="24"/>
        </w:rPr>
        <w:t xml:space="preserve"> </w:t>
      </w:r>
      <w:r w:rsidRPr="00103A0B">
        <w:rPr>
          <w:rFonts w:ascii="Arial" w:hAnsi="Arial" w:cs="Arial"/>
          <w:b w:val="0"/>
          <w:i/>
          <w:szCs w:val="24"/>
        </w:rPr>
        <w:fldChar w:fldCharType="begin" w:fldLock="1"/>
      </w:r>
      <w:r w:rsidR="00597BD1" w:rsidRPr="00103A0B">
        <w:rPr>
          <w:rFonts w:ascii="Arial" w:hAnsi="Arial" w:cs="Arial"/>
          <w:b w:val="0"/>
          <w:i/>
          <w:szCs w:val="24"/>
        </w:rPr>
        <w:instrText>ADDIN CSL_CITATION {"citationItems":[{"id":"ITEM-1","itemData":{"DOI":"10.1002/capr.12360","ISSN":"17461405","abstract":"Thematic analysis methods, including the reflexive approach we have developed, are widely used in counselling and psychotherapy research, as are other approaches that seek to develop ‘patterns’ (themes, categories) across cases. Without a thorough grounding in the conceptual foundations of a wide variety of across-case analytic approaches, and qualitative research more broadly—something rarely offered in counselling training—it can be difficult to understand how these differ, where they overlap, and which might be appropriate for a particular research project. Our aim in this paper is to support researchers in counselling and psychotherapy to select an appropriate across-case approach for their research, and to justify their choice, by discussing conceptual and procedural differences and similarities between reflexive thematic analysis (TA) and four other across-case approaches. Three of these are also widely used in counselling and psychotherapy research—qualitative content analysis, interpretative phenomenological analysis and grounded theory. The fourth—discourse analysis—is less widely used but importantly exemplifies the critical qualitative research tradition. We contextualise our comparative approach by highlighting the diversity within TA. TA is best thought of as a spectrum of methods—from types that prioritise coding accuracy and reliability to reflexive approaches like ours that emphasise the inescapable subjectivity of data interpretation. Although reflexive TA provides the point of comparison for our discussion of other across-case approaches, our aim is not to promote reflexive TA as ‘best’. Rather, we encourage the knowing selection and use of analytic methods and methodologies in counselling and psychotherapy research.","author":[{"dropping-particle":"","family":"Braun","given":"V.","non-dropping-particle":"","parse-names":false,"suffix":""},{"dropping-particle":"","family":"Clarke","given":"V.","non-dropping-particle":"","parse-names":false,"suffix":""}],"container-title":"Counselling and Psychotherapy Research","id":"ITEM-1","issue":"1","issued":{"date-parts":[["2021"]]},"page":"37-47","title":"Can I use TA? should I use TA? should I not use TA? comparing reflexive thematic analysis and other pattern-based qualitative analytic approaches","type":"article-journal","volume":"21"},"uris":["http://www.mendeley.com/documents/?uuid=33591136-7173-424b-abb2-19a78423fc58"]},{"id":"ITEM-2","itemData":{"author":[{"dropping-particle":"","family":"Braun, V.","given":"","non-dropping-particle":"","parse-names":false,"suffix":""},{"dropping-particle":"","family":"Clarke, V.","given":"","non-dropping-particle":"","parse-names":false,"suffix":""}],"id":"ITEM-2","issued":{"date-parts":[["2013"]]},"number-of-pages":"1-382","publisher":"SAGE Publications Ltd","publisher-place":"London","title":"Successful qualitative research: a practical guide for beginners","type":"book"},"uris":["http://www.mendeley.com/documents/?uuid=1f74fd6b-a2c1-442f-8c32-d5103d7531c6"]},{"id":"ITEM-3","itemData":{"author":[{"dropping-particle":"","family":"Braun","given":"V.","non-dropping-particle":"","parse-names":false,"suffix":""},{"dropping-particle":"","family":"Clarke","given":"V.","non-dropping-particle":"","parse-names":false,"suffix":""}],"container-title":"Qualitative Research in Psychology","id":"ITEM-3","issue":"2","issued":{"date-parts":[["2006"]]},"page":"77-101","title":"Using thematic analysis in psychology","type":"article-journal","volume":"3"},"uris":["http://www.mendeley.com/documents/?uuid=1366554b-d0d7-43f1-9a4f-92c3d9825f2e"]}],"mendeley":{"formattedCitation":"(Braun, V. &amp; Clarke, V., 2013; Braun &amp; Clarke, 2006, 2021a)","manualFormatting":"(Braun &amp; Clarke, 2013; Braun &amp; Clarke, 2006, 2021)","plainTextFormattedCitation":"(Braun, V. &amp; Clarke, V., 2013; Braun &amp; Clarke, 2006, 2021a)","previouslyFormattedCitation":"(Braun, V. &amp; Clarke, V., 2013; Braun &amp; Clarke, 2006, 2021a)"},"properties":{"noteIndex":0},"schema":"https://github.com/citation-style-language/schema/raw/master/csl-citation.json"}</w:instrText>
      </w:r>
      <w:r w:rsidRPr="00103A0B">
        <w:rPr>
          <w:rFonts w:ascii="Arial" w:hAnsi="Arial" w:cs="Arial"/>
          <w:b w:val="0"/>
          <w:i/>
          <w:szCs w:val="24"/>
        </w:rPr>
        <w:fldChar w:fldCharType="separate"/>
      </w:r>
      <w:r w:rsidRPr="00103A0B">
        <w:rPr>
          <w:rFonts w:ascii="Arial" w:hAnsi="Arial" w:cs="Arial"/>
          <w:b w:val="0"/>
          <w:noProof/>
          <w:szCs w:val="24"/>
        </w:rPr>
        <w:t>(Braun &amp; Clarke, 2013; Braun &amp; Clarke, 2006, 2021)</w:t>
      </w:r>
      <w:r w:rsidRPr="00103A0B">
        <w:rPr>
          <w:rFonts w:ascii="Arial" w:hAnsi="Arial" w:cs="Arial"/>
          <w:b w:val="0"/>
          <w:i/>
          <w:szCs w:val="24"/>
        </w:rPr>
        <w:fldChar w:fldCharType="end"/>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0"/>
        <w:gridCol w:w="5746"/>
      </w:tblGrid>
      <w:tr w:rsidR="000D641E" w:rsidRPr="00103A0B" w14:paraId="563B74AE" w14:textId="77777777" w:rsidTr="00BB2420">
        <w:tc>
          <w:tcPr>
            <w:tcW w:w="3402" w:type="dxa"/>
            <w:tcBorders>
              <w:top w:val="single" w:sz="4" w:space="0" w:color="auto"/>
              <w:bottom w:val="single" w:sz="4" w:space="0" w:color="auto"/>
            </w:tcBorders>
          </w:tcPr>
          <w:p w14:paraId="1F795967" w14:textId="77777777" w:rsidR="000D641E" w:rsidRPr="00103A0B" w:rsidRDefault="000D641E" w:rsidP="00CD5919">
            <w:pPr>
              <w:spacing w:line="360" w:lineRule="auto"/>
              <w:jc w:val="both"/>
              <w:rPr>
                <w:rFonts w:ascii="Arial" w:hAnsi="Arial" w:cs="Arial"/>
                <w:b/>
                <w:sz w:val="24"/>
                <w:szCs w:val="24"/>
                <w:lang w:eastAsia="en-GB"/>
              </w:rPr>
            </w:pPr>
            <w:r w:rsidRPr="00103A0B">
              <w:rPr>
                <w:rFonts w:ascii="Arial" w:hAnsi="Arial" w:cs="Arial"/>
                <w:b/>
                <w:sz w:val="24"/>
                <w:szCs w:val="24"/>
                <w:lang w:eastAsia="en-GB"/>
              </w:rPr>
              <w:t>Phase</w:t>
            </w:r>
          </w:p>
        </w:tc>
        <w:tc>
          <w:tcPr>
            <w:tcW w:w="6066" w:type="dxa"/>
            <w:tcBorders>
              <w:top w:val="single" w:sz="4" w:space="0" w:color="auto"/>
              <w:bottom w:val="single" w:sz="4" w:space="0" w:color="auto"/>
            </w:tcBorders>
          </w:tcPr>
          <w:p w14:paraId="0D677D38" w14:textId="77777777" w:rsidR="000D641E" w:rsidRPr="00103A0B" w:rsidRDefault="000D641E" w:rsidP="00CD5919">
            <w:pPr>
              <w:spacing w:line="360" w:lineRule="auto"/>
              <w:jc w:val="both"/>
              <w:rPr>
                <w:rFonts w:ascii="Arial" w:hAnsi="Arial" w:cs="Arial"/>
                <w:b/>
                <w:sz w:val="24"/>
                <w:szCs w:val="24"/>
                <w:lang w:eastAsia="en-GB"/>
              </w:rPr>
            </w:pPr>
            <w:r w:rsidRPr="00103A0B">
              <w:rPr>
                <w:rFonts w:ascii="Arial" w:hAnsi="Arial" w:cs="Arial"/>
                <w:b/>
                <w:sz w:val="24"/>
                <w:szCs w:val="24"/>
                <w:lang w:eastAsia="en-GB"/>
              </w:rPr>
              <w:t xml:space="preserve">Description </w:t>
            </w:r>
          </w:p>
        </w:tc>
      </w:tr>
      <w:tr w:rsidR="000D641E" w:rsidRPr="00103A0B" w14:paraId="70C60EDA" w14:textId="77777777" w:rsidTr="00BB2420">
        <w:tc>
          <w:tcPr>
            <w:tcW w:w="3402" w:type="dxa"/>
            <w:tcBorders>
              <w:top w:val="single" w:sz="4" w:space="0" w:color="auto"/>
            </w:tcBorders>
          </w:tcPr>
          <w:p w14:paraId="41F81EE9"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1. Data familiarisation</w:t>
            </w:r>
          </w:p>
        </w:tc>
        <w:tc>
          <w:tcPr>
            <w:tcW w:w="6066" w:type="dxa"/>
            <w:tcBorders>
              <w:top w:val="single" w:sz="4" w:space="0" w:color="auto"/>
            </w:tcBorders>
          </w:tcPr>
          <w:p w14:paraId="66C6B978"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Re-listening to the audio recordings when transcribing data, reading and re-reading the transcripts and making notes about initial ideas.</w:t>
            </w:r>
          </w:p>
        </w:tc>
      </w:tr>
      <w:tr w:rsidR="000D641E" w:rsidRPr="00103A0B" w14:paraId="524883AD" w14:textId="77777777" w:rsidTr="00BB2420">
        <w:tc>
          <w:tcPr>
            <w:tcW w:w="3402" w:type="dxa"/>
          </w:tcPr>
          <w:p w14:paraId="7934AE5D"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2. Generating initial codes</w:t>
            </w:r>
          </w:p>
        </w:tc>
        <w:tc>
          <w:tcPr>
            <w:tcW w:w="6066" w:type="dxa"/>
          </w:tcPr>
          <w:p w14:paraId="751218A6"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Going through the complete dataset in a systematic way and coding all interesting features, and collating data which is applicable to each code.</w:t>
            </w:r>
          </w:p>
        </w:tc>
      </w:tr>
      <w:tr w:rsidR="000D641E" w:rsidRPr="00103A0B" w14:paraId="4D4B17A9" w14:textId="77777777" w:rsidTr="00BB2420">
        <w:tc>
          <w:tcPr>
            <w:tcW w:w="3402" w:type="dxa"/>
          </w:tcPr>
          <w:p w14:paraId="42F068ED"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3. Theme searching</w:t>
            </w:r>
          </w:p>
        </w:tc>
        <w:tc>
          <w:tcPr>
            <w:tcW w:w="6066" w:type="dxa"/>
          </w:tcPr>
          <w:p w14:paraId="1BF62737"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Organising initial codes into potential sub-themes and later themes, ensuring relevant data is collated under each potential sub-theme and theme.</w:t>
            </w:r>
          </w:p>
        </w:tc>
      </w:tr>
      <w:tr w:rsidR="000D641E" w:rsidRPr="00103A0B" w14:paraId="243B24E9" w14:textId="77777777" w:rsidTr="00BB2420">
        <w:tc>
          <w:tcPr>
            <w:tcW w:w="3402" w:type="dxa"/>
          </w:tcPr>
          <w:p w14:paraId="54D78E74"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4. Reviewing themes</w:t>
            </w:r>
          </w:p>
        </w:tc>
        <w:tc>
          <w:tcPr>
            <w:tcW w:w="6066" w:type="dxa"/>
          </w:tcPr>
          <w:p w14:paraId="6C80CCBB" w14:textId="4074956B"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 xml:space="preserve">Examining sub-themes and themes and checking whether they make sense with respect to the coded extracts (level 1) and the complete data set (level 2), formulating a thematic map of the analysis. </w:t>
            </w:r>
          </w:p>
        </w:tc>
      </w:tr>
      <w:tr w:rsidR="000D641E" w:rsidRPr="00103A0B" w14:paraId="7EE0D5C8" w14:textId="77777777" w:rsidTr="00BB2420">
        <w:tc>
          <w:tcPr>
            <w:tcW w:w="3402" w:type="dxa"/>
          </w:tcPr>
          <w:p w14:paraId="0C03C59B"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5. Defining and naming themes</w:t>
            </w:r>
          </w:p>
        </w:tc>
        <w:tc>
          <w:tcPr>
            <w:tcW w:w="6066" w:type="dxa"/>
          </w:tcPr>
          <w:p w14:paraId="07C07F50"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 xml:space="preserve">Continuous analysis to specify and refine sub-themes and themes so each has a clear name and definition, creating an overall story of the analysis. </w:t>
            </w:r>
          </w:p>
        </w:tc>
      </w:tr>
      <w:tr w:rsidR="000D641E" w:rsidRPr="00103A0B" w14:paraId="2B849361" w14:textId="77777777" w:rsidTr="00BB2420">
        <w:tc>
          <w:tcPr>
            <w:tcW w:w="3402" w:type="dxa"/>
          </w:tcPr>
          <w:p w14:paraId="127662EE"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lastRenderedPageBreak/>
              <w:t>6. Reporting and writing up the results</w:t>
            </w:r>
          </w:p>
        </w:tc>
        <w:tc>
          <w:tcPr>
            <w:tcW w:w="6066" w:type="dxa"/>
          </w:tcPr>
          <w:p w14:paraId="62BDEEF2" w14:textId="77777777"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This is the final phase for analysis. Rich, interesting extracts are selected, the analysis is related back to the research questions and relevant literature, creating a scholarly report.</w:t>
            </w:r>
          </w:p>
        </w:tc>
      </w:tr>
    </w:tbl>
    <w:p w14:paraId="1816C56F" w14:textId="1F013D6F" w:rsidR="000D641E" w:rsidRPr="00103A0B" w:rsidRDefault="000D641E" w:rsidP="00CD5919">
      <w:pPr>
        <w:spacing w:before="240" w:line="360" w:lineRule="auto"/>
        <w:jc w:val="both"/>
        <w:rPr>
          <w:rFonts w:ascii="Arial" w:hAnsi="Arial" w:cs="Arial"/>
          <w:sz w:val="24"/>
          <w:szCs w:val="24"/>
        </w:rPr>
      </w:pPr>
      <w:r w:rsidRPr="00103A0B">
        <w:rPr>
          <w:rFonts w:ascii="Arial" w:hAnsi="Arial" w:cs="Arial"/>
          <w:sz w:val="24"/>
          <w:szCs w:val="24"/>
        </w:rPr>
        <w:t xml:space="preserve">When the researcher first began interviewing, written notes were also taken regarding what procedural things happened as well as a reflective account of the researcher`s experiences as the researcher became more experienced in interviewing. As the researcher was transcribing the interviews and becoming familiar with the data, initial ideas were noted. Interviews were transcribed verbatim with page numbers and line numberings used to identify quotes from the original transcripts. Some transcription coding was used whilst transcribing to indicate things like short or long pauses. </w:t>
      </w:r>
      <w:r w:rsidRPr="00103A0B">
        <w:rPr>
          <w:rFonts w:ascii="Arial" w:hAnsi="Arial" w:cs="Arial"/>
          <w:sz w:val="24"/>
          <w:szCs w:val="24"/>
          <w:lang w:eastAsia="en-GB"/>
        </w:rPr>
        <w:t xml:space="preserve">Transcripts were checked against audio tapes to ensure accuracy. </w:t>
      </w:r>
    </w:p>
    <w:p w14:paraId="3CA0FAF5" w14:textId="234A84FF" w:rsidR="000D641E" w:rsidRPr="00103A0B" w:rsidRDefault="000D641E" w:rsidP="00CD5919">
      <w:pPr>
        <w:spacing w:before="240" w:line="360" w:lineRule="auto"/>
        <w:jc w:val="both"/>
        <w:rPr>
          <w:rFonts w:ascii="Arial" w:hAnsi="Arial" w:cs="Arial"/>
          <w:sz w:val="24"/>
          <w:szCs w:val="24"/>
        </w:rPr>
      </w:pPr>
      <w:r w:rsidRPr="00103A0B">
        <w:rPr>
          <w:rFonts w:ascii="Arial" w:hAnsi="Arial" w:cs="Arial"/>
          <w:sz w:val="24"/>
          <w:szCs w:val="24"/>
        </w:rPr>
        <w:t xml:space="preserve">The transcripts were read repeatedly in order for the researcher to immerse herself within the data and become familiar with the depth and breadth of the dataset as recommended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psychology","type":"article-journal","volume":"3"},"uris":["http://www.mendeley.com/documents/?uuid=1366554b-d0d7-43f1-9a4f-92c3d9825f2e"]},{"id":"ITEM-2","itemData":{"author":[{"dropping-particle":"","family":"Braun, V.","given":"","non-dropping-particle":"","parse-names":false,"suffix":""},{"dropping-particle":"","family":"Clarke, V.","given":"","non-dropping-particle":"","parse-names":false,"suffix":""}],"id":"ITEM-2","issued":{"date-parts":[["2013"]]},"number-of-pages":"1-382","publisher":"SAGE Publications Ltd","publisher-place":"London","title":"Successful qualitative research: a practical guide for beginners","type":"book"},"uris":["http://www.mendeley.com/documents/?uuid=1f74fd6b-a2c1-442f-8c32-d5103d7531c6"]}],"mendeley":{"formattedCitation":"(Braun, V. &amp; Clarke, V., 2013; Braun &amp; Clarke, 2006)","manualFormatting":"(Braun &amp; Clarke, 2013; Braun &amp; Clarke, 2006)","plainTextFormattedCitation":"(Braun, V. &amp; Clarke, V., 2013; Braun &amp; Clarke, 2006)","previouslyFormattedCitation":"(Braun, V. &amp; Clarke, V., 2013; Braun &amp; Clarke,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(Braun &amp; Clarke, 2013; Braun &amp; Clarke, 2006)</w:t>
      </w:r>
      <w:r w:rsidRPr="00103A0B">
        <w:rPr>
          <w:rFonts w:ascii="Arial" w:hAnsi="Arial" w:cs="Arial"/>
          <w:sz w:val="24"/>
          <w:szCs w:val="24"/>
        </w:rPr>
        <w:fldChar w:fldCharType="end"/>
      </w:r>
      <w:r w:rsidRPr="00103A0B">
        <w:rPr>
          <w:rFonts w:ascii="Arial" w:hAnsi="Arial" w:cs="Arial"/>
          <w:sz w:val="24"/>
          <w:szCs w:val="24"/>
        </w:rPr>
        <w:t>. The researcher had to be active whilst conducting this process so meanings and patterns could be identified</w:t>
      </w:r>
      <w:r w:rsidR="002C1CF9" w:rsidRPr="00103A0B">
        <w:rPr>
          <w:rFonts w:ascii="Arial" w:hAnsi="Arial" w:cs="Arial"/>
          <w:sz w:val="24"/>
          <w:szCs w:val="24"/>
        </w:rPr>
        <w:t>,</w:t>
      </w:r>
      <w:r w:rsidRPr="00103A0B">
        <w:rPr>
          <w:rFonts w:ascii="Arial" w:hAnsi="Arial" w:cs="Arial"/>
          <w:sz w:val="24"/>
          <w:szCs w:val="24"/>
        </w:rPr>
        <w:t xml:space="preserve"> to assist with the analysis process and to generate initial thoughts of the data. Notes were made to record any ideas for potential sub-themes and themes.  </w:t>
      </w:r>
    </w:p>
    <w:p w14:paraId="06C8555C" w14:textId="393BBEE3" w:rsidR="000D641E" w:rsidRPr="00103A0B" w:rsidRDefault="000D641E" w:rsidP="00CD5919">
      <w:pPr>
        <w:spacing w:line="360" w:lineRule="auto"/>
        <w:jc w:val="both"/>
        <w:rPr>
          <w:rFonts w:ascii="Arial" w:hAnsi="Arial" w:cs="Arial"/>
          <w:sz w:val="24"/>
          <w:szCs w:val="24"/>
          <w:lang w:eastAsia="en-GB"/>
        </w:rPr>
      </w:pPr>
      <w:r w:rsidRPr="00103A0B">
        <w:rPr>
          <w:rFonts w:ascii="Arial" w:hAnsi="Arial" w:cs="Arial"/>
          <w:sz w:val="24"/>
          <w:szCs w:val="24"/>
          <w:lang w:eastAsia="en-GB"/>
        </w:rPr>
        <w:t xml:space="preserve">Following on from this, initial codes were generated from the data which helped with managing and organising the data in a way that was meaningful. Initial coding was conducted using NVivo software where each transcript was repeatedly read and coded in a systematic way (see Appendices </w:t>
      </w:r>
      <w:r w:rsidR="00BE157E" w:rsidRPr="00103A0B">
        <w:rPr>
          <w:rFonts w:ascii="Arial" w:hAnsi="Arial" w:cs="Arial"/>
          <w:sz w:val="24"/>
          <w:szCs w:val="24"/>
          <w:lang w:eastAsia="en-GB"/>
        </w:rPr>
        <w:t>8</w:t>
      </w:r>
      <w:r w:rsidRPr="00103A0B">
        <w:rPr>
          <w:rFonts w:ascii="Arial" w:hAnsi="Arial" w:cs="Arial"/>
          <w:sz w:val="24"/>
          <w:szCs w:val="24"/>
          <w:lang w:eastAsia="en-GB"/>
        </w:rPr>
        <w:t xml:space="preserve"> and </w:t>
      </w:r>
      <w:r w:rsidR="00BE157E" w:rsidRPr="00103A0B">
        <w:rPr>
          <w:rFonts w:ascii="Arial" w:hAnsi="Arial" w:cs="Arial"/>
          <w:sz w:val="24"/>
          <w:szCs w:val="24"/>
          <w:lang w:eastAsia="en-GB"/>
        </w:rPr>
        <w:t>9</w:t>
      </w:r>
      <w:r w:rsidRPr="00103A0B">
        <w:rPr>
          <w:rFonts w:ascii="Arial" w:hAnsi="Arial" w:cs="Arial"/>
          <w:sz w:val="24"/>
          <w:szCs w:val="24"/>
          <w:lang w:eastAsia="en-GB"/>
        </w:rPr>
        <w:t xml:space="preserve"> for example of coding). </w:t>
      </w:r>
      <w:r w:rsidRPr="00103A0B">
        <w:rPr>
          <w:rFonts w:ascii="Arial" w:hAnsi="Arial" w:cs="Arial"/>
          <w:sz w:val="24"/>
          <w:szCs w:val="24"/>
        </w:rPr>
        <w:t>After the initial coding, potential sub-themes and themes were formulated by gathering the initial codes under these themes. The researcher started to think about the associations and relationships between these codes, sub-</w:t>
      </w:r>
      <w:proofErr w:type="gramStart"/>
      <w:r w:rsidRPr="00103A0B">
        <w:rPr>
          <w:rFonts w:ascii="Arial" w:hAnsi="Arial" w:cs="Arial"/>
          <w:sz w:val="24"/>
          <w:szCs w:val="24"/>
        </w:rPr>
        <w:t>themes</w:t>
      </w:r>
      <w:proofErr w:type="gramEnd"/>
      <w:r w:rsidRPr="00103A0B">
        <w:rPr>
          <w:rFonts w:ascii="Arial" w:hAnsi="Arial" w:cs="Arial"/>
          <w:sz w:val="24"/>
          <w:szCs w:val="24"/>
        </w:rPr>
        <w:t xml:space="preserve"> and themes. This process was checked by a second, more experienced qualitative researcher (supervisor RP) who reviewed a sample of transcripts/codes. The potential sub-themes and themes generated were then discussed between the researcher and supervisor. </w:t>
      </w:r>
    </w:p>
    <w:p w14:paraId="4E7F616B" w14:textId="39AD36C0" w:rsidR="000D641E" w:rsidRPr="00103A0B" w:rsidRDefault="000D641E" w:rsidP="00CD5919">
      <w:pPr>
        <w:spacing w:before="240" w:line="360" w:lineRule="auto"/>
        <w:jc w:val="both"/>
        <w:rPr>
          <w:rFonts w:ascii="Arial" w:hAnsi="Arial" w:cs="Arial"/>
          <w:sz w:val="24"/>
          <w:szCs w:val="24"/>
        </w:rPr>
      </w:pPr>
      <w:r w:rsidRPr="00103A0B">
        <w:rPr>
          <w:rFonts w:ascii="Arial" w:hAnsi="Arial" w:cs="Arial"/>
          <w:sz w:val="24"/>
          <w:szCs w:val="24"/>
        </w:rPr>
        <w:t xml:space="preserve">Themes were identified at the semantic, explicit level as opposed to the latent, interpretative level. At the semantic level, the researcher does not look beyond from what a participant had stated, and only surface meanings of the data are considered </w:t>
      </w:r>
      <w:r w:rsidRPr="00103A0B">
        <w:rPr>
          <w:rFonts w:ascii="Arial" w:hAnsi="Arial" w:cs="Arial"/>
          <w:sz w:val="24"/>
          <w:szCs w:val="24"/>
        </w:rPr>
        <w:lastRenderedPageBreak/>
        <w:t xml:space="preserve">when developing themes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psychology","type":"article-journal","volume":"3"},"uris":["http://www.mendeley.com/documents/?uuid=1366554b-d0d7-43f1-9a4f-92c3d9825f2e"]},{"id":"ITEM-2","itemData":{"DOI":"10.1002/capr.12360","ISSN":"17461405","abstract":"Thematic analysis methods, including the reflexive approach we have developed, are widely used in counselling and psychotherapy research, as are other approaches that seek to develop ‘patterns’ (themes, categories) across cases. Without a thorough grounding in the conceptual foundations of a wide variety of across-case analytic approaches, and qualitative research more broadly—something rarely offered in counselling training—it can be difficult to understand how these differ, where they overlap, and which might be appropriate for a particular research project. Our aim in this paper is to support researchers in counselling and psychotherapy to select an appropriate across-case approach for their research, and to justify their choice, by discussing conceptual and procedural differences and similarities between reflexive thematic analysis (TA) and four other across-case approaches. Three of these are also widely used in counselling and psychotherapy research—qualitative content analysis, interpretative phenomenological analysis and grounded theory. The fourth—discourse analysis—is less widely used but importantly exemplifies the critical qualitative research tradition. We contextualise our comparative approach by highlighting the diversity within TA. TA is best thought of as a spectrum of methods—from types that prioritise coding accuracy and reliability to reflexive approaches like ours that emphasise the inescapable subjectivity of data interpretation. Although reflexive TA provides the point of comparison for our discussion of other across-case approaches, our aim is not to promote reflexive TA as ‘best’. Rather, we encourage the knowing selection and use of analytic methods and methodologies in counselling and psychotherapy research.","author":[{"dropping-particle":"","family":"Braun","given":"V.","non-dropping-particle":"","parse-names":false,"suffix":""},{"dropping-particle":"","family":"Clarke","given":"V.","non-dropping-particle":"","parse-names":false,"suffix":""}],"container-title":"Counselling and Psychotherapy Research","id":"ITEM-2","issue":"1","issued":{"date-parts":[["2021"]]},"page":"37-47","title":"Can I use TA? should I use TA? should I not use TA? comparing reflexive thematic analysis and other pattern-based qualitative analytic approaches","type":"article-journal","volume":"21"},"uris":["http://www.mendeley.com/documents/?uuid=33591136-7173-424b-abb2-19a78423fc58"]},{"id":"ITEM-3","itemData":{"ISBN":"9781446255278","author":[{"dropping-particle":"","family":"Braun","given":"V.","non-dropping-particle":"","parse-names":false,"suffix":""},{"dropping-particle":"","family":"Clarke","given":"V.","non-dropping-particle":"","parse-names":false,"suffix":""},{"dropping-particle":"","family":"Rance","given":"N.","non-dropping-particle":"","parse-names":false,"suffix":""}],"container-title":"The counselling and psychotherapy research handbook","editor":[{"dropping-particle":"","family":"Vossler","given":"A.","non-dropping-particle":"","parse-names":false,"suffix":""},{"dropping-particle":"","family":"Moller","given":"N.","non-dropping-particle":"","parse-names":false,"suffix":""}],"id":"ITEM-3","issued":{"date-parts":[["2015"]]},"page":"183-197","publisher":"SAGE Publications Ltd","publisher-place":"London","title":"How to use thematic analysis with interview data","type":"chapter"},"uris":["http://www.mendeley.com/documents/?uuid=c0b1168d-4425-4bea-a16a-2ca291a9f8c8"]}],"mendeley":{"formattedCitation":"(Braun et al., 2015; Braun &amp; Clarke, 2006, 2021a)","manualFormatting":"(Braun &amp; Clarke, 2006, 2021a; Braun et al., 2015)","plainTextFormattedCitation":"(Braun et al., 2015; Braun &amp; Clarke, 2006, 2021a)","previouslyFormattedCitation":"(Braun et al., 2015; Braun &amp; Clarke, 2006, 2021a)"},"properties":{"noteIndex":0},"schema":"https://github.com/citation-style-language/schema/raw/master/csl-citation.json"}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(Braun &amp; Clarke, 2006, 2021a; Braun et al., 2015)</w:t>
      </w:r>
      <w:r w:rsidRPr="00103A0B">
        <w:rPr>
          <w:rFonts w:ascii="Arial" w:hAnsi="Arial" w:cs="Arial"/>
          <w:sz w:val="24"/>
          <w:szCs w:val="24"/>
        </w:rPr>
        <w:fldChar w:fldCharType="end"/>
      </w:r>
      <w:r w:rsidRPr="00103A0B">
        <w:rPr>
          <w:rFonts w:ascii="Arial" w:hAnsi="Arial" w:cs="Arial"/>
          <w:sz w:val="24"/>
          <w:szCs w:val="24"/>
        </w:rPr>
        <w:t xml:space="preserve">.  At the latent level, the researcher goes beyond describing the data and starts to interpret the data by identifying the features that give it a certain form and meaning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psychology","type":"article-journal","volume":"3"},"uris":["http://www.mendeley.com/documents/?uuid=1366554b-d0d7-43f1-9a4f-92c3d9825f2e"]},{"id":"ITEM-2","itemData":{"DOI":"10.1002/capr.12360","ISSN":"17461405","abstract":"Thematic analysis methods, including the reflexive approach we have developed, are widely used in counselling and psychotherapy research, as are other approaches that seek to develop ‘patterns’ (themes, categories) across cases. Without a thorough grounding in the conceptual foundations of a wide variety of across-case analytic approaches, and qualitative research more broadly—something rarely offered in counselling training—it can be difficult to understand how these differ, where they overlap, and which might be appropriate for a particular research project. Our aim in this paper is to support researchers in counselling and psychotherapy to select an appropriate across-case approach for their research, and to justify their choice, by discussing conceptual and procedural differences and similarities between reflexive thematic analysis (TA) and four other across-case approaches. Three of these are also widely used in counselling and psychotherapy research—qualitative content analysis, interpretative phenomenological analysis and grounded theory. The fourth—discourse analysis—is less widely used but importantly exemplifies the critical qualitative research tradition. We contextualise our comparative approach by highlighting the diversity within TA. TA is best thought of as a spectrum of methods—from types that prioritise coding accuracy and reliability to reflexive approaches like ours that emphasise the inescapable subjectivity of data interpretation. Although reflexive TA provides the point of comparison for our discussion of other across-case approaches, our aim is not to promote reflexive TA as ‘best’. Rather, we encourage the knowing selection and use of analytic methods and methodologies in counselling and psychotherapy research.","author":[{"dropping-particle":"","family":"Braun","given":"V.","non-dropping-particle":"","parse-names":false,"suffix":""},{"dropping-particle":"","family":"Clarke","given":"V.","non-dropping-particle":"","parse-names":false,"suffix":""}],"container-title":"Counselling and Psychotherapy Research","id":"ITEM-2","issue":"1","issued":{"date-parts":[["2021"]]},"page":"37-47","title":"Can I use TA? should I use TA? should I not use TA? comparing reflexive thematic analysis and other pattern-based qualitative analytic approaches","type":"article-journal","volume":"21"},"uris":["http://www.mendeley.com/documents/?uuid=33591136-7173-424b-abb2-19a78423fc58"]}],"mendeley":{"formattedCitation":"(Braun &amp; Clarke, 2006, 2021a)","manualFormatting":"(Braun &amp; Clarke, 2006, 2021a)","plainTextFormattedCitation":"(Braun &amp; Clarke, 2006, 2021a)","previouslyFormattedCitation":"(Braun &amp; Clarke, 2006, 2021a)"},"properties":{"noteIndex":0},"schema":"https://github.com/citation-style-language/schema/raw/master/csl-citation.json"}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(Braun &amp; Clarke, 2006, 2021a)</w:t>
      </w:r>
      <w:r w:rsidRPr="00103A0B">
        <w:rPr>
          <w:rFonts w:ascii="Arial" w:hAnsi="Arial" w:cs="Arial"/>
          <w:sz w:val="24"/>
          <w:szCs w:val="24"/>
        </w:rPr>
        <w:fldChar w:fldCharType="end"/>
      </w:r>
      <w:r w:rsidRPr="00103A0B">
        <w:rPr>
          <w:rFonts w:ascii="Arial" w:hAnsi="Arial" w:cs="Arial"/>
          <w:sz w:val="24"/>
          <w:szCs w:val="24"/>
        </w:rPr>
        <w:t xml:space="preserve">. However, analysing the data from the latent level usually stems from a constructionist approach, so this was not the selected way of identifying themes as this research used a realist, essentialist approach, and identified themes at a semantic level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psychology","type":"article-journal","volume":"3"},"uris":["http://www.mendeley.com/documents/?uuid=1366554b-d0d7-43f1-9a4f-92c3d9825f2e"]}],"mendeley":{"formattedCitation":"(Braun &amp; Clarke, 2006)","manualFormatting":"(Braun &amp; Clarke, 2006)","plainTextFormattedCitation":"(Braun &amp; Clarke, 2006)","previouslyFormattedCitation":"(Braun &amp; Clarke,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(Braun &amp; Clarke, 2006)</w:t>
      </w:r>
      <w:r w:rsidRPr="00103A0B">
        <w:rPr>
          <w:rFonts w:ascii="Arial" w:hAnsi="Arial" w:cs="Arial"/>
          <w:sz w:val="24"/>
          <w:szCs w:val="24"/>
        </w:rPr>
        <w:fldChar w:fldCharType="end"/>
      </w:r>
      <w:r w:rsidRPr="00103A0B">
        <w:rPr>
          <w:rFonts w:ascii="Arial" w:hAnsi="Arial" w:cs="Arial"/>
          <w:sz w:val="24"/>
          <w:szCs w:val="24"/>
        </w:rPr>
        <w:t xml:space="preserve">. </w:t>
      </w:r>
    </w:p>
    <w:p w14:paraId="4BAF8552" w14:textId="7CDCE620" w:rsidR="000D641E" w:rsidRPr="00103A0B" w:rsidRDefault="000D641E" w:rsidP="00CD5919">
      <w:pPr>
        <w:spacing w:line="360" w:lineRule="auto"/>
        <w:jc w:val="both"/>
        <w:rPr>
          <w:rFonts w:ascii="Arial" w:hAnsi="Arial" w:cs="Arial"/>
          <w:sz w:val="24"/>
          <w:szCs w:val="24"/>
        </w:rPr>
      </w:pPr>
      <w:r w:rsidRPr="00103A0B">
        <w:rPr>
          <w:rFonts w:ascii="Arial" w:hAnsi="Arial" w:cs="Arial"/>
          <w:sz w:val="24"/>
          <w:szCs w:val="24"/>
          <w:lang w:eastAsia="en-GB"/>
        </w:rPr>
        <w:t>The final sub-themes and themes were reviewed, refined (e.g., merging two themes into one) and were rechecked against the original transcript to ensure authenticity</w:t>
      </w:r>
      <w:r w:rsidR="002C1CF9" w:rsidRPr="00103A0B">
        <w:rPr>
          <w:rFonts w:ascii="Arial" w:hAnsi="Arial" w:cs="Arial"/>
          <w:sz w:val="24"/>
          <w:szCs w:val="24"/>
          <w:lang w:eastAsia="en-GB"/>
        </w:rPr>
        <w:t>,</w:t>
      </w:r>
      <w:r w:rsidRPr="00103A0B">
        <w:rPr>
          <w:rFonts w:ascii="Arial" w:hAnsi="Arial" w:cs="Arial"/>
          <w:sz w:val="24"/>
          <w:szCs w:val="24"/>
          <w:lang w:eastAsia="en-GB"/>
        </w:rPr>
        <w:t xml:space="preserve"> and whether sufficient data were included to support each sub-theme and theme. Discussions also took place with supervisors (RP and NE with Chapter 5, and with RP for Chapter 6) to ensure sub-themes and themes were distinct, </w:t>
      </w:r>
      <w:proofErr w:type="gramStart"/>
      <w:r w:rsidRPr="00103A0B">
        <w:rPr>
          <w:rFonts w:ascii="Arial" w:hAnsi="Arial" w:cs="Arial"/>
          <w:sz w:val="24"/>
          <w:szCs w:val="24"/>
          <w:lang w:eastAsia="en-GB"/>
        </w:rPr>
        <w:t>clear</w:t>
      </w:r>
      <w:proofErr w:type="gramEnd"/>
      <w:r w:rsidRPr="00103A0B">
        <w:rPr>
          <w:rFonts w:ascii="Arial" w:hAnsi="Arial" w:cs="Arial"/>
          <w:sz w:val="24"/>
          <w:szCs w:val="24"/>
          <w:lang w:eastAsia="en-GB"/>
        </w:rPr>
        <w:t xml:space="preserve"> and compatible. Definitions and names for each theme were then finalised. </w:t>
      </w:r>
      <w:r w:rsidR="00A3732C" w:rsidRPr="00103A0B">
        <w:rPr>
          <w:rFonts w:ascii="Arial" w:hAnsi="Arial" w:cs="Arial"/>
          <w:sz w:val="24"/>
          <w:szCs w:val="24"/>
          <w:lang w:eastAsia="en-GB"/>
        </w:rPr>
        <w:t>M</w:t>
      </w:r>
      <w:r w:rsidRPr="00103A0B">
        <w:rPr>
          <w:rFonts w:ascii="Arial" w:hAnsi="Arial" w:cs="Arial"/>
          <w:sz w:val="24"/>
          <w:szCs w:val="24"/>
          <w:lang w:eastAsia="en-GB"/>
        </w:rPr>
        <w:t>odel diagram</w:t>
      </w:r>
      <w:r w:rsidR="00A3732C" w:rsidRPr="00103A0B">
        <w:rPr>
          <w:rFonts w:ascii="Arial" w:hAnsi="Arial" w:cs="Arial"/>
          <w:sz w:val="24"/>
          <w:szCs w:val="24"/>
          <w:lang w:eastAsia="en-GB"/>
        </w:rPr>
        <w:t>s</w:t>
      </w:r>
      <w:r w:rsidRPr="00103A0B">
        <w:rPr>
          <w:rFonts w:ascii="Arial" w:hAnsi="Arial" w:cs="Arial"/>
          <w:sz w:val="24"/>
          <w:szCs w:val="24"/>
          <w:lang w:eastAsia="en-GB"/>
        </w:rPr>
        <w:t xml:space="preserve"> of these themes w</w:t>
      </w:r>
      <w:r w:rsidR="00A3732C" w:rsidRPr="00103A0B">
        <w:rPr>
          <w:rFonts w:ascii="Arial" w:hAnsi="Arial" w:cs="Arial"/>
          <w:sz w:val="24"/>
          <w:szCs w:val="24"/>
          <w:lang w:eastAsia="en-GB"/>
        </w:rPr>
        <w:t>ere</w:t>
      </w:r>
      <w:r w:rsidRPr="00103A0B">
        <w:rPr>
          <w:rFonts w:ascii="Arial" w:hAnsi="Arial" w:cs="Arial"/>
          <w:sz w:val="24"/>
          <w:szCs w:val="24"/>
          <w:lang w:eastAsia="en-GB"/>
        </w:rPr>
        <w:t xml:space="preserve"> also created and how they influenced attendance/completion to the NHSDPP (Chapters 5 and 6). The analysis was then written up and scholarly paper</w:t>
      </w:r>
      <w:r w:rsidR="00A3732C" w:rsidRPr="00103A0B">
        <w:rPr>
          <w:rFonts w:ascii="Arial" w:hAnsi="Arial" w:cs="Arial"/>
          <w:sz w:val="24"/>
          <w:szCs w:val="24"/>
          <w:lang w:eastAsia="en-GB"/>
        </w:rPr>
        <w:t>s</w:t>
      </w:r>
      <w:r w:rsidRPr="00103A0B">
        <w:rPr>
          <w:rFonts w:ascii="Arial" w:hAnsi="Arial" w:cs="Arial"/>
          <w:sz w:val="24"/>
          <w:szCs w:val="24"/>
          <w:lang w:eastAsia="en-GB"/>
        </w:rPr>
        <w:t xml:space="preserve"> created (see Chapters 5 and 6). A 15-point checklist of criteria for good thematic analysis was also followed </w:t>
      </w:r>
      <w:r w:rsidRPr="00103A0B">
        <w:rPr>
          <w:rFonts w:ascii="Arial" w:hAnsi="Arial" w:cs="Arial"/>
          <w:sz w:val="24"/>
          <w:szCs w:val="24"/>
          <w:lang w:eastAsia="en-GB"/>
        </w:rPr>
        <w:fldChar w:fldCharType="begin" w:fldLock="1"/>
      </w:r>
      <w:r w:rsidR="00597BD1" w:rsidRPr="00103A0B">
        <w:rPr>
          <w:rFonts w:ascii="Arial" w:hAnsi="Arial" w:cs="Arial"/>
          <w:sz w:val="24"/>
          <w:szCs w:val="24"/>
          <w:lang w:eastAsia="en-GB"/>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psychology","type":"article-journal","volume":"3"},"uris":["http://www.mendeley.com/documents/?uuid=1366554b-d0d7-43f1-9a4f-92c3d9825f2e"]}],"mendeley":{"formattedCitation":"(Braun &amp; Clarke, 2006)","manualFormatting":"(Braun &amp; Clarke, 2006)","plainTextFormattedCitation":"(Braun &amp; Clarke, 2006)","previouslyFormattedCitation":"(Braun &amp; Clarke, 2006)"},"properties":{"noteIndex":0},"schema":"https://github.com/citation-style-language/schema/raw/master/csl-citation.json"}</w:instrText>
      </w:r>
      <w:r w:rsidRPr="00103A0B">
        <w:rPr>
          <w:rFonts w:ascii="Arial" w:hAnsi="Arial" w:cs="Arial"/>
          <w:sz w:val="24"/>
          <w:szCs w:val="24"/>
          <w:lang w:eastAsia="en-GB"/>
        </w:rPr>
        <w:fldChar w:fldCharType="separate"/>
      </w:r>
      <w:r w:rsidRPr="00103A0B">
        <w:rPr>
          <w:rFonts w:ascii="Arial" w:hAnsi="Arial" w:cs="Arial"/>
          <w:noProof/>
          <w:sz w:val="24"/>
          <w:szCs w:val="24"/>
          <w:lang w:eastAsia="en-GB"/>
        </w:rPr>
        <w:t>(Braun &amp; Clarke, 2006)</w:t>
      </w:r>
      <w:r w:rsidRPr="00103A0B">
        <w:rPr>
          <w:rFonts w:ascii="Arial" w:hAnsi="Arial" w:cs="Arial"/>
          <w:sz w:val="24"/>
          <w:szCs w:val="24"/>
          <w:lang w:eastAsia="en-GB"/>
        </w:rPr>
        <w:fldChar w:fldCharType="end"/>
      </w:r>
      <w:r w:rsidRPr="00103A0B">
        <w:rPr>
          <w:rFonts w:ascii="Arial" w:hAnsi="Arial" w:cs="Arial"/>
          <w:sz w:val="24"/>
          <w:szCs w:val="24"/>
          <w:lang w:eastAsia="en-GB"/>
        </w:rPr>
        <w:t xml:space="preserve">. </w:t>
      </w:r>
    </w:p>
    <w:p w14:paraId="279A7AA0" w14:textId="19A1B3E9" w:rsidR="000D641E" w:rsidRPr="00103A0B" w:rsidRDefault="000D641E" w:rsidP="00CD5919">
      <w:pPr>
        <w:spacing w:line="360" w:lineRule="auto"/>
        <w:jc w:val="both"/>
        <w:rPr>
          <w:rFonts w:ascii="Arial" w:hAnsi="Arial" w:cs="Arial"/>
          <w:i/>
          <w:iCs/>
          <w:sz w:val="24"/>
          <w:szCs w:val="24"/>
        </w:rPr>
      </w:pPr>
      <w:r w:rsidRPr="00103A0B">
        <w:rPr>
          <w:rFonts w:ascii="Arial" w:hAnsi="Arial" w:cs="Arial"/>
          <w:i/>
          <w:iCs/>
          <w:sz w:val="24"/>
          <w:szCs w:val="24"/>
        </w:rPr>
        <w:t xml:space="preserve">Reflexivity </w:t>
      </w:r>
    </w:p>
    <w:p w14:paraId="6C5F0BD0" w14:textId="4F4B9D05" w:rsidR="000D641E" w:rsidRPr="00103A0B" w:rsidRDefault="000D641E" w:rsidP="00CD5919">
      <w:pPr>
        <w:spacing w:before="240" w:line="360" w:lineRule="auto"/>
        <w:jc w:val="both"/>
        <w:rPr>
          <w:rFonts w:ascii="Arial" w:hAnsi="Arial" w:cs="Arial"/>
          <w:sz w:val="24"/>
          <w:szCs w:val="24"/>
        </w:rPr>
      </w:pPr>
      <w:r w:rsidRPr="00103A0B">
        <w:rPr>
          <w:rFonts w:ascii="Arial" w:hAnsi="Arial" w:cs="Arial"/>
          <w:sz w:val="24"/>
          <w:szCs w:val="24"/>
        </w:rPr>
        <w:t xml:space="preserve">Reflexivity involves the researcher being able to critically examine and reflect how they themselves can have an impact on the research process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{"citationItems":[{"id":"ITEM-1","itemData":{"author":[{"dropping-particle":"","family":"Finlay","given":"L.","non-dropping-particle":"","parse-names":false,"suffix":""}],"container-title":"Reflexivity: a practical guide for researchers in health and social sciences","id":"ITEM-1","issued":{"date-parts":[["2003"]]},"page":"3-20","publisher":"Blackwell Science","publisher-place":"Oxford","title":"The reflexive journey: mapping multiple routes","type":"chapter"},"uris":["http://www.mendeley.com/documents/?uuid=ca97d109-5d59-40e9-8eb8-99b280697158"]}],"mendeley":{"formattedCitation":"(Finlay, 2003)","plainTextFormattedCitation":"(Finlay, 2003)","previouslyFormattedCitation":"(Finlay, 2003)"},"properties":{"noteIndex":0},"schema":"https://github.com/citation-style-language/schema/raw/master/csl-citation.json"}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(Finlay, 2003)</w:t>
      </w:r>
      <w:r w:rsidRPr="00103A0B">
        <w:rPr>
          <w:rFonts w:ascii="Arial" w:hAnsi="Arial" w:cs="Arial"/>
          <w:sz w:val="24"/>
          <w:szCs w:val="24"/>
        </w:rPr>
        <w:fldChar w:fldCharType="end"/>
      </w:r>
      <w:r w:rsidRPr="00103A0B">
        <w:rPr>
          <w:rFonts w:ascii="Arial" w:hAnsi="Arial" w:cs="Arial"/>
          <w:sz w:val="24"/>
          <w:szCs w:val="24"/>
        </w:rPr>
        <w:t xml:space="preserve">. By engaging in personal and epistemological reflexivity, both the researcher and supervisor (SB and RP) were able to acknowledge how their </w:t>
      </w:r>
      <w:r w:rsidR="00A3732C" w:rsidRPr="00103A0B">
        <w:rPr>
          <w:rFonts w:ascii="Arial" w:hAnsi="Arial" w:cs="Arial"/>
          <w:sz w:val="24"/>
          <w:szCs w:val="24"/>
        </w:rPr>
        <w:t xml:space="preserve">backgrounds, </w:t>
      </w:r>
      <w:r w:rsidRPr="00103A0B">
        <w:rPr>
          <w:rFonts w:ascii="Arial" w:hAnsi="Arial" w:cs="Arial"/>
          <w:sz w:val="24"/>
          <w:szCs w:val="24"/>
        </w:rPr>
        <w:t>beliefs, interests in health psychology and their past experiences could have influenced their interpretation of the data.</w:t>
      </w:r>
      <w:r w:rsidR="002C1CF9" w:rsidRPr="00103A0B">
        <w:rPr>
          <w:rFonts w:ascii="Arial" w:hAnsi="Arial" w:cs="Arial"/>
          <w:sz w:val="24"/>
          <w:szCs w:val="24"/>
        </w:rPr>
        <w:t xml:space="preserve"> </w:t>
      </w:r>
      <w:r w:rsidRPr="00103A0B">
        <w:rPr>
          <w:rFonts w:ascii="Arial" w:hAnsi="Arial" w:cs="Arial"/>
          <w:sz w:val="24"/>
          <w:szCs w:val="24"/>
        </w:rPr>
        <w:t xml:space="preserve">Researcher subjectivity is the primary “tool” for reflexive thematic analysis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{"citationItems":[{"id":"ITEM-1","itemData":{"DOI":"10.1037/qup0000196","ISSN":"2326-3601","abstract":"Thematic analysis (TA) is widely used in qualitative psychology. In using TA, researchers must choose between a diverse range of approaches that can differ considerably in their underlying (but often implicit) conceptualizations of qualitative research, meaningful knowledge production, and key constructs such as themes, as well as analytic procedures. This diversity within the method of TA is typically poorly understood and rarely acknowledged, resulting in the frequent publication of research lacking in design coherence. Furthermore, because TA offers researchers something closer to a method (a transtheoretical tool or technique) rather than a methodology (a theoretically informed framework for research), one with considerable theoretical and design flexibility, researchers need to engage in careful conceptual and design thinking to produce TA research with methodological integrity. In this article, we support researchers in their conceptual and design thinking for TA, and particularly for the reflexive approach we have developed, by guiding them through the conceptual underpinnings of different approaches to TA, and key design considerations. We outline our typology of three main “schools” of TA—coding reliability, codebook, and reflexive—and consider how these differ in their conceptual underpinnings, with a particular focus on the distinct characteristics of our reflexive approach. We discuss key areas of design—research questions, data collection, participant/data item selection strategy and criteria, ethics, and quality standards and practices—and end with guidance on reporting standards for reflexive TA. (PsycInfo Database Record (c) 2021 APA, all rights reserved)","author":[{"dropping-particle":"","family":"Braun","given":"V.","non-dropping-particle":"","parse-names":false,"suffix":""},{"dropping-particle":"","family":"Clarke","given":"V.","non-dropping-particle":"","parse-names":false,"suffix":""}],"container-title":"Qualitative Psychology","id":"ITEM-1","issued":{"date-parts":[["2021"]]},"page":"1-25","title":"Conceptual and design thinking for thematic analysis.","type":"article-journal"},"uris":["http://www.mendeley.com/documents/?uuid=415310ab-8e52-4c5a-82cf-56fce2931842"]}],"mendeley":{"formattedCitation":"(Braun &amp; Clarke, 2021b)","manualFormatting":"(Braun &amp; Clarke, 2021b)","plainTextFormattedCitation":"(Braun &amp; Clarke, 2021b)","previouslyFormattedCitation":"(Braun &amp; Clarke, 2021b)"},"properties":{"noteIndex":0},"schema":"https://github.com/citation-style-language/schema/raw/master/csl-citation.json"}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(Braun &amp; Clarke, 2021b)</w:t>
      </w:r>
      <w:r w:rsidRPr="00103A0B">
        <w:rPr>
          <w:rFonts w:ascii="Arial" w:hAnsi="Arial" w:cs="Arial"/>
          <w:sz w:val="24"/>
          <w:szCs w:val="24"/>
        </w:rPr>
        <w:fldChar w:fldCharType="end"/>
      </w:r>
      <w:r w:rsidRPr="00103A0B">
        <w:rPr>
          <w:rFonts w:ascii="Arial" w:hAnsi="Arial" w:cs="Arial"/>
          <w:sz w:val="24"/>
          <w:szCs w:val="24"/>
        </w:rPr>
        <w:t xml:space="preserve">. </w:t>
      </w:r>
    </w:p>
    <w:p w14:paraId="67D3750F" w14:textId="062D0100" w:rsidR="00BB4E63" w:rsidRPr="00103A0B" w:rsidRDefault="000D641E" w:rsidP="00CD5919">
      <w:pPr>
        <w:spacing w:before="240" w:line="360" w:lineRule="auto"/>
        <w:jc w:val="both"/>
        <w:rPr>
          <w:rFonts w:ascii="Arial" w:hAnsi="Arial" w:cs="Arial"/>
          <w:sz w:val="24"/>
          <w:szCs w:val="24"/>
        </w:rPr>
      </w:pPr>
      <w:r w:rsidRPr="00103A0B">
        <w:rPr>
          <w:rFonts w:ascii="Arial" w:hAnsi="Arial" w:cs="Arial"/>
          <w:sz w:val="24"/>
          <w:szCs w:val="24"/>
        </w:rPr>
        <w:t xml:space="preserve">The researcher (SB) is a British Pakistani female health psychology researcher who has experiences of working for the NHS, caring for and supporting patients with long term conditions such as T2DM. During the process of this research, a family member who was informed of being at high risk of T2DM, was diagnosed with this condition. The supervisor (RP) is a British White female Chartered Psychologist and a Health Psychologist who has experiences, </w:t>
      </w:r>
      <w:proofErr w:type="gramStart"/>
      <w:r w:rsidRPr="00103A0B">
        <w:rPr>
          <w:rFonts w:ascii="Arial" w:hAnsi="Arial" w:cs="Arial"/>
          <w:sz w:val="24"/>
          <w:szCs w:val="24"/>
        </w:rPr>
        <w:t>interests</w:t>
      </w:r>
      <w:proofErr w:type="gramEnd"/>
      <w:r w:rsidRPr="00103A0B">
        <w:rPr>
          <w:rFonts w:ascii="Arial" w:hAnsi="Arial" w:cs="Arial"/>
          <w:sz w:val="24"/>
          <w:szCs w:val="24"/>
        </w:rPr>
        <w:t xml:space="preserve"> and expertise in the psychological aspects of healthy eating, dietary change and diabetes. A reflexive diary was kept </w:t>
      </w:r>
      <w:r w:rsidRPr="00103A0B">
        <w:rPr>
          <w:rFonts w:ascii="Arial" w:hAnsi="Arial" w:cs="Arial"/>
          <w:sz w:val="24"/>
          <w:szCs w:val="24"/>
        </w:rPr>
        <w:lastRenderedPageBreak/>
        <w:t xml:space="preserve">whilst conducting the interviews and data analyses </w:t>
      </w:r>
      <w:proofErr w:type="gramStart"/>
      <w:r w:rsidRPr="00103A0B">
        <w:rPr>
          <w:rFonts w:ascii="Arial" w:hAnsi="Arial" w:cs="Arial"/>
          <w:sz w:val="24"/>
          <w:szCs w:val="24"/>
        </w:rPr>
        <w:t>in order to</w:t>
      </w:r>
      <w:proofErr w:type="gramEnd"/>
      <w:r w:rsidRPr="00103A0B">
        <w:rPr>
          <w:rFonts w:ascii="Arial" w:hAnsi="Arial" w:cs="Arial"/>
          <w:sz w:val="24"/>
          <w:szCs w:val="24"/>
        </w:rPr>
        <w:t xml:space="preserve"> maintain rigour. During the analyses, both the researcher and supervisor (SB and RP) were aware of their background</w:t>
      </w:r>
      <w:r w:rsidR="00A3732C" w:rsidRPr="00103A0B">
        <w:rPr>
          <w:rFonts w:ascii="Arial" w:hAnsi="Arial" w:cs="Arial"/>
          <w:sz w:val="24"/>
          <w:szCs w:val="24"/>
        </w:rPr>
        <w:t>s</w:t>
      </w:r>
      <w:r w:rsidRPr="00103A0B">
        <w:rPr>
          <w:rFonts w:ascii="Arial" w:hAnsi="Arial" w:cs="Arial"/>
          <w:sz w:val="24"/>
          <w:szCs w:val="24"/>
        </w:rPr>
        <w:t xml:space="preserve"> and experiences and engaged in this process in a reflexive way. </w:t>
      </w:r>
    </w:p>
    <w:p w14:paraId="363EB437" w14:textId="38368FDF" w:rsidR="00BB4E63" w:rsidRPr="00103A0B" w:rsidRDefault="007D1261" w:rsidP="00BD4312">
      <w:pPr>
        <w:keepLines/>
        <w:jc w:val="both"/>
        <w:rPr>
          <w:rFonts w:ascii="Arial" w:hAnsi="Arial" w:cs="Arial"/>
          <w:b/>
          <w:bCs/>
          <w:sz w:val="24"/>
          <w:szCs w:val="24"/>
        </w:rPr>
      </w:pPr>
      <w:bookmarkStart w:id="146" w:name="_Toc354334853"/>
      <w:bookmarkStart w:id="147" w:name="_Toc354334998"/>
      <w:bookmarkStart w:id="148" w:name="_Toc354335143"/>
      <w:bookmarkStart w:id="149" w:name="_Toc354335288"/>
      <w:bookmarkStart w:id="150" w:name="_Toc354335433"/>
      <w:bookmarkStart w:id="151" w:name="_Toc354335578"/>
      <w:bookmarkStart w:id="152" w:name="_Toc354335723"/>
      <w:bookmarkStart w:id="153" w:name="_Toc354351630"/>
      <w:bookmarkStart w:id="154" w:name="_Toc354352409"/>
      <w:bookmarkStart w:id="155" w:name="_Toc354352564"/>
      <w:bookmarkStart w:id="156" w:name="_Toc354352719"/>
      <w:bookmarkStart w:id="157" w:name="_Ref355116279"/>
      <w:bookmarkStart w:id="158" w:name="_Toc363208620"/>
      <w:r w:rsidRPr="00103A0B">
        <w:rPr>
          <w:rFonts w:ascii="Arial" w:hAnsi="Arial" w:cs="Arial"/>
          <w:b/>
          <w:bCs/>
          <w:sz w:val="24"/>
          <w:szCs w:val="24"/>
        </w:rPr>
        <w:t xml:space="preserve">3.2.8 </w:t>
      </w:r>
      <w:r w:rsidR="00BB4E63" w:rsidRPr="00103A0B">
        <w:rPr>
          <w:rFonts w:ascii="Arial" w:hAnsi="Arial" w:cs="Arial"/>
          <w:b/>
          <w:bCs/>
          <w:sz w:val="24"/>
          <w:szCs w:val="24"/>
        </w:rPr>
        <w:t>Ethical Considerations</w:t>
      </w:r>
      <w:bookmarkEnd w:id="146"/>
      <w:bookmarkEnd w:id="147"/>
      <w:bookmarkEnd w:id="148"/>
      <w:bookmarkEnd w:id="149"/>
      <w:bookmarkEnd w:id="150"/>
      <w:bookmarkEnd w:id="151"/>
      <w:bookmarkEnd w:id="152"/>
      <w:bookmarkEnd w:id="153"/>
      <w:bookmarkEnd w:id="154"/>
      <w:bookmarkEnd w:id="155"/>
      <w:bookmarkEnd w:id="156"/>
      <w:bookmarkEnd w:id="157"/>
      <w:bookmarkEnd w:id="158"/>
    </w:p>
    <w:p w14:paraId="375E5427" w14:textId="3178952C" w:rsidR="007D1261" w:rsidRPr="00103A0B" w:rsidRDefault="007D1261" w:rsidP="00CD5919">
      <w:pPr>
        <w:spacing w:line="360" w:lineRule="auto"/>
        <w:jc w:val="both"/>
        <w:rPr>
          <w:rFonts w:ascii="Arial" w:hAnsi="Arial" w:cs="Arial"/>
          <w:sz w:val="24"/>
          <w:szCs w:val="24"/>
        </w:rPr>
      </w:pPr>
      <w:r w:rsidRPr="00103A0B">
        <w:rPr>
          <w:rFonts w:ascii="Arial" w:hAnsi="Arial" w:cs="Arial"/>
          <w:sz w:val="24"/>
          <w:szCs w:val="24"/>
        </w:rPr>
        <w:t xml:space="preserve">It is important that the participants’ physical, emotional and psychological well-being, health and beliefs are respected at all times when conducting research </w:t>
      </w:r>
      <w:r w:rsidRPr="00103A0B">
        <w:rPr>
          <w:rFonts w:ascii="Arial" w:hAnsi="Arial" w:cs="Arial"/>
          <w:sz w:val="24"/>
          <w:szCs w:val="24"/>
        </w:rPr>
        <w:fldChar w:fldCharType="begin" w:fldLock="1"/>
      </w:r>
      <w:r w:rsidR="00E24296" w:rsidRPr="00103A0B">
        <w:rPr>
          <w:rFonts w:ascii="Arial" w:hAnsi="Arial" w:cs="Arial"/>
          <w:sz w:val="24"/>
          <w:szCs w:val="24"/>
        </w:rPr>
        <w:instrText>ADDIN CSL_CITATION {"citationItems":[{"id":"ITEM-1","itemData":{"author":[{"dropping-particle":"","family":"King","given":"N.","non-dropping-particle":"","parse-names":false,"suffix":""}],"container-title":"Doing qualitative research in psychology: a practical guide","editor":[{"dropping-particle":"","family":"Forrester","given":"M.A.","non-dropping-particle":"","parse-names":false,"suffix":""}],"id":"ITEM-1","issued":{"date-parts":[["2010"]]},"page":"98-118","publisher":"SAGE Publications Ltd","publisher-place":"London","title":"Research ethics in qualitative research","type":"chapter"},"uris":["http://www.mendeley.com/documents/?uuid=b4863a42-47ac-4a6e-b651-cf5740830d2a"]}],"mendeley":{"formattedCitation":"(King, 2010)","plainTextFormattedCitation":"(King, 2010)","previouslyFormattedCitation":"(King,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(King, 2010)</w:t>
      </w:r>
      <w:r w:rsidRPr="00103A0B">
        <w:rPr>
          <w:rFonts w:ascii="Arial" w:hAnsi="Arial" w:cs="Arial"/>
          <w:sz w:val="24"/>
          <w:szCs w:val="24"/>
        </w:rPr>
        <w:fldChar w:fldCharType="end"/>
      </w:r>
      <w:r w:rsidRPr="00103A0B">
        <w:rPr>
          <w:rFonts w:ascii="Arial" w:hAnsi="Arial" w:cs="Arial"/>
          <w:sz w:val="24"/>
          <w:szCs w:val="24"/>
        </w:rPr>
        <w:t xml:space="preserve">. Research ethics exist to provide guidance to researchers on how research should be conducted in a moral, justifiable way </w:t>
      </w:r>
      <w:r w:rsidRPr="00103A0B">
        <w:rPr>
          <w:rFonts w:ascii="Arial" w:hAnsi="Arial" w:cs="Arial"/>
          <w:sz w:val="24"/>
          <w:szCs w:val="24"/>
        </w:rPr>
        <w:fldChar w:fldCharType="begin" w:fldLock="1"/>
      </w:r>
      <w:r w:rsidR="00E24296" w:rsidRPr="00103A0B">
        <w:rPr>
          <w:rFonts w:ascii="Arial" w:hAnsi="Arial" w:cs="Arial"/>
          <w:sz w:val="24"/>
          <w:szCs w:val="24"/>
        </w:rPr>
        <w:instrText>ADDIN CSL_CITATION {"citationItems":[{"id":"ITEM-1","itemData":{"author":[{"dropping-particle":"","family":"King","given":"N.","non-dropping-particle":"","parse-names":false,"suffix":""}],"container-title":"Doing qualitative research in psychology: a practical guide","editor":[{"dropping-particle":"","family":"Forrester","given":"M.A.","non-dropping-particle":"","parse-names":false,"suffix":""}],"id":"ITEM-1","issued":{"date-parts":[["2010"]]},"page":"98-118","publisher":"SAGE Publications Ltd","publisher-place":"London","title":"Research ethics in qualitative research","type":"chapter"},"uris":["http://www.mendeley.com/documents/?uuid=b4863a42-47ac-4a6e-b651-cf5740830d2a"]}],"mendeley":{"formattedCitation":"(King, 2010)","plainTextFormattedCitation":"(King, 2010)","previouslyFormattedCitation":"(King,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(King, 2010)</w:t>
      </w:r>
      <w:r w:rsidRPr="00103A0B">
        <w:rPr>
          <w:rFonts w:ascii="Arial" w:hAnsi="Arial" w:cs="Arial"/>
          <w:sz w:val="24"/>
          <w:szCs w:val="24"/>
        </w:rPr>
        <w:fldChar w:fldCharType="end"/>
      </w:r>
      <w:r w:rsidRPr="00103A0B">
        <w:rPr>
          <w:rFonts w:ascii="Arial" w:hAnsi="Arial" w:cs="Arial"/>
          <w:sz w:val="24"/>
          <w:szCs w:val="24"/>
        </w:rPr>
        <w:t>. The ethical considerations which were applicable to this research are discussed below, with a brief explanation on the steps taken by the researcher to ensure participant wellbeing. Full ethical approval was obtained from Staffordshire University’s ethics committee before starting data collection for each of the qualitative studies (March 2017),</w:t>
      </w:r>
      <w:r w:rsidR="00A3732C" w:rsidRPr="00103A0B">
        <w:rPr>
          <w:rFonts w:ascii="Arial" w:hAnsi="Arial" w:cs="Arial"/>
          <w:sz w:val="24"/>
          <w:szCs w:val="24"/>
        </w:rPr>
        <w:t xml:space="preserve"> and</w:t>
      </w:r>
      <w:r w:rsidRPr="00103A0B">
        <w:rPr>
          <w:rFonts w:ascii="Arial" w:hAnsi="Arial" w:cs="Arial"/>
          <w:sz w:val="24"/>
          <w:szCs w:val="24"/>
        </w:rPr>
        <w:t xml:space="preserve"> proportionate ethics obtained for analysing the quantitative study (see Appendices </w:t>
      </w:r>
      <w:r w:rsidR="004649EF" w:rsidRPr="00103A0B">
        <w:rPr>
          <w:rFonts w:ascii="Arial" w:hAnsi="Arial" w:cs="Arial"/>
          <w:sz w:val="24"/>
          <w:szCs w:val="24"/>
        </w:rPr>
        <w:t>10</w:t>
      </w:r>
      <w:r w:rsidRPr="00103A0B">
        <w:rPr>
          <w:rFonts w:ascii="Arial" w:hAnsi="Arial" w:cs="Arial"/>
          <w:sz w:val="24"/>
          <w:szCs w:val="24"/>
        </w:rPr>
        <w:t xml:space="preserve"> and</w:t>
      </w:r>
      <w:r w:rsidR="004649EF" w:rsidRPr="00103A0B">
        <w:rPr>
          <w:rFonts w:ascii="Arial" w:hAnsi="Arial" w:cs="Arial"/>
          <w:sz w:val="24"/>
          <w:szCs w:val="24"/>
        </w:rPr>
        <w:t xml:space="preserve"> 11</w:t>
      </w:r>
      <w:r w:rsidRPr="00103A0B">
        <w:rPr>
          <w:rFonts w:ascii="Arial" w:hAnsi="Arial" w:cs="Arial"/>
          <w:sz w:val="24"/>
          <w:szCs w:val="24"/>
        </w:rPr>
        <w:t xml:space="preserve"> for confirmation of ethical approval)</w:t>
      </w:r>
      <w:r w:rsidR="00A3732C" w:rsidRPr="00103A0B">
        <w:rPr>
          <w:rFonts w:ascii="Arial" w:hAnsi="Arial" w:cs="Arial"/>
          <w:sz w:val="24"/>
          <w:szCs w:val="24"/>
        </w:rPr>
        <w:t>. All the</w:t>
      </w:r>
      <w:r w:rsidRPr="00103A0B">
        <w:rPr>
          <w:rFonts w:ascii="Arial" w:hAnsi="Arial" w:cs="Arial"/>
          <w:sz w:val="24"/>
          <w:szCs w:val="24"/>
        </w:rPr>
        <w:t xml:space="preserve"> research followed BPS ethical guidelines </w:t>
      </w:r>
      <w:r w:rsidRPr="00103A0B">
        <w:rPr>
          <w:rFonts w:ascii="Arial" w:hAnsi="Arial" w:cs="Arial"/>
          <w:sz w:val="24"/>
          <w:szCs w:val="24"/>
        </w:rPr>
        <w:fldChar w:fldCharType="begin" w:fldLock="1"/>
      </w:r>
      <w:r w:rsidR="00605D1E" w:rsidRPr="00103A0B">
        <w:rPr>
          <w:rFonts w:ascii="Arial" w:hAnsi="Arial" w:cs="Arial"/>
          <w:sz w:val="24"/>
          <w:szCs w:val="24"/>
        </w:rPr>
        <w:instrText>ADDIN CSL_CITATION {"citationItems":[{"id":"ITEM-1","itemData":{"ISBN":"978-1-85433-759-7","abstract":"This code was written by the Ethics Committee of the British Psychological Society.","author":[{"dropping-particle":"","family":"The British Psychological Society","given":"","non-dropping-particle":"","parse-names":false,"suffix":""}],"container-title":"The British Psychological Society","id":"ITEM-1","issued":{"date-parts":[["2018"]]},"number-of-pages":"1-10","title":"Code of ethics and conduct","type":"report"},"uris":["http://www.mendeley.com/documents/?uuid=d3d7f973-588b-495b-8e7a-1af11bfabd29"]}],"mendeley":{"formattedCitation":"(The British Psychological Society, 2018)","plainTextFormattedCitation":"(The British Psychological Society, 2018)","previouslyFormattedCitation":"(The British Psychological Society,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(The British Psychological Society, 2018)</w:t>
      </w:r>
      <w:r w:rsidRPr="00103A0B">
        <w:rPr>
          <w:rFonts w:ascii="Arial" w:hAnsi="Arial" w:cs="Arial"/>
          <w:sz w:val="24"/>
          <w:szCs w:val="24"/>
        </w:rPr>
        <w:fldChar w:fldCharType="end"/>
      </w:r>
      <w:r w:rsidRPr="00103A0B">
        <w:rPr>
          <w:rFonts w:ascii="Arial" w:hAnsi="Arial" w:cs="Arial"/>
          <w:sz w:val="24"/>
          <w:szCs w:val="24"/>
        </w:rPr>
        <w:t xml:space="preserve">. </w:t>
      </w:r>
    </w:p>
    <w:p w14:paraId="38CF20F4" w14:textId="77777777" w:rsidR="007D1261" w:rsidRPr="00103A0B" w:rsidRDefault="007D1261" w:rsidP="00CD5919">
      <w:pPr>
        <w:pStyle w:val="ListParagraph"/>
        <w:numPr>
          <w:ilvl w:val="0"/>
          <w:numId w:val="6"/>
        </w:numPr>
        <w:spacing w:after="200" w:line="360" w:lineRule="auto"/>
        <w:jc w:val="both"/>
        <w:rPr>
          <w:rFonts w:ascii="Arial" w:hAnsi="Arial" w:cs="Arial"/>
          <w:i/>
          <w:iCs/>
          <w:sz w:val="24"/>
          <w:szCs w:val="24"/>
        </w:rPr>
      </w:pPr>
      <w:bookmarkStart w:id="159" w:name="_Toc354334854"/>
      <w:bookmarkStart w:id="160" w:name="_Toc354334999"/>
      <w:bookmarkStart w:id="161" w:name="_Toc354335144"/>
      <w:bookmarkStart w:id="162" w:name="_Toc354335289"/>
      <w:bookmarkStart w:id="163" w:name="_Toc354335434"/>
      <w:bookmarkStart w:id="164" w:name="_Toc354335579"/>
      <w:bookmarkStart w:id="165" w:name="_Toc354335724"/>
      <w:bookmarkStart w:id="166" w:name="_Toc354351631"/>
      <w:bookmarkStart w:id="167" w:name="_Toc354352410"/>
      <w:bookmarkStart w:id="168" w:name="_Toc354352565"/>
      <w:bookmarkStart w:id="169" w:name="_Toc354352720"/>
      <w:bookmarkStart w:id="170" w:name="_Toc363208621"/>
      <w:r w:rsidRPr="00103A0B">
        <w:rPr>
          <w:rFonts w:ascii="Arial" w:hAnsi="Arial" w:cs="Arial"/>
          <w:i/>
          <w:iCs/>
          <w:sz w:val="24"/>
          <w:szCs w:val="24"/>
        </w:rPr>
        <w:t>Informed Consent</w:t>
      </w:r>
      <w:bookmarkEnd w:id="159"/>
      <w:bookmarkEnd w:id="160"/>
      <w:bookmarkEnd w:id="161"/>
      <w:bookmarkEnd w:id="162"/>
      <w:bookmarkEnd w:id="163"/>
      <w:bookmarkEnd w:id="164"/>
      <w:bookmarkEnd w:id="165"/>
      <w:bookmarkEnd w:id="166"/>
      <w:bookmarkEnd w:id="167"/>
      <w:bookmarkEnd w:id="168"/>
      <w:bookmarkEnd w:id="169"/>
      <w:bookmarkEnd w:id="170"/>
    </w:p>
    <w:p w14:paraId="7D3000BC" w14:textId="50B6D008" w:rsidR="007D1261" w:rsidRPr="00103A0B" w:rsidRDefault="007D1261" w:rsidP="00CD5919">
      <w:p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Written, informed consent was obtained before undertaking interviews. It was important to make sure participants were given enough opportunity to understand the purpose and potential consequences of taking part in this research. All participants were given an opportunity to read the study information sheet</w:t>
      </w:r>
      <w:r w:rsidR="00A3732C" w:rsidRPr="00103A0B">
        <w:rPr>
          <w:rFonts w:ascii="Arial" w:hAnsi="Arial" w:cs="Arial"/>
          <w:sz w:val="24"/>
          <w:szCs w:val="24"/>
        </w:rPr>
        <w:t>s</w:t>
      </w:r>
      <w:r w:rsidRPr="00103A0B">
        <w:rPr>
          <w:rFonts w:ascii="Arial" w:hAnsi="Arial" w:cs="Arial"/>
          <w:sz w:val="24"/>
          <w:szCs w:val="24"/>
        </w:rPr>
        <w:t xml:space="preserve"> which were posted to them on our behalf by the local provider </w:t>
      </w:r>
      <w:proofErr w:type="gramStart"/>
      <w:r w:rsidRPr="00103A0B">
        <w:rPr>
          <w:rFonts w:ascii="Arial" w:hAnsi="Arial" w:cs="Arial"/>
          <w:sz w:val="24"/>
          <w:szCs w:val="24"/>
        </w:rPr>
        <w:t>and also</w:t>
      </w:r>
      <w:proofErr w:type="gramEnd"/>
      <w:r w:rsidRPr="00103A0B">
        <w:rPr>
          <w:rFonts w:ascii="Arial" w:hAnsi="Arial" w:cs="Arial"/>
          <w:sz w:val="24"/>
          <w:szCs w:val="24"/>
        </w:rPr>
        <w:t xml:space="preserve"> before conducting the interview (see Appendices 1</w:t>
      </w:r>
      <w:r w:rsidR="004649EF" w:rsidRPr="00103A0B">
        <w:rPr>
          <w:rFonts w:ascii="Arial" w:hAnsi="Arial" w:cs="Arial"/>
          <w:sz w:val="24"/>
          <w:szCs w:val="24"/>
        </w:rPr>
        <w:t>2</w:t>
      </w:r>
      <w:r w:rsidRPr="00103A0B">
        <w:rPr>
          <w:rFonts w:ascii="Arial" w:hAnsi="Arial" w:cs="Arial"/>
          <w:sz w:val="24"/>
          <w:szCs w:val="24"/>
        </w:rPr>
        <w:t xml:space="preserve"> and 1</w:t>
      </w:r>
      <w:r w:rsidR="004649EF" w:rsidRPr="00103A0B">
        <w:rPr>
          <w:rFonts w:ascii="Arial" w:hAnsi="Arial" w:cs="Arial"/>
          <w:sz w:val="24"/>
          <w:szCs w:val="24"/>
        </w:rPr>
        <w:t>3</w:t>
      </w:r>
      <w:r w:rsidRPr="00103A0B">
        <w:rPr>
          <w:rFonts w:ascii="Arial" w:hAnsi="Arial" w:cs="Arial"/>
          <w:sz w:val="24"/>
          <w:szCs w:val="24"/>
        </w:rPr>
        <w:t xml:space="preserve"> for the invitation letter and information sheet, and Chapter 5). When these participants were later contacted after completing/not completing the programme, invitation letters and information sheets were emailed to them by using the contact details participants had provided (see Appendices 1</w:t>
      </w:r>
      <w:r w:rsidR="004649EF" w:rsidRPr="00103A0B">
        <w:rPr>
          <w:rFonts w:ascii="Arial" w:hAnsi="Arial" w:cs="Arial"/>
          <w:sz w:val="24"/>
          <w:szCs w:val="24"/>
        </w:rPr>
        <w:t>4</w:t>
      </w:r>
      <w:r w:rsidRPr="00103A0B">
        <w:rPr>
          <w:rFonts w:ascii="Arial" w:hAnsi="Arial" w:cs="Arial"/>
          <w:sz w:val="24"/>
          <w:szCs w:val="24"/>
        </w:rPr>
        <w:t>, 1</w:t>
      </w:r>
      <w:r w:rsidR="004649EF" w:rsidRPr="00103A0B">
        <w:rPr>
          <w:rFonts w:ascii="Arial" w:hAnsi="Arial" w:cs="Arial"/>
          <w:sz w:val="24"/>
          <w:szCs w:val="24"/>
        </w:rPr>
        <w:t>5</w:t>
      </w:r>
      <w:r w:rsidRPr="00103A0B">
        <w:rPr>
          <w:rFonts w:ascii="Arial" w:hAnsi="Arial" w:cs="Arial"/>
          <w:sz w:val="24"/>
          <w:szCs w:val="24"/>
        </w:rPr>
        <w:t xml:space="preserve"> and Chapter 6). Once the researcher ensured the participant fully understood the nature of the study and their rights to withdraw at any time even after participation, an opportunity was given to ask any questions, and participants were then asked to sign a consent form before taking part (see Appendices 1</w:t>
      </w:r>
      <w:r w:rsidR="004649EF" w:rsidRPr="00103A0B">
        <w:rPr>
          <w:rFonts w:ascii="Arial" w:hAnsi="Arial" w:cs="Arial"/>
          <w:sz w:val="24"/>
          <w:szCs w:val="24"/>
        </w:rPr>
        <w:t>6</w:t>
      </w:r>
      <w:r w:rsidRPr="00103A0B">
        <w:rPr>
          <w:rFonts w:ascii="Arial" w:hAnsi="Arial" w:cs="Arial"/>
          <w:sz w:val="24"/>
          <w:szCs w:val="24"/>
        </w:rPr>
        <w:t xml:space="preserve"> and 1</w:t>
      </w:r>
      <w:r w:rsidR="004649EF" w:rsidRPr="00103A0B">
        <w:rPr>
          <w:rFonts w:ascii="Arial" w:hAnsi="Arial" w:cs="Arial"/>
          <w:sz w:val="24"/>
          <w:szCs w:val="24"/>
        </w:rPr>
        <w:t>7</w:t>
      </w:r>
      <w:r w:rsidRPr="00103A0B">
        <w:rPr>
          <w:rFonts w:ascii="Arial" w:hAnsi="Arial" w:cs="Arial"/>
          <w:sz w:val="24"/>
          <w:szCs w:val="24"/>
        </w:rPr>
        <w:t xml:space="preserve"> for consent forms). </w:t>
      </w:r>
    </w:p>
    <w:p w14:paraId="3599332B" w14:textId="77777777" w:rsidR="007D1261" w:rsidRPr="00103A0B" w:rsidRDefault="007D1261" w:rsidP="00CD5919">
      <w:pPr>
        <w:pStyle w:val="ListParagraph"/>
        <w:numPr>
          <w:ilvl w:val="0"/>
          <w:numId w:val="6"/>
        </w:numPr>
        <w:spacing w:after="200" w:line="360" w:lineRule="auto"/>
        <w:jc w:val="both"/>
        <w:rPr>
          <w:rFonts w:ascii="Arial" w:hAnsi="Arial" w:cs="Arial"/>
          <w:i/>
          <w:iCs/>
          <w:sz w:val="24"/>
          <w:szCs w:val="24"/>
        </w:rPr>
      </w:pPr>
      <w:bookmarkStart w:id="171" w:name="_Toc354334856"/>
      <w:bookmarkStart w:id="172" w:name="_Toc354335001"/>
      <w:bookmarkStart w:id="173" w:name="_Toc354335146"/>
      <w:bookmarkStart w:id="174" w:name="_Toc354335291"/>
      <w:bookmarkStart w:id="175" w:name="_Toc354335436"/>
      <w:bookmarkStart w:id="176" w:name="_Toc354335581"/>
      <w:bookmarkStart w:id="177" w:name="_Toc354335726"/>
      <w:bookmarkStart w:id="178" w:name="_Toc354351633"/>
      <w:bookmarkStart w:id="179" w:name="_Toc354352412"/>
      <w:bookmarkStart w:id="180" w:name="_Toc354352567"/>
      <w:bookmarkStart w:id="181" w:name="_Toc354352722"/>
      <w:bookmarkStart w:id="182" w:name="_Toc363208623"/>
      <w:r w:rsidRPr="00103A0B">
        <w:rPr>
          <w:rFonts w:ascii="Arial" w:hAnsi="Arial" w:cs="Arial"/>
          <w:i/>
          <w:iCs/>
          <w:sz w:val="24"/>
          <w:szCs w:val="24"/>
        </w:rPr>
        <w:t>Anonymity and Confidentiality</w:t>
      </w:r>
      <w:bookmarkEnd w:id="171"/>
      <w:bookmarkEnd w:id="172"/>
      <w:bookmarkEnd w:id="173"/>
      <w:bookmarkEnd w:id="174"/>
      <w:bookmarkEnd w:id="175"/>
      <w:bookmarkEnd w:id="176"/>
      <w:bookmarkEnd w:id="177"/>
      <w:bookmarkEnd w:id="178"/>
      <w:bookmarkEnd w:id="179"/>
      <w:bookmarkEnd w:id="180"/>
      <w:bookmarkEnd w:id="181"/>
      <w:bookmarkEnd w:id="182"/>
    </w:p>
    <w:p w14:paraId="514CD0A9" w14:textId="3FFF62A3" w:rsidR="007D1261" w:rsidRPr="00103A0B" w:rsidRDefault="007D1261" w:rsidP="00CD5919">
      <w:pPr>
        <w:spacing w:line="360" w:lineRule="auto"/>
        <w:jc w:val="both"/>
        <w:rPr>
          <w:rFonts w:ascii="Arial" w:hAnsi="Arial" w:cs="Arial"/>
          <w:sz w:val="24"/>
          <w:szCs w:val="24"/>
        </w:rPr>
      </w:pPr>
      <w:r w:rsidRPr="00103A0B">
        <w:rPr>
          <w:rFonts w:ascii="Arial" w:hAnsi="Arial" w:cs="Arial"/>
          <w:sz w:val="24"/>
          <w:szCs w:val="24"/>
        </w:rPr>
        <w:lastRenderedPageBreak/>
        <w:t>Participants were informed that their identities would remain anonymous even when using their quotes to write up papers, reports or presentations, and that</w:t>
      </w:r>
      <w:r w:rsidR="00A3732C" w:rsidRPr="00103A0B">
        <w:rPr>
          <w:rFonts w:ascii="Arial" w:hAnsi="Arial" w:cs="Arial"/>
          <w:sz w:val="24"/>
          <w:szCs w:val="24"/>
        </w:rPr>
        <w:t xml:space="preserve"> only</w:t>
      </w:r>
      <w:r w:rsidRPr="00103A0B">
        <w:rPr>
          <w:rFonts w:ascii="Arial" w:hAnsi="Arial" w:cs="Arial"/>
          <w:sz w:val="24"/>
          <w:szCs w:val="24"/>
        </w:rPr>
        <w:t xml:space="preserve"> the researcher was aware of their identities. Each participant was given a random number and a pseudonym to ensure anonymity, and any personal, identifiable information was not transcribed. Participants were informed that although 100% confidentially was not possible to maintain due to quotes being used to write up reports, papers and presentations, these quotes will be presented in an anonymous way. </w:t>
      </w:r>
      <w:bookmarkStart w:id="183" w:name="_Toc354334855"/>
      <w:bookmarkStart w:id="184" w:name="_Toc354335000"/>
      <w:bookmarkStart w:id="185" w:name="_Toc354335145"/>
      <w:bookmarkStart w:id="186" w:name="_Toc354335290"/>
      <w:bookmarkStart w:id="187" w:name="_Toc354335435"/>
      <w:bookmarkStart w:id="188" w:name="_Toc354335580"/>
      <w:bookmarkStart w:id="189" w:name="_Toc354335725"/>
      <w:bookmarkStart w:id="190" w:name="_Toc354351632"/>
      <w:bookmarkStart w:id="191" w:name="_Toc354352411"/>
      <w:bookmarkStart w:id="192" w:name="_Toc354352566"/>
      <w:bookmarkStart w:id="193" w:name="_Toc354352721"/>
      <w:bookmarkStart w:id="194" w:name="_Toc363208622"/>
    </w:p>
    <w:p w14:paraId="0AEDCDA5" w14:textId="77777777" w:rsidR="007D1261" w:rsidRPr="00103A0B" w:rsidRDefault="007D1261" w:rsidP="00CD5919">
      <w:pPr>
        <w:pStyle w:val="ListParagraph"/>
        <w:numPr>
          <w:ilvl w:val="0"/>
          <w:numId w:val="6"/>
        </w:numPr>
        <w:spacing w:after="200" w:line="360" w:lineRule="auto"/>
        <w:jc w:val="both"/>
        <w:rPr>
          <w:rFonts w:ascii="Arial" w:hAnsi="Arial" w:cs="Arial"/>
          <w:i/>
          <w:iCs/>
          <w:sz w:val="24"/>
          <w:szCs w:val="24"/>
        </w:rPr>
      </w:pPr>
      <w:bookmarkStart w:id="195" w:name="_Toc354334859"/>
      <w:bookmarkStart w:id="196" w:name="_Toc354335004"/>
      <w:bookmarkStart w:id="197" w:name="_Toc354335149"/>
      <w:bookmarkStart w:id="198" w:name="_Toc354335294"/>
      <w:bookmarkStart w:id="199" w:name="_Toc354335439"/>
      <w:bookmarkStart w:id="200" w:name="_Toc354335584"/>
      <w:bookmarkStart w:id="201" w:name="_Toc354335729"/>
      <w:bookmarkStart w:id="202" w:name="_Toc354351636"/>
      <w:bookmarkStart w:id="203" w:name="_Toc354352415"/>
      <w:bookmarkStart w:id="204" w:name="_Toc354352570"/>
      <w:bookmarkStart w:id="205" w:name="_Toc354352725"/>
      <w:bookmarkStart w:id="206" w:name="_Toc363208626"/>
      <w:bookmarkEnd w:id="183"/>
      <w:bookmarkEnd w:id="184"/>
      <w:bookmarkEnd w:id="185"/>
      <w:bookmarkEnd w:id="186"/>
      <w:bookmarkEnd w:id="187"/>
      <w:bookmarkEnd w:id="188"/>
      <w:bookmarkEnd w:id="189"/>
      <w:bookmarkEnd w:id="190"/>
      <w:bookmarkEnd w:id="191"/>
      <w:bookmarkEnd w:id="192"/>
      <w:bookmarkEnd w:id="193"/>
      <w:bookmarkEnd w:id="194"/>
      <w:r w:rsidRPr="00103A0B">
        <w:rPr>
          <w:rFonts w:ascii="Arial" w:hAnsi="Arial" w:cs="Arial"/>
          <w:i/>
          <w:iCs/>
          <w:sz w:val="24"/>
          <w:szCs w:val="24"/>
        </w:rPr>
        <w:t>Protection of Participants</w:t>
      </w:r>
      <w:bookmarkEnd w:id="195"/>
      <w:bookmarkEnd w:id="196"/>
      <w:bookmarkEnd w:id="197"/>
      <w:bookmarkEnd w:id="198"/>
      <w:bookmarkEnd w:id="199"/>
      <w:bookmarkEnd w:id="200"/>
      <w:bookmarkEnd w:id="201"/>
      <w:bookmarkEnd w:id="202"/>
      <w:bookmarkEnd w:id="203"/>
      <w:bookmarkEnd w:id="204"/>
      <w:bookmarkEnd w:id="205"/>
      <w:bookmarkEnd w:id="206"/>
      <w:r w:rsidRPr="00103A0B">
        <w:rPr>
          <w:rFonts w:ascii="Arial" w:hAnsi="Arial" w:cs="Arial"/>
          <w:i/>
          <w:iCs/>
          <w:sz w:val="24"/>
          <w:szCs w:val="24"/>
        </w:rPr>
        <w:t xml:space="preserve"> from any Harm</w:t>
      </w:r>
    </w:p>
    <w:p w14:paraId="7A04C247" w14:textId="4377D4EA" w:rsidR="00B105F5" w:rsidRPr="00103A0B" w:rsidRDefault="007D1261" w:rsidP="00CD5919">
      <w:pPr>
        <w:spacing w:line="360" w:lineRule="auto"/>
        <w:jc w:val="both"/>
        <w:rPr>
          <w:rFonts w:ascii="Arial" w:hAnsi="Arial" w:cs="Arial"/>
          <w:sz w:val="24"/>
          <w:szCs w:val="24"/>
        </w:rPr>
      </w:pPr>
      <w:r w:rsidRPr="00103A0B">
        <w:rPr>
          <w:rFonts w:ascii="Arial" w:hAnsi="Arial" w:cs="Arial"/>
          <w:sz w:val="24"/>
          <w:szCs w:val="24"/>
        </w:rPr>
        <w:t xml:space="preserve">A primary role of researchers is to protect their participants from any physical, emotional or psychological harm </w:t>
      </w:r>
      <w:r w:rsidRPr="00103A0B">
        <w:rPr>
          <w:rFonts w:ascii="Arial" w:hAnsi="Arial" w:cs="Arial"/>
          <w:sz w:val="24"/>
          <w:szCs w:val="24"/>
        </w:rPr>
        <w:fldChar w:fldCharType="begin" w:fldLock="1"/>
      </w:r>
      <w:r w:rsidR="00E24296" w:rsidRPr="00103A0B">
        <w:rPr>
          <w:rFonts w:ascii="Arial" w:hAnsi="Arial" w:cs="Arial"/>
          <w:sz w:val="24"/>
          <w:szCs w:val="24"/>
        </w:rPr>
        <w:instrText>ADDIN CSL_CITATION {"citationItems":[{"id":"ITEM-1","itemData":{"author":[{"dropping-particle":"","family":"King","given":"N.","non-dropping-particle":"","parse-names":false,"suffix":""}],"container-title":"Doing qualitative research in psychology: a practical guide","editor":[{"dropping-particle":"","family":"Forrester","given":"M.A.","non-dropping-particle":"","parse-names":false,"suffix":""}],"id":"ITEM-1","issued":{"date-parts":[["2010"]]},"page":"98-118","publisher":"SAGE Publications Ltd","publisher-place":"London","title":"Research ethics in qualitative research","type":"chapter"},"uris":["http://www.mendeley.com/documents/?uuid=b4863a42-47ac-4a6e-b651-cf5740830d2a"]}],"mendeley":{"formattedCitation":"(King, 2010)","plainTextFormattedCitation":"(King, 2010)","previouslyFormattedCitation":"(King,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(King, 2010)</w:t>
      </w:r>
      <w:r w:rsidRPr="00103A0B">
        <w:rPr>
          <w:rFonts w:ascii="Arial" w:hAnsi="Arial" w:cs="Arial"/>
          <w:sz w:val="24"/>
          <w:szCs w:val="24"/>
        </w:rPr>
        <w:fldChar w:fldCharType="end"/>
      </w:r>
      <w:r w:rsidRPr="00103A0B">
        <w:rPr>
          <w:rFonts w:ascii="Arial" w:hAnsi="Arial" w:cs="Arial"/>
          <w:sz w:val="24"/>
          <w:szCs w:val="24"/>
        </w:rPr>
        <w:t xml:space="preserve">. When planning this research study, it was important to ensure all potential risks to participants were addressed and eliminated. Interviews took place in the same location after participants had attended their IA, this minimised any risks to their physical or psychological health as they knew and were familiar of their surroundings and the location of their interview, and it reduced participant burden. Participants were under no pressure to participate; they were given the opportunity to take part in the interviews after their IA or rearrange another day if they wished to do so. Detailed information was provided after their interview where they could access more programme information, contact counselling </w:t>
      </w:r>
      <w:proofErr w:type="gramStart"/>
      <w:r w:rsidRPr="00103A0B">
        <w:rPr>
          <w:rFonts w:ascii="Arial" w:hAnsi="Arial" w:cs="Arial"/>
          <w:sz w:val="24"/>
          <w:szCs w:val="24"/>
        </w:rPr>
        <w:t>services</w:t>
      </w:r>
      <w:proofErr w:type="gramEnd"/>
      <w:r w:rsidRPr="00103A0B">
        <w:rPr>
          <w:rFonts w:ascii="Arial" w:hAnsi="Arial" w:cs="Arial"/>
          <w:sz w:val="24"/>
          <w:szCs w:val="24"/>
        </w:rPr>
        <w:t xml:space="preserve"> or seek help. This also helped to minimise any risks to their physical and/or psychological health. The same procedure was followed when conducting telephone interviews (Chapter 6). </w:t>
      </w:r>
    </w:p>
    <w:p w14:paraId="2134030A" w14:textId="77777777" w:rsidR="007D1261" w:rsidRPr="00103A0B" w:rsidRDefault="007D1261" w:rsidP="00CD5919">
      <w:pPr>
        <w:pStyle w:val="ListParagraph"/>
        <w:numPr>
          <w:ilvl w:val="0"/>
          <w:numId w:val="6"/>
        </w:numPr>
        <w:spacing w:after="200" w:line="360" w:lineRule="auto"/>
        <w:jc w:val="both"/>
        <w:rPr>
          <w:rFonts w:ascii="Arial" w:hAnsi="Arial" w:cs="Arial"/>
          <w:i/>
          <w:iCs/>
          <w:sz w:val="24"/>
          <w:szCs w:val="24"/>
        </w:rPr>
      </w:pPr>
      <w:bookmarkStart w:id="207" w:name="_Toc354334858"/>
      <w:bookmarkStart w:id="208" w:name="_Toc354335003"/>
      <w:bookmarkStart w:id="209" w:name="_Toc354335148"/>
      <w:bookmarkStart w:id="210" w:name="_Toc354335293"/>
      <w:bookmarkStart w:id="211" w:name="_Toc354335438"/>
      <w:bookmarkStart w:id="212" w:name="_Toc354335583"/>
      <w:bookmarkStart w:id="213" w:name="_Toc354335728"/>
      <w:bookmarkStart w:id="214" w:name="_Toc354351635"/>
      <w:bookmarkStart w:id="215" w:name="_Toc354352414"/>
      <w:bookmarkStart w:id="216" w:name="_Toc354352569"/>
      <w:bookmarkStart w:id="217" w:name="_Toc354352724"/>
      <w:bookmarkStart w:id="218" w:name="_Toc363208625"/>
      <w:r w:rsidRPr="00103A0B">
        <w:rPr>
          <w:rFonts w:ascii="Arial" w:hAnsi="Arial" w:cs="Arial"/>
          <w:i/>
          <w:iCs/>
          <w:sz w:val="24"/>
          <w:szCs w:val="24"/>
        </w:rPr>
        <w:t xml:space="preserve">Right to Withdraw from the </w:t>
      </w:r>
      <w:bookmarkEnd w:id="207"/>
      <w:bookmarkEnd w:id="208"/>
      <w:bookmarkEnd w:id="209"/>
      <w:bookmarkEnd w:id="210"/>
      <w:bookmarkEnd w:id="211"/>
      <w:bookmarkEnd w:id="212"/>
      <w:bookmarkEnd w:id="213"/>
      <w:bookmarkEnd w:id="214"/>
      <w:bookmarkEnd w:id="215"/>
      <w:bookmarkEnd w:id="216"/>
      <w:bookmarkEnd w:id="217"/>
      <w:bookmarkEnd w:id="218"/>
      <w:r w:rsidRPr="00103A0B">
        <w:rPr>
          <w:rFonts w:ascii="Arial" w:hAnsi="Arial" w:cs="Arial"/>
          <w:i/>
          <w:iCs/>
          <w:sz w:val="24"/>
          <w:szCs w:val="24"/>
        </w:rPr>
        <w:t>Research</w:t>
      </w:r>
    </w:p>
    <w:p w14:paraId="63656A2D" w14:textId="5F96D006" w:rsidR="007D1261" w:rsidRPr="00103A0B" w:rsidRDefault="007D1261" w:rsidP="00CD5919">
      <w:pPr>
        <w:spacing w:line="360" w:lineRule="auto"/>
        <w:jc w:val="both"/>
        <w:rPr>
          <w:rFonts w:ascii="Arial" w:hAnsi="Arial" w:cs="Arial"/>
          <w:sz w:val="24"/>
          <w:szCs w:val="24"/>
        </w:rPr>
      </w:pPr>
      <w:r w:rsidRPr="00103A0B">
        <w:rPr>
          <w:rFonts w:ascii="Arial" w:hAnsi="Arial" w:cs="Arial"/>
          <w:sz w:val="24"/>
          <w:szCs w:val="24"/>
        </w:rPr>
        <w:t>Participants were informed about their right to withdraw from this research at any time without having to provide a reason. They were reminded of this before, during and after completing their interviews. They were also informed they had the right to withdraw their data (up to 1 week after the interview had taken place) if they wished to do so, and if they d</w:t>
      </w:r>
      <w:r w:rsidR="00A3732C" w:rsidRPr="00103A0B">
        <w:rPr>
          <w:rFonts w:ascii="Arial" w:hAnsi="Arial" w:cs="Arial"/>
          <w:sz w:val="24"/>
          <w:szCs w:val="24"/>
        </w:rPr>
        <w:t>id</w:t>
      </w:r>
      <w:r w:rsidRPr="00103A0B">
        <w:rPr>
          <w:rFonts w:ascii="Arial" w:hAnsi="Arial" w:cs="Arial"/>
          <w:sz w:val="24"/>
          <w:szCs w:val="24"/>
        </w:rPr>
        <w:t>, their data would be destroyed in an appropriate manner, and they would not be disadvantaged in any way.</w:t>
      </w:r>
    </w:p>
    <w:p w14:paraId="44A72E7E" w14:textId="77777777" w:rsidR="007D1261" w:rsidRPr="00103A0B" w:rsidRDefault="007D1261" w:rsidP="00CD5919">
      <w:pPr>
        <w:pStyle w:val="ListParagraph"/>
        <w:numPr>
          <w:ilvl w:val="0"/>
          <w:numId w:val="6"/>
        </w:numPr>
        <w:spacing w:after="200" w:line="360" w:lineRule="auto"/>
        <w:jc w:val="both"/>
        <w:rPr>
          <w:rFonts w:ascii="Arial" w:hAnsi="Arial" w:cs="Arial"/>
          <w:i/>
          <w:iCs/>
          <w:sz w:val="24"/>
          <w:szCs w:val="24"/>
        </w:rPr>
      </w:pPr>
      <w:bookmarkStart w:id="219" w:name="_Toc354334857"/>
      <w:bookmarkStart w:id="220" w:name="_Toc354335002"/>
      <w:bookmarkStart w:id="221" w:name="_Toc354335147"/>
      <w:bookmarkStart w:id="222" w:name="_Toc354335292"/>
      <w:bookmarkStart w:id="223" w:name="_Toc354335437"/>
      <w:bookmarkStart w:id="224" w:name="_Toc354335582"/>
      <w:bookmarkStart w:id="225" w:name="_Toc354335727"/>
      <w:bookmarkStart w:id="226" w:name="_Toc354351634"/>
      <w:bookmarkStart w:id="227" w:name="_Toc354352413"/>
      <w:bookmarkStart w:id="228" w:name="_Toc354352568"/>
      <w:bookmarkStart w:id="229" w:name="_Toc354352723"/>
      <w:bookmarkStart w:id="230" w:name="_Toc363208624"/>
      <w:r w:rsidRPr="00103A0B">
        <w:rPr>
          <w:rFonts w:ascii="Arial" w:hAnsi="Arial" w:cs="Arial"/>
          <w:i/>
          <w:iCs/>
          <w:sz w:val="24"/>
          <w:szCs w:val="24"/>
        </w:rPr>
        <w:t>De-Briefing</w:t>
      </w:r>
      <w:bookmarkEnd w:id="219"/>
      <w:bookmarkEnd w:id="220"/>
      <w:bookmarkEnd w:id="221"/>
      <w:bookmarkEnd w:id="222"/>
      <w:bookmarkEnd w:id="223"/>
      <w:bookmarkEnd w:id="224"/>
      <w:bookmarkEnd w:id="225"/>
      <w:bookmarkEnd w:id="226"/>
      <w:bookmarkEnd w:id="227"/>
      <w:bookmarkEnd w:id="228"/>
      <w:bookmarkEnd w:id="229"/>
      <w:bookmarkEnd w:id="230"/>
    </w:p>
    <w:p w14:paraId="116B4020" w14:textId="004C6B82" w:rsidR="00A3732C" w:rsidRPr="00103A0B" w:rsidRDefault="007D1261" w:rsidP="00CD5919">
      <w:pPr>
        <w:spacing w:line="360" w:lineRule="auto"/>
        <w:jc w:val="both"/>
        <w:rPr>
          <w:rFonts w:ascii="Arial" w:hAnsi="Arial" w:cs="Arial"/>
          <w:sz w:val="24"/>
          <w:szCs w:val="24"/>
        </w:rPr>
      </w:pPr>
      <w:r w:rsidRPr="00103A0B">
        <w:rPr>
          <w:rFonts w:ascii="Arial" w:hAnsi="Arial" w:cs="Arial"/>
          <w:sz w:val="24"/>
          <w:szCs w:val="24"/>
        </w:rPr>
        <w:t xml:space="preserve">At the end of the interview, all participants were debriefed by the researcher, and they were encouraged to ask any questions which were addressed as fully as possible (see </w:t>
      </w:r>
      <w:r w:rsidRPr="00103A0B">
        <w:rPr>
          <w:rFonts w:ascii="Arial" w:hAnsi="Arial" w:cs="Arial"/>
          <w:sz w:val="24"/>
          <w:szCs w:val="24"/>
        </w:rPr>
        <w:lastRenderedPageBreak/>
        <w:t>Appendices 1</w:t>
      </w:r>
      <w:r w:rsidR="004649EF" w:rsidRPr="00103A0B">
        <w:rPr>
          <w:rFonts w:ascii="Arial" w:hAnsi="Arial" w:cs="Arial"/>
          <w:sz w:val="24"/>
          <w:szCs w:val="24"/>
        </w:rPr>
        <w:t>8</w:t>
      </w:r>
      <w:r w:rsidRPr="00103A0B">
        <w:rPr>
          <w:rFonts w:ascii="Arial" w:hAnsi="Arial" w:cs="Arial"/>
          <w:sz w:val="24"/>
          <w:szCs w:val="24"/>
        </w:rPr>
        <w:t xml:space="preserve"> and 1</w:t>
      </w:r>
      <w:r w:rsidR="004649EF" w:rsidRPr="00103A0B">
        <w:rPr>
          <w:rFonts w:ascii="Arial" w:hAnsi="Arial" w:cs="Arial"/>
          <w:sz w:val="24"/>
          <w:szCs w:val="24"/>
        </w:rPr>
        <w:t>9</w:t>
      </w:r>
      <w:r w:rsidRPr="00103A0B">
        <w:rPr>
          <w:rFonts w:ascii="Arial" w:hAnsi="Arial" w:cs="Arial"/>
          <w:sz w:val="24"/>
          <w:szCs w:val="24"/>
        </w:rPr>
        <w:t xml:space="preserve"> for debrief forms). They were informed again on how their data would be used, what further involvement in this research would entail and again they had complete choice if they decide to participate or not, and they were given contact details of appropriate services if they wished to seek help. In addition, the contact details of the researcher were given if they wished to ask any questions or if they wanted to see the study results before or after the final write up of reports, </w:t>
      </w:r>
      <w:proofErr w:type="gramStart"/>
      <w:r w:rsidRPr="00103A0B">
        <w:rPr>
          <w:rFonts w:ascii="Arial" w:hAnsi="Arial" w:cs="Arial"/>
          <w:sz w:val="24"/>
          <w:szCs w:val="24"/>
        </w:rPr>
        <w:t>papers</w:t>
      </w:r>
      <w:proofErr w:type="gramEnd"/>
      <w:r w:rsidRPr="00103A0B">
        <w:rPr>
          <w:rFonts w:ascii="Arial" w:hAnsi="Arial" w:cs="Arial"/>
          <w:sz w:val="24"/>
          <w:szCs w:val="24"/>
        </w:rPr>
        <w:t xml:space="preserve"> or presentations. </w:t>
      </w:r>
    </w:p>
    <w:p w14:paraId="0EC51307" w14:textId="77777777" w:rsidR="00113A0F" w:rsidRPr="00103A0B" w:rsidRDefault="00113A0F" w:rsidP="00CD5919">
      <w:pPr>
        <w:spacing w:line="360" w:lineRule="auto"/>
        <w:jc w:val="both"/>
        <w:rPr>
          <w:rFonts w:ascii="Arial" w:hAnsi="Arial" w:cs="Arial"/>
          <w:sz w:val="24"/>
          <w:szCs w:val="24"/>
        </w:rPr>
      </w:pPr>
    </w:p>
    <w:p w14:paraId="1BDB70FA" w14:textId="2A4BE2FC" w:rsidR="00BB4E63" w:rsidRPr="00103A0B" w:rsidRDefault="00790E65" w:rsidP="00BD4312">
      <w:pPr>
        <w:pStyle w:val="Heading2"/>
        <w:numPr>
          <w:ilvl w:val="0"/>
          <w:numId w:val="0"/>
        </w:numPr>
        <w:ind w:left="578" w:hanging="578"/>
        <w:jc w:val="both"/>
        <w:rPr>
          <w:rFonts w:ascii="Arial" w:hAnsi="Arial" w:cs="Arial"/>
          <w:sz w:val="28"/>
        </w:rPr>
      </w:pPr>
      <w:bookmarkStart w:id="231" w:name="_Toc151548312"/>
      <w:r w:rsidRPr="00103A0B">
        <w:rPr>
          <w:rFonts w:ascii="Arial" w:hAnsi="Arial" w:cs="Arial"/>
          <w:sz w:val="28"/>
        </w:rPr>
        <w:t xml:space="preserve">3.3 </w:t>
      </w:r>
      <w:r w:rsidR="00BB4E63" w:rsidRPr="00103A0B">
        <w:rPr>
          <w:rFonts w:ascii="Arial" w:hAnsi="Arial" w:cs="Arial"/>
          <w:sz w:val="28"/>
        </w:rPr>
        <w:t>Quantitative Study (Chapter 7)</w:t>
      </w:r>
      <w:bookmarkEnd w:id="231"/>
    </w:p>
    <w:p w14:paraId="4C89EA55" w14:textId="74A40135" w:rsidR="00BB4E63" w:rsidRPr="00103A0B" w:rsidRDefault="00790E65" w:rsidP="00BD4312">
      <w:pPr>
        <w:keepLines/>
        <w:jc w:val="both"/>
        <w:rPr>
          <w:rFonts w:ascii="Arial" w:hAnsi="Arial" w:cs="Arial"/>
          <w:b/>
          <w:bCs/>
          <w:sz w:val="24"/>
          <w:szCs w:val="24"/>
          <w:lang w:eastAsia="en-GB"/>
        </w:rPr>
      </w:pPr>
      <w:r w:rsidRPr="00103A0B">
        <w:rPr>
          <w:rFonts w:ascii="Arial" w:hAnsi="Arial" w:cs="Arial"/>
          <w:b/>
          <w:bCs/>
          <w:sz w:val="24"/>
          <w:szCs w:val="24"/>
          <w:lang w:eastAsia="en-GB"/>
        </w:rPr>
        <w:t xml:space="preserve">3.3.1 </w:t>
      </w:r>
      <w:r w:rsidR="00BB4E63" w:rsidRPr="00103A0B">
        <w:rPr>
          <w:rFonts w:ascii="Arial" w:hAnsi="Arial" w:cs="Arial"/>
          <w:b/>
          <w:bCs/>
          <w:sz w:val="24"/>
          <w:szCs w:val="24"/>
          <w:lang w:eastAsia="en-GB"/>
        </w:rPr>
        <w:t>Data Collection Technique</w:t>
      </w:r>
    </w:p>
    <w:p w14:paraId="1F483D79" w14:textId="386530CD" w:rsidR="00790E65" w:rsidRPr="00103A0B" w:rsidRDefault="00790E65" w:rsidP="00CD5919">
      <w:pPr>
        <w:pStyle w:val="NormalWeb"/>
        <w:spacing w:before="0" w:beforeAutospacing="0" w:after="0" w:afterAutospacing="0" w:line="360" w:lineRule="auto"/>
        <w:contextualSpacing/>
        <w:jc w:val="both"/>
        <w:rPr>
          <w:rFonts w:ascii="Arial" w:hAnsi="Arial" w:cs="Arial"/>
        </w:rPr>
      </w:pPr>
      <w:r w:rsidRPr="00103A0B">
        <w:rPr>
          <w:rFonts w:ascii="Arial" w:hAnsi="Arial" w:cs="Arial"/>
        </w:rPr>
        <w:t>The research detailed in Chapter 7 involved examining</w:t>
      </w:r>
      <w:r w:rsidRPr="00103A0B">
        <w:rPr>
          <w:rFonts w:ascii="Arial" w:hAnsi="Arial" w:cs="Arial"/>
          <w:b/>
          <w:bCs/>
        </w:rPr>
        <w:t xml:space="preserve"> </w:t>
      </w:r>
      <w:r w:rsidRPr="00103A0B">
        <w:rPr>
          <w:rFonts w:ascii="Arial" w:hAnsi="Arial" w:cs="Arial"/>
        </w:rPr>
        <w:t>whether illness perceptions (IPs), self-efficacy (SE), and mental wellbeing (MWB) predict uptake and/or completion of the NHSDPP, independent from other possible confounders. The data used for this study were routinely collected by the local provider (in areas across the country) as part of their service evaluation and w</w:t>
      </w:r>
      <w:r w:rsidR="004072F6" w:rsidRPr="00103A0B">
        <w:rPr>
          <w:rFonts w:ascii="Arial" w:hAnsi="Arial" w:cs="Arial"/>
        </w:rPr>
        <w:t>ere</w:t>
      </w:r>
      <w:r w:rsidRPr="00103A0B">
        <w:rPr>
          <w:rFonts w:ascii="Arial" w:hAnsi="Arial" w:cs="Arial"/>
        </w:rPr>
        <w:t xml:space="preserve"> classified as secondary data. Secondary data can be defined as sources of data that already exist which can be used for research purposes </w:t>
      </w:r>
      <w:r w:rsidRPr="00103A0B">
        <w:rPr>
          <w:rFonts w:ascii="Arial" w:hAnsi="Arial" w:cs="Arial"/>
        </w:rPr>
        <w:fldChar w:fldCharType="begin" w:fldLock="1"/>
      </w:r>
      <w:r w:rsidR="00F47617" w:rsidRPr="00103A0B">
        <w:rPr>
          <w:rFonts w:ascii="Arial" w:hAnsi="Arial" w:cs="Arial"/>
        </w:rPr>
        <w:instrText>ADDIN CSL_CITATION {"citationItems":[{"id":"ITEM-1","itemData":{"author":[{"dropping-particle":"","family":"Bowling","given":"A.","non-dropping-particle":"","parse-names":false,"suffix":""}],"edition":"4th","id":"ITEM-1","issued":{"date-parts":[["2014"]]},"number-of-pages":"1-448","publisher":"Open University Press","publisher-place":"Maidenhead","title":"Research methods in health: investigating health and health services","type":"book"},"uris":["http://www.mendeley.com/documents/?uuid=09c8f41f-4f19-49a8-9dd9-1523b54c910d"]}],"mendeley":{"formattedCitation":"(Bowling, 2014)","plainTextFormattedCitation":"(Bowling, 2014)","previouslyFormattedCitation":"(Bowling, 2014)"},"properties":{"noteIndex":0},"schema":"https://github.com/citation-style-language/schema/raw/master/csl-citation.json"}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(Bowling, 2014)</w:t>
      </w:r>
      <w:r w:rsidRPr="00103A0B">
        <w:rPr>
          <w:rFonts w:ascii="Arial" w:hAnsi="Arial" w:cs="Arial"/>
        </w:rPr>
        <w:fldChar w:fldCharType="end"/>
      </w:r>
      <w:r w:rsidRPr="00103A0B">
        <w:rPr>
          <w:rFonts w:ascii="Arial" w:hAnsi="Arial" w:cs="Arial"/>
        </w:rPr>
        <w:t xml:space="preserve">. The data were routinely gathered </w:t>
      </w:r>
      <w:proofErr w:type="gramStart"/>
      <w:r w:rsidRPr="00103A0B">
        <w:rPr>
          <w:rFonts w:ascii="Arial" w:hAnsi="Arial" w:cs="Arial"/>
        </w:rPr>
        <w:t>in order to</w:t>
      </w:r>
      <w:proofErr w:type="gramEnd"/>
      <w:r w:rsidRPr="00103A0B">
        <w:rPr>
          <w:rFonts w:ascii="Arial" w:hAnsi="Arial" w:cs="Arial"/>
        </w:rPr>
        <w:t xml:space="preserve"> capture IPs, SE and MWB at the programme outset. Therefore, the researcher was not involved in the data collection processes, only with data processing and analyses. </w:t>
      </w:r>
    </w:p>
    <w:p w14:paraId="497E1660" w14:textId="77777777" w:rsidR="00BD4312" w:rsidRPr="00103A0B" w:rsidRDefault="00BD4312" w:rsidP="00CD5919">
      <w:pPr>
        <w:pStyle w:val="NormalWeb"/>
        <w:spacing w:before="0" w:beforeAutospacing="0" w:after="0" w:afterAutospacing="0" w:line="360" w:lineRule="auto"/>
        <w:contextualSpacing/>
        <w:jc w:val="both"/>
        <w:rPr>
          <w:rFonts w:ascii="Arial" w:hAnsi="Arial" w:cs="Arial"/>
        </w:rPr>
      </w:pPr>
    </w:p>
    <w:p w14:paraId="713C93A8" w14:textId="51EBE5B7" w:rsidR="00790E65" w:rsidRPr="00103A0B" w:rsidRDefault="00790E65" w:rsidP="00CD5919">
      <w:pPr>
        <w:pStyle w:val="NormalWeb"/>
        <w:spacing w:before="0" w:beforeAutospacing="0" w:after="0" w:afterAutospacing="0" w:line="360" w:lineRule="auto"/>
        <w:contextualSpacing/>
        <w:jc w:val="both"/>
        <w:rPr>
          <w:rFonts w:ascii="Arial" w:hAnsi="Arial" w:cs="Arial"/>
        </w:rPr>
      </w:pPr>
      <w:r w:rsidRPr="00103A0B">
        <w:rPr>
          <w:rFonts w:ascii="Arial" w:hAnsi="Arial" w:cs="Arial"/>
        </w:rPr>
        <w:t xml:space="preserve">A limitation of using service evaluation data is that the researcher has no or limited control over data collection or quality. However, a benefit of using service evaluation data is that usually these data are collected in a rigorous, systematic way as health organisations aim to assess the effectiveness of their services/programmes in achieving their predefined objectives </w:t>
      </w:r>
      <w:r w:rsidRPr="00103A0B">
        <w:rPr>
          <w:rFonts w:ascii="Arial" w:hAnsi="Arial" w:cs="Arial"/>
        </w:rPr>
        <w:fldChar w:fldCharType="begin" w:fldLock="1"/>
      </w:r>
      <w:r w:rsidR="00F47617" w:rsidRPr="00103A0B">
        <w:rPr>
          <w:rFonts w:ascii="Arial" w:hAnsi="Arial" w:cs="Arial"/>
        </w:rPr>
        <w:instrText>ADDIN CSL_CITATION {"citationItems":[{"id":"ITEM-1","itemData":{"author":[{"dropping-particle":"","family":"Bowling","given":"A.","non-dropping-particle":"","parse-names":false,"suffix":""}],"edition":"4th","id":"ITEM-1","issued":{"date-parts":[["2014"]]},"number-of-pages":"1-448","publisher":"Open University Press","publisher-place":"Maidenhead","title":"Research methods in health: investigating health and health services","type":"book"},"uris":["http://www.mendeley.com/documents/?uuid=09c8f41f-4f19-49a8-9dd9-1523b54c910d"]}],"mendeley":{"formattedCitation":"(Bowling, 2014)","plainTextFormattedCitation":"(Bowling, 2014)","previouslyFormattedCitation":"(Bowling, 2014)"},"properties":{"noteIndex":0},"schema":"https://github.com/citation-style-language/schema/raw/master/csl-citation.json"}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(Bowling, 2014)</w:t>
      </w:r>
      <w:r w:rsidRPr="00103A0B">
        <w:rPr>
          <w:rFonts w:ascii="Arial" w:hAnsi="Arial" w:cs="Arial"/>
        </w:rPr>
        <w:fldChar w:fldCharType="end"/>
      </w:r>
      <w:r w:rsidRPr="00103A0B">
        <w:rPr>
          <w:rFonts w:ascii="Arial" w:hAnsi="Arial" w:cs="Arial"/>
        </w:rPr>
        <w:t xml:space="preserve">. In addition, involving organisations and practitioners in research is important to help bridge the gap between research and practice, and working more interdisciplinary and collaboratively can help with this process </w:t>
      </w:r>
      <w:r w:rsidRPr="00103A0B">
        <w:rPr>
          <w:rFonts w:ascii="Arial" w:hAnsi="Arial" w:cs="Arial"/>
        </w:rPr>
        <w:fldChar w:fldCharType="begin" w:fldLock="1"/>
      </w:r>
      <w:r w:rsidR="00810F86" w:rsidRPr="00103A0B">
        <w:rPr>
          <w:rFonts w:ascii="Arial" w:hAnsi="Arial" w:cs="Arial"/>
        </w:rPr>
        <w:instrText>ADDIN CSL_CITATION {"citationItems":[{"id":"ITEM-1","itemData":{"ISSN":"14784505","PMID":"29843735","abstract":"Background: Getting research into policy and practice in healthcare is a recognised, world-wide concern. As an attempt to bridge the gap between research and practice, research funders are requesting more interdisciplinary and collaborative research, while actual experiences of such processes have been less studied. Accordingly, the purpose of this study was to gain more knowledge on the interdisciplinary, collaborative and partnership research process by investigating researchers' experiences of and approaches to the process, based on their participation in an inventive national research programme. The programme aimed to boost collaborative and partnership research and build learning structures, while improving ways to lead, manage and develop practices in Swedish health and social services. Methods: Interviews conducted with project leaders and/or lead researchers and documentation from 20 projects were analysed using directed and conventional content analysis. Results: Collaborative approaches were achieved by design, e.g. action research, or by involving practitioners from several levels of the healthcare system in various parts of the research process. The use of dual roles as researcher/clinician or practitioner/PhD student or the use of education designed especially for practitioners or 'student researchers' were other approaches. The collaborative process constituted the area for the main lessons learned as well as the main problems. Difficulties concerned handling complexity and conflicts between different expectations and demands in the practitioner's and researcher's contexts, and dealing with human resource issues and group interactions when forming collaborative and interdisciplinary research teams. The handling of such challenges required time, resources, knowledge, interactive learning and skilled project management. Conclusions: Collaborative approaches are important in the study of complex phenomena. Results from this study show that allocated time, arenas for interactions and skills in project management and communication are needed during research collaboration to ensure support and build trust and understanding with involved practitioners at several levels in the healthcare system. For researchers, dealing with this complexity takes time and energy from the scientific process. For practitioners, this puts demands on understanding a research process and how it fits with on-going organisational agendas and activities and allocating tim…","author":[{"dropping-particle":"","family":"Nyström","given":"M. E.","non-dropping-particle":"","parse-names":false,"suffix":""},{"dropping-particle":"","family":"Karltun","given":"J.","non-dropping-particle":"","parse-names":false,"suffix":""},{"dropping-particle":"","family":"Keller","given":"C.","non-dropping-particle":"","parse-names":false,"suffix":""},{"dropping-particle":"","family":"Andersson Gäre","given":"B.","non-dropping-particle":"","parse-names":false,"suffix":""}],"container-title":"Health Research Policy and Systems","id":"ITEM-1","issued":{"date-parts":[["2018"]]},"page":"1-17","publisher":"Health Research Policy and Systems","title":"Collaborative and partnership research for improvement of health and social services: researcher's experiences from 20 projects","type":"article-journal","volume":"16"},"uris":["http://www.mendeley.com/documents/?uuid=628a46bc-a963-42c3-8541-c88b184e7dd5"]}],"mendeley":{"formattedCitation":"(Nyström et al., 2018)","plainTextFormattedCitation":"(Nyström et al., 2018)","previouslyFormattedCitation":"(Nyström et al., 2018)"},"properties":{"noteIndex":0},"schema":"https://github.com/citation-style-language/schema/raw/master/csl-citation.json"}</w:instrText>
      </w:r>
      <w:r w:rsidRPr="00103A0B">
        <w:rPr>
          <w:rFonts w:ascii="Arial" w:hAnsi="Arial" w:cs="Arial"/>
        </w:rPr>
        <w:fldChar w:fldCharType="separate"/>
      </w:r>
      <w:r w:rsidR="00643C08" w:rsidRPr="00103A0B">
        <w:rPr>
          <w:rFonts w:ascii="Arial" w:hAnsi="Arial" w:cs="Arial"/>
          <w:noProof/>
        </w:rPr>
        <w:t>(Nyström et al., 2018)</w:t>
      </w:r>
      <w:r w:rsidRPr="00103A0B">
        <w:rPr>
          <w:rFonts w:ascii="Arial" w:hAnsi="Arial" w:cs="Arial"/>
        </w:rPr>
        <w:fldChar w:fldCharType="end"/>
      </w:r>
      <w:r w:rsidRPr="00103A0B">
        <w:rPr>
          <w:rFonts w:ascii="Arial" w:hAnsi="Arial" w:cs="Arial"/>
        </w:rPr>
        <w:t xml:space="preserve">. Before obtaining data from </w:t>
      </w:r>
      <w:r w:rsidR="004072F6" w:rsidRPr="00103A0B">
        <w:rPr>
          <w:rFonts w:ascii="Arial" w:hAnsi="Arial" w:cs="Arial"/>
        </w:rPr>
        <w:t>the local provider</w:t>
      </w:r>
      <w:r w:rsidRPr="00103A0B">
        <w:rPr>
          <w:rFonts w:ascii="Arial" w:hAnsi="Arial" w:cs="Arial"/>
        </w:rPr>
        <w:t xml:space="preserve">, a letter of support and a data agreement sharing form was provided (see Appendices </w:t>
      </w:r>
      <w:r w:rsidR="004649EF" w:rsidRPr="00103A0B">
        <w:rPr>
          <w:rFonts w:ascii="Arial" w:hAnsi="Arial" w:cs="Arial"/>
        </w:rPr>
        <w:t>20</w:t>
      </w:r>
      <w:r w:rsidRPr="00103A0B">
        <w:rPr>
          <w:rFonts w:ascii="Arial" w:hAnsi="Arial" w:cs="Arial"/>
        </w:rPr>
        <w:t xml:space="preserve"> and </w:t>
      </w:r>
      <w:r w:rsidR="004649EF" w:rsidRPr="00103A0B">
        <w:rPr>
          <w:rFonts w:ascii="Arial" w:hAnsi="Arial" w:cs="Arial"/>
        </w:rPr>
        <w:t>21</w:t>
      </w:r>
      <w:r w:rsidRPr="00103A0B">
        <w:rPr>
          <w:rFonts w:ascii="Arial" w:hAnsi="Arial" w:cs="Arial"/>
        </w:rPr>
        <w:t xml:space="preserve">). </w:t>
      </w:r>
    </w:p>
    <w:p w14:paraId="06946CDF" w14:textId="77777777" w:rsidR="00790E65" w:rsidRPr="00103A0B" w:rsidRDefault="00790E65" w:rsidP="00CD5919">
      <w:pPr>
        <w:pStyle w:val="NormalWeb"/>
        <w:spacing w:before="0" w:beforeAutospacing="0" w:after="0" w:afterAutospacing="0" w:line="360" w:lineRule="auto"/>
        <w:jc w:val="both"/>
        <w:rPr>
          <w:rFonts w:ascii="Arial" w:hAnsi="Arial" w:cs="Arial"/>
        </w:rPr>
      </w:pPr>
    </w:p>
    <w:p w14:paraId="6F2345DA" w14:textId="72FAB843" w:rsidR="00790E65" w:rsidRPr="00103A0B" w:rsidRDefault="00790E65" w:rsidP="00CD5919">
      <w:pPr>
        <w:pStyle w:val="NormalWeb"/>
        <w:spacing w:before="0" w:beforeAutospacing="0" w:after="0" w:afterAutospacing="0" w:line="360" w:lineRule="auto"/>
        <w:jc w:val="both"/>
        <w:rPr>
          <w:rFonts w:ascii="Arial" w:hAnsi="Arial" w:cs="Arial"/>
        </w:rPr>
      </w:pPr>
      <w:r w:rsidRPr="00103A0B">
        <w:rPr>
          <w:rFonts w:ascii="Arial" w:hAnsi="Arial" w:cs="Arial"/>
        </w:rPr>
        <w:lastRenderedPageBreak/>
        <w:t xml:space="preserve">The local provider used structured, validated, standardised questionnaires to measure IPs, SE and MWB before people started the programme. Structured questionnaires allow unambiguous and easily countable answers to be obtained, leading to quantitative data for analysis </w:t>
      </w:r>
      <w:r w:rsidRPr="00103A0B">
        <w:rPr>
          <w:rFonts w:ascii="Arial" w:hAnsi="Arial" w:cs="Arial"/>
        </w:rPr>
        <w:fldChar w:fldCharType="begin" w:fldLock="1"/>
      </w:r>
      <w:r w:rsidR="00F47617" w:rsidRPr="00103A0B">
        <w:rPr>
          <w:rFonts w:ascii="Arial" w:hAnsi="Arial" w:cs="Arial"/>
        </w:rPr>
        <w:instrText>ADDIN CSL_CITATION {"citationItems":[{"id":"ITEM-1","itemData":{"author":[{"dropping-particle":"","family":"Bowling","given":"A.","non-dropping-particle":"","parse-names":false,"suffix":""}],"edition":"4th","id":"ITEM-1","issued":{"date-parts":[["2014"]]},"number-of-pages":"1-448","publisher":"Open University Press","publisher-place":"Maidenhead","title":"Research methods in health: investigating health and health services","type":"book"},"uris":["http://www.mendeley.com/documents/?uuid=09c8f41f-4f19-49a8-9dd9-1523b54c910d"]}],"mendeley":{"formattedCitation":"(Bowling, 2014)","plainTextFormattedCitation":"(Bowling, 2014)","previouslyFormattedCitation":"(Bowling, 2014)"},"properties":{"noteIndex":0},"schema":"https://github.com/citation-style-language/schema/raw/master/csl-citation.json"}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(Bowling, 2014)</w:t>
      </w:r>
      <w:r w:rsidRPr="00103A0B">
        <w:rPr>
          <w:rFonts w:ascii="Arial" w:hAnsi="Arial" w:cs="Arial"/>
        </w:rPr>
        <w:fldChar w:fldCharType="end"/>
      </w:r>
      <w:r w:rsidRPr="00103A0B">
        <w:rPr>
          <w:rFonts w:ascii="Arial" w:hAnsi="Arial" w:cs="Arial"/>
        </w:rPr>
        <w:t xml:space="preserve">. They are also economical and these questionnaires can be administered to large samples of people </w:t>
      </w:r>
      <w:r w:rsidRPr="00103A0B">
        <w:rPr>
          <w:rFonts w:ascii="Arial" w:hAnsi="Arial" w:cs="Arial"/>
        </w:rPr>
        <w:fldChar w:fldCharType="begin" w:fldLock="1"/>
      </w:r>
      <w:r w:rsidR="00F47617" w:rsidRPr="00103A0B">
        <w:rPr>
          <w:rFonts w:ascii="Arial" w:hAnsi="Arial" w:cs="Arial"/>
        </w:rPr>
        <w:instrText>ADDIN CSL_CITATION {"citationItems":[{"id":"ITEM-1","itemData":{"author":[{"dropping-particle":"","family":"Bowling","given":"A.","non-dropping-particle":"","parse-names":false,"suffix":""}],"edition":"4th","id":"ITEM-1","issued":{"date-parts":[["2014"]]},"number-of-pages":"1-448","publisher":"Open University Press","publisher-place":"Maidenhead","title":"Research methods in health: investigating health and health services","type":"book"},"uris":["http://www.mendeley.com/documents/?uuid=09c8f41f-4f19-49a8-9dd9-1523b54c910d"]}],"mendeley":{"formattedCitation":"(Bowling, 2014)","plainTextFormattedCitation":"(Bowling, 2014)","previouslyFormattedCitation":"(Bowling, 2014)"},"properties":{"noteIndex":0},"schema":"https://github.com/citation-style-language/schema/raw/master/csl-citation.json"}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(Bowling, 2014)</w:t>
      </w:r>
      <w:r w:rsidRPr="00103A0B">
        <w:rPr>
          <w:rFonts w:ascii="Arial" w:hAnsi="Arial" w:cs="Arial"/>
        </w:rPr>
        <w:fldChar w:fldCharType="end"/>
      </w:r>
      <w:r w:rsidRPr="00103A0B">
        <w:rPr>
          <w:rFonts w:ascii="Arial" w:hAnsi="Arial" w:cs="Arial"/>
        </w:rPr>
        <w:t xml:space="preserve">. The three structured questionnaires have been validated in a variety of different settings and population groups </w:t>
      </w:r>
      <w:r w:rsidRPr="00103A0B">
        <w:rPr>
          <w:rFonts w:ascii="Arial" w:hAnsi="Arial" w:cs="Arial"/>
        </w:rPr>
        <w:fldChar w:fldCharType="begin" w:fldLock="1"/>
      </w:r>
      <w:r w:rsidR="00BA4374" w:rsidRPr="00103A0B">
        <w:rPr>
          <w:rFonts w:ascii="Arial" w:hAnsi="Arial" w:cs="Arial"/>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id":"ITEM-2","itemData":{"author":[{"dropping-particle":"","family":"Chen","given":"Gilad","non-dropping-particle":"","parse-names":false,"suffix":""},{"dropping-particle":"","family":"Gully","given":"Stanley M","non-dropping-particle":"","parse-names":false,"suffix":""},{"dropping-particle":"","family":"Eden","given":"Dov","non-dropping-particle":"","parse-names":false,"suffix":""}],"container-title":"Organizational Research Methods","id":"ITEM-2","issue":"1","issued":{"date-parts":[["2001"]]},"page":"62-83","title":"Validation of a new general self-efficacy scale","type":"article-journal","volume":"4"},"uris":["http://www.mendeley.com/documents/?uuid=66a1bf9e-bc0f-4f1e-8098-3874dc01d669"]},{"id":"ITEM-3","itemData":{"abstract":"population. The monitoring of population mental well-being and the evaluation of interventions to promote positive mental health has therefore had to be undertaken using instruments designed primarily to detect mental illness. There are two problems with such an approach. First, mental illness measures tend to have significant ceiling effects in general population samples, meaning that people with only moderately good mental health can achieve the highest possible score. As a result the instrument cannot show improvements in mental health in the healthier portion of the population distribution. Second, participants who are involved in the evaluation of interventions to promote mental health may develop the erroneous impression that the interventions are designed only to help people with mental health problems and in this way the evaluation can affect the impact of interventions. To overcome these problems NHS Health Scotland commissioned the development of the Warwick-Edinburgh Mental Well-being Scale (WEMWBS) as part of the Mental Health Indicators Programme.2 This manual is for those who want to use WEMWBS for monitoring and research purposes as well as for evaluations. Those who require information on what to consider for evaluation are referred to the NHS Health Scotland evaluation guides in the first instance (www.healthscotland.com/mental-health- publications.aspx). Ceiling","author":[{"dropping-particle":"","family":"Stewart-Brown","given":"S","non-dropping-particle":"","parse-names":false,"suffix":""},{"dropping-particle":"","family":"Janmohamed","given":"K","non-dropping-particle":"","parse-names":false,"suffix":""}],"id":"ITEM-3","issued":{"date-parts":[["2008"]]},"number-of-pages":"1-27","title":"Warwick-Edinburgh mental well-being scale user guide","type":"report"},"uris":["http://www.mendeley.com/documents/?uuid=61b420bc-f042-467d-a585-ccae2af3e570"]}],"mendeley":{"formattedCitation":"(Broadbent et al., 2006; G. Chen et al., 2001; Stewart-Brown &amp; Janmohamed, 2008)","manualFormatting":"(Broadbent et al., 2006; Chen et al., 2001; Stewart-Brown &amp; Janmohamed, 2008)","plainTextFormattedCitation":"(Broadbent et al., 2006; G. Chen et al., 2001; Stewart-Brown &amp; Janmohamed, 2008)","previouslyFormattedCitation":"(Broadbent et al., 2006; G. Chen et al., 2001; Stewart-Brown &amp; Janmohamed, 2008)"},"properties":{"noteIndex":0},"schema":"https://github.com/citation-style-language/schema/raw/master/csl-citation.json"}</w:instrText>
      </w:r>
      <w:r w:rsidRPr="00103A0B">
        <w:rPr>
          <w:rFonts w:ascii="Arial" w:hAnsi="Arial" w:cs="Arial"/>
        </w:rPr>
        <w:fldChar w:fldCharType="separate"/>
      </w:r>
      <w:r w:rsidR="00643C08" w:rsidRPr="00103A0B">
        <w:rPr>
          <w:rFonts w:ascii="Arial" w:hAnsi="Arial" w:cs="Arial"/>
          <w:noProof/>
        </w:rPr>
        <w:t>(Broadbent et al., 2006; Chen et al., 2001; Stewart-Brown &amp; Janmohamed, 2008)</w:t>
      </w:r>
      <w:r w:rsidRPr="00103A0B">
        <w:rPr>
          <w:rFonts w:ascii="Arial" w:hAnsi="Arial" w:cs="Arial"/>
        </w:rPr>
        <w:fldChar w:fldCharType="end"/>
      </w:r>
      <w:r w:rsidRPr="00103A0B">
        <w:rPr>
          <w:rFonts w:ascii="Arial" w:hAnsi="Arial" w:cs="Arial"/>
        </w:rPr>
        <w:t xml:space="preserve">. All three questionnaires asked participants to rate how they felt about a certain statement or question using a Likert scale. A Likert scale is a type of scale where participants are asked to indicate how much they agree or disagree with a particular issue/statement </w:t>
      </w:r>
      <w:r w:rsidRPr="00103A0B">
        <w:rPr>
          <w:rFonts w:ascii="Arial" w:hAnsi="Arial" w:cs="Arial"/>
        </w:rPr>
        <w:fldChar w:fldCharType="begin" w:fldLock="1"/>
      </w:r>
      <w:r w:rsidR="007E0EE7" w:rsidRPr="00103A0B">
        <w:rPr>
          <w:rFonts w:ascii="Arial" w:hAnsi="Arial" w:cs="Arial"/>
        </w:rPr>
        <w:instrText>ADDIN CSL_CITATION {"citationItems":[{"id":"ITEM-1","itemData":{"author":[{"dropping-particle":"","family":"McQueen","given":"R.A.","non-dropping-particle":"","parse-names":false,"suffix":""},{"dropping-particle":"","family":"Knussen","given":"C.","non-dropping-particle":"","parse-names":false,"suffix":""}],"edition":"2nd","id":"ITEM-1","issued":{"date-parts":[["2013"]]},"number-of-pages":"145-179","publisher":"Pearson Education Limited","publisher-place":"Harlow","title":"Introduction to research methods and statistics in psychology: A practical guide for the undergraduate researcher","type":"book"},"uris":["http://www.mendeley.com/documents/?uuid=e002637e-9373-47ff-bc4d-48a363f4f790"]}],"mendeley":{"formattedCitation":"(McQueen &amp; Knussen, 2013)","plainTextFormattedCitation":"(McQueen &amp; Knussen, 2013)","previouslyFormattedCitation":"(McQueen &amp; Knussen, 2013)"},"properties":{"noteIndex":0},"schema":"https://github.com/citation-style-language/schema/raw/master/csl-citation.json"}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(McQueen &amp; Knussen, 2013)</w:t>
      </w:r>
      <w:r w:rsidRPr="00103A0B">
        <w:rPr>
          <w:rFonts w:ascii="Arial" w:hAnsi="Arial" w:cs="Arial"/>
        </w:rPr>
        <w:fldChar w:fldCharType="end"/>
      </w:r>
      <w:r w:rsidRPr="00103A0B">
        <w:rPr>
          <w:rFonts w:ascii="Arial" w:hAnsi="Arial" w:cs="Arial"/>
        </w:rPr>
        <w:t>. An advantage of using a Likert scale is that instead of participants being asked to select a number which may le</w:t>
      </w:r>
      <w:r w:rsidR="004072F6" w:rsidRPr="00103A0B">
        <w:rPr>
          <w:rFonts w:ascii="Arial" w:hAnsi="Arial" w:cs="Arial"/>
        </w:rPr>
        <w:t>a</w:t>
      </w:r>
      <w:r w:rsidRPr="00103A0B">
        <w:rPr>
          <w:rFonts w:ascii="Arial" w:hAnsi="Arial" w:cs="Arial"/>
        </w:rPr>
        <w:t xml:space="preserve">d to feelings of being unsure on how their feelings can convert to a number, or hesitant to select extreme values or uncertain of how one scale number differs from another, this is replaced using choice categories which can be more user-friendly </w:t>
      </w:r>
      <w:r w:rsidRPr="00103A0B">
        <w:rPr>
          <w:rFonts w:ascii="Arial" w:hAnsi="Arial" w:cs="Arial"/>
        </w:rPr>
        <w:fldChar w:fldCharType="begin" w:fldLock="1"/>
      </w:r>
      <w:r w:rsidR="007E0EE7" w:rsidRPr="00103A0B">
        <w:rPr>
          <w:rFonts w:ascii="Arial" w:hAnsi="Arial" w:cs="Arial"/>
        </w:rPr>
        <w:instrText>ADDIN CSL_CITATION {"citationItems":[{"id":"ITEM-1","itemData":{"author":[{"dropping-particle":"","family":"McQueen","given":"R.A.","non-dropping-particle":"","parse-names":false,"suffix":""},{"dropping-particle":"","family":"Knussen","given":"C.","non-dropping-particle":"","parse-names":false,"suffix":""}],"edition":"2nd","id":"ITEM-1","issued":{"date-parts":[["2013"]]},"number-of-pages":"145-179","publisher":"Pearson Education Limited","publisher-place":"Harlow","title":"Introduction to research methods and statistics in psychology: A practical guide for the undergraduate researcher","type":"book"},"uris":["http://www.mendeley.com/documents/?uuid=e002637e-9373-47ff-bc4d-48a363f4f790"]}],"mendeley":{"formattedCitation":"(McQueen &amp; Knussen, 2013)","plainTextFormattedCitation":"(McQueen &amp; Knussen, 2013)","previouslyFormattedCitation":"(McQueen &amp; Knussen, 2013)"},"properties":{"noteIndex":0},"schema":"https://github.com/citation-style-language/schema/raw/master/csl-citation.json"}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(McQueen &amp; Knussen, 2013)</w:t>
      </w:r>
      <w:r w:rsidRPr="00103A0B">
        <w:rPr>
          <w:rFonts w:ascii="Arial" w:hAnsi="Arial" w:cs="Arial"/>
        </w:rPr>
        <w:fldChar w:fldCharType="end"/>
      </w:r>
      <w:r w:rsidRPr="00103A0B">
        <w:rPr>
          <w:rFonts w:ascii="Arial" w:hAnsi="Arial" w:cs="Arial"/>
        </w:rPr>
        <w:t xml:space="preserve">. </w:t>
      </w:r>
    </w:p>
    <w:p w14:paraId="52CF3EF2" w14:textId="77777777" w:rsidR="00790E65" w:rsidRPr="00103A0B" w:rsidRDefault="00790E65" w:rsidP="00CD5919">
      <w:pPr>
        <w:jc w:val="both"/>
        <w:rPr>
          <w:rFonts w:ascii="Arial" w:hAnsi="Arial" w:cs="Arial"/>
          <w:b/>
          <w:bCs/>
          <w:sz w:val="24"/>
          <w:szCs w:val="24"/>
          <w:lang w:eastAsia="en-GB"/>
        </w:rPr>
      </w:pPr>
    </w:p>
    <w:p w14:paraId="5AF08E9F" w14:textId="7082BC98" w:rsidR="00BB4E63" w:rsidRPr="00103A0B" w:rsidRDefault="00790E65" w:rsidP="00BD4312">
      <w:pPr>
        <w:pStyle w:val="Heading2"/>
        <w:numPr>
          <w:ilvl w:val="0"/>
          <w:numId w:val="0"/>
        </w:numPr>
        <w:ind w:left="578" w:hanging="578"/>
        <w:jc w:val="both"/>
        <w:rPr>
          <w:rFonts w:ascii="Arial" w:hAnsi="Arial" w:cs="Arial"/>
          <w:sz w:val="28"/>
        </w:rPr>
      </w:pPr>
      <w:bookmarkStart w:id="232" w:name="_Toc151548313"/>
      <w:bookmarkEnd w:id="114"/>
      <w:bookmarkEnd w:id="115"/>
      <w:bookmarkEnd w:id="116"/>
      <w:r w:rsidRPr="00103A0B">
        <w:rPr>
          <w:rFonts w:ascii="Arial" w:hAnsi="Arial" w:cs="Arial"/>
          <w:sz w:val="28"/>
        </w:rPr>
        <w:t xml:space="preserve">3.4 </w:t>
      </w:r>
      <w:r w:rsidR="00BB4E63" w:rsidRPr="00103A0B">
        <w:rPr>
          <w:rFonts w:ascii="Arial" w:hAnsi="Arial" w:cs="Arial"/>
          <w:sz w:val="28"/>
        </w:rPr>
        <w:t>Summary</w:t>
      </w:r>
      <w:bookmarkEnd w:id="232"/>
      <w:r w:rsidR="00BB4E63" w:rsidRPr="00103A0B">
        <w:rPr>
          <w:rFonts w:ascii="Arial" w:hAnsi="Arial" w:cs="Arial"/>
          <w:sz w:val="28"/>
        </w:rPr>
        <w:t xml:space="preserve"> </w:t>
      </w:r>
    </w:p>
    <w:p w14:paraId="382A45B2" w14:textId="09B05B42" w:rsidR="00790E65" w:rsidRPr="00103A0B" w:rsidRDefault="00790E65" w:rsidP="00CD5919">
      <w:pPr>
        <w:spacing w:line="360" w:lineRule="auto"/>
        <w:jc w:val="both"/>
        <w:rPr>
          <w:rFonts w:ascii="Arial" w:hAnsi="Arial" w:cs="Arial"/>
          <w:sz w:val="24"/>
          <w:szCs w:val="24"/>
        </w:rPr>
      </w:pPr>
      <w:r w:rsidRPr="00103A0B">
        <w:rPr>
          <w:rFonts w:ascii="Arial" w:hAnsi="Arial" w:cs="Arial"/>
          <w:sz w:val="24"/>
          <w:szCs w:val="24"/>
        </w:rPr>
        <w:t>This chapter has provided an overview on the methodologies and methods used, and how collaboration took place with the local provider. The reasons why semi-structured interviews were selected as the appropriate data collection techniques for the qualitative studies alongside important ethical considerations, as well as the advantages of using questionnaires to collect quantitative data were discussed. Finally, the rationale behind why thematic analysis was selected as the appropriate data analysis technique for the qualitative studies was discussed. The next chapter</w:t>
      </w:r>
      <w:r w:rsidR="00693438" w:rsidRPr="00103A0B">
        <w:rPr>
          <w:rFonts w:ascii="Arial" w:hAnsi="Arial" w:cs="Arial"/>
          <w:sz w:val="24"/>
          <w:szCs w:val="24"/>
        </w:rPr>
        <w:t xml:space="preserve"> (Chapter 4)</w:t>
      </w:r>
      <w:r w:rsidRPr="00103A0B">
        <w:rPr>
          <w:rFonts w:ascii="Arial" w:hAnsi="Arial" w:cs="Arial"/>
          <w:sz w:val="24"/>
          <w:szCs w:val="24"/>
        </w:rPr>
        <w:t xml:space="preserve"> will provide context to this research by providing an overview of the NHSDPP, specific detail about the </w:t>
      </w:r>
      <w:r w:rsidR="004072F6" w:rsidRPr="00103A0B">
        <w:rPr>
          <w:rFonts w:ascii="Arial" w:hAnsi="Arial" w:cs="Arial"/>
          <w:sz w:val="24"/>
          <w:szCs w:val="24"/>
        </w:rPr>
        <w:t>Local Provider</w:t>
      </w:r>
      <w:r w:rsidRPr="00103A0B">
        <w:rPr>
          <w:rFonts w:ascii="Arial" w:hAnsi="Arial" w:cs="Arial"/>
          <w:sz w:val="24"/>
          <w:szCs w:val="24"/>
        </w:rPr>
        <w:t xml:space="preserve"> NHSDPP and a brief introduction to the area of Southwark, from which participants were recruited for the qualitative studies.   </w:t>
      </w:r>
    </w:p>
    <w:p w14:paraId="1DA8E1D0" w14:textId="147688E3" w:rsidR="0087732D" w:rsidRPr="00103A0B" w:rsidRDefault="0087732D" w:rsidP="00CD5919">
      <w:pPr>
        <w:spacing w:line="360" w:lineRule="auto"/>
        <w:jc w:val="both"/>
        <w:rPr>
          <w:rFonts w:ascii="Arial" w:hAnsi="Arial" w:cs="Arial"/>
          <w:szCs w:val="24"/>
        </w:rPr>
      </w:pPr>
    </w:p>
    <w:p w14:paraId="226E1DC5" w14:textId="4B460D6D" w:rsidR="0087732D" w:rsidRPr="00103A0B" w:rsidRDefault="0087732D" w:rsidP="00CD5919">
      <w:pPr>
        <w:spacing w:line="360" w:lineRule="auto"/>
        <w:jc w:val="both"/>
        <w:rPr>
          <w:rFonts w:ascii="Arial" w:hAnsi="Arial" w:cs="Arial"/>
          <w:szCs w:val="24"/>
        </w:rPr>
      </w:pPr>
    </w:p>
    <w:p w14:paraId="597DF3C0" w14:textId="77777777" w:rsidR="0087732D" w:rsidRPr="00103A0B" w:rsidRDefault="0087732D" w:rsidP="00CD5919">
      <w:pPr>
        <w:spacing w:line="360" w:lineRule="auto"/>
        <w:jc w:val="both"/>
        <w:rPr>
          <w:rFonts w:ascii="Arial" w:hAnsi="Arial" w:cs="Arial"/>
          <w:szCs w:val="24"/>
        </w:rPr>
      </w:pPr>
    </w:p>
    <w:p w14:paraId="7317E7CF" w14:textId="2527E70F" w:rsidR="009E7B4C" w:rsidRPr="00103A0B" w:rsidRDefault="009E7B4C" w:rsidP="00BD4312">
      <w:pPr>
        <w:pStyle w:val="Heading1"/>
        <w:keepLines/>
        <w:numPr>
          <w:ilvl w:val="0"/>
          <w:numId w:val="0"/>
        </w:numPr>
        <w:rPr>
          <w:rFonts w:ascii="Arial" w:hAnsi="Arial" w:cs="Arial"/>
        </w:rPr>
      </w:pPr>
      <w:bookmarkStart w:id="233" w:name="_Toc345879970"/>
      <w:bookmarkStart w:id="234" w:name="_Toc345918840"/>
      <w:bookmarkStart w:id="235" w:name="_Toc354334807"/>
      <w:bookmarkStart w:id="236" w:name="_Toc354334952"/>
      <w:bookmarkStart w:id="237" w:name="_Toc354335097"/>
      <w:bookmarkStart w:id="238" w:name="_Toc354335242"/>
      <w:bookmarkStart w:id="239" w:name="_Toc354335387"/>
      <w:bookmarkStart w:id="240" w:name="_Toc354335532"/>
      <w:bookmarkStart w:id="241" w:name="_Toc354335677"/>
      <w:bookmarkStart w:id="242" w:name="_Toc354351582"/>
      <w:bookmarkStart w:id="243" w:name="_Toc354352361"/>
      <w:bookmarkStart w:id="244" w:name="_Toc354352516"/>
      <w:bookmarkStart w:id="245" w:name="_Toc354352671"/>
      <w:bookmarkStart w:id="246" w:name="_Toc363208570"/>
      <w:bookmarkStart w:id="247" w:name="_Toc151548314"/>
      <w:r w:rsidRPr="00103A0B">
        <w:rPr>
          <w:rFonts w:ascii="Arial" w:hAnsi="Arial" w:cs="Arial"/>
        </w:rPr>
        <w:lastRenderedPageBreak/>
        <w:t>Chapter 4: Contextualisation and Background to Research</w:t>
      </w:r>
      <w:bookmarkStart w:id="248" w:name="_Toc354334808"/>
      <w:bookmarkStart w:id="249" w:name="_Toc354334953"/>
      <w:bookmarkStart w:id="250" w:name="_Toc354335098"/>
      <w:bookmarkStart w:id="251" w:name="_Toc354335243"/>
      <w:bookmarkStart w:id="252" w:name="_Toc354335388"/>
      <w:bookmarkStart w:id="253" w:name="_Toc354335533"/>
      <w:bookmarkStart w:id="254" w:name="_Toc354335678"/>
      <w:bookmarkStart w:id="255" w:name="_Toc354351583"/>
      <w:bookmarkStart w:id="256" w:name="_Toc354352362"/>
      <w:bookmarkStart w:id="257" w:name="_Toc354352517"/>
      <w:bookmarkStart w:id="258" w:name="_Toc354352672"/>
      <w:bookmarkStart w:id="259" w:name="_Toc36320857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7724F27F" w14:textId="788B75D2" w:rsidR="009E7B4C" w:rsidRPr="00103A0B" w:rsidRDefault="00B44FF5" w:rsidP="00BD4312">
      <w:pPr>
        <w:pStyle w:val="Heading2"/>
        <w:numPr>
          <w:ilvl w:val="0"/>
          <w:numId w:val="0"/>
        </w:numPr>
        <w:ind w:left="578" w:hanging="578"/>
        <w:jc w:val="both"/>
        <w:rPr>
          <w:rFonts w:ascii="Arial" w:hAnsi="Arial" w:cs="Arial"/>
          <w:sz w:val="28"/>
        </w:rPr>
      </w:pPr>
      <w:bookmarkStart w:id="260" w:name="_Toc151548315"/>
      <w:r w:rsidRPr="00103A0B">
        <w:rPr>
          <w:rFonts w:ascii="Arial" w:hAnsi="Arial" w:cs="Arial"/>
          <w:sz w:val="28"/>
        </w:rPr>
        <w:t xml:space="preserve">4.1 </w:t>
      </w:r>
      <w:r w:rsidR="009E7B4C" w:rsidRPr="00103A0B">
        <w:rPr>
          <w:rFonts w:ascii="Arial" w:hAnsi="Arial" w:cs="Arial"/>
          <w:sz w:val="28"/>
        </w:rPr>
        <w:t>Introduction</w:t>
      </w:r>
      <w:bookmarkEnd w:id="248"/>
      <w:bookmarkEnd w:id="249"/>
      <w:bookmarkEnd w:id="250"/>
      <w:bookmarkEnd w:id="251"/>
      <w:bookmarkEnd w:id="252"/>
      <w:bookmarkEnd w:id="253"/>
      <w:bookmarkEnd w:id="254"/>
      <w:bookmarkEnd w:id="255"/>
      <w:bookmarkEnd w:id="256"/>
      <w:bookmarkEnd w:id="257"/>
      <w:bookmarkEnd w:id="258"/>
      <w:bookmarkEnd w:id="259"/>
      <w:bookmarkEnd w:id="260"/>
    </w:p>
    <w:p w14:paraId="7EC9BC5D" w14:textId="7ADC751C" w:rsidR="00CA0902" w:rsidRPr="00103A0B" w:rsidRDefault="00CA0902" w:rsidP="00CD5919">
      <w:pPr>
        <w:spacing w:line="360" w:lineRule="auto"/>
        <w:jc w:val="both"/>
        <w:rPr>
          <w:rFonts w:ascii="Arial" w:hAnsi="Arial" w:cs="Arial"/>
          <w:sz w:val="24"/>
          <w:szCs w:val="24"/>
        </w:rPr>
      </w:pPr>
      <w:r w:rsidRPr="00103A0B">
        <w:rPr>
          <w:rFonts w:ascii="Arial" w:hAnsi="Arial" w:cs="Arial"/>
          <w:sz w:val="24"/>
          <w:szCs w:val="24"/>
        </w:rPr>
        <w:t xml:space="preserve">This chapter provides an overview of the Healthier You: NHS Diabetes Prevention Programme (NHSDPP) and specific detail on the </w:t>
      </w:r>
      <w:r w:rsidR="004072F6" w:rsidRPr="00103A0B">
        <w:rPr>
          <w:rFonts w:ascii="Arial" w:hAnsi="Arial" w:cs="Arial"/>
          <w:sz w:val="24"/>
          <w:szCs w:val="24"/>
        </w:rPr>
        <w:t>Local Provider</w:t>
      </w:r>
      <w:r w:rsidRPr="00103A0B">
        <w:rPr>
          <w:rFonts w:ascii="Arial" w:hAnsi="Arial" w:cs="Arial"/>
          <w:sz w:val="24"/>
          <w:szCs w:val="24"/>
        </w:rPr>
        <w:t xml:space="preserve"> NHSDPP, setting the context for this research. A brief introduction to the area of Southwark, one of London`s boroughs in England will be covered, providing details relating to the demographic and health profile of the area. </w:t>
      </w:r>
    </w:p>
    <w:p w14:paraId="16E0CDA2" w14:textId="77777777" w:rsidR="009E7B4C" w:rsidRPr="00103A0B" w:rsidRDefault="009E7B4C" w:rsidP="00CD5919">
      <w:pPr>
        <w:spacing w:line="360" w:lineRule="auto"/>
        <w:jc w:val="both"/>
        <w:rPr>
          <w:rFonts w:ascii="Arial" w:hAnsi="Arial" w:cs="Arial"/>
          <w:szCs w:val="24"/>
        </w:rPr>
      </w:pPr>
    </w:p>
    <w:p w14:paraId="493D750D" w14:textId="03A580E5" w:rsidR="009E7B4C" w:rsidRPr="00103A0B" w:rsidRDefault="00CA0902" w:rsidP="00A26AB9">
      <w:pPr>
        <w:pStyle w:val="Heading2"/>
        <w:numPr>
          <w:ilvl w:val="0"/>
          <w:numId w:val="0"/>
        </w:numPr>
        <w:ind w:left="578" w:hanging="578"/>
        <w:jc w:val="both"/>
        <w:rPr>
          <w:rFonts w:ascii="Arial" w:hAnsi="Arial" w:cs="Arial"/>
          <w:sz w:val="28"/>
        </w:rPr>
      </w:pPr>
      <w:bookmarkStart w:id="261" w:name="_Toc151548316"/>
      <w:r w:rsidRPr="00103A0B">
        <w:rPr>
          <w:rFonts w:ascii="Arial" w:hAnsi="Arial" w:cs="Arial"/>
          <w:sz w:val="28"/>
        </w:rPr>
        <w:t xml:space="preserve">4.2 </w:t>
      </w:r>
      <w:r w:rsidR="009E7B4C" w:rsidRPr="00103A0B">
        <w:rPr>
          <w:rFonts w:ascii="Arial" w:hAnsi="Arial" w:cs="Arial"/>
          <w:sz w:val="28"/>
        </w:rPr>
        <w:t>Overview of the NHSDPP</w:t>
      </w:r>
      <w:bookmarkEnd w:id="261"/>
      <w:r w:rsidR="009E7B4C" w:rsidRPr="00103A0B">
        <w:rPr>
          <w:rFonts w:ascii="Arial" w:hAnsi="Arial" w:cs="Arial"/>
          <w:sz w:val="28"/>
        </w:rPr>
        <w:t xml:space="preserve"> </w:t>
      </w:r>
    </w:p>
    <w:p w14:paraId="004A7C8F" w14:textId="3381D086" w:rsidR="00CA0902" w:rsidRPr="00103A0B" w:rsidRDefault="00CA0902" w:rsidP="00CD5919">
      <w:pPr>
        <w:spacing w:before="240" w:line="360" w:lineRule="auto"/>
        <w:jc w:val="both"/>
        <w:rPr>
          <w:rFonts w:ascii="Arial" w:hAnsi="Arial" w:cs="Arial"/>
          <w:sz w:val="24"/>
          <w:szCs w:val="24"/>
        </w:rPr>
      </w:pPr>
      <w:r w:rsidRPr="00103A0B">
        <w:rPr>
          <w:rFonts w:ascii="Arial" w:hAnsi="Arial" w:cs="Arial"/>
          <w:sz w:val="24"/>
          <w:szCs w:val="24"/>
        </w:rPr>
        <w:t>In response to tackling the Type 2 Diabetes Mellitus (T2DM) cris</w:t>
      </w:r>
      <w:r w:rsidR="004072F6" w:rsidRPr="00103A0B">
        <w:rPr>
          <w:rFonts w:ascii="Arial" w:hAnsi="Arial" w:cs="Arial"/>
          <w:sz w:val="24"/>
          <w:szCs w:val="24"/>
        </w:rPr>
        <w:t>i</w:t>
      </w:r>
      <w:r w:rsidRPr="00103A0B">
        <w:rPr>
          <w:rFonts w:ascii="Arial" w:hAnsi="Arial" w:cs="Arial"/>
          <w:sz w:val="24"/>
          <w:szCs w:val="24"/>
        </w:rPr>
        <w:t>s and the need to prevent T2DM, the National Health Service (NHS) in England developed the Healthier You: NHS Diabetes Prevention Programme (NHSDPP) in 2016</w:t>
      </w:r>
      <w:r w:rsidR="00FF6CBF" w:rsidRPr="00103A0B">
        <w:rPr>
          <w:rFonts w:ascii="Arial" w:hAnsi="Arial" w:cs="Arial"/>
          <w:sz w:val="24"/>
          <w:szCs w:val="24"/>
        </w:rPr>
        <w:t>,</w:t>
      </w:r>
      <w:r w:rsidRPr="00103A0B">
        <w:rPr>
          <w:rFonts w:ascii="Arial" w:hAnsi="Arial" w:cs="Arial"/>
          <w:sz w:val="24"/>
          <w:szCs w:val="24"/>
        </w:rPr>
        <w:t xml:space="preserve"> as part of the NHS Five Year Forward View report which highlighted the importance of prevention and public health </w:t>
      </w:r>
      <w:r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{"citationItems":[{"id":"ITEM-1","itemData":{"author":[{"dropping-particle":"","family":"NHS England","given":"","non-dropping-particle":"","parse-names":false,"suffix":""},{"dropping-particle":"","family":"Public Health England","given":"","non-dropping-particle":"","parse-names":false,"suffix":""},{"dropping-particle":"","family":"Health Education England","given":"","non-dropping-particle":"","parse-names":false,"suffix":""},{"dropping-particle":"","family":"Monitor","given":"","non-dropping-particle":"","parse-names":false,"suffix":""},{"dropping-particle":"","family":"Care Quality Commission","given":"","non-dropping-particle":"","parse-names":false,"suffix":""},{"dropping-particle":"","family":"Authority","given":"Trust Development","non-dropping-particle":"","parse-names":false,"suffix":""}],"id":"ITEM-1","issued":{"date-parts":[["2014"]]},"number-of-pages":"1-39","title":"Five year forward view","type":"report"},"uris":["http://www.mendeley.com/documents/?uuid=b4765d48-366e-47d4-be27-f5fb1a1c0231"]},{"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programme","type":"article-journal","volume":"43"},"uris":["http://www.mendeley.com/documents/?uuid=32a7a44a-df0b-4cde-9269-536e48e08190"]}],"mendeley":{"formattedCitation":"(NHS England et al., 2014; Valabhji et al., 2020)","plainTextFormattedCitation":"(NHS England et al., 2014; Valabhji et al., 2020)","previouslyFormattedCitation":"(NHS England et al., 2014; 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England et al., 2014; Valabhji et al., 2020)</w:t>
      </w:r>
      <w:r w:rsidRPr="00103A0B">
        <w:rPr>
          <w:rFonts w:ascii="Arial" w:hAnsi="Arial" w:cs="Arial"/>
          <w:sz w:val="24"/>
          <w:szCs w:val="24"/>
        </w:rPr>
        <w:fldChar w:fldCharType="end"/>
      </w:r>
      <w:r w:rsidRPr="00103A0B">
        <w:rPr>
          <w:rFonts w:ascii="Arial" w:hAnsi="Arial" w:cs="Arial"/>
          <w:sz w:val="24"/>
          <w:szCs w:val="24"/>
        </w:rPr>
        <w:t xml:space="preserve">. Full population coverage of the NHSDPP was achieved just over 2 years later </w:t>
      </w:r>
      <w:r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programme","type":"article-journal","volume":"43"},"uris":["http://www.mendeley.com/documents/?uuid=32a7a44a-df0b-4cde-9269-536e48e08190"]}],"mendeley":{"formattedCitation":"(Valabhji et al., 2020)","plainTextFormattedCitation":"(Valabhji et al., 2020)","previouslyFormattedCitation":"(Valabhji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(Valabhji et al., 2020)</w:t>
      </w:r>
      <w:r w:rsidRPr="00103A0B">
        <w:rPr>
          <w:rFonts w:ascii="Arial" w:hAnsi="Arial" w:cs="Arial"/>
          <w:sz w:val="24"/>
          <w:szCs w:val="24"/>
        </w:rPr>
        <w:fldChar w:fldCharType="end"/>
      </w:r>
      <w:r w:rsidRPr="00103A0B">
        <w:rPr>
          <w:rFonts w:ascii="Arial" w:hAnsi="Arial" w:cs="Arial"/>
          <w:sz w:val="24"/>
          <w:szCs w:val="24"/>
        </w:rPr>
        <w:t xml:space="preserve">. The programme is a joint commitment from NHS England, Public Health England and Diabetes UK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hyperglycaemia","type":"report"},"uris":["http://www.mendeley.com/documents/?uuid=00fe88c7-ca9b-4ae1-8051-3f6463f5ce57"]},{"id":"ITEM-2","itemData":{"author":[{"dropping-particle":"","family":"NHS England Publications","given":"","non-dropping-particle":"","parse-names":false,"suffix":""}],"id":"ITEM-2","issued":{"date-parts":[["2016"]]},"number-of-pages":"1-10","title":"NHS diabetes prevention programme","type":"report"},"uris":["http://www.mendeley.com/documents/?uuid=4adde129-faf3-4fa1-9148-6d11267fab38"]}],"mendeley":{"formattedCitation":"(Diabetes Prevention Team, 2015; NHS England Publications, 2016)","plainTextFormattedCitation":"(Diabetes Prevention Team, 2015; NHS England Publications, 2016)","previouslyFormattedCitation":"(Diabetes Prevention Team, 2015; NHS England Publications,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 NHS England Publications, 2016)</w:t>
      </w:r>
      <w:r w:rsidRPr="00103A0B">
        <w:rPr>
          <w:rFonts w:ascii="Arial" w:hAnsi="Arial" w:cs="Arial"/>
          <w:sz w:val="24"/>
          <w:szCs w:val="24"/>
        </w:rPr>
        <w:fldChar w:fldCharType="end"/>
      </w:r>
      <w:r w:rsidRPr="00103A0B">
        <w:rPr>
          <w:rFonts w:ascii="Arial" w:hAnsi="Arial" w:cs="Arial"/>
          <w:sz w:val="24"/>
          <w:szCs w:val="24"/>
        </w:rPr>
        <w:t>.</w:t>
      </w:r>
    </w:p>
    <w:p w14:paraId="44992987" w14:textId="5F5C67DF" w:rsidR="00CA0902" w:rsidRPr="00103A0B" w:rsidRDefault="00CA0902" w:rsidP="00CD5919">
      <w:pPr>
        <w:spacing w:before="240" w:line="360" w:lineRule="auto"/>
        <w:jc w:val="both"/>
        <w:rPr>
          <w:rFonts w:ascii="Arial" w:hAnsi="Arial" w:cs="Arial"/>
          <w:sz w:val="24"/>
          <w:szCs w:val="24"/>
        </w:rPr>
      </w:pPr>
      <w:r w:rsidRPr="00103A0B">
        <w:rPr>
          <w:rFonts w:ascii="Arial" w:hAnsi="Arial" w:cs="Arial"/>
          <w:sz w:val="24"/>
          <w:szCs w:val="24"/>
        </w:rPr>
        <w:t xml:space="preserve">The NHSDPP aims to delay or prevent the onset of T2DM, by offering those with prediabetes (i.e., at high risk of T2DM), a behaviour change programme involving lifestyle modification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hyperglycaemia","type":"report"},"uris":["http://www.mendeley.com/documents/?uuid=00fe88c7-ca9b-4ae1-8051-3f6463f5ce57"]}],"mendeley":{"formattedCitation":"(Diabetes Prevention Team, 2015)","plainTextFormattedCitation":"(Diabetes Prevention Team, 2015)","previouslyFormattedCitation":"(Diabetes Prevention Team,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w:t>
      </w:r>
      <w:r w:rsidRPr="00103A0B">
        <w:rPr>
          <w:rFonts w:ascii="Arial" w:hAnsi="Arial" w:cs="Arial"/>
          <w:sz w:val="24"/>
          <w:szCs w:val="24"/>
        </w:rPr>
        <w:fldChar w:fldCharType="end"/>
      </w:r>
      <w:r w:rsidRPr="00103A0B">
        <w:rPr>
          <w:rFonts w:ascii="Arial" w:hAnsi="Arial" w:cs="Arial"/>
          <w:sz w:val="24"/>
          <w:szCs w:val="24"/>
        </w:rPr>
        <w:t>.</w:t>
      </w:r>
      <w:r w:rsidR="004072F6" w:rsidRPr="00103A0B">
        <w:rPr>
          <w:rFonts w:ascii="Arial" w:hAnsi="Arial" w:cs="Arial"/>
          <w:sz w:val="24"/>
          <w:szCs w:val="24"/>
        </w:rPr>
        <w:t xml:space="preserve"> </w:t>
      </w:r>
      <w:r w:rsidRPr="00103A0B">
        <w:rPr>
          <w:rFonts w:ascii="Arial" w:hAnsi="Arial" w:cs="Arial"/>
          <w:sz w:val="24"/>
          <w:szCs w:val="24"/>
        </w:rPr>
        <w:t xml:space="preserve">The primary objectives of the NHSDPP are to promote weight loss and reduce glucose levels among those with prediabetes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hyperglycaemia","type":"report"},"uris":["http://www.mendeley.com/documents/?uuid=00fe88c7-ca9b-4ae1-8051-3f6463f5ce57"]}],"mendeley":{"formattedCitation":"(Diabetes Prevention Team, 2015)","plainTextFormattedCitation":"(Diabetes Prevention Team, 2015)","previouslyFormattedCitation":"(Diabetes Prevention Team,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w:t>
      </w:r>
      <w:r w:rsidRPr="00103A0B">
        <w:rPr>
          <w:rFonts w:ascii="Arial" w:hAnsi="Arial" w:cs="Arial"/>
          <w:sz w:val="24"/>
          <w:szCs w:val="24"/>
        </w:rPr>
        <w:fldChar w:fldCharType="end"/>
      </w:r>
      <w:r w:rsidRPr="00103A0B">
        <w:rPr>
          <w:rFonts w:ascii="Arial" w:hAnsi="Arial" w:cs="Arial"/>
          <w:sz w:val="24"/>
          <w:szCs w:val="24"/>
        </w:rPr>
        <w:t xml:space="preserve">. Some of the secondary objectives of the NHSDPP are to: reduce calorie intake, promote healthier diets, and increase physical activity levels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hyperglycaemia","type":"report"},"uris":["http://www.mendeley.com/documents/?uuid=00fe88c7-ca9b-4ae1-8051-3f6463f5ce57"]}],"mendeley":{"formattedCitation":"(Diabetes Prevention Team, 2015)","plainTextFormattedCitation":"(Diabetes Prevention Team, 2015)","previouslyFormattedCitation":"(Diabetes Prevention Team,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w:t>
      </w:r>
      <w:r w:rsidRPr="00103A0B">
        <w:rPr>
          <w:rFonts w:ascii="Arial" w:hAnsi="Arial" w:cs="Arial"/>
          <w:sz w:val="24"/>
          <w:szCs w:val="24"/>
        </w:rPr>
        <w:fldChar w:fldCharType="end"/>
      </w:r>
      <w:r w:rsidRPr="00103A0B">
        <w:rPr>
          <w:rFonts w:ascii="Arial" w:hAnsi="Arial" w:cs="Arial"/>
          <w:sz w:val="24"/>
          <w:szCs w:val="24"/>
        </w:rPr>
        <w:t xml:space="preserve">. The programme long-term aims are to reduce: T2DM incidence; health inequalities linked with T2DM; and complications related with T2DM including stroke, kidney, eye and foot problems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{"citationItems":[{"id":"ITEM-1","itemData":{"author":[{"dropping-particle":"","family":"NHS England Publications","given":"","non-dropping-particle":"","parse-names":false,"suffix":""}],"id":"ITEM-1","issued":{"date-parts":[["2016"]]},"number-of-pages":"1-10","title":"NHS diabetes prevention programme","type":"report"},"uris":["http://www.mendeley.com/documents/?uuid=4adde129-faf3-4fa1-9148-6d11267fab38"]}],"mendeley":{"formattedCitation":"(NHS England Publications, 2016)","plainTextFormattedCitation":"(NHS England Publications, 2016)","previouslyFormattedCitation":"(NHS England Publications,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England Publications, 2016)</w:t>
      </w:r>
      <w:r w:rsidRPr="00103A0B">
        <w:rPr>
          <w:rFonts w:ascii="Arial" w:hAnsi="Arial" w:cs="Arial"/>
          <w:sz w:val="24"/>
          <w:szCs w:val="24"/>
        </w:rPr>
        <w:fldChar w:fldCharType="end"/>
      </w:r>
      <w:r w:rsidRPr="00103A0B">
        <w:rPr>
          <w:rFonts w:ascii="Arial" w:hAnsi="Arial" w:cs="Arial"/>
          <w:sz w:val="24"/>
          <w:szCs w:val="24"/>
        </w:rPr>
        <w:t xml:space="preserve">. </w:t>
      </w:r>
    </w:p>
    <w:p w14:paraId="65D5E7C2" w14:textId="77777777" w:rsidR="00113A0F" w:rsidRPr="00103A0B" w:rsidRDefault="00113A0F">
      <w:pPr>
        <w:rPr>
          <w:rFonts w:ascii="Arial" w:hAnsi="Arial" w:cs="Arial"/>
          <w:b/>
          <w:bCs/>
          <w:sz w:val="24"/>
          <w:szCs w:val="24"/>
        </w:rPr>
      </w:pPr>
      <w:r w:rsidRPr="00103A0B">
        <w:rPr>
          <w:rFonts w:ascii="Arial" w:hAnsi="Arial" w:cs="Arial"/>
          <w:b/>
          <w:bCs/>
          <w:sz w:val="24"/>
          <w:szCs w:val="24"/>
        </w:rPr>
        <w:br w:type="page"/>
      </w:r>
    </w:p>
    <w:p w14:paraId="109150E8" w14:textId="53224C4C" w:rsidR="009E7B4C" w:rsidRPr="00103A0B" w:rsidRDefault="00CA0902" w:rsidP="00A26AB9">
      <w:pPr>
        <w:keepLines/>
        <w:spacing w:before="240" w:line="360" w:lineRule="auto"/>
        <w:jc w:val="both"/>
        <w:rPr>
          <w:rFonts w:ascii="Arial" w:hAnsi="Arial" w:cs="Arial"/>
          <w:b/>
          <w:bCs/>
          <w:sz w:val="24"/>
          <w:szCs w:val="24"/>
        </w:rPr>
      </w:pPr>
      <w:r w:rsidRPr="00103A0B">
        <w:rPr>
          <w:rFonts w:ascii="Arial" w:hAnsi="Arial" w:cs="Arial"/>
          <w:b/>
          <w:bCs/>
          <w:sz w:val="24"/>
          <w:szCs w:val="24"/>
        </w:rPr>
        <w:lastRenderedPageBreak/>
        <w:t xml:space="preserve">4.2.1 </w:t>
      </w:r>
      <w:r w:rsidR="009E7B4C" w:rsidRPr="00103A0B">
        <w:rPr>
          <w:rFonts w:ascii="Arial" w:hAnsi="Arial" w:cs="Arial"/>
          <w:b/>
          <w:bCs/>
          <w:sz w:val="24"/>
          <w:szCs w:val="24"/>
        </w:rPr>
        <w:t xml:space="preserve">Early </w:t>
      </w:r>
      <w:r w:rsidRPr="00103A0B">
        <w:rPr>
          <w:rFonts w:ascii="Arial" w:hAnsi="Arial" w:cs="Arial"/>
          <w:b/>
          <w:bCs/>
          <w:sz w:val="24"/>
          <w:szCs w:val="24"/>
        </w:rPr>
        <w:t>S</w:t>
      </w:r>
      <w:r w:rsidR="009E7B4C" w:rsidRPr="00103A0B">
        <w:rPr>
          <w:rFonts w:ascii="Arial" w:hAnsi="Arial" w:cs="Arial"/>
          <w:b/>
          <w:bCs/>
          <w:sz w:val="24"/>
          <w:szCs w:val="24"/>
        </w:rPr>
        <w:t xml:space="preserve">tages and </w:t>
      </w:r>
      <w:r w:rsidRPr="00103A0B">
        <w:rPr>
          <w:rFonts w:ascii="Arial" w:hAnsi="Arial" w:cs="Arial"/>
          <w:b/>
          <w:bCs/>
          <w:sz w:val="24"/>
          <w:szCs w:val="24"/>
        </w:rPr>
        <w:t>D</w:t>
      </w:r>
      <w:r w:rsidR="009E7B4C" w:rsidRPr="00103A0B">
        <w:rPr>
          <w:rFonts w:ascii="Arial" w:hAnsi="Arial" w:cs="Arial"/>
          <w:b/>
          <w:bCs/>
          <w:sz w:val="24"/>
          <w:szCs w:val="24"/>
        </w:rPr>
        <w:t xml:space="preserve">evelopment of the NHSDPP </w:t>
      </w:r>
    </w:p>
    <w:p w14:paraId="2DB95D68" w14:textId="3D9C9A80" w:rsidR="003B61DD" w:rsidRPr="00103A0B" w:rsidRDefault="00CA0902" w:rsidP="00CD5919">
      <w:pPr>
        <w:spacing w:before="240" w:line="360" w:lineRule="auto"/>
        <w:jc w:val="both"/>
        <w:rPr>
          <w:rFonts w:ascii="Arial" w:hAnsi="Arial" w:cs="Arial"/>
          <w:sz w:val="24"/>
          <w:szCs w:val="24"/>
        </w:rPr>
      </w:pPr>
      <w:r w:rsidRPr="00103A0B">
        <w:rPr>
          <w:rFonts w:ascii="Arial" w:hAnsi="Arial" w:cs="Arial"/>
          <w:sz w:val="24"/>
          <w:szCs w:val="24"/>
        </w:rPr>
        <w:t xml:space="preserve">The NHSDPP </w:t>
      </w:r>
      <w:bookmarkStart w:id="262" w:name="_Hlk73893515"/>
      <w:r w:rsidRPr="00103A0B">
        <w:rPr>
          <w:rFonts w:ascii="Arial" w:hAnsi="Arial" w:cs="Arial"/>
          <w:sz w:val="24"/>
          <w:szCs w:val="24"/>
        </w:rPr>
        <w:t>content</w:t>
      </w:r>
      <w:r w:rsidR="004072F6" w:rsidRPr="00103A0B">
        <w:rPr>
          <w:rFonts w:ascii="Arial" w:hAnsi="Arial" w:cs="Arial"/>
          <w:sz w:val="24"/>
          <w:szCs w:val="24"/>
        </w:rPr>
        <w:t xml:space="preserve"> </w:t>
      </w:r>
      <w:r w:rsidRPr="00103A0B">
        <w:rPr>
          <w:rFonts w:ascii="Arial" w:hAnsi="Arial" w:cs="Arial"/>
          <w:sz w:val="24"/>
          <w:szCs w:val="24"/>
        </w:rPr>
        <w:t xml:space="preserve">was </w:t>
      </w:r>
      <w:bookmarkEnd w:id="262"/>
      <w:r w:rsidRPr="00103A0B">
        <w:rPr>
          <w:rFonts w:ascii="Arial" w:hAnsi="Arial" w:cs="Arial"/>
          <w:sz w:val="24"/>
          <w:szCs w:val="24"/>
        </w:rPr>
        <w:t xml:space="preserve">informed by evidence-based research including a commissioned review on effective behavioural interventions in preventing T2DM, and followed recommendations made by the National Institute for Health and Care Excellence (NICE) </w:t>
      </w:r>
      <w:r w:rsidRPr="00103A0B">
        <w:rPr>
          <w:rFonts w:ascii="Arial" w:hAnsi="Arial" w:cs="Arial"/>
          <w:sz w:val="24"/>
          <w:szCs w:val="24"/>
        </w:rPr>
        <w:fldChar w:fldCharType="begin" w:fldLock="1"/>
      </w:r>
      <w:r w:rsidR="00062570" w:rsidRPr="00103A0B">
        <w:rPr>
          <w:rFonts w:ascii="Arial" w:hAnsi="Arial" w:cs="Arial"/>
          <w:sz w:val="24"/>
          <w:szCs w:val="24"/>
        </w:rPr>
        <w:instrText>ADDIN CSL_CITATION {"citationItems":[{"id":"ITEM-1","itemData":{"abstract":"A systematic review and meta-analysis assessing the effectiveness of pragmatic lifestyle interventions for the prevention of type 2 diabetes mellitus in routine practice 2 About Public Health England Public Health England exists to protect and improve the nation's health and wellbeing, and reduce health inequalities. It does this through world-class science, knowledge and intelligence, advocacy, partnerships and the delivery of specialist public health services. PHE is an operationally autonomous executive agency of the Department of Health.","author":[{"dropping-particle":"","family":"Nuzhat","given":"B.A.","non-dropping-particle":"","parse-names":false,"suffix":""},{"dropping-particle":"","family":"Spong","given":"R.","non-dropping-particle":"","parse-names":false,"suffix":""},{"dropping-particle":"","family":"Carter","given":"P.","non-dropping-particle":"","parse-names":false,"suffix":""},{"dropping-particle":"","family":"Davies","given":"M.","non-dropping-particle":"","parse-names":false,"suffix":""},{"dropping-particle":"","family":"Dunkley","given":"A.","non-dropping-particle":"","parse-names":false,"suffix":""},{"dropping-particle":"","family":"Gillies, C","given":"et al.","non-dropping-particle":"","parse-names":false,"suffix":""}],"container-title":"Public Health England","id":"ITEM-1","issued":{"date-parts":[["2015"]]},"number-of-pages":"1-173","title":"A systematic review and meta- analysis assessing the effectiveness of pragmatic lifestyle interventions for the prevention of type 2 diabetes mellitus in routine practice","type":"report"},"uris":["http://www.mendeley.com/documents/?uuid=7d9fa3fc-50cd-4082-b9b8-2d51de6dfb55"]},{"id":"ITEM-2","itemData":{"URL":"https://www.england.nhs.uk/diabetes/diabetes-prevention/exp-ref-grp/","author":[{"dropping-particle":"","family":"NHS England","given":"","non-dropping-particle":"","parse-names":false,"suffix":""}],"id":"ITEM-2","issued":{"date-parts":[["2020"]]},"title":"NHS DPP expert reference group","type":"webpage"},"uris":["http://www.mendeley.com/documents/?uuid=4bed8202-16c9-45d6-83ec-f1340a34fcda"]},{"id":"ITEM-3","itemData":{"abstract":"This guideline covers how to identify adults at high risk of type 2 diabetes. It aims to remind practitioners that age is no barrier to being at high risk of, or developing, the condition. It also aims to help them provide those at high risk with an effective and appropriate intensive lifestyle-change programme to prevent or delay the onset of type 2 diabetes. The recommendations in this guideline can be used alongside the NHS Health Check programme. NICE has also produced a guideline on population and community-level interventions for preventing type 2 diabetes. In September 2017, we reviewed the evidence for intensive lifestyle-change programmes and metformin for people at risk of type 2 diabetes. We added new recommendations on lifestyle-change programmes (recommendations 1.5.5 and 1.5.6) and changed the recommendation about offering metformin (recommendation 1.19.1). Recommendations This guideline includes recommendations on: risk assessment and risk identification physical activity weight management and dietary advice vulnerable groups metformin and orlistat","author":[{"dropping-particle":"","family":"National Institute of Clinical Excellence","given":"","non-dropping-particle":"","parse-names":false,"suffix":""}],"container-title":"NICE guidance","id":"ITEM-3","issued":{"date-parts":[["2012"]]},"number-of-pages":"1-40","title":"Type 2 diabetes: prevention in people at high risk","type":"report"},"uris":["http://www.mendeley.com/documents/?uuid=00b3e3a4-a0ba-4511-b2af-57efe3ea8012"]},{"id":"ITEM-4","itemData":{"author":[{"dropping-particle":"","family":"NHS England","given":"","non-dropping-particle":"","parse-names":false,"suffix":""}],"id":"ITEM-4","issued":{"date-parts":[["2016"]]},"number-of-pages":"1-36","title":"NDPP national service specification","type":"report"},"uris":["http://www.mendeley.com/documents/?uuid=306a6502-c933-4a45-b2c1-94fc05914bd3"]}],"mendeley":{"formattedCitation":"(National Institute of Clinical Excellence, 2012; NHS England, 2016a, 2020b; Nuzhat et al., 2015)","plainTextFormattedCitation":"(National Institute of Clinical Excellence, 2012; NHS England, 2016a, 2020b; Nuzhat et al., 2015)","previouslyFormattedCitation":"(National Institute of Clinical Excellence, 2012; NHS England, 2016a, 2020b; Nuzhat et al., 2015)"},"properties":{"noteIndex":0},"schema":"https://github.com/citation-style-language/schema/raw/master/csl-citation.json"}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(National Institute of Clinical Excellence, 2012; NHS England, 2016a, 2020b; Nuzhat et al., 2015)</w:t>
      </w:r>
      <w:r w:rsidRPr="00103A0B">
        <w:rPr>
          <w:rFonts w:ascii="Arial" w:hAnsi="Arial" w:cs="Arial"/>
          <w:sz w:val="24"/>
          <w:szCs w:val="24"/>
        </w:rPr>
        <w:fldChar w:fldCharType="end"/>
      </w:r>
      <w:r w:rsidRPr="00103A0B">
        <w:rPr>
          <w:rFonts w:ascii="Arial" w:hAnsi="Arial" w:cs="Arial"/>
          <w:sz w:val="24"/>
          <w:szCs w:val="24"/>
        </w:rPr>
        <w:t xml:space="preserve">. A group of experts were involved in developing the service specification for programme delivery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{"citationItems":[{"id":"ITEM-1","itemData":{"URL":"https://www.england.nhs.uk/diabetes/diabetes-prevention/exp-ref-grp/","author":[{"dropping-particle":"","family":"NHS England","given":"","non-dropping-particle":"","parse-names":false,"suffix":""}],"id":"ITEM-1","issued":{"date-parts":[["2020"]]},"title":"NHS DPP expert reference group","type":"webpage"},"uris":["http://www.mendeley.com/documents/?uuid=4bed8202-16c9-45d6-83ec-f1340a34fcda"]}],"mendeley":{"formattedCitation":"(NHS England, 2020b)","plainTextFormattedCitation":"(NHS England, 2020b)","previouslyFormattedCitation":"(NHS England, 2020b)"},"properties":{"noteIndex":0},"schema":"https://github.com/citation-style-language/schema/raw/master/csl-citation.json"}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England, 2020b)</w:t>
      </w:r>
      <w:r w:rsidRPr="00103A0B">
        <w:rPr>
          <w:rFonts w:ascii="Arial" w:hAnsi="Arial" w:cs="Arial"/>
          <w:sz w:val="24"/>
          <w:szCs w:val="24"/>
        </w:rPr>
        <w:fldChar w:fldCharType="end"/>
      </w:r>
      <w:r w:rsidRPr="00103A0B">
        <w:rPr>
          <w:rFonts w:ascii="Arial" w:hAnsi="Arial" w:cs="Arial"/>
          <w:sz w:val="24"/>
          <w:szCs w:val="24"/>
        </w:rPr>
        <w:t xml:space="preserve">. </w:t>
      </w:r>
    </w:p>
    <w:p w14:paraId="1A27D104" w14:textId="4C337EAA" w:rsidR="004072F6" w:rsidRPr="00103A0B" w:rsidRDefault="00CA0902" w:rsidP="00CD5919">
      <w:pPr>
        <w:spacing w:before="240" w:line="360" w:lineRule="auto"/>
        <w:jc w:val="both"/>
        <w:rPr>
          <w:rFonts w:ascii="Arial" w:hAnsi="Arial" w:cs="Arial"/>
          <w:sz w:val="24"/>
          <w:szCs w:val="24"/>
        </w:rPr>
      </w:pPr>
      <w:r w:rsidRPr="00103A0B">
        <w:rPr>
          <w:rFonts w:ascii="Arial" w:hAnsi="Arial" w:cs="Arial"/>
          <w:sz w:val="24"/>
          <w:szCs w:val="24"/>
        </w:rPr>
        <w:t>In the early phases of the NHSDPP, the programme was delivered in seven demonstrator sites including Southwark</w:t>
      </w:r>
      <w:r w:rsidR="004072F6" w:rsidRPr="00103A0B">
        <w:rPr>
          <w:rFonts w:ascii="Arial" w:hAnsi="Arial" w:cs="Arial"/>
          <w:sz w:val="24"/>
          <w:szCs w:val="24"/>
        </w:rPr>
        <w:t xml:space="preserve">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{"citationItems":[{"id":"ITEM-1","itemData":{"author":[{"dropping-particle":"","family":"NHS England Publications","given":"","non-dropping-particle":"","parse-names":false,"suffix":""}],"id":"ITEM-1","issued":{"date-parts":[["2016"]]},"number-of-pages":"1-10","title":"NHS diabetes prevention programme","type":"report"},"uris":["http://www.mendeley.com/documents/?uuid=4adde129-faf3-4fa1-9148-6d11267fab38"]},{"id":"ITEM-2","itemData":{"ISSN":"14726963","PMID":"32293424","abstract":"Background: The National Health Service diabetes prevention programme in England, (NHS DPP) aims to identify people at high risk of type 2 diabetes (T2D) and offer them a face-to-face, group-based, behaviour change intervention for at least 9 months. The NHS DPP was rolled out in phases. We aimed to elicit stakeholders' perceptions and experiences of the factors influencing implementation of, and participation in, the programme during the development phase. Methods: Individual, semi-structured telephone interviews were conducted with 50 purposively sampled stakeholders: Service users (n = 20); programme commissioners (n = 7); referrers (n = 8); and intervention deliverers (n = 15). Topic guides were structured using a pragmatic, theory-informed approach. Analysis employed the framework method. Results: We identified factors that influenced participation: Risk communication at referral-stakeholders identified point of referral as a window of opportunity to offer brief advice, to provide an understanding of T2D risk and information about the programme; Perceived impact of the NHS DPP-service users highlighted the positive perceived impact on their behaviour change, the peer support provided by participating in the programme, the option to involve a relative, and the 'knock on' effect on others. Service users also voiced disappointment when blood test results still identified them at high risk after the programme; and Behavioural maintenance-participants highlighted the challenges linked to behavioural maintenance (e.g. discontinuation of active support). Factors influencing implementations were also identified: Case finding-stakeholders suggested that using community involvement to identify service users could increase reach and ensure that the workload was not solely on GP practices; Adaptability: Intervention deliverers acknowledged the need to tailor advice to service users' preferences and needs; Accountability-the need to acknowledge who was responsible for what at different stages of the NHS DPP pathway; and Fidelity-stakeholders described procedures involved in monitoring service users' satisfaction, outcome data collection and quality assurance assessments. Conclusions: The NHS DPP offers an evidence-informed behavioural intervention for T2D prevention. Better risk communication specification could ensure consistency at the referral stage and improve participation in the NHS DPP intervention. Cultural adaptations and outreach strategies could ensu…","author":[{"dropping-particle":"","family":"Rodrigues","given":"Angela M.","non-dropping-particle":"","parse-names":false,"suffix":""},{"dropping-particle":"","family":"Haste","given":"Anna","non-dropping-particle":"","parse-names":false,"suffix":""},{"dropping-particle":"","family":"Penn","given":"Linda","non-dropping-particle":"","parse-names":false,"suffix":""},{"dropping-particle":"","family":"Bell","given":"Ruth","non-dropping-particle":"","parse-names":false,"suffix":""},{"dropping-particle":"","family":"Summerbell","given":"Carolyn","non-dropping-particle":"","parse-names":false,"suffix":""},{"dropping-particle":"","family":"White","given":"Martin","non-dropping-particle":"","parse-names":false,"suffix":""},{"dropping-particle":"","family":"Adamson","given":"Ashley J.","non-dropping-particle":"","parse-names":false,"suffix":""},{"dropping-particle":"","family":"Sniehotta","given":"Falko F.","non-dropping-particle":"","parse-names":false,"suffix":""}],"container-title":"BMC Health Services Research","id":"ITEM-2","issued":{"date-parts":[["2020"]]},"page":"307","publisher":"BMC Health Services Research","title":"Stakeholders' perceptions and experiences of the National Health Service diabetes prevention programme in England: qualitative study with service users, intervention providers and deliverers, commissioners and referrers","type":"article-journal","volume":"20"},"uris":["http://www.mendeley.com/documents/?uuid=f72c730c-7abc-4ecd-b17f-09aa8f2ad088"]}],"mendeley":{"formattedCitation":"(NHS England Publications, 2016; Rodrigues et al., 2020)","plainTextFormattedCitation":"(NHS England Publications, 2016; Rodrigues et al., 2020)","previouslyFormattedCitation":"(NHS England Publications, 2016; Rodrigues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England Publications, 2016; Rodrigues et al., 2020)</w:t>
      </w:r>
      <w:r w:rsidRPr="00103A0B">
        <w:rPr>
          <w:rFonts w:ascii="Arial" w:hAnsi="Arial" w:cs="Arial"/>
          <w:sz w:val="24"/>
          <w:szCs w:val="24"/>
        </w:rPr>
        <w:fldChar w:fldCharType="end"/>
      </w:r>
      <w:r w:rsidRPr="00103A0B">
        <w:rPr>
          <w:rFonts w:ascii="Arial" w:hAnsi="Arial" w:cs="Arial"/>
          <w:sz w:val="24"/>
          <w:szCs w:val="24"/>
        </w:rPr>
        <w:t xml:space="preserve">. The findings from these demonstrator sites informed the design and delivery of the national programme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{"citationItems":[{"id":"ITEM-1","itemData":{"author":[{"dropping-particle":"","family":"NHS England Publications","given":"","non-dropping-particle":"","parse-names":false,"suffix":""}],"id":"ITEM-1","issued":{"date-parts":[["2016"]]},"number-of-pages":"1-10","title":"NHS diabetes prevention programme","type":"report"},"uris":["http://www.mendeley.com/documents/?uuid=4adde129-faf3-4fa1-9148-6d11267fab38"]},{"id":"ITEM-2","itemData":{"ISSN":"2044-6055","abstract":"Objectives: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Open","id":"ITEM-2","issued":{"date-parts":[["2018"]]},"note":"Accession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implementation.","type":"article-journal","volume":"8"},"uris":["http://www.mendeley.com/documents/?uuid=0a421108-0e51-4039-8549-33e6c08f2b12"]}],"mendeley":{"formattedCitation":"(NHS England Publications, 2016; Penn et al., 2018)","plainTextFormattedCitation":"(NHS England Publications, 2016; Penn et al., 2018)","previouslyFormattedCitation":"(NHS England Publications, 2016; Penn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England Publications, 2016; Penn et al., 2018)</w:t>
      </w:r>
      <w:r w:rsidRPr="00103A0B">
        <w:rPr>
          <w:rFonts w:ascii="Arial" w:hAnsi="Arial" w:cs="Arial"/>
          <w:sz w:val="24"/>
          <w:szCs w:val="24"/>
        </w:rPr>
        <w:fldChar w:fldCharType="end"/>
      </w:r>
      <w:r w:rsidRPr="00103A0B">
        <w:rPr>
          <w:rFonts w:ascii="Arial" w:hAnsi="Arial" w:cs="Arial"/>
          <w:sz w:val="24"/>
          <w:szCs w:val="24"/>
        </w:rPr>
        <w:t xml:space="preserve">. In May 2016, the first wave of the NHSDPP was rolled out nationally in 10 areas, with the NHSDPP being rolled out in the 17 remaining areas from June 2016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Open","id":"ITEM-1","issued":{"date-parts":[["2018"]]},"note":"Accession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implementation.","type":"article-journal","volume":"8"},"uris":["http://www.mendeley.com/documents/?uuid=0a421108-0e51-4039-8549-33e6c08f2b12"]}],"mendeley":{"formattedCitation":"(Penn et al., 2018)","plainTextFormattedCitation":"(Penn et al., 2018)","previouslyFormattedCitation":"(Penn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(Penn et al., 2018)</w:t>
      </w:r>
      <w:r w:rsidRPr="00103A0B">
        <w:rPr>
          <w:rFonts w:ascii="Arial" w:hAnsi="Arial" w:cs="Arial"/>
          <w:sz w:val="24"/>
          <w:szCs w:val="24"/>
        </w:rPr>
        <w:fldChar w:fldCharType="end"/>
      </w:r>
      <w:r w:rsidRPr="00103A0B">
        <w:rPr>
          <w:rFonts w:ascii="Arial" w:hAnsi="Arial" w:cs="Arial"/>
          <w:sz w:val="24"/>
          <w:szCs w:val="24"/>
        </w:rPr>
        <w:t xml:space="preserve">. An economic evaluation has shown the NHSDPP is likely to be cost-effective within 20 years, and cost-saving where programme costs are predicted to be retrieved within 12 years through NHS savings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{"citationItems":[{"id":"ITEM-1","itemData":{"DOI":"10.1136/bmjopen-2016-014953","ISSN":"2044-6055","abstract":"Objectives: To evaluate potential return on investment of the National Health Service Diabetes Prevention Programme (NHS DPP) in England and estimate which population subgroups are likely to benefit most in terms of cost-effectiveness, cost-savings and health benefits.; Design: Economic analysis using the School for Public Health Research Diabetes Prevention Model.; Setting: England 2015-2016.; Population: Adults aged ≥16 with high risk of type 2 diabetes (HbA1c 6%-6.4%). Population subgroups defined by age, sex, ethnicity, socioeconomic deprivation, baseline body mass index, baseline HbA1c and working status.; Interventions: The proposed NHS DPP: an intensive lifestyle intervention focusing on dietary advice, physical activity and weight loss. Comparator: no diabetes prevention intervention.; Main Outcome Measures: Incremental costs, savings and return on investment, quality-adjusted life-years (QALYs), diabetes cases, cardiovascular cases and net monetary benefit from an NHS perspective.; Results: Intervention costs will be recouped through NHS savings within 12 years, with net NHS saving of £1.28 over 20 years for each £1 invested. Per 100 000 DPP interventions given, 3552 QALYs are gained. The DPP is most cost-effective and cost-saving in obese individuals, those with baseline HbA1c 6.2%-6.4% and those aged 40-74. QALY gains are lower in minority ethnic and low socioeconomic status subgroups. Probabilistic sensitivity analysis suggests that there is 97% probability that the DPP will be cost-effective within 20 years. NHS savings are highly sensitive to intervention cost, effectiveness and duration of effect.; Conclusions: The DPP is likely to be cost-effective and cost-saving under current assumptions. Prioritising obese individuals could create the most value for money and obtain the greatest health benefits per individual targeted. Low socioeconomic status or ethnic minority groups may gain fewer QALYs per intervention, so targeting strategies should ensure the DPP does not contribute to widening health inequalities. Further evidence is needed around the differential responsiveness of population subgroups to the DPP.; © Article author(s) (or their employer(s) unless otherwise stated in the text of the article) 2017. All rights reserved. No commercial use is permitted unless otherwise expressly granted.","author":[{"dropping-particle":"","family":"Thomas","given":"Chloe","non-dropping-particle":"","parse-names":false,"suffix":""},{"dropping-particle":"","family":"Sadler","given":"Susi","non-dropping-particle":"","parse-names":false,"suffix":""},{"dropping-particle":"","family":"Breeze","given":"Penny","non-dropping-particle":"","parse-names":false,"suffix":""},{"dropping-particle":"","family":"Squires","given":"Hazel","non-dropping-particle":"","parse-names":false,"suffix":""},{"dropping-particle":"","family":"Gillett","given":"Michael","non-dropping-particle":"","parse-names":false,"suffix":""},{"dropping-particle":"","family":"Brennan","given":"Alan","non-dropping-particle":"","parse-names":false,"suffix":""}],"container-title":"BMJ Open","id":"ITEM-1","issue":"8","issued":{"date-parts":[["2017","8","21"]]},"note":"Accession Number: 28827235. Language: English. Date Revised: 20180515. Date Created: 20170823. Date Completed: 20180515. Update Code: 20180516. Publication Type: Journal Article. Journal ID: 101552874. Publication Model: Electronic. Cited Medium: Internet. NLM ISO Abbr: BMJ Open. Comment: Cites: J Public Health (Oxf). 2016 Dec 2;38(4):679-687. (PMID: 28158533). Cites: Health Technol Assess. 2012 Aug;16(33):1-236, iii-iv. (PMID: 22935084). Cites: Diabet Med. 2017 Aug;34(8):1136-1144. (PMID: 28294392). Cites: BMJ. 2008 Jun 28;336(7659):1475-82. (PMID: 18573856). Cites: Health Technol Assess. 2015 May;19(33):1-80. (PMID: 25947106). Cites: Diabetes Care. 2014 Apr;37(4):922-33. (PMID: 24652723). Cites: Br J Gen Pract. 2016 Apr;66(645):e258-63. (PMID: 26906629). Cites: Diabetes Care. 2008 May;31(5):857-62. (PMID: 18252900). Cites: J Public Health (Oxf). 2017 Mar 1;39(1):132-138. (PMID: 26811184). Cites: BMJ. 2007 Feb 10;334(7588):299. (PMID: 17237299). Cites: J Gerontol A Biol Sci Med Sci. 2006 Oct;61(10):1075-81. (PMID: 17077202). Cites: N Engl J Med. 2002 Feb 7;346(6):393-403. (PMID: 11832527). Cites: Diabet Med. 2017 May;34(5):632-640. (PMID: 28075544). Linking ISSN: 20446055. Subset: IM; Date of Electronic Publication: 2017 Aug 21. ; Original Imprints: Publication: [London] : BMJ Publishing Group Ltd, 2011-","page":"e014953-e014953","publisher":"BMJ Publishing Group Ltd","publisher-place":"School of Health and Related Research, University of Sheffield, Sheffield, UK.","title":"Assessing the potential return on investment of the proposed UK NHS diabetes prevention programme in different population subgroups: an economic evaluation.","type":"article-journal","volume":"7"},"uris":["http://www.mendeley.com/documents/?uuid=98d87ccc-43a1-4008-a4e0-a8af7e40ddbb"]}],"mendeley":{"formattedCitation":"(C. Thomas et al., 2017)","manualFormatting":"(Thomas et al., 2017)","plainTextFormattedCitation":"(C. Thomas et al., 2017)","previouslyFormattedCitation":"(C. Thomas et al., 2017)"},"properties":{"noteIndex":0},"schema":"https://github.com/citation-style-language/schema/raw/master/csl-citation.json"}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(Thomas et al., 2017)</w:t>
      </w:r>
      <w:r w:rsidRPr="00103A0B">
        <w:rPr>
          <w:rFonts w:ascii="Arial" w:hAnsi="Arial" w:cs="Arial"/>
          <w:sz w:val="24"/>
          <w:szCs w:val="24"/>
        </w:rPr>
        <w:fldChar w:fldCharType="end"/>
      </w:r>
      <w:r w:rsidRPr="00103A0B">
        <w:rPr>
          <w:rFonts w:ascii="Arial" w:hAnsi="Arial" w:cs="Arial"/>
          <w:sz w:val="24"/>
          <w:szCs w:val="24"/>
        </w:rPr>
        <w:t xml:space="preserve">. </w:t>
      </w:r>
    </w:p>
    <w:p w14:paraId="6964CFF8" w14:textId="54F3D8D4" w:rsidR="003B61DD" w:rsidRPr="00103A0B" w:rsidRDefault="004072F6" w:rsidP="00CD5919">
      <w:pPr>
        <w:spacing w:before="240" w:line="360" w:lineRule="auto"/>
        <w:jc w:val="both"/>
        <w:rPr>
          <w:rFonts w:ascii="Arial" w:hAnsi="Arial" w:cs="Arial"/>
          <w:sz w:val="24"/>
          <w:szCs w:val="24"/>
        </w:rPr>
      </w:pPr>
      <w:r w:rsidRPr="00103A0B">
        <w:rPr>
          <w:rFonts w:ascii="Arial" w:hAnsi="Arial" w:cs="Arial"/>
          <w:sz w:val="24"/>
          <w:szCs w:val="24"/>
        </w:rPr>
        <w:t xml:space="preserve">At the time of writing, </w:t>
      </w:r>
      <w:r w:rsidR="001D543A" w:rsidRPr="00103A0B">
        <w:rPr>
          <w:rFonts w:ascii="Arial" w:hAnsi="Arial" w:cs="Arial"/>
          <w:sz w:val="24"/>
          <w:szCs w:val="24"/>
        </w:rPr>
        <w:t>t</w:t>
      </w:r>
      <w:r w:rsidR="00CA0902" w:rsidRPr="00103A0B">
        <w:rPr>
          <w:rFonts w:ascii="Arial" w:hAnsi="Arial" w:cs="Arial"/>
          <w:sz w:val="24"/>
          <w:szCs w:val="24"/>
        </w:rPr>
        <w:t>he NHSDPP is being delivered across England by four local service providers who were chosen after going through a national competitive process (Reed Wellbeing</w:t>
      </w:r>
      <w:r w:rsidR="003B61DD" w:rsidRPr="00103A0B">
        <w:rPr>
          <w:rFonts w:ascii="Arial" w:hAnsi="Arial" w:cs="Arial"/>
          <w:sz w:val="24"/>
          <w:szCs w:val="24"/>
        </w:rPr>
        <w:t xml:space="preserve"> (previously known as Reed Momenta)</w:t>
      </w:r>
      <w:r w:rsidR="00CA0902" w:rsidRPr="00103A0B">
        <w:rPr>
          <w:rFonts w:ascii="Arial" w:hAnsi="Arial" w:cs="Arial"/>
          <w:sz w:val="24"/>
          <w:szCs w:val="24"/>
        </w:rPr>
        <w:t xml:space="preserve">, Pulse Healthcare Limited trading as ICS Health &amp; Wellbeing, </w:t>
      </w:r>
      <w:proofErr w:type="spellStart"/>
      <w:r w:rsidR="00CA0902" w:rsidRPr="00103A0B">
        <w:rPr>
          <w:rFonts w:ascii="Arial" w:hAnsi="Arial" w:cs="Arial"/>
          <w:sz w:val="24"/>
          <w:szCs w:val="24"/>
        </w:rPr>
        <w:t>Ingeus</w:t>
      </w:r>
      <w:proofErr w:type="spellEnd"/>
      <w:r w:rsidR="00CA0902" w:rsidRPr="00103A0B">
        <w:rPr>
          <w:rFonts w:ascii="Arial" w:hAnsi="Arial" w:cs="Arial"/>
          <w:sz w:val="24"/>
          <w:szCs w:val="24"/>
        </w:rPr>
        <w:t xml:space="preserve"> UK, and Living Well Taking Control) </w:t>
      </w:r>
      <w:r w:rsidR="00CA0902"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programme","type":"article-journal","volume":"43"},"uris":["http://www.mendeley.com/documents/?uuid=32a7a44a-df0b-4cde-9269-536e48e08190"]},{"id":"ITEM-3","itemData":{"author":[{"dropping-particle":"","family":"NHS England Publications","given":"","non-dropping-particle":"","parse-names":false,"suffix":""}],"id":"ITEM-3","issued":{"date-parts":[["2016"]]},"number-of-pages":"1-10","title":"NHS diabetes prevention programme","type":"report"},"uris":["http://www.mendeley.com/documents/?uuid=4adde129-faf3-4fa1-9148-6d11267fab38"]}],"mendeley":{"formattedCitation":"(Diabetes Prevention Team, 2015; NHS England Publications, 2016; Valabhji et al., 2020)","plainTextFormattedCitation":"(Diabetes Prevention Team, 2015; NHS England Publications, 2016; Valabhji et al., 2020)","previouslyFormattedCitation":"(Diabetes Prevention Team, 2015; NHS England Publications, 2016; Valabhji et al., 2020)"},"properties":{"noteIndex":0},"schema":"https://github.com/citation-style-language/schema/raw/master/csl-citation.json"}</w:instrText>
      </w:r>
      <w:r w:rsidR="00CA0902" w:rsidRPr="00103A0B">
        <w:rPr>
          <w:rFonts w:ascii="Arial" w:hAnsi="Arial" w:cs="Arial"/>
          <w:sz w:val="24"/>
          <w:szCs w:val="24"/>
        </w:rPr>
        <w:fldChar w:fldCharType="separate"/>
      </w:r>
      <w:r w:rsidR="00CA0902" w:rsidRPr="00103A0B">
        <w:rPr>
          <w:rFonts w:ascii="Arial" w:hAnsi="Arial" w:cs="Arial"/>
          <w:noProof/>
          <w:sz w:val="24"/>
          <w:szCs w:val="24"/>
        </w:rPr>
        <w:t>(Diabetes Prevention Team, 2015; NHS England Publications, 2016; Valabhji et al., 2020)</w:t>
      </w:r>
      <w:r w:rsidR="00CA0902" w:rsidRPr="00103A0B">
        <w:rPr>
          <w:rFonts w:ascii="Arial" w:hAnsi="Arial" w:cs="Arial"/>
          <w:sz w:val="24"/>
          <w:szCs w:val="24"/>
        </w:rPr>
        <w:fldChar w:fldCharType="end"/>
      </w:r>
      <w:r w:rsidR="00CA0902" w:rsidRPr="00103A0B">
        <w:rPr>
          <w:rFonts w:ascii="Arial" w:hAnsi="Arial" w:cs="Arial"/>
          <w:sz w:val="24"/>
          <w:szCs w:val="24"/>
        </w:rPr>
        <w:t xml:space="preserve">. Each provider follows a similar structure of an initial assessment, core and maintenance sessions, with at least 13 face-to-face group-based sessions with 16 hours contact time, over a minimum of 9 months </w:t>
      </w:r>
      <w:r w:rsidR="00CA0902"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programme","type":"article-journal","volume":"43"},"uris":["http://www.mendeley.com/documents/?uuid=32a7a44a-df0b-4cde-9269-536e48e08190"]},{"id":"ITEM-2","itemData":{"author":[{"dropping-particle":"","family":"Diabetes Prevention Team","given":"","non-dropping-particle":"","parse-names":false,"suffix":""}],"id":"ITEM-2","issued":{"date-parts":[["2015"]]},"number-of-pages":"1-32","title":"Consultation guide: national procurement for the provision of behavioural interventions for people with non-diabetic hyperglycaemia","type":"report"},"uris":["http://www.mendeley.com/documents/?uuid=00fe88c7-ca9b-4ae1-8051-3f6463f5ce57"]},{"id":"ITEM-3","itemData":{"author":[{"dropping-particle":"","family":"NHS England Publications","given":"","non-dropping-particle":"","parse-names":false,"suffix":""}],"id":"ITEM-3","issued":{"date-parts":[["2016"]]},"number-of-pages":"1-10","title":"NHS diabetes prevention programme","type":"report"},"uris":["http://www.mendeley.com/documents/?uuid=4adde129-faf3-4fa1-9148-6d11267fab38"]}],"mendeley":{"formattedCitation":"(Diabetes Prevention Team, 2015; NHS England Publications, 2016; Valabhji et al., 2020)","plainTextFormattedCitation":"(Diabetes Prevention Team, 2015; NHS England Publications, 2016; Valabhji et al., 2020)","previouslyFormattedCitation":"(Diabetes Prevention Team, 2015; NHS England Publications, 2016; Valabhji et al., 2020)"},"properties":{"noteIndex":0},"schema":"https://github.com/citation-style-language/schema/raw/master/csl-citation.json"}</w:instrText>
      </w:r>
      <w:r w:rsidR="00CA0902" w:rsidRPr="00103A0B">
        <w:rPr>
          <w:rFonts w:ascii="Arial" w:hAnsi="Arial" w:cs="Arial"/>
          <w:sz w:val="24"/>
          <w:szCs w:val="24"/>
        </w:rPr>
        <w:fldChar w:fldCharType="separate"/>
      </w:r>
      <w:r w:rsidR="00CA0902" w:rsidRPr="00103A0B">
        <w:rPr>
          <w:rFonts w:ascii="Arial" w:hAnsi="Arial" w:cs="Arial"/>
          <w:noProof/>
          <w:sz w:val="24"/>
          <w:szCs w:val="24"/>
        </w:rPr>
        <w:t>(Diabetes Prevention Team, 2015; NHS England Publications, 2016; Valabhji et al., 2020)</w:t>
      </w:r>
      <w:r w:rsidR="00CA0902" w:rsidRPr="00103A0B">
        <w:rPr>
          <w:rFonts w:ascii="Arial" w:hAnsi="Arial" w:cs="Arial"/>
          <w:sz w:val="24"/>
          <w:szCs w:val="24"/>
        </w:rPr>
        <w:fldChar w:fldCharType="end"/>
      </w:r>
      <w:r w:rsidR="00CA0902" w:rsidRPr="00103A0B">
        <w:rPr>
          <w:rFonts w:ascii="Arial" w:hAnsi="Arial" w:cs="Arial"/>
          <w:sz w:val="24"/>
          <w:szCs w:val="24"/>
        </w:rPr>
        <w:t xml:space="preserve">. However, due to the global pandemic Coronavirus 2019 (Covid-19), there has been temporary changes to the delivery of the NHSDPP </w:t>
      </w:r>
      <w:r w:rsidR="00CA0902" w:rsidRPr="00103A0B">
        <w:rPr>
          <w:rFonts w:ascii="Arial" w:hAnsi="Arial" w:cs="Arial"/>
          <w:sz w:val="24"/>
          <w:szCs w:val="24"/>
        </w:rPr>
        <w:fldChar w:fldCharType="begin" w:fldLock="1"/>
      </w:r>
      <w:r w:rsidR="00CA0902" w:rsidRPr="00103A0B">
        <w:rPr>
          <w:rFonts w:ascii="Arial" w:hAnsi="Arial" w:cs="Arial"/>
          <w:sz w:val="24"/>
          <w:szCs w:val="24"/>
        </w:rPr>
        <w:instrText>ADDIN CSL_CITATION {"citationItems":[{"id":"ITEM-1","itemData":{"ISBN":"9789162893439","ISSN":"10634584","PMID":"27546496","author":[{"dropping-particle":"","family":"Newbound","given":"Tom","non-dropping-particle":"","parse-names":false,"suffix":""},{"dropping-particle":"","family":"Valabhji","given":"Jonathan","non-dropping-particle":"","parse-names":false,"suffix":""}],"id":"ITEM-1","issued":{"date-parts":[["2020"]]},"number-of-pages":"1-2","title":"COVID-19: NHS diabetes prevention programme","type":"report"},"uris":["http://www.mendeley.com/documents/?uuid=79584e4b-513c-4491-a173-d3ce8c070272"]}],"mendeley":{"formattedCitation":"(Newbound &amp; Valabhji, 2020)","plainTextFormattedCitation":"(Newbound &amp; Valabhji, 2020)","previouslyFormattedCitation":"(Newbound &amp; Valabhji, 2020)"},"properties":{"noteIndex":0},"schema":"https://github.com/citation-style-language/schema/raw/master/csl-citation.json"}</w:instrText>
      </w:r>
      <w:r w:rsidR="00CA0902" w:rsidRPr="00103A0B">
        <w:rPr>
          <w:rFonts w:ascii="Arial" w:hAnsi="Arial" w:cs="Arial"/>
          <w:sz w:val="24"/>
          <w:szCs w:val="24"/>
        </w:rPr>
        <w:fldChar w:fldCharType="separate"/>
      </w:r>
      <w:r w:rsidR="00CA0902" w:rsidRPr="00103A0B">
        <w:rPr>
          <w:rFonts w:ascii="Arial" w:hAnsi="Arial" w:cs="Arial"/>
          <w:noProof/>
          <w:sz w:val="24"/>
          <w:szCs w:val="24"/>
        </w:rPr>
        <w:t>(Newbound &amp; Valabhji, 2020)</w:t>
      </w:r>
      <w:r w:rsidR="00CA0902" w:rsidRPr="00103A0B">
        <w:rPr>
          <w:rFonts w:ascii="Arial" w:hAnsi="Arial" w:cs="Arial"/>
          <w:sz w:val="24"/>
          <w:szCs w:val="24"/>
        </w:rPr>
        <w:fldChar w:fldCharType="end"/>
      </w:r>
      <w:r w:rsidR="00CA0902" w:rsidRPr="00103A0B">
        <w:rPr>
          <w:rFonts w:ascii="Arial" w:hAnsi="Arial" w:cs="Arial"/>
          <w:sz w:val="24"/>
          <w:szCs w:val="24"/>
        </w:rPr>
        <w:t xml:space="preserve">. </w:t>
      </w:r>
      <w:bookmarkStart w:id="263" w:name="_Hlk124960623"/>
      <w:r w:rsidR="00CA0902" w:rsidRPr="00103A0B">
        <w:rPr>
          <w:rFonts w:ascii="Arial" w:hAnsi="Arial" w:cs="Arial"/>
          <w:sz w:val="24"/>
          <w:szCs w:val="24"/>
        </w:rPr>
        <w:t>Since the 20</w:t>
      </w:r>
      <w:r w:rsidR="00CA0902" w:rsidRPr="00103A0B">
        <w:rPr>
          <w:rFonts w:ascii="Arial" w:hAnsi="Arial" w:cs="Arial"/>
          <w:sz w:val="24"/>
          <w:szCs w:val="24"/>
          <w:vertAlign w:val="superscript"/>
        </w:rPr>
        <w:t>th</w:t>
      </w:r>
      <w:r w:rsidR="00CA0902" w:rsidRPr="00103A0B">
        <w:rPr>
          <w:rFonts w:ascii="Arial" w:hAnsi="Arial" w:cs="Arial"/>
          <w:sz w:val="24"/>
          <w:szCs w:val="24"/>
        </w:rPr>
        <w:t xml:space="preserve"> of March 2020, group-based face-to-face sessions are no longer taking place </w:t>
      </w:r>
      <w:r w:rsidR="001D543A" w:rsidRPr="00103A0B">
        <w:rPr>
          <w:rFonts w:ascii="Arial" w:hAnsi="Arial" w:cs="Arial"/>
          <w:sz w:val="24"/>
          <w:szCs w:val="24"/>
        </w:rPr>
        <w:t>and</w:t>
      </w:r>
      <w:r w:rsidR="00CA0902" w:rsidRPr="00103A0B">
        <w:rPr>
          <w:rFonts w:ascii="Arial" w:hAnsi="Arial" w:cs="Arial"/>
          <w:sz w:val="24"/>
          <w:szCs w:val="24"/>
        </w:rPr>
        <w:t xml:space="preserve"> they are now being delivered remotely </w:t>
      </w:r>
      <w:r w:rsidR="001D543A" w:rsidRPr="00103A0B">
        <w:rPr>
          <w:rFonts w:ascii="Arial" w:hAnsi="Arial" w:cs="Arial"/>
          <w:sz w:val="24"/>
          <w:szCs w:val="24"/>
        </w:rPr>
        <w:t>with</w:t>
      </w:r>
      <w:r w:rsidR="00CA0902" w:rsidRPr="00103A0B">
        <w:rPr>
          <w:rFonts w:ascii="Arial" w:hAnsi="Arial" w:cs="Arial"/>
          <w:sz w:val="24"/>
          <w:szCs w:val="24"/>
        </w:rPr>
        <w:t xml:space="preserve"> telephone-based coaching and digital services being offered </w:t>
      </w:r>
      <w:r w:rsidR="00CA0902" w:rsidRPr="00103A0B">
        <w:rPr>
          <w:rFonts w:ascii="Arial" w:hAnsi="Arial" w:cs="Arial"/>
          <w:sz w:val="24"/>
          <w:szCs w:val="24"/>
        </w:rPr>
        <w:fldChar w:fldCharType="begin" w:fldLock="1"/>
      </w:r>
      <w:r w:rsidR="00CA0902" w:rsidRPr="00103A0B">
        <w:rPr>
          <w:rFonts w:ascii="Arial" w:hAnsi="Arial" w:cs="Arial"/>
          <w:sz w:val="24"/>
          <w:szCs w:val="24"/>
        </w:rPr>
        <w:instrText>ADDIN CSL_CITATION {"citationItems":[{"id":"ITEM-1","itemData":{"ISBN":"9789162893439","ISSN":"10634584","PMID":"27546496","author":[{"dropping-particle":"","family":"Newbound","given":"Tom","non-dropping-particle":"","parse-names":false,"suffix":""},{"dropping-particle":"","family":"Valabhji","given":"Jonathan","non-dropping-particle":"","parse-names":false,"suffix":""}],"id":"ITEM-1","issued":{"date-parts":[["2020"]]},"number-of-pages":"1-2","title":"COVID-19: NHS diabetes prevention programme","type":"report"},"uris":["http://www.mendeley.com/documents/?uuid=79584e4b-513c-4491-a173-d3ce8c070272"]}],"mendeley":{"formattedCitation":"(Newbound &amp; Valabhji, 2020)","plainTextFormattedCitation":"(Newbound &amp; Valabhji, 2020)","previouslyFormattedCitation":"(Newbound &amp; Valabhji, 2020)"},"properties":{"noteIndex":0},"schema":"https://github.com/citation-style-language/schema/raw/master/csl-citation.json"}</w:instrText>
      </w:r>
      <w:r w:rsidR="00CA0902" w:rsidRPr="00103A0B">
        <w:rPr>
          <w:rFonts w:ascii="Arial" w:hAnsi="Arial" w:cs="Arial"/>
          <w:sz w:val="24"/>
          <w:szCs w:val="24"/>
        </w:rPr>
        <w:fldChar w:fldCharType="separate"/>
      </w:r>
      <w:r w:rsidR="00CA0902" w:rsidRPr="00103A0B">
        <w:rPr>
          <w:rFonts w:ascii="Arial" w:hAnsi="Arial" w:cs="Arial"/>
          <w:noProof/>
          <w:sz w:val="24"/>
          <w:szCs w:val="24"/>
        </w:rPr>
        <w:t>(Newbound &amp; Valabhji, 2020)</w:t>
      </w:r>
      <w:r w:rsidR="00CA0902" w:rsidRPr="00103A0B">
        <w:rPr>
          <w:rFonts w:ascii="Arial" w:hAnsi="Arial" w:cs="Arial"/>
          <w:sz w:val="24"/>
          <w:szCs w:val="24"/>
        </w:rPr>
        <w:fldChar w:fldCharType="end"/>
      </w:r>
      <w:r w:rsidR="00CA0902" w:rsidRPr="00103A0B">
        <w:rPr>
          <w:rFonts w:ascii="Arial" w:hAnsi="Arial" w:cs="Arial"/>
          <w:sz w:val="24"/>
          <w:szCs w:val="24"/>
        </w:rPr>
        <w:t xml:space="preserve">. </w:t>
      </w:r>
      <w:bookmarkEnd w:id="263"/>
    </w:p>
    <w:p w14:paraId="643842EA" w14:textId="74875A3B" w:rsidR="00624CDF" w:rsidRPr="00103A0B" w:rsidRDefault="00CA0902" w:rsidP="00624CDF">
      <w:pPr>
        <w:spacing w:before="240" w:line="360" w:lineRule="auto"/>
        <w:jc w:val="both"/>
        <w:rPr>
          <w:rFonts w:ascii="Arial" w:hAnsi="Arial" w:cs="Arial"/>
          <w:sz w:val="24"/>
          <w:szCs w:val="24"/>
        </w:rPr>
      </w:pPr>
      <w:bookmarkStart w:id="264" w:name="_Hlk124956505"/>
      <w:r w:rsidRPr="00103A0B">
        <w:rPr>
          <w:rFonts w:ascii="Arial" w:hAnsi="Arial" w:cs="Arial"/>
          <w:sz w:val="24"/>
          <w:szCs w:val="24"/>
        </w:rPr>
        <w:lastRenderedPageBreak/>
        <w:t xml:space="preserve">Individuals are eligible for the programme if they are identified as having prediabetes after undergoing an NHS Health Check, through routine clinical practice or obtaining qualifying blood test results through GP records </w:t>
      </w:r>
      <w:r w:rsidRPr="00103A0B">
        <w:rPr>
          <w:rFonts w:ascii="Arial" w:hAnsi="Arial" w:cs="Arial"/>
          <w:sz w:val="24"/>
          <w:szCs w:val="24"/>
        </w:rPr>
        <w:fldChar w:fldCharType="begin" w:fldLock="1"/>
      </w:r>
      <w:r w:rsidR="00926B09" w:rsidRPr="00103A0B">
        <w:rPr>
          <w:rFonts w:ascii="Arial" w:hAnsi="Arial" w:cs="Arial"/>
          <w:sz w:val="24"/>
          <w:szCs w:val="24"/>
        </w:rPr>
        <w:instrText>ADDIN CSL_CITATION {"citationItems":[{"id":"ITEM-1","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Medicine","id":"ITEM-1","issued":{"date-parts":[["2018"]]},"page":"513-518","title":"Progress of the healthier you: NHS diabetes prevention programme: referrals, uptake and participant characteristics","type":"article-journal","volume":"35"},"uris":["http://www.mendeley.com/documents/?uuid=1f5d47f1-f2c9-41a7-af24-e63deeae9374"]},{"id":"ITEM-2","itemData":{"abstract":"This guideline covers how to identify adults at high risk of type 2 diabetes. It aims to remind practitioners that age is no barrier to being at high risk of, or developing, the condition. It also aims to help them provide those at high risk with an effective and appropriate intensive lifestyle-change programme to prevent or delay the onset of type 2 diabetes. The recommendations in this guideline can be used alongside the NHS Health Check programme. NICE has also produced a guideline on population and community-level interventions for preventing type 2 diabetes. In September 2017, we reviewed the evidence for intensive lifestyle-change programmes and metformin for people at risk of type 2 diabetes. We added new recommendations on lifestyle-change programmes (recommendations 1.5.5 and 1.5.6) and changed the recommendation about offering metformin (recommendation 1.19.1). Recommendations This guideline includes recommendations on: risk assessment and risk identification physical activity weight management and dietary advice vulnerable groups metformin and orlistat","author":[{"dropping-particle":"","family":"National Institute of Clinical Excellence","given":"","non-dropping-particle":"","parse-names":false,"suffix":""}],"container-title":"NICE guidance","id":"ITEM-2","issued":{"date-parts":[["2012"]]},"number-of-pages":"1-40","title":"Type 2 diabetes: prevention in people at high risk","type":"report"},"uris":["http://www.mendeley.com/documents/?uuid=00b3e3a4-a0ba-4511-b2af-57efe3ea8012"]},{"id":"ITEM-3","itemData":{"author":[{"dropping-particle":"","family":"NHS England Publications","given":"","non-dropping-particle":"","parse-names":false,"suffix":""}],"id":"ITEM-3","issued":{"date-parts":[["2016"]]},"number-of-pages":"1-10","title":"NHS diabetes prevention programme","type":"report"},"uris":["http://www.mendeley.com/documents/?uuid=4adde129-faf3-4fa1-9148-6d11267fab38"]}],"mendeley":{"formattedCitation":"(Barron et al., 2018; National Institute of Clinical Excellence, 2012; NHS England Publications, 2016)","plainTextFormattedCitation":"(Barron et al., 2018; National Institute of Clinical Excellence, 2012; NHS England Publications, 2016)","previouslyFormattedCitation":"(Barron et al., 2018; National Institute of Clinical Excellence, 2012; NHS England Publications, 2016)"},"properties":{"noteIndex":0},"schema":"https://github.com/citation-style-language/schema/raw/master/csl-citation.json"}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(Barron et al., 2018; National Institute of Clinical Excellence, 2012; NHS England Publications, 2016)</w:t>
      </w:r>
      <w:r w:rsidRPr="00103A0B">
        <w:rPr>
          <w:rFonts w:ascii="Arial" w:hAnsi="Arial" w:cs="Arial"/>
          <w:sz w:val="24"/>
          <w:szCs w:val="24"/>
        </w:rPr>
        <w:fldChar w:fldCharType="end"/>
      </w:r>
      <w:r w:rsidRPr="00103A0B">
        <w:rPr>
          <w:rFonts w:ascii="Arial" w:hAnsi="Arial" w:cs="Arial"/>
          <w:sz w:val="24"/>
          <w:szCs w:val="24"/>
        </w:rPr>
        <w:t xml:space="preserve">. Due to current research on the negative impact of Covid-19 on T2DM outcomes, an eligible blood glucose reading is no longer required </w:t>
      </w:r>
      <w:r w:rsidRPr="00103A0B">
        <w:rPr>
          <w:rFonts w:ascii="Arial" w:hAnsi="Arial" w:cs="Arial"/>
          <w:sz w:val="24"/>
          <w:szCs w:val="24"/>
        </w:rPr>
        <w:fldChar w:fldCharType="begin" w:fldLock="1"/>
      </w:r>
      <w:r w:rsidR="00F064BD" w:rsidRPr="00103A0B">
        <w:rPr>
          <w:rFonts w:ascii="Arial" w:hAnsi="Arial" w:cs="Arial"/>
          <w:sz w:val="24"/>
          <w:szCs w:val="24"/>
        </w:rPr>
        <w:instrText xml:space="preserve">ADDIN CSL_CITATION {"citationItems":[{"id":"ITEM-1","itemData":{"DOI":"10.1016/s2213-8587(20)30238-2","ISSN":"22138587","PMID":"32687793","abstract":"Since the initial COVID-19 outbreak in China, much attention has focused on people with diabetes because of poor prognosis in those with the infection. Initial reports were mainly on people with type 2 diabetes, although recent surveys have shown that individuals with type 1 diabetes are also at risk of severe COVID-19. The reason for worse prognosis in people with diabetes is likely to be multifactorial, thus reflecting the syndromic nature of diabetes. Age, sex, ethnicity, comorbidities such as hypertension and cardiovascular disease, obesity, and a pro-inflammatory and pro-coagulative state all probably contribute to the risk of worse outcomes. Glucose-lowering agents and anti-viral treatments can modulate the risk, but limitations to their use and potential interactions with COVID-19 treatments should be carefully assessed. Finally, severe acute respiratory syndrome coronavirus 2 infection itself might represent a worsening factor for people with diabetes, as it can precipitate acute metabolic complications through direct negative effects on β-cell function. These effects on β-cell function might also cause diabetic ketoacidosis in individuals with diabetes, hyperglycaemia at hospital admission in individuals with unknown history of diabetes, and potentially new-onset diabetes.","author":[{"dropping-particle":"","family":"Apicella","given":"Matteo","non-dropping-particle":"","parse-names":false,"suffix":""},{"dropping-particle":"","family":"Campopiano","given":"Maria Cristina","non-dropping-particle":"","parse-names":false,"suffix":""},{"dropping-particle":"","family":"Mantuano","given":"Michele","non-dropping-particle":"","parse-names":false,"suffix":""},{"dropping-particle":"","family":"Mazoni","given":"Laura","non-dropping-particle":"","parse-names":false,"suffix":""},{"dropping-particle":"","family":"Coppelli","given":"Alberto","non-dropping-particle":"","parse-names":false,"suffix":""},{"dropping-particle":"","family":"Prato","given":"Stefano","non-dropping-particle":"Del","parse-names":false,"suffix":""}],"container-title":"The Lancet Diabetes and Endocrinology","id":"ITEM-1","issue":"9","issued":{"date-parts":[["2020"]]},"page":"782-792","publisher":"Elsevier Ltd","title":"COVID-19 in people with diabetes: understanding the reasons for worse outcomes","type":"article-journal","volume":"8"},"uris":["http://www.mendeley.com/documents/?uuid=a025ca6f-a3c7-45a8-ab05-a96205b9be5e"]},{"id":"ITEM-2","itemData":{"DOI":"10.1186/s12933-020-01047-y","ISSN":"14752840","PMID":"32527257","abstract":"A possible association could exist between type 2 diabetes mellitus (T2DM) and Coronavirus-19 (Covid-19) infection. Indeed, patients with T2DM show high prevalence, severity of disease and mortality during Covid-19 infection. However, the rates of severe disease are significantly higher in patients with diabetes compared with non-diabetes (34.6% vs. 14.2%; p &lt; 0.001). Similarly, T2DM patients have higher rates of need for Intensive Care Unit (ICU, 37.0% vs. 26.7%; p = 0.028). Thus, about the pneumonia of Covid-19, we might speculate that the complicated alveolar-capillary network of lungs could be targeted by T2DM micro-vascular damage. Therefore, T2DM patients frequently report respiratory symptoms and are at increased risk of several pulmonary diseases. In addition, pro-inflammatory pathways as that involving interleukin 6 (IL-6), could be a severity predictor of lung diseases. Therefore, it looks intuitive to speculate that this condition could explain the growing trend of cases, hospitalization and mortality for patients with T2DM during Covid-19 infection. To date, an ongoing experimental therapy with monoclonal antibody against the IL-6 receptor in Italy seems to have beneficial effects on severe lung disease and prognosis in patients with Covid-19 infection. Therefore, should patients with T2DM be treated with more attention to glycemic control and monoclonal antibody against the IL-6 receptor during the Covid-19 infection?","author":[{"dropping-particle":"","family":"Sardu","given":"Celestino","non-dropping-particle":"","parse-names":false,"suffix":""},{"dropping-particle":"","family":"Gargiulo","given":"Giuseppe","non-dropping-particle":"","parse-names":false,"suffix":""},{"dropping-particle":"","family":"Esposito","given":"Giovanni","non-dropping-particle":"","parse-names":false,"suffix":""},{"dropping-particle":"","family":"Paolisso","given":"Giuseppe","non-dropping-particle":"","parse-names":false,"suffix":""},{"dropping-particle":"","family":"Marfella","given":"Raffaele","non-dropping-particle":"","parse-names":false,"suffix":""}],"container-title":"Cardiovascular Diabetology","id":"ITEM-2","issue":"1","issued":{"date-parts":[["2020"]]},"page":"4-7","publisher":"BioMed Central","title":"Impact of diabetes mellitus on clinical outcomes in patients affected by Covid-19","type":"article-journal","volume":"19"},"uris":["http://www.mendeley.com/documents/?uuid=c07d1dc8-8edb-45cd-b4ad-b1e10edd5a4d"]},{"id":"ITEM-3","itemData":{"DOI":"10.2139/ssrn.3605226","ISSN":"1556-5068","abstract":"Background Although diabetes has been associated with COVID-19 mortality, its scale and relationships with modifiable risk factors including hyperglycaemia and obesity in Type 1 and Type 2 diabetes remain unclear. Methods National diabetes and mortality data in England identified deaths in people with Type 1 and Type 2 diabetes weekly from 1st January 2017 to 1st May 2020. Cox proportional hazards analysis investigated the relationship between risk factors and COVID-19 related death in a cohort alive on 1st January 2020 and followed to 1st May 2020. Findings Methods National diabetes and mortality data in England identified deaths in people with Type 1 and Type 2 diabetes weekly from 1st January 2017 to 1st May 2020. Cox proportional hazards analysis investigated the relationship between risk factors and COVID-19 related death in a cohort alive on 1st January 2020 and followed to 1st May 2020. Findings Weekly deaths in Type 1 and Type 2 diabetes more than doubled from the week ending 3rd April 2020 exceeding expected variation (3SD). Among 265,090 people with Type 1 and 2,889,210 people with Type 2 diabetes there were 418 and 9377 COVID-19 related deaths respectively. The adjusted hazard ratio (HR) of HbA1c &gt;86 mmol/mol compared to HbA1c 48-53 mmol/mol was 2·19 (95% CI 1·46-3·29) for Type 1 and 1·62 (95% CI 1·48-1·79) for Type 2 diabetes. The relationship between BMI and COVID-19 mortality was U- shaped; HRs for BMI &gt;40 kg/m2 compared to 25-29.9 kg/m2 were 2·15 (95% 1·37-3·36) and 1·46 (95% CI 1·50-1·79) for Type 1 and Type 2 respectively. Interpretation Deaths in people with diabetes in England have more than doubled during the COVID-19 epidemic. Hyperglycaemia and obesity in both Type 1 and Type 2 diabetes were independently associated with increased COVID-19 mortality. Risk factor control could diminish the impact of COVID-19 in diabetes. Funding NHS England &amp; Improvement and NHS Digital.","author":[{"dropping-particle":"","family":"Holman","given":"Naomi","non-dropping-particle":"","parse-names":false,"suffix":""},{"dropping-particle":"","family":"Knighton","given":"Peter","non-dropping-particle":"","parse-names":false,"suffix":""},{"dropping-particle":"","family":"Kar","given":"Partha","non-dropping-particle":"","parse-names":false,"suffix":""},{"dropping-particle":"","family":"O’Keefe","given":"Jackie","non-dropping-particle":"","parse-names":false,"suffix":""},{"dropping-particle":"","family":"Curley","given":"Matt","non-dropping-particle":"","parse-names":false,"suffix":""},{"dropping-particle":"","family":"Weaver","given":"Andy","non-dropping-particle":"","parse-names":false,"suffix":""},{"dropping-particle":"","family":"Barron","given":"Emma","non-dropping-particle":"","parse-names":false,"suffix":""},{"dropping-particle":"","family":"Bakhai","given":"Chirag","non-dropping-particle":"","parse-names":false,"suffix":""},{"dropping-particle":"","family":"Khunti","given":"Kamlesh","non-dropping-particle":"","parse-names":false,"suffix":""},{"dropping-particle":"","family":"Wareham","given":"Nick J.","non-dropping-particle":"","parse-names":false,"suffix":""},{"dropping-particle":"","family":"Sattar","given":"Naveed","non-dropping-particle":"","parse-names":false,"suffix":""},{"dropping-particle":"","family":"Young","given":"Bob","non-dropping-particle":"","parse-names":false,"suffix":""},{"dropping-particle":"","family":"Valabhji","given":"Jonathan","non-dropping-particle":"","parse-names":false,"suffix":""}],"container-title":"Lancet Diabetes and Endocrinology","id":"ITEM-3","issued":{"date-parts":[["2020"]]},"page":"1-11","publisher":"Elsevier Ltd","title":"Risk factors for COVID-19-related mortality in people with type 1 and type 2 diabetes in England: a population-based cohort study","type":"article-journal"},"uris":["http://www.mendeley.com/documents/?uuid=e4959347-ade4-4013-af71-269da29eb760"]},{"id":"ITEM-4","itemData":{"DOI":"10.1016/j.cmet.2020.04.021","ISSN":"19327420","PMID":"32369736","abstract":"Type 2 diabetes (T2D) correlates with a worse outcome for COVID-19. Here, Zhu et al. show that among </w:instrText>
      </w:r>
      <w:r w:rsidR="00F064BD" w:rsidRPr="00103A0B">
        <w:rPr>
          <w:rFonts w:ascii="Cambria Math" w:hAnsi="Cambria Math" w:cs="Cambria Math"/>
          <w:sz w:val="24"/>
          <w:szCs w:val="24"/>
        </w:rPr>
        <w:instrText>∼</w:instrText>
      </w:r>
      <w:r w:rsidR="00F064BD" w:rsidRPr="00103A0B">
        <w:rPr>
          <w:rFonts w:ascii="Arial" w:hAnsi="Arial" w:cs="Arial"/>
          <w:sz w:val="24"/>
          <w:szCs w:val="24"/>
        </w:rPr>
        <w:instrText>7,300 cases of COVID-19, T2D is associated with a higher death rate, but diabetics with better controlled blood glucose die at a lower rate than diabetics with poorly controlled blood glucose.","author":[{"dropping-particle":"","family":"Zhu","given":"Lihua","non-dropping-particle":"","parse-names":false,"suffix":""},{"dropping-particle":"","family":"She","given":"Zhi Gang","non-dropping-particle":"","parse-names":false,"suffix":""},{"dropping-particle":"","family":"Cheng","given":"Xu","non-dropping-particle":"","parse-names":false,"suffix":""},{"dropping-particle":"","family":"Qin","given":"Juan Juan","non-dropping-particle":"","parse-names":false,"suffix":""},{"dropping-particle":"","family":"Zhang","given":"Xiao Jing","non-dropping-particle":"","parse-names":false,"suffix":""},{"dropping-particle":"","family":"Cai","given":"Jingjing","non-dropping-particle":"","parse-names":false,"suffix":""},{"dropping-particle":"","family":"Lei","given":"Fang","non-dropping-particle":"","parse-names":false,"suffix":""},{"dropping-particle":"","family":"Wang","given":"Haitao","non-dropping-particle":"","parse-names":false,"suffix":""},{"dropping-particle":"","family":"Xie","given":"Jing","non-dropping-particle":"","parse-names":false,"suffix":""},{"dropping-particle":"","family":"Wang","given":"Wenxin","non-dropping-particle":"","parse-names":false,"suffix":""},{"dropping-particle":"","family":"Li","given":"Haomiao","non-dropping-particle":"","parse-names":false,"suffix":""},{"dropping-particle":"","family":"Zhang","given":"Peng","non-dropping-particle":"","parse-names":false,"suffix":""},{"dropping-particle":"","family":"Song","given":"Xiaohui","non-dropping-particle":"","parse-names":false,"suffix":""},{"dropping-particle":"","family":"Chen","given":"Xi","non-dropping-particle":"","parse-names":false,"suffix":""},{"dropping-particle":"","family":"Xiang","given":"Mei","non-dropping-particle":"","parse-names":false,"suffix":""},{"dropping-particle":"","family":"Zhang","given":"Chaozheng","non-dropping-particle":"","parse-names":false,"suffix":""},{"dropping-particle":"","family":"Bai","given":"Liangjie","non-dropping-particle":"","parse-names":false,"suffix":""},{"dropping-particle":"","family":"Xiang","given":"Da","non-dropping-particle":"","parse-names":false,"suffix":""},{"dropping-particle":"","family":"Chen","given":"Ming Ming","non-dropping-particle":"","parse-names":false,"suffix":""},{"dropping-particle":"","family":"Liu","given":"Yanqiong","non-dropping-particle":"","parse-names":false,"suffix":""},{"dropping-particle":"","family":"Yan","given":"Youqin","non-dropping-particle":"","parse-names":false,"suffix":""},{"dropping-particle":"","family":"Liu","given":"Mingyu","non-dropping-particle":"","parse-names":false,"suffix":""},{"dropping-particle":"","family":"Mao","given":"Weiming","non-dropping-particle":"","parse-names":false,"suffix":""},{"dropping-particle":"","family":"Zou","given":"Jinjing","non-dropping-particle":"","parse-names":false,"suffix":""},{"dropping-particle":"","family":"Liu","given":"Liming","non-dropping-particle":"","parse-names":false,"suffix":""},{"dropping-particle":"","family":"Chen","given":"Guohua","non-dropping-particle":"","parse-names":false,"suffix":""},{"dropping-particle":"","family":"Luo","given":"Pengcheng","non-dropping-particle":"","parse-names":false,"suffix":""},{"dropping-particle":"","family":"Xiao","given":"Bing","non-dropping-particle":"","parse-names":false,"suffix":""},{"dropping-particle":"","family":"Zhang","given":"Changjiang","non-dropping-particle":"","parse-names":false,"suffix":""},{"dropping-particle":"","family":"Zhang","given":"Zixiong","non-dropping-particle":"","parse-names":false,"suffix":""},{"dropping-particle":"","family":"Lu","given":"Zhigang","non-dropping-particle":"","parse-names":false,"suffix":""},{"dropping-particle":"","family":"Wang","given":"Junhai","non-dropping-particle":"","parse-names":false,"suffix":""},{"dropping-particle":"","family":"Lu","given":"Haofeng","non-dropping-particle":"","parse-names":false,"suffix":""},{"dropping-particle":"","family":"Xia","given":"Xigang","non-dropping-particle":"","parse-names":false,"suffix":""},{"dropping-particle":"","family":"Wang","given":"Daihong","non-dropping-particle":"","parse-names":false,"suffix":""},{"dropping-particle":"","family":"Liao","given":"Xiaofeng","non-dropping-particle":"","parse-names":false,"suffix":""},{"dropping-particle":"","family":"Peng","given":"Gang","non-dropping-particle":"","parse-names":false,"suffix":""},{"dropping-particle":"","family":"Ye","given":"Ping","non-dropping-particle":"","parse-names":false,"suffix":""},{"dropping-particle":"","family":"Yang","given":"Jun","non-dropping-particle":"","parse-names":false,"suffix":""},{"dropping-particle":"","family":"Yuan","given":"Yufeng","non-dropping-particle":"","parse-names":false,"suffix":""},{"dropping-particle":"","family":"Huang","given":"Xiaodong","non-dropping-particle":"","parse-names":false,"suffix":""},{"dropping-particle":"","family":"Guo","given":"Jiao","non-dropping-particle":"","parse-names":false,"suffix":""},{"dropping-particle":"","family":"Zhang","given":"Bing Hong","non-dropping-particle":"","parse-names":false,"suffix":""},{"dropping-particle":"","family":"Li","given":"Hongliang","non-dropping-particle":"","parse-names":false,"suffix":""}],"container-title":"Cell Metabolism","id":"ITEM-4","issued":{"date-parts":[["2020"]]},"page":"1068-1077","publisher":"Elsevier Inc.","title":"Association of blood glucose control and outcomes in patients with COVID-19 and pre-existing type 2 diabetes","type":"article-journal","volume":"31"},"uris":["http://www.mendeley.com/documents/?uuid=d46fb530-37f7-4f75-b669-e5f3908b9e5d"]},{"id":"ITEM-5","itemData":{"DOI":"10.3390/nu12082327","ISSN":"20726643","PMID":"32759636","abstract":"The COVID-19 lockdown clearly affected the lifestyle of the population and entailed changes in their daily habits, which involved potential health consequences, especially on patients with Type 2 Diabetes Mellitus (T2DM). We aimed to examine the impact of the lockdown caused by COVID-19 pandemic on both nutrition and exercise habits, as well as the psychological effects in patients with T2DM, compared to their usual diet and physical activity level previous to the complete home confinement. We also intended to analyse any potential variables that may have influenced these lifestyle modifications. A Food Frequency Questionnaire (FFQ), Physical Activity Questionnaire (IPAQ), Food Craving Questionnaire-State (FCQ-S) and Food Craving Questionnaire-Trait (FCQ-T) were used. Our results showed an increase in vegetable, sugary food and snack consumption. An association between levels of foods cravings and snack consumption was also found. Data also showed a high percentage of physical inactivity before the COVID-19 lockdown, which was exacerbated during the home confinement. These findings emphasise the great importance to do further research with larger study samples to analyse and explore dietary habits and to develop public health policies to promote a healthy lifestyle in terms of diet and physical activity in these patients, especially after this strict period of lockdown.","author":[{"dropping-particle":"","family":"Ruiz-Roso","given":"María Belén","non-dropping-particle":"","parse-names":false,"suffix":""},{"dropping-particle":"","family":"Knott-Torcal","given":"Carolina","non-dropping-particle":"","parse-names":false,"suffix":""},{"dropping-particle":"","family":"Matilla-Escalante","given":"Diana C.","non-dropping-particle":"","parse-names":false,"suffix":""},{"dropping-particle":"","family":"Garcimartín","given":"Alba","non-dropping-particle":"","parse-names":false,"suffix":""},{"dropping-particle":"","family":"Sampedro-Nuñez","given":"Miguel A.","non-dropping-particle":"","parse-names":false,"suffix":""},{"dropping-particle":"","family":"Dávalos","given":"Alberto","non-dropping-particle":"","parse-names":false,"suffix":""},{"dropping-particle":"","family":"Marazuela","given":"Mónica","non-dropping-particle":"","parse-names":false,"suffix":""}],"container-title":"Nutrients","id":"ITEM-5","issue":"8","issued":{"date-parts":[["2020"]]},"title":"COVID-19 lockdown and changes of the dietary pattern and physical activity habits in a cohort of patients with type 2 diabetes mellitus","type":"article-journal","volume":"12"},"uris":["http://www.mendeley.com/documents/?uuid=9494b7bc-1cab-4bf9-b63d-4117e7d67cc2"]}],"mendeley":{"formattedCitation":"(Apicella et al., 2020; Holman et al., 2020; Ruiz-Roso et al., 2020; Sardu et al., 2020; Zhu et al., 2020)","plainTextFormattedCitation":"(Apicella et al., 2020; Holman et al., 2020; Ruiz-Roso et al., 2020; Sardu et al., 2020; Zhu et al., 2020)","previouslyFormattedCitation":"(Apicella et al., 2020; Holman et al., 2020; Ruiz-Roso et al., 2020; Sardu et al., 2020; Zhu et al., 2020)"},"properties":{"noteIndex":0},"schema":"https://github.com/citation-style-language/schema/raw/master/csl-citation.json"}</w:instrText>
      </w:r>
      <w:r w:rsidRPr="00103A0B">
        <w:rPr>
          <w:rFonts w:ascii="Arial" w:hAnsi="Arial" w:cs="Arial"/>
          <w:sz w:val="24"/>
          <w:szCs w:val="24"/>
        </w:rPr>
        <w:fldChar w:fldCharType="separate"/>
      </w:r>
      <w:r w:rsidR="008E0722" w:rsidRPr="00103A0B">
        <w:rPr>
          <w:rFonts w:ascii="Arial" w:hAnsi="Arial" w:cs="Arial"/>
          <w:noProof/>
          <w:sz w:val="24"/>
          <w:szCs w:val="24"/>
        </w:rPr>
        <w:t>(Apicella et al., 2020; Holman et al., 2020; Ruiz-Roso et al., 2020; Sardu et al., 2020; Zhu et al., 2020)</w:t>
      </w:r>
      <w:r w:rsidRPr="00103A0B">
        <w:rPr>
          <w:rFonts w:ascii="Arial" w:hAnsi="Arial" w:cs="Arial"/>
          <w:sz w:val="24"/>
          <w:szCs w:val="24"/>
        </w:rPr>
        <w:fldChar w:fldCharType="end"/>
      </w:r>
      <w:r w:rsidRPr="00103A0B">
        <w:rPr>
          <w:rFonts w:ascii="Arial" w:hAnsi="Arial" w:cs="Arial"/>
          <w:sz w:val="24"/>
          <w:szCs w:val="24"/>
        </w:rPr>
        <w:t xml:space="preserve">. From August 2020, individuals </w:t>
      </w:r>
      <w:r w:rsidR="001D543A" w:rsidRPr="00103A0B">
        <w:rPr>
          <w:rFonts w:ascii="Arial" w:hAnsi="Arial" w:cs="Arial"/>
          <w:sz w:val="24"/>
          <w:szCs w:val="24"/>
        </w:rPr>
        <w:t>have been</w:t>
      </w:r>
      <w:r w:rsidRPr="00103A0B">
        <w:rPr>
          <w:rFonts w:ascii="Arial" w:hAnsi="Arial" w:cs="Arial"/>
          <w:sz w:val="24"/>
          <w:szCs w:val="24"/>
        </w:rPr>
        <w:t xml:space="preserve"> able to self-refer onto the NHSDPP after completing an online </w:t>
      </w:r>
      <w:r w:rsidR="001D543A" w:rsidRPr="00103A0B">
        <w:rPr>
          <w:rFonts w:ascii="Arial" w:hAnsi="Arial" w:cs="Arial"/>
          <w:sz w:val="24"/>
          <w:szCs w:val="24"/>
        </w:rPr>
        <w:t>D</w:t>
      </w:r>
      <w:r w:rsidRPr="00103A0B">
        <w:rPr>
          <w:rFonts w:ascii="Arial" w:hAnsi="Arial" w:cs="Arial"/>
          <w:sz w:val="24"/>
          <w:szCs w:val="24"/>
        </w:rPr>
        <w:t>iabetes UK risk score assessment, which</w:t>
      </w:r>
      <w:r w:rsidR="001D543A" w:rsidRPr="00103A0B">
        <w:rPr>
          <w:rFonts w:ascii="Arial" w:hAnsi="Arial" w:cs="Arial"/>
          <w:sz w:val="24"/>
          <w:szCs w:val="24"/>
        </w:rPr>
        <w:t xml:space="preserve"> it is anticipated</w:t>
      </w:r>
      <w:r w:rsidRPr="00103A0B">
        <w:rPr>
          <w:rFonts w:ascii="Arial" w:hAnsi="Arial" w:cs="Arial"/>
          <w:sz w:val="24"/>
          <w:szCs w:val="24"/>
        </w:rPr>
        <w:t xml:space="preserve"> will help with increasing uptake rates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{"citationItems":[{"id":"ITEM-1","itemData":{"URL":"https://www.england.nhs.uk/2020/07/fast-online-access-to-world-leading-nhs-weight-loss-advice/","accessed":{"date-parts":[["2020","6","26"]]},"author":[{"dropping-particle":"","family":"NHS England","given":"","non-dropping-particle":"","parse-names":false,"suffix":""}],"id":"ITEM-1","issued":{"date-parts":[["2020"]]},"title":"Fast online access to world leading NHS weight loss advice","type":"webpage"},"uris":["http://www.mendeley.com/documents/?uuid=f1c25c25-bb89-4ee2-b2eb-8df1897bb933"]},{"id":"ITEM-2","itemData":{"URL":"https://preventing-diabetes.co.uk/Know-your-risk-dtc/","author":[{"dropping-particle":"","family":"ICS Health &amp; Wellbeing","given":"","non-dropping-particle":"","parse-names":false,"suffix":""}],"id":"ITEM-2","issued":{"date-parts":[["2020"]]},"title":"Know your risk of type 2 diabetes","type":"webpage"},"uris":["http://www.mendeley.com/documents/?uuid=e9f92096-fa89-4086-999e-8c547d1c00d4"]}],"mendeley":{"formattedCitation":"(ICS Health &amp; Wellbeing, 2020; NHS England, 2020a)","plainTextFormattedCitation":"(ICS Health &amp; Wellbeing, 2020; NHS England, 2020a)","previouslyFormattedCitation":"(ICS Health &amp; Wellbeing, 2020; NHS England, 2020a)"},"properties":{"noteIndex":0},"schema":"https://github.com/citation-style-language/schema/raw/master/csl-citation.json"}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(ICS Health &amp; Wellbeing, 2020; NHS England, 2020a)</w:t>
      </w:r>
      <w:r w:rsidRPr="00103A0B">
        <w:rPr>
          <w:rFonts w:ascii="Arial" w:hAnsi="Arial" w:cs="Arial"/>
          <w:sz w:val="24"/>
          <w:szCs w:val="24"/>
        </w:rPr>
        <w:fldChar w:fldCharType="end"/>
      </w:r>
      <w:r w:rsidR="00624CDF" w:rsidRPr="00103A0B">
        <w:rPr>
          <w:rFonts w:ascii="Arial" w:hAnsi="Arial" w:cs="Arial"/>
          <w:sz w:val="24"/>
          <w:szCs w:val="24"/>
        </w:rPr>
        <w:t xml:space="preserve"> </w:t>
      </w:r>
      <w:bookmarkEnd w:id="264"/>
      <w:r w:rsidR="00624CDF" w:rsidRPr="00103A0B">
        <w:rPr>
          <w:rFonts w:ascii="Arial" w:hAnsi="Arial" w:cs="Arial"/>
          <w:sz w:val="24"/>
          <w:szCs w:val="24"/>
        </w:rPr>
        <w:t>(</w:t>
      </w:r>
      <w:r w:rsidR="00B4731E" w:rsidRPr="00103A0B">
        <w:rPr>
          <w:rFonts w:ascii="Arial" w:hAnsi="Arial" w:cs="Arial"/>
          <w:sz w:val="24"/>
          <w:szCs w:val="24"/>
        </w:rPr>
        <w:t xml:space="preserve">see </w:t>
      </w:r>
      <w:r w:rsidR="00624CDF" w:rsidRPr="00103A0B">
        <w:rPr>
          <w:rFonts w:ascii="Arial" w:hAnsi="Arial" w:cs="Arial"/>
          <w:sz w:val="24"/>
          <w:szCs w:val="24"/>
        </w:rPr>
        <w:t>Appendix</w:t>
      </w:r>
      <w:r w:rsidR="00387A7A" w:rsidRPr="00103A0B">
        <w:rPr>
          <w:rFonts w:ascii="Arial" w:hAnsi="Arial" w:cs="Arial"/>
          <w:sz w:val="24"/>
          <w:szCs w:val="24"/>
        </w:rPr>
        <w:t xml:space="preserve"> 4</w:t>
      </w:r>
      <w:r w:rsidR="00624CDF" w:rsidRPr="00103A0B">
        <w:rPr>
          <w:rFonts w:ascii="Arial" w:hAnsi="Arial" w:cs="Arial"/>
          <w:sz w:val="24"/>
          <w:szCs w:val="24"/>
        </w:rPr>
        <w:t xml:space="preserve"> for further, update</w:t>
      </w:r>
      <w:r w:rsidR="00B4731E" w:rsidRPr="00103A0B">
        <w:rPr>
          <w:rFonts w:ascii="Arial" w:hAnsi="Arial" w:cs="Arial"/>
          <w:sz w:val="24"/>
          <w:szCs w:val="24"/>
        </w:rPr>
        <w:t xml:space="preserve">d </w:t>
      </w:r>
      <w:r w:rsidR="00624CDF" w:rsidRPr="00103A0B">
        <w:rPr>
          <w:rFonts w:ascii="Arial" w:hAnsi="Arial" w:cs="Arial"/>
          <w:sz w:val="24"/>
          <w:szCs w:val="24"/>
        </w:rPr>
        <w:t xml:space="preserve">information on the NHSDPP). </w:t>
      </w:r>
    </w:p>
    <w:p w14:paraId="2EFA1887" w14:textId="3382FA96" w:rsidR="009E7B4C" w:rsidRPr="00103A0B" w:rsidRDefault="003B61DD" w:rsidP="00CD5919">
      <w:pPr>
        <w:pStyle w:val="Heading2"/>
        <w:numPr>
          <w:ilvl w:val="0"/>
          <w:numId w:val="0"/>
        </w:numPr>
        <w:ind w:left="576" w:hanging="576"/>
        <w:jc w:val="both"/>
        <w:rPr>
          <w:rFonts w:ascii="Arial" w:hAnsi="Arial" w:cs="Arial"/>
          <w:sz w:val="28"/>
        </w:rPr>
      </w:pPr>
      <w:bookmarkStart w:id="265" w:name="_Toc151548317"/>
      <w:r w:rsidRPr="00103A0B">
        <w:rPr>
          <w:rFonts w:ascii="Arial" w:hAnsi="Arial" w:cs="Arial"/>
          <w:sz w:val="28"/>
        </w:rPr>
        <w:t xml:space="preserve">4.3 </w:t>
      </w:r>
      <w:r w:rsidR="009E7B4C" w:rsidRPr="00103A0B">
        <w:rPr>
          <w:rFonts w:ascii="Arial" w:hAnsi="Arial" w:cs="Arial"/>
          <w:sz w:val="28"/>
        </w:rPr>
        <w:t xml:space="preserve">Details of the </w:t>
      </w:r>
      <w:r w:rsidR="001D543A" w:rsidRPr="00103A0B">
        <w:rPr>
          <w:rFonts w:ascii="Arial" w:hAnsi="Arial" w:cs="Arial"/>
          <w:sz w:val="28"/>
        </w:rPr>
        <w:t>Local Provider</w:t>
      </w:r>
      <w:r w:rsidR="009E7B4C" w:rsidRPr="00103A0B">
        <w:rPr>
          <w:rFonts w:ascii="Arial" w:hAnsi="Arial" w:cs="Arial"/>
          <w:sz w:val="28"/>
        </w:rPr>
        <w:t xml:space="preserve"> NHSDPP</w:t>
      </w:r>
      <w:bookmarkEnd w:id="265"/>
    </w:p>
    <w:p w14:paraId="26689EDC" w14:textId="546A425A" w:rsidR="003B61DD" w:rsidRPr="00103A0B" w:rsidRDefault="001D543A" w:rsidP="00CD5919">
      <w:pPr>
        <w:tabs>
          <w:tab w:val="left" w:pos="5580"/>
        </w:tabs>
        <w:spacing w:line="360" w:lineRule="auto"/>
        <w:jc w:val="both"/>
        <w:rPr>
          <w:rFonts w:ascii="Arial" w:hAnsi="Arial" w:cs="Arial"/>
          <w:sz w:val="24"/>
          <w:szCs w:val="24"/>
        </w:rPr>
      </w:pPr>
      <w:r w:rsidRPr="00103A0B">
        <w:rPr>
          <w:rFonts w:ascii="Arial" w:hAnsi="Arial" w:cs="Arial"/>
          <w:sz w:val="24"/>
          <w:szCs w:val="24"/>
        </w:rPr>
        <w:t>The local provider</w:t>
      </w:r>
      <w:r w:rsidR="003B61DD" w:rsidRPr="00103A0B">
        <w:rPr>
          <w:rFonts w:ascii="Arial" w:hAnsi="Arial" w:cs="Arial"/>
          <w:sz w:val="24"/>
          <w:szCs w:val="24"/>
        </w:rPr>
        <w:t xml:space="preserve"> </w:t>
      </w:r>
      <w:r w:rsidRPr="00103A0B">
        <w:rPr>
          <w:rFonts w:ascii="Arial" w:hAnsi="Arial" w:cs="Arial"/>
          <w:sz w:val="24"/>
          <w:szCs w:val="24"/>
        </w:rPr>
        <w:t>was</w:t>
      </w:r>
      <w:r w:rsidR="003B61DD" w:rsidRPr="00103A0B">
        <w:rPr>
          <w:rFonts w:ascii="Arial" w:hAnsi="Arial" w:cs="Arial"/>
          <w:sz w:val="24"/>
          <w:szCs w:val="24"/>
        </w:rPr>
        <w:t xml:space="preserve"> one of four local providers </w:t>
      </w:r>
      <w:r w:rsidRPr="00103A0B">
        <w:rPr>
          <w:rFonts w:ascii="Arial" w:hAnsi="Arial" w:cs="Arial"/>
          <w:sz w:val="24"/>
          <w:szCs w:val="24"/>
        </w:rPr>
        <w:t xml:space="preserve">originally </w:t>
      </w:r>
      <w:r w:rsidR="003B61DD" w:rsidRPr="00103A0B">
        <w:rPr>
          <w:rFonts w:ascii="Arial" w:hAnsi="Arial" w:cs="Arial"/>
          <w:sz w:val="24"/>
          <w:szCs w:val="24"/>
        </w:rPr>
        <w:t xml:space="preserve">commissioned to deliver the NHSDPP in England. </w:t>
      </w:r>
      <w:r w:rsidRPr="00103A0B">
        <w:rPr>
          <w:rFonts w:ascii="Arial" w:hAnsi="Arial" w:cs="Arial"/>
          <w:sz w:val="24"/>
          <w:szCs w:val="24"/>
        </w:rPr>
        <w:t xml:space="preserve">They </w:t>
      </w:r>
      <w:r w:rsidR="003B61DD" w:rsidRPr="00103A0B">
        <w:rPr>
          <w:rFonts w:ascii="Arial" w:hAnsi="Arial" w:cs="Arial"/>
          <w:sz w:val="24"/>
          <w:szCs w:val="24"/>
        </w:rPr>
        <w:t xml:space="preserve">specialise in delivering evidence-based lifestyle and wellbeing programmes </w:t>
      </w:r>
      <w:r w:rsidR="003B61DD"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003B61DD" w:rsidRPr="00103A0B">
        <w:rPr>
          <w:rFonts w:ascii="Arial" w:hAnsi="Arial" w:cs="Arial"/>
          <w:sz w:val="24"/>
          <w:szCs w:val="24"/>
        </w:rPr>
        <w:fldChar w:fldCharType="separate"/>
      </w:r>
      <w:r w:rsidR="003B61DD" w:rsidRPr="00103A0B">
        <w:rPr>
          <w:rFonts w:ascii="Arial" w:hAnsi="Arial" w:cs="Arial"/>
          <w:noProof/>
          <w:sz w:val="24"/>
          <w:szCs w:val="24"/>
        </w:rPr>
        <w:t>(Macmillan, 2016)</w:t>
      </w:r>
      <w:r w:rsidR="003B61DD" w:rsidRPr="00103A0B">
        <w:rPr>
          <w:rFonts w:ascii="Arial" w:hAnsi="Arial" w:cs="Arial"/>
          <w:sz w:val="24"/>
          <w:szCs w:val="24"/>
        </w:rPr>
        <w:fldChar w:fldCharType="end"/>
      </w:r>
      <w:r w:rsidR="003B61DD" w:rsidRPr="00103A0B">
        <w:rPr>
          <w:rFonts w:ascii="Arial" w:hAnsi="Arial" w:cs="Arial"/>
          <w:sz w:val="24"/>
          <w:szCs w:val="24"/>
        </w:rPr>
        <w:t xml:space="preserve">. </w:t>
      </w:r>
      <w:bookmarkStart w:id="266" w:name="_Hlk124960464"/>
      <w:r w:rsidR="003B61DD" w:rsidRPr="00103A0B">
        <w:rPr>
          <w:rFonts w:ascii="Arial" w:hAnsi="Arial" w:cs="Arial"/>
          <w:sz w:val="24"/>
          <w:szCs w:val="24"/>
        </w:rPr>
        <w:t>At the time of data collection, the local provider trained</w:t>
      </w:r>
      <w:r w:rsidR="00BB79C4" w:rsidRPr="00103A0B">
        <w:rPr>
          <w:rFonts w:ascii="Arial" w:hAnsi="Arial" w:cs="Arial"/>
          <w:sz w:val="24"/>
          <w:szCs w:val="24"/>
        </w:rPr>
        <w:t xml:space="preserve"> </w:t>
      </w:r>
      <w:r w:rsidR="003B61DD" w:rsidRPr="00103A0B">
        <w:rPr>
          <w:rFonts w:ascii="Arial" w:hAnsi="Arial" w:cs="Arial"/>
          <w:sz w:val="24"/>
          <w:szCs w:val="24"/>
        </w:rPr>
        <w:t xml:space="preserve">local staff </w:t>
      </w:r>
      <w:r w:rsidR="00BB79C4" w:rsidRPr="00103A0B">
        <w:rPr>
          <w:rFonts w:ascii="Arial" w:hAnsi="Arial" w:cs="Arial"/>
          <w:sz w:val="24"/>
          <w:szCs w:val="24"/>
        </w:rPr>
        <w:t>to</w:t>
      </w:r>
      <w:r w:rsidR="00B77CE7" w:rsidRPr="00103A0B">
        <w:rPr>
          <w:rFonts w:ascii="Arial" w:hAnsi="Arial" w:cs="Arial"/>
          <w:sz w:val="24"/>
          <w:szCs w:val="24"/>
        </w:rPr>
        <w:t xml:space="preserve"> </w:t>
      </w:r>
      <w:r w:rsidR="003B61DD" w:rsidRPr="00103A0B">
        <w:rPr>
          <w:rFonts w:ascii="Arial" w:hAnsi="Arial" w:cs="Arial"/>
          <w:sz w:val="24"/>
          <w:szCs w:val="24"/>
        </w:rPr>
        <w:t xml:space="preserve">deliver 18 face-to-face group-based sessions for up to 20 people (six weekly, six fortnightly and six-monthly sessions) </w:t>
      </w:r>
      <w:r w:rsidR="003B61DD"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003B61DD" w:rsidRPr="00103A0B">
        <w:rPr>
          <w:rFonts w:ascii="Arial" w:hAnsi="Arial" w:cs="Arial"/>
          <w:sz w:val="24"/>
          <w:szCs w:val="24"/>
        </w:rPr>
        <w:fldChar w:fldCharType="separate"/>
      </w:r>
      <w:r w:rsidR="003B61DD" w:rsidRPr="00103A0B">
        <w:rPr>
          <w:rFonts w:ascii="Arial" w:hAnsi="Arial" w:cs="Arial"/>
          <w:noProof/>
          <w:sz w:val="24"/>
          <w:szCs w:val="24"/>
        </w:rPr>
        <w:t>(Macmillan, 2016)</w:t>
      </w:r>
      <w:r w:rsidR="003B61DD" w:rsidRPr="00103A0B">
        <w:rPr>
          <w:rFonts w:ascii="Arial" w:hAnsi="Arial" w:cs="Arial"/>
          <w:sz w:val="24"/>
          <w:szCs w:val="24"/>
        </w:rPr>
        <w:fldChar w:fldCharType="end"/>
      </w:r>
      <w:r w:rsidR="003B61DD" w:rsidRPr="00103A0B">
        <w:rPr>
          <w:rFonts w:ascii="Arial" w:hAnsi="Arial" w:cs="Arial"/>
          <w:sz w:val="24"/>
          <w:szCs w:val="24"/>
        </w:rPr>
        <w:t xml:space="preserve">. The duration of these sessions was one hour except for the first session which lasted 1.5 hours. </w:t>
      </w:r>
      <w:r w:rsidR="00BB79C4" w:rsidRPr="00103A0B">
        <w:rPr>
          <w:rFonts w:ascii="Arial" w:hAnsi="Arial" w:cs="Arial"/>
          <w:sz w:val="24"/>
          <w:szCs w:val="24"/>
        </w:rPr>
        <w:t>At the time of writing, t</w:t>
      </w:r>
      <w:r w:rsidR="003B61DD" w:rsidRPr="00103A0B">
        <w:rPr>
          <w:rFonts w:ascii="Arial" w:hAnsi="Arial" w:cs="Arial"/>
          <w:sz w:val="24"/>
          <w:szCs w:val="24"/>
        </w:rPr>
        <w:t xml:space="preserve">he local provider </w:t>
      </w:r>
      <w:r w:rsidR="00B77CE7" w:rsidRPr="00103A0B">
        <w:rPr>
          <w:rFonts w:ascii="Arial" w:hAnsi="Arial" w:cs="Arial"/>
          <w:sz w:val="24"/>
          <w:szCs w:val="24"/>
        </w:rPr>
        <w:t xml:space="preserve">now </w:t>
      </w:r>
      <w:r w:rsidR="003B61DD" w:rsidRPr="00103A0B">
        <w:rPr>
          <w:rFonts w:ascii="Arial" w:hAnsi="Arial" w:cs="Arial"/>
          <w:sz w:val="24"/>
          <w:szCs w:val="24"/>
        </w:rPr>
        <w:t>deliver</w:t>
      </w:r>
      <w:r w:rsidR="00B77CE7" w:rsidRPr="00103A0B">
        <w:rPr>
          <w:rFonts w:ascii="Arial" w:hAnsi="Arial" w:cs="Arial"/>
          <w:sz w:val="24"/>
          <w:szCs w:val="24"/>
        </w:rPr>
        <w:t>s</w:t>
      </w:r>
      <w:r w:rsidR="003B61DD" w:rsidRPr="00103A0B">
        <w:rPr>
          <w:rFonts w:ascii="Arial" w:hAnsi="Arial" w:cs="Arial"/>
          <w:sz w:val="24"/>
          <w:szCs w:val="24"/>
        </w:rPr>
        <w:t xml:space="preserve"> 13 one-hour group sessions over 40 weeks.</w:t>
      </w:r>
      <w:r w:rsidR="00B77CE7" w:rsidRPr="00103A0B">
        <w:rPr>
          <w:rFonts w:ascii="Arial" w:hAnsi="Arial" w:cs="Arial"/>
          <w:sz w:val="24"/>
          <w:szCs w:val="24"/>
        </w:rPr>
        <w:t xml:space="preserve"> T</w:t>
      </w:r>
      <w:r w:rsidR="003B61DD" w:rsidRPr="00103A0B">
        <w:rPr>
          <w:rFonts w:ascii="Arial" w:hAnsi="Arial" w:cs="Arial"/>
          <w:sz w:val="24"/>
          <w:szCs w:val="24"/>
        </w:rPr>
        <w:t xml:space="preserve">he original programme consisting of 18 sessions </w:t>
      </w:r>
      <w:r w:rsidR="00B77CE7" w:rsidRPr="00103A0B">
        <w:rPr>
          <w:rFonts w:ascii="Arial" w:hAnsi="Arial" w:cs="Arial"/>
          <w:sz w:val="24"/>
          <w:szCs w:val="24"/>
        </w:rPr>
        <w:t>will be</w:t>
      </w:r>
      <w:r w:rsidR="003B61DD" w:rsidRPr="00103A0B">
        <w:rPr>
          <w:rFonts w:ascii="Arial" w:hAnsi="Arial" w:cs="Arial"/>
          <w:sz w:val="24"/>
          <w:szCs w:val="24"/>
        </w:rPr>
        <w:t xml:space="preserve"> referred to</w:t>
      </w:r>
      <w:r w:rsidR="00B77CE7" w:rsidRPr="00103A0B">
        <w:rPr>
          <w:rFonts w:ascii="Arial" w:hAnsi="Arial" w:cs="Arial"/>
          <w:sz w:val="24"/>
          <w:szCs w:val="24"/>
        </w:rPr>
        <w:t xml:space="preserve"> in this thesis</w:t>
      </w:r>
      <w:r w:rsidR="003B61DD" w:rsidRPr="00103A0B">
        <w:rPr>
          <w:rFonts w:ascii="Arial" w:hAnsi="Arial" w:cs="Arial"/>
          <w:sz w:val="24"/>
          <w:szCs w:val="24"/>
        </w:rPr>
        <w:t xml:space="preserve">. </w:t>
      </w:r>
    </w:p>
    <w:bookmarkEnd w:id="266"/>
    <w:p w14:paraId="16A31F30" w14:textId="396F68A9" w:rsidR="003B61DD" w:rsidRPr="00103A0B" w:rsidRDefault="003B61DD" w:rsidP="00CD5919">
      <w:pPr>
        <w:tabs>
          <w:tab w:val="left" w:pos="5580"/>
        </w:tabs>
        <w:spacing w:line="360" w:lineRule="auto"/>
        <w:jc w:val="both"/>
        <w:rPr>
          <w:rFonts w:ascii="Arial" w:hAnsi="Arial" w:cs="Arial"/>
          <w:sz w:val="24"/>
          <w:szCs w:val="24"/>
        </w:rPr>
      </w:pPr>
      <w:r w:rsidRPr="00103A0B">
        <w:rPr>
          <w:rFonts w:ascii="Arial" w:hAnsi="Arial" w:cs="Arial"/>
          <w:sz w:val="24"/>
          <w:szCs w:val="24"/>
        </w:rPr>
        <w:t>The pa</w:t>
      </w:r>
      <w:r w:rsidR="00323163" w:rsidRPr="00103A0B">
        <w:rPr>
          <w:rFonts w:ascii="Arial" w:hAnsi="Arial" w:cs="Arial"/>
          <w:sz w:val="24"/>
          <w:szCs w:val="24"/>
        </w:rPr>
        <w:t>tien</w:t>
      </w:r>
      <w:r w:rsidRPr="00103A0B">
        <w:rPr>
          <w:rFonts w:ascii="Arial" w:hAnsi="Arial" w:cs="Arial"/>
          <w:sz w:val="24"/>
          <w:szCs w:val="24"/>
        </w:rPr>
        <w:t xml:space="preserve">t journey consists of the engagement stage, the initial individual assessment (IA) followed by the behavioural intervention (see Figure </w:t>
      </w:r>
      <w:r w:rsidR="009225F2" w:rsidRPr="00103A0B">
        <w:rPr>
          <w:rFonts w:ascii="Arial" w:hAnsi="Arial" w:cs="Arial"/>
          <w:sz w:val="24"/>
          <w:szCs w:val="24"/>
        </w:rPr>
        <w:t>2</w:t>
      </w:r>
      <w:r w:rsidRPr="00103A0B">
        <w:rPr>
          <w:rFonts w:ascii="Arial" w:hAnsi="Arial" w:cs="Arial"/>
          <w:sz w:val="24"/>
          <w:szCs w:val="24"/>
        </w:rPr>
        <w:t xml:space="preserve">) </w:t>
      </w:r>
      <w:r w:rsidRPr="00103A0B">
        <w:rPr>
          <w:rFonts w:ascii="Arial" w:hAnsi="Arial" w:cs="Arial"/>
          <w:sz w:val="24"/>
          <w:szCs w:val="24"/>
        </w:rPr>
        <w:fldChar w:fldCharType="begin" w:fldLock="1"/>
      </w:r>
      <w:r w:rsidR="00323163"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2016)","manualFormatting":"(adapted from 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t>
      </w:r>
      <w:r w:rsidR="00323163" w:rsidRPr="00103A0B">
        <w:rPr>
          <w:rFonts w:ascii="Arial" w:hAnsi="Arial" w:cs="Arial"/>
          <w:noProof/>
          <w:sz w:val="24"/>
          <w:szCs w:val="24"/>
        </w:rPr>
        <w:t xml:space="preserve">adapted from </w:t>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w:t>
      </w:r>
      <w:r w:rsidR="00323163" w:rsidRPr="00103A0B">
        <w:rPr>
          <w:rFonts w:ascii="Arial" w:hAnsi="Arial" w:cs="Arial"/>
          <w:sz w:val="24"/>
          <w:szCs w:val="24"/>
        </w:rPr>
        <w:t xml:space="preserve"> </w:t>
      </w:r>
      <w:r w:rsidRPr="00103A0B">
        <w:rPr>
          <w:rFonts w:ascii="Arial" w:hAnsi="Arial" w:cs="Arial"/>
          <w:sz w:val="24"/>
          <w:szCs w:val="24"/>
        </w:rPr>
        <w:t>The engagement stage involves the pat</w:t>
      </w:r>
      <w:r w:rsidR="00323163" w:rsidRPr="00103A0B">
        <w:rPr>
          <w:rFonts w:ascii="Arial" w:hAnsi="Arial" w:cs="Arial"/>
          <w:sz w:val="24"/>
          <w:szCs w:val="24"/>
        </w:rPr>
        <w:t>ient</w:t>
      </w:r>
      <w:r w:rsidRPr="00103A0B">
        <w:rPr>
          <w:rFonts w:ascii="Arial" w:hAnsi="Arial" w:cs="Arial"/>
          <w:sz w:val="24"/>
          <w:szCs w:val="24"/>
        </w:rPr>
        <w:t xml:space="preserve"> being referred and an eligibility check being undertaken, if eligible, the pa</w:t>
      </w:r>
      <w:r w:rsidR="00323163" w:rsidRPr="00103A0B">
        <w:rPr>
          <w:rFonts w:ascii="Arial" w:hAnsi="Arial" w:cs="Arial"/>
          <w:sz w:val="24"/>
          <w:szCs w:val="24"/>
        </w:rPr>
        <w:t>tient</w:t>
      </w:r>
      <w:r w:rsidRPr="00103A0B">
        <w:rPr>
          <w:rFonts w:ascii="Arial" w:hAnsi="Arial" w:cs="Arial"/>
          <w:sz w:val="24"/>
          <w:szCs w:val="24"/>
        </w:rPr>
        <w:t xml:space="preserve"> is booked onto the IA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The referral criteria pa</w:t>
      </w:r>
      <w:r w:rsidR="00323163" w:rsidRPr="00103A0B">
        <w:rPr>
          <w:rFonts w:ascii="Arial" w:hAnsi="Arial" w:cs="Arial"/>
          <w:sz w:val="24"/>
          <w:szCs w:val="24"/>
        </w:rPr>
        <w:t>tie</w:t>
      </w:r>
      <w:r w:rsidRPr="00103A0B">
        <w:rPr>
          <w:rFonts w:ascii="Arial" w:hAnsi="Arial" w:cs="Arial"/>
          <w:sz w:val="24"/>
          <w:szCs w:val="24"/>
        </w:rPr>
        <w:t xml:space="preserve">nts need to meet include: being aged 18 years or older, registered with a relevant GP practice, not having a diagnosis of T2DM or being pregnant at the time of referral, and having an eligible blood reading (HbA1c of 42-47 mmol /ml (6.0 6.4%) or an </w:t>
      </w:r>
      <w:r w:rsidR="009225F2" w:rsidRPr="00103A0B">
        <w:rPr>
          <w:rFonts w:ascii="Arial" w:hAnsi="Arial" w:cs="Arial"/>
          <w:sz w:val="24"/>
          <w:szCs w:val="24"/>
        </w:rPr>
        <w:t>Fasting Plasma Glucose (</w:t>
      </w:r>
      <w:r w:rsidRPr="00103A0B">
        <w:rPr>
          <w:rFonts w:ascii="Arial" w:hAnsi="Arial" w:cs="Arial"/>
          <w:sz w:val="24"/>
          <w:szCs w:val="24"/>
        </w:rPr>
        <w:t>FPG</w:t>
      </w:r>
      <w:r w:rsidR="009225F2" w:rsidRPr="00103A0B">
        <w:rPr>
          <w:rFonts w:ascii="Arial" w:hAnsi="Arial" w:cs="Arial"/>
          <w:sz w:val="24"/>
          <w:szCs w:val="24"/>
        </w:rPr>
        <w:t>)</w:t>
      </w:r>
      <w:r w:rsidRPr="00103A0B">
        <w:rPr>
          <w:rFonts w:ascii="Arial" w:hAnsi="Arial" w:cs="Arial"/>
          <w:sz w:val="24"/>
          <w:szCs w:val="24"/>
        </w:rPr>
        <w:t xml:space="preserve"> of 5.5-6.9 mmol /l) tested in the last 12 months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w:t>
      </w:r>
    </w:p>
    <w:p w14:paraId="0AF02FEF" w14:textId="608E17FE" w:rsidR="003B61DD" w:rsidRPr="00103A0B" w:rsidRDefault="003B61DD" w:rsidP="00CD5919">
      <w:pPr>
        <w:tabs>
          <w:tab w:val="left" w:pos="5580"/>
        </w:tabs>
        <w:spacing w:line="360" w:lineRule="auto"/>
        <w:jc w:val="both"/>
        <w:rPr>
          <w:rFonts w:ascii="Arial" w:hAnsi="Arial" w:cs="Arial"/>
          <w:sz w:val="24"/>
          <w:szCs w:val="24"/>
        </w:rPr>
      </w:pPr>
      <w:r w:rsidRPr="00103A0B">
        <w:rPr>
          <w:rFonts w:ascii="Arial" w:hAnsi="Arial" w:cs="Arial"/>
          <w:sz w:val="24"/>
          <w:szCs w:val="24"/>
        </w:rPr>
        <w:t xml:space="preserve">The IA is a short </w:t>
      </w:r>
      <w:r w:rsidR="00323163" w:rsidRPr="00103A0B">
        <w:rPr>
          <w:rFonts w:ascii="Arial" w:hAnsi="Arial" w:cs="Arial"/>
          <w:sz w:val="24"/>
          <w:szCs w:val="24"/>
        </w:rPr>
        <w:t>15–20-minute</w:t>
      </w:r>
      <w:r w:rsidRPr="00103A0B">
        <w:rPr>
          <w:rFonts w:ascii="Arial" w:hAnsi="Arial" w:cs="Arial"/>
          <w:sz w:val="24"/>
          <w:szCs w:val="24"/>
        </w:rPr>
        <w:t xml:space="preserve"> appointment pa</w:t>
      </w:r>
      <w:r w:rsidR="00323163" w:rsidRPr="00103A0B">
        <w:rPr>
          <w:rFonts w:ascii="Arial" w:hAnsi="Arial" w:cs="Arial"/>
          <w:sz w:val="24"/>
          <w:szCs w:val="24"/>
        </w:rPr>
        <w:t>tien</w:t>
      </w:r>
      <w:r w:rsidRPr="00103A0B">
        <w:rPr>
          <w:rFonts w:ascii="Arial" w:hAnsi="Arial" w:cs="Arial"/>
          <w:sz w:val="24"/>
          <w:szCs w:val="24"/>
        </w:rPr>
        <w:t>ts are required to attend before programme commencement. This appointment involves</w:t>
      </w:r>
      <w:r w:rsidR="00E2335B" w:rsidRPr="00103A0B">
        <w:rPr>
          <w:rFonts w:ascii="Arial" w:hAnsi="Arial" w:cs="Arial"/>
          <w:sz w:val="24"/>
          <w:szCs w:val="24"/>
        </w:rPr>
        <w:t xml:space="preserve"> </w:t>
      </w:r>
      <w:r w:rsidRPr="00103A0B">
        <w:rPr>
          <w:rFonts w:ascii="Arial" w:hAnsi="Arial" w:cs="Arial"/>
          <w:sz w:val="24"/>
          <w:szCs w:val="24"/>
        </w:rPr>
        <w:t>(</w:t>
      </w:r>
      <w:proofErr w:type="spellStart"/>
      <w:r w:rsidRPr="00103A0B">
        <w:rPr>
          <w:rFonts w:ascii="Arial" w:hAnsi="Arial" w:cs="Arial"/>
          <w:sz w:val="24"/>
          <w:szCs w:val="24"/>
        </w:rPr>
        <w:t>i</w:t>
      </w:r>
      <w:proofErr w:type="spellEnd"/>
      <w:r w:rsidRPr="00103A0B">
        <w:rPr>
          <w:rFonts w:ascii="Arial" w:hAnsi="Arial" w:cs="Arial"/>
          <w:sz w:val="24"/>
          <w:szCs w:val="24"/>
        </w:rPr>
        <w:t xml:space="preserve">) having a blood glucose test </w:t>
      </w:r>
      <w:r w:rsidRPr="00103A0B">
        <w:rPr>
          <w:rFonts w:ascii="Arial" w:hAnsi="Arial" w:cs="Arial"/>
          <w:sz w:val="24"/>
          <w:szCs w:val="24"/>
        </w:rPr>
        <w:lastRenderedPageBreak/>
        <w:t xml:space="preserve">if the referral blood glucose reading is more than 3 months old, (ii) taking height, weight and BMI measurements, and (iii) completing questionnaires </w:t>
      </w:r>
      <w:r w:rsidR="00323163" w:rsidRPr="00103A0B">
        <w:rPr>
          <w:rFonts w:ascii="Arial" w:hAnsi="Arial" w:cs="Arial"/>
          <w:sz w:val="24"/>
          <w:szCs w:val="24"/>
        </w:rPr>
        <w:t>including</w:t>
      </w:r>
      <w:r w:rsidRPr="00103A0B">
        <w:rPr>
          <w:rFonts w:ascii="Arial" w:hAnsi="Arial" w:cs="Arial"/>
          <w:sz w:val="24"/>
          <w:szCs w:val="24"/>
        </w:rPr>
        <w:t xml:space="preserve"> the Warwick Edinburgh Mental Wellbeing Scale (WEMWBS)</w:t>
      </w:r>
      <w:r w:rsidR="00630873" w:rsidRPr="00103A0B">
        <w:rPr>
          <w:rFonts w:ascii="Arial" w:hAnsi="Arial" w:cs="Arial"/>
          <w:sz w:val="24"/>
          <w:szCs w:val="24"/>
        </w:rPr>
        <w:t xml:space="preserve"> (see Appendix 5)</w:t>
      </w:r>
      <w:r w:rsidRPr="00103A0B">
        <w:rPr>
          <w:rFonts w:ascii="Arial" w:hAnsi="Arial" w:cs="Arial"/>
          <w:sz w:val="24"/>
          <w:szCs w:val="24"/>
        </w:rPr>
        <w:t xml:space="preserve"> and the Brief Illness Perception questionnaire</w:t>
      </w:r>
      <w:r w:rsidR="0004257A" w:rsidRPr="00103A0B">
        <w:rPr>
          <w:rFonts w:ascii="Arial" w:hAnsi="Arial" w:cs="Arial"/>
          <w:sz w:val="24"/>
          <w:szCs w:val="24"/>
        </w:rPr>
        <w:t xml:space="preserve"> (Brief-IPQ)</w:t>
      </w:r>
      <w:r w:rsidRPr="00103A0B">
        <w:rPr>
          <w:rFonts w:ascii="Arial" w:hAnsi="Arial" w:cs="Arial"/>
          <w:sz w:val="24"/>
          <w:szCs w:val="24"/>
        </w:rPr>
        <w:t xml:space="preserve">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w:t>
      </w:r>
    </w:p>
    <w:p w14:paraId="3B6B9FD8" w14:textId="72219160" w:rsidR="003B61DD" w:rsidRPr="00103A0B" w:rsidRDefault="003B61DD" w:rsidP="00CD5919">
      <w:pPr>
        <w:tabs>
          <w:tab w:val="left" w:pos="5580"/>
        </w:tabs>
        <w:spacing w:line="360" w:lineRule="auto"/>
        <w:jc w:val="both"/>
        <w:rPr>
          <w:rFonts w:ascii="Arial" w:hAnsi="Arial" w:cs="Arial"/>
          <w:sz w:val="24"/>
          <w:szCs w:val="24"/>
        </w:rPr>
      </w:pPr>
      <w:r w:rsidRPr="00103A0B">
        <w:rPr>
          <w:rFonts w:ascii="Arial" w:hAnsi="Arial" w:cs="Arial"/>
          <w:sz w:val="24"/>
          <w:szCs w:val="24"/>
        </w:rPr>
        <w:t xml:space="preserve">Once on the programme, the behavioural intervention involves three phases: Getting Started, Embedding Change, and Moving Forwards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The Getting Started phase involves six weekly and two fortnightly sessions with a duration of one hour (except for the first session which lasts 1.5 hours). Some of the topics that are covered include introducing prediabetes, the Eatwell guide, having a healthy, balanced diet and cardiovascular activity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The Embedding Change phase involves four fortnightly sessions lasting an hour each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Some examples of topics covered include obtaining social support and eating healthily outside the home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The Moving Forwards phase involves six monthly sessions lasting an hour each where blood glucose tests are undertaken at six months (session 14) and nine months (session 18) of the programme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Relapse prevention and unhelpful thinking patterns are some of the topics covered in this phase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w:t>
      </w:r>
    </w:p>
    <w:p w14:paraId="2ADFE7E7" w14:textId="20A35587" w:rsidR="003B61DD" w:rsidRPr="00103A0B" w:rsidRDefault="003B61DD" w:rsidP="00CD5919">
      <w:pPr>
        <w:spacing w:line="360" w:lineRule="auto"/>
        <w:jc w:val="both"/>
        <w:rPr>
          <w:rFonts w:ascii="Arial" w:hAnsi="Arial" w:cs="Arial"/>
          <w:sz w:val="24"/>
          <w:szCs w:val="24"/>
        </w:rPr>
      </w:pPr>
      <w:r w:rsidRPr="00103A0B">
        <w:rPr>
          <w:rFonts w:ascii="Arial" w:hAnsi="Arial" w:cs="Arial"/>
          <w:sz w:val="24"/>
          <w:szCs w:val="24"/>
        </w:rPr>
        <w:t xml:space="preserve">The programme content was developed and reviewed by a group of experts </w:t>
      </w:r>
      <w:r w:rsidR="00323163" w:rsidRPr="00103A0B">
        <w:rPr>
          <w:rFonts w:ascii="Arial" w:hAnsi="Arial" w:cs="Arial"/>
          <w:sz w:val="24"/>
          <w:szCs w:val="24"/>
        </w:rPr>
        <w:t>(working for the local provider)</w:t>
      </w:r>
      <w:r w:rsidRPr="00103A0B">
        <w:rPr>
          <w:rFonts w:ascii="Arial" w:hAnsi="Arial" w:cs="Arial"/>
          <w:sz w:val="24"/>
          <w:szCs w:val="24"/>
        </w:rPr>
        <w:t xml:space="preserve"> in accordance with the national specification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The 18 sessions covered a variety of different topics on nutrition, physical </w:t>
      </w:r>
      <w:proofErr w:type="gramStart"/>
      <w:r w:rsidRPr="00103A0B">
        <w:rPr>
          <w:rFonts w:ascii="Arial" w:hAnsi="Arial" w:cs="Arial"/>
          <w:sz w:val="24"/>
          <w:szCs w:val="24"/>
        </w:rPr>
        <w:t>activity</w:t>
      </w:r>
      <w:proofErr w:type="gramEnd"/>
      <w:r w:rsidRPr="00103A0B">
        <w:rPr>
          <w:rFonts w:ascii="Arial" w:hAnsi="Arial" w:cs="Arial"/>
          <w:sz w:val="24"/>
          <w:szCs w:val="24"/>
        </w:rPr>
        <w:t xml:space="preserve"> and behaviour change.</w:t>
      </w:r>
      <w:r w:rsidR="00A26AB9" w:rsidRPr="00103A0B">
        <w:rPr>
          <w:rFonts w:ascii="Arial" w:hAnsi="Arial" w:cs="Arial"/>
          <w:sz w:val="24"/>
          <w:szCs w:val="24"/>
        </w:rPr>
        <w:t xml:space="preserve"> </w:t>
      </w:r>
      <w:r w:rsidR="00323163" w:rsidRPr="00103A0B">
        <w:rPr>
          <w:rFonts w:ascii="Arial" w:hAnsi="Arial" w:cs="Arial"/>
          <w:sz w:val="24"/>
          <w:szCs w:val="24"/>
        </w:rPr>
        <w:t>V</w:t>
      </w:r>
      <w:r w:rsidRPr="00103A0B">
        <w:rPr>
          <w:rFonts w:ascii="Arial" w:hAnsi="Arial" w:cs="Arial"/>
          <w:sz w:val="24"/>
          <w:szCs w:val="24"/>
        </w:rPr>
        <w:t>arious behaviour change techniques</w:t>
      </w:r>
      <w:r w:rsidR="00323163" w:rsidRPr="00103A0B">
        <w:rPr>
          <w:rFonts w:ascii="Arial" w:hAnsi="Arial" w:cs="Arial"/>
          <w:sz w:val="24"/>
          <w:szCs w:val="24"/>
        </w:rPr>
        <w:t xml:space="preserve"> were</w:t>
      </w:r>
      <w:r w:rsidRPr="00103A0B">
        <w:rPr>
          <w:rFonts w:ascii="Arial" w:hAnsi="Arial" w:cs="Arial"/>
          <w:sz w:val="24"/>
          <w:szCs w:val="24"/>
        </w:rPr>
        <w:t xml:space="preserve"> incorporated into the programme such as instruction on how to perform a behaviour, self-monitoring of behaviour by using pedometers and recording steps, setting behavioural goals, problem solving, demonstrating the behaviour and behavioural practice. Some of these BCTs have been associated with higher retention such as problem solving and demonstrating and practising the behaviour (see Chapter 2). The area of Southwark will now be discussed as it is one of the places where the NHSDPP </w:t>
      </w:r>
      <w:r w:rsidR="008B58ED" w:rsidRPr="00103A0B">
        <w:rPr>
          <w:rFonts w:ascii="Arial" w:hAnsi="Arial" w:cs="Arial"/>
          <w:sz w:val="24"/>
          <w:szCs w:val="24"/>
        </w:rPr>
        <w:t>was</w:t>
      </w:r>
      <w:r w:rsidRPr="00103A0B">
        <w:rPr>
          <w:rFonts w:ascii="Arial" w:hAnsi="Arial" w:cs="Arial"/>
          <w:sz w:val="24"/>
          <w:szCs w:val="24"/>
        </w:rPr>
        <w:t xml:space="preserve"> delivered</w:t>
      </w:r>
      <w:r w:rsidR="008B58ED" w:rsidRPr="00103A0B">
        <w:rPr>
          <w:rFonts w:ascii="Arial" w:hAnsi="Arial" w:cs="Arial"/>
          <w:sz w:val="24"/>
          <w:szCs w:val="24"/>
        </w:rPr>
        <w:t xml:space="preserve"> by </w:t>
      </w:r>
      <w:r w:rsidR="0004257A" w:rsidRPr="00103A0B">
        <w:rPr>
          <w:rFonts w:ascii="Arial" w:hAnsi="Arial" w:cs="Arial"/>
          <w:sz w:val="24"/>
          <w:szCs w:val="24"/>
        </w:rPr>
        <w:t>the local provider</w:t>
      </w:r>
      <w:r w:rsidR="00E2335B" w:rsidRPr="00103A0B">
        <w:rPr>
          <w:rFonts w:ascii="Arial" w:hAnsi="Arial" w:cs="Arial"/>
          <w:sz w:val="24"/>
          <w:szCs w:val="24"/>
        </w:rPr>
        <w:t xml:space="preserve">, </w:t>
      </w:r>
      <w:r w:rsidRPr="00103A0B">
        <w:rPr>
          <w:rFonts w:ascii="Arial" w:hAnsi="Arial" w:cs="Arial"/>
          <w:sz w:val="24"/>
          <w:szCs w:val="24"/>
        </w:rPr>
        <w:t xml:space="preserve">and where participants were recruited from for the qualitative studies (see Chapters 5 and 6). However, please note although at the time of data collection, the NHSDPP was delivered in Southwark, South London by </w:t>
      </w:r>
      <w:r w:rsidR="0004257A" w:rsidRPr="00103A0B">
        <w:rPr>
          <w:rFonts w:ascii="Arial" w:hAnsi="Arial" w:cs="Arial"/>
          <w:sz w:val="24"/>
          <w:szCs w:val="24"/>
        </w:rPr>
        <w:t>the local provider (referred to in this thesis)</w:t>
      </w:r>
      <w:r w:rsidRPr="00103A0B">
        <w:rPr>
          <w:rFonts w:ascii="Arial" w:hAnsi="Arial" w:cs="Arial"/>
          <w:sz w:val="24"/>
          <w:szCs w:val="24"/>
        </w:rPr>
        <w:t xml:space="preserve">, from July 2018, </w:t>
      </w:r>
      <w:r w:rsidR="0004257A" w:rsidRPr="00103A0B">
        <w:rPr>
          <w:rFonts w:ascii="Arial" w:hAnsi="Arial" w:cs="Arial"/>
          <w:sz w:val="24"/>
          <w:szCs w:val="24"/>
        </w:rPr>
        <w:t>this local provider</w:t>
      </w:r>
      <w:r w:rsidRPr="00103A0B">
        <w:rPr>
          <w:rFonts w:ascii="Arial" w:hAnsi="Arial" w:cs="Arial"/>
          <w:sz w:val="24"/>
          <w:szCs w:val="24"/>
        </w:rPr>
        <w:t xml:space="preserve"> </w:t>
      </w:r>
      <w:r w:rsidR="0004257A" w:rsidRPr="00103A0B">
        <w:rPr>
          <w:rFonts w:ascii="Arial" w:hAnsi="Arial" w:cs="Arial"/>
          <w:sz w:val="24"/>
          <w:szCs w:val="24"/>
        </w:rPr>
        <w:t>was</w:t>
      </w:r>
      <w:r w:rsidRPr="00103A0B">
        <w:rPr>
          <w:rFonts w:ascii="Arial" w:hAnsi="Arial" w:cs="Arial"/>
          <w:sz w:val="24"/>
          <w:szCs w:val="24"/>
        </w:rPr>
        <w:t xml:space="preserve"> no longer a provider for East and South London. </w:t>
      </w:r>
    </w:p>
    <w:p w14:paraId="475B2664" w14:textId="77777777" w:rsidR="008B58ED" w:rsidRPr="00103A0B" w:rsidRDefault="008B58ED" w:rsidP="00CD5919">
      <w:pPr>
        <w:jc w:val="both"/>
        <w:rPr>
          <w:rFonts w:ascii="Arial" w:hAnsi="Arial" w:cs="Arial"/>
          <w:sz w:val="20"/>
          <w:szCs w:val="20"/>
        </w:rPr>
      </w:pPr>
    </w:p>
    <w:p w14:paraId="0EDC921D" w14:textId="5AF884BB" w:rsidR="008B58ED" w:rsidRPr="00103A0B" w:rsidRDefault="008B58ED" w:rsidP="00A26AB9">
      <w:pPr>
        <w:keepLines/>
        <w:jc w:val="both"/>
        <w:rPr>
          <w:rFonts w:ascii="Arial" w:hAnsi="Arial" w:cs="Arial"/>
          <w:i/>
          <w:iCs/>
          <w:sz w:val="24"/>
          <w:szCs w:val="24"/>
        </w:rPr>
      </w:pPr>
      <w:r w:rsidRPr="00103A0B">
        <w:rPr>
          <w:rFonts w:ascii="Arial" w:hAnsi="Arial" w:cs="Arial"/>
          <w:i/>
          <w:iCs/>
          <w:sz w:val="24"/>
          <w:szCs w:val="24"/>
        </w:rPr>
        <w:lastRenderedPageBreak/>
        <w:t>Figure 2: Flowchart detailing the phases involved in the pa</w:t>
      </w:r>
      <w:r w:rsidR="0004257A" w:rsidRPr="00103A0B">
        <w:rPr>
          <w:rFonts w:ascii="Arial" w:hAnsi="Arial" w:cs="Arial"/>
          <w:i/>
          <w:iCs/>
          <w:sz w:val="24"/>
          <w:szCs w:val="24"/>
        </w:rPr>
        <w:t>tient</w:t>
      </w:r>
      <w:r w:rsidRPr="00103A0B">
        <w:rPr>
          <w:rFonts w:ascii="Arial" w:hAnsi="Arial" w:cs="Arial"/>
          <w:i/>
          <w:iCs/>
          <w:sz w:val="24"/>
          <w:szCs w:val="24"/>
        </w:rPr>
        <w:t xml:space="preserve"> </w:t>
      </w:r>
      <w:proofErr w:type="gramStart"/>
      <w:r w:rsidRPr="00103A0B">
        <w:rPr>
          <w:rFonts w:ascii="Arial" w:hAnsi="Arial" w:cs="Arial"/>
          <w:i/>
          <w:iCs/>
          <w:sz w:val="24"/>
          <w:szCs w:val="24"/>
        </w:rPr>
        <w:t>journey</w:t>
      </w:r>
      <w:proofErr w:type="gramEnd"/>
      <w:r w:rsidRPr="00103A0B">
        <w:rPr>
          <w:rFonts w:ascii="Arial" w:hAnsi="Arial" w:cs="Arial"/>
          <w:i/>
          <w:iCs/>
          <w:sz w:val="24"/>
          <w:szCs w:val="24"/>
        </w:rPr>
        <w:t xml:space="preserve"> </w:t>
      </w:r>
    </w:p>
    <w:p w14:paraId="3EDE1676" w14:textId="77777777" w:rsidR="008B58ED" w:rsidRPr="00103A0B" w:rsidRDefault="008B58ED" w:rsidP="00A26AB9">
      <w:pPr>
        <w:keepLines/>
        <w:jc w:val="both"/>
        <w:rPr>
          <w:rFonts w:ascii="Arial" w:hAnsi="Arial" w:cs="Arial"/>
          <w:szCs w:val="24"/>
        </w:rPr>
      </w:pPr>
    </w:p>
    <w:p w14:paraId="6D051156" w14:textId="2DFEDEAF" w:rsidR="009E7B4C" w:rsidRPr="00103A0B" w:rsidRDefault="008B58ED" w:rsidP="00CD5919">
      <w:pPr>
        <w:jc w:val="both"/>
        <w:rPr>
          <w:rFonts w:ascii="Arial" w:hAnsi="Arial" w:cs="Arial"/>
          <w:sz w:val="20"/>
          <w:szCs w:val="20"/>
        </w:rPr>
      </w:pPr>
      <w:r w:rsidRPr="00103A0B">
        <w:rPr>
          <w:rFonts w:ascii="Arial" w:hAnsi="Arial" w:cs="Arial"/>
          <w:noProof/>
          <w:szCs w:val="24"/>
        </w:rPr>
        <w:drawing>
          <wp:inline distT="0" distB="0" distL="0" distR="0" wp14:anchorId="39578793" wp14:editId="0498E62A">
            <wp:extent cx="5829300" cy="3819525"/>
            <wp:effectExtent l="38100" t="19050" r="38100" b="285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103A0B">
        <w:rPr>
          <w:rFonts w:ascii="Arial" w:hAnsi="Arial" w:cs="Arial"/>
          <w:i/>
          <w:iCs/>
          <w:szCs w:val="24"/>
        </w:rPr>
        <w:br w:type="page"/>
      </w:r>
    </w:p>
    <w:p w14:paraId="6B8D25A7" w14:textId="77777777" w:rsidR="009E7B4C" w:rsidRPr="00103A0B" w:rsidRDefault="009E7B4C" w:rsidP="00CD5919">
      <w:pPr>
        <w:spacing w:line="360" w:lineRule="auto"/>
        <w:jc w:val="both"/>
        <w:rPr>
          <w:rFonts w:ascii="Arial" w:hAnsi="Arial" w:cs="Arial"/>
          <w:sz w:val="20"/>
          <w:szCs w:val="20"/>
        </w:rPr>
      </w:pPr>
    </w:p>
    <w:p w14:paraId="3C14437B" w14:textId="6E9C3048" w:rsidR="009E7B4C" w:rsidRPr="00103A0B" w:rsidRDefault="009E7B4C" w:rsidP="00A26AB9">
      <w:pPr>
        <w:pStyle w:val="Heading2"/>
        <w:numPr>
          <w:ilvl w:val="0"/>
          <w:numId w:val="0"/>
        </w:numPr>
        <w:ind w:left="578" w:hanging="578"/>
        <w:jc w:val="both"/>
        <w:rPr>
          <w:rStyle w:val="Heading2Char"/>
          <w:rFonts w:ascii="Arial" w:hAnsi="Arial" w:cs="Arial"/>
          <w:sz w:val="28"/>
        </w:rPr>
      </w:pPr>
      <w:bookmarkStart w:id="267" w:name="_Toc345879971"/>
      <w:bookmarkStart w:id="268" w:name="_Toc345918841"/>
      <w:bookmarkStart w:id="269" w:name="_Toc354334809"/>
      <w:bookmarkStart w:id="270" w:name="_Toc354334954"/>
      <w:bookmarkStart w:id="271" w:name="_Toc354335099"/>
      <w:bookmarkStart w:id="272" w:name="_Toc354335244"/>
      <w:bookmarkStart w:id="273" w:name="_Toc354335389"/>
      <w:bookmarkStart w:id="274" w:name="_Toc354335534"/>
      <w:bookmarkStart w:id="275" w:name="_Toc354335679"/>
      <w:bookmarkStart w:id="276" w:name="_Toc354351584"/>
      <w:bookmarkStart w:id="277" w:name="_Toc354352363"/>
      <w:bookmarkStart w:id="278" w:name="_Toc354352518"/>
      <w:bookmarkStart w:id="279" w:name="_Toc354352673"/>
      <w:bookmarkStart w:id="280" w:name="_Toc363208572"/>
      <w:bookmarkStart w:id="281" w:name="_Toc151548318"/>
      <w:r w:rsidRPr="00103A0B">
        <w:rPr>
          <w:rFonts w:ascii="Arial" w:hAnsi="Arial" w:cs="Arial"/>
          <w:sz w:val="28"/>
        </w:rPr>
        <w:t xml:space="preserve">4.4 Profile of Southwark, </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103A0B">
        <w:rPr>
          <w:rFonts w:ascii="Arial" w:hAnsi="Arial" w:cs="Arial"/>
          <w:sz w:val="28"/>
        </w:rPr>
        <w:t>London</w:t>
      </w:r>
      <w:bookmarkEnd w:id="281"/>
      <w:r w:rsidRPr="00103A0B">
        <w:rPr>
          <w:rStyle w:val="Heading2Char"/>
          <w:rFonts w:ascii="Arial" w:hAnsi="Arial" w:cs="Arial"/>
          <w:sz w:val="28"/>
        </w:rPr>
        <w:t xml:space="preserve"> </w:t>
      </w:r>
    </w:p>
    <w:p w14:paraId="706DA344" w14:textId="0745A047" w:rsidR="009E7B4C" w:rsidRPr="00103A0B" w:rsidRDefault="008B58ED" w:rsidP="00A26AB9">
      <w:pPr>
        <w:keepLines/>
        <w:spacing w:line="360" w:lineRule="auto"/>
        <w:jc w:val="both"/>
        <w:rPr>
          <w:rFonts w:ascii="Arial" w:hAnsi="Arial" w:cs="Arial"/>
          <w:b/>
          <w:bCs/>
          <w:sz w:val="24"/>
          <w:szCs w:val="24"/>
        </w:rPr>
      </w:pPr>
      <w:bookmarkStart w:id="282" w:name="_Toc345879972"/>
      <w:bookmarkStart w:id="283" w:name="_Toc345918842"/>
      <w:bookmarkStart w:id="284" w:name="_Toc354334810"/>
      <w:bookmarkStart w:id="285" w:name="_Toc354334955"/>
      <w:bookmarkStart w:id="286" w:name="_Toc354335100"/>
      <w:bookmarkStart w:id="287" w:name="_Toc354335245"/>
      <w:bookmarkStart w:id="288" w:name="_Toc354335390"/>
      <w:bookmarkStart w:id="289" w:name="_Toc354335535"/>
      <w:bookmarkStart w:id="290" w:name="_Toc354335680"/>
      <w:bookmarkStart w:id="291" w:name="_Toc354351585"/>
      <w:bookmarkStart w:id="292" w:name="_Toc354352364"/>
      <w:bookmarkStart w:id="293" w:name="_Toc354352519"/>
      <w:bookmarkStart w:id="294" w:name="_Toc354352674"/>
      <w:bookmarkStart w:id="295" w:name="_Toc363208573"/>
      <w:r w:rsidRPr="00103A0B">
        <w:rPr>
          <w:rFonts w:ascii="Arial" w:hAnsi="Arial" w:cs="Arial"/>
          <w:b/>
          <w:bCs/>
          <w:sz w:val="24"/>
          <w:szCs w:val="24"/>
        </w:rPr>
        <w:t xml:space="preserve">4.4.1 </w:t>
      </w:r>
      <w:r w:rsidR="009E7B4C" w:rsidRPr="00103A0B">
        <w:rPr>
          <w:rFonts w:ascii="Arial" w:hAnsi="Arial" w:cs="Arial"/>
          <w:b/>
          <w:bCs/>
          <w:sz w:val="24"/>
          <w:szCs w:val="24"/>
        </w:rPr>
        <w:t>About 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9E7B4C" w:rsidRPr="00103A0B">
        <w:rPr>
          <w:rFonts w:ascii="Arial" w:hAnsi="Arial" w:cs="Arial"/>
          <w:b/>
          <w:bCs/>
          <w:sz w:val="24"/>
          <w:szCs w:val="24"/>
        </w:rPr>
        <w:t xml:space="preserve">outhwark </w:t>
      </w:r>
    </w:p>
    <w:p w14:paraId="0E0090AE" w14:textId="08197FC9" w:rsidR="008B58ED" w:rsidRPr="00103A0B" w:rsidRDefault="008B58ED" w:rsidP="00CD5919">
      <w:pPr>
        <w:spacing w:line="360" w:lineRule="auto"/>
        <w:jc w:val="both"/>
        <w:rPr>
          <w:rFonts w:ascii="Arial" w:hAnsi="Arial" w:cs="Arial"/>
          <w:sz w:val="24"/>
          <w:szCs w:val="24"/>
        </w:rPr>
      </w:pPr>
      <w:bookmarkStart w:id="296" w:name="_Hlk75194987"/>
      <w:r w:rsidRPr="00103A0B">
        <w:rPr>
          <w:rFonts w:ascii="Arial" w:hAnsi="Arial" w:cs="Arial"/>
          <w:sz w:val="24"/>
          <w:szCs w:val="24"/>
        </w:rPr>
        <w:t xml:space="preserve">Southwark is a densely populated, diverse, inner London borough consisting of several different districts (see Figure 3)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{"citationItems":[{"id":"ITEM-1","itemData":{"author":[{"dropping-particle":"","family":"Southwark Council","given":"","non-dropping-particle":"","parse-names":false,"suffix":""}],"id":"ITEM-1","issued":{"date-parts":[["2018"]]},"number-of-pages":"1-16","title":"Overview of Southwark ’ s population","type":"report"},"uris":["http://www.mendeley.com/documents/?uuid=8112468d-9641-44c5-86b6-21a1686fdb70"]},{"id":"ITEM-2","itemData":{"author":[{"dropping-particle":"","family":"New Policy Institute","given":"","non-dropping-particle":"","parse-names":false,"suffix":""}],"id":"ITEM-2","issued":{"date-parts":[["2016"]]},"number-of-pages":"1-41","title":"Demography and deprivation in Southwark and Tower Hamlets","type":"report"},"uris":["http://www.mendeley.com/documents/?uuid=99d93356-8ea6-45e8-b861-56b0f78d2dc2"]}],"mendeley":{"formattedCitation":"(New Policy Institute, 2016; Southwark Council, 2018)","plainTextFormattedCitation":"(New Policy Institute, 2016; Southwark Council, 2018)","previouslyFormattedCitation":"(New Policy Institute, 2016; Southwark Council,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(New Policy Institute, 2016; Southwark Council, 2018)</w:t>
      </w:r>
      <w:r w:rsidRPr="00103A0B">
        <w:rPr>
          <w:rFonts w:ascii="Arial" w:hAnsi="Arial" w:cs="Arial"/>
          <w:sz w:val="24"/>
          <w:szCs w:val="24"/>
        </w:rPr>
        <w:fldChar w:fldCharType="end"/>
      </w:r>
      <w:r w:rsidRPr="00103A0B">
        <w:rPr>
          <w:rFonts w:ascii="Arial" w:hAnsi="Arial" w:cs="Arial"/>
          <w:sz w:val="24"/>
          <w:szCs w:val="24"/>
        </w:rPr>
        <w:t xml:space="preserve">.  </w:t>
      </w:r>
    </w:p>
    <w:p w14:paraId="3767699E" w14:textId="64F55C18" w:rsidR="009E7B4C" w:rsidRPr="00103A0B" w:rsidRDefault="009E7B4C" w:rsidP="00CD5919">
      <w:pPr>
        <w:spacing w:line="360" w:lineRule="auto"/>
        <w:jc w:val="both"/>
        <w:rPr>
          <w:rFonts w:ascii="Arial" w:hAnsi="Arial" w:cs="Arial"/>
          <w:i/>
          <w:iCs/>
          <w:sz w:val="24"/>
          <w:szCs w:val="24"/>
        </w:rPr>
      </w:pPr>
      <w:r w:rsidRPr="00103A0B">
        <w:rPr>
          <w:rFonts w:ascii="Arial" w:hAnsi="Arial" w:cs="Arial"/>
          <w:i/>
          <w:iCs/>
          <w:sz w:val="24"/>
          <w:szCs w:val="24"/>
        </w:rPr>
        <w:t xml:space="preserve">Figure </w:t>
      </w:r>
      <w:r w:rsidR="008B58ED" w:rsidRPr="00103A0B">
        <w:rPr>
          <w:rFonts w:ascii="Arial" w:hAnsi="Arial" w:cs="Arial"/>
          <w:i/>
          <w:iCs/>
          <w:sz w:val="24"/>
          <w:szCs w:val="24"/>
        </w:rPr>
        <w:t>3</w:t>
      </w:r>
      <w:r w:rsidRPr="00103A0B">
        <w:rPr>
          <w:rFonts w:ascii="Arial" w:hAnsi="Arial" w:cs="Arial"/>
          <w:i/>
          <w:iCs/>
          <w:sz w:val="24"/>
          <w:szCs w:val="24"/>
        </w:rPr>
        <w:t xml:space="preserve">: A map of various boroughs within London </w:t>
      </w:r>
      <w:r w:rsidRPr="00103A0B">
        <w:rPr>
          <w:rFonts w:ascii="Arial" w:hAnsi="Arial" w:cs="Arial"/>
          <w:i/>
          <w:iCs/>
          <w:sz w:val="24"/>
          <w:szCs w:val="24"/>
        </w:rPr>
        <w:fldChar w:fldCharType="begin" w:fldLock="1"/>
      </w:r>
      <w:r w:rsidR="00CC0D38" w:rsidRPr="00103A0B">
        <w:rPr>
          <w:rFonts w:ascii="Arial" w:hAnsi="Arial" w:cs="Arial"/>
          <w:i/>
          <w:iCs/>
          <w:sz w:val="24"/>
          <w:szCs w:val="24"/>
        </w:rPr>
        <w:instrText>ADDIN CSL_CITATION {"citationItems":[{"id":"ITEM-1","itemData":{"URL":"https://maps-london.com/london-borough-map","author":[{"dropping-particle":"","family":"Neweb Creations","given":"","non-dropping-particle":"","parse-names":false,"suffix":""}],"id":"ITEM-1","issued":{"date-parts":[["2020"]]},"title":"London borough map","type":"webpage"},"uris":["http://www.mendeley.com/documents/?uuid=29d69679-2fef-441e-95c5-7765dd91d517"]}],"mendeley":{"formattedCitation":"(Neweb Creations, 2020)","manualFormatting":"(adapted from Neweb Creations, 2020)","plainTextFormattedCitation":"(Neweb Creations, 2020)","previouslyFormattedCitation":"(Neweb Creations, 2020)"},"properties":{"noteIndex":0},"schema":"https://github.com/citation-style-language/schema/raw/master/csl-citation.json"}</w:instrText>
      </w:r>
      <w:r w:rsidRPr="00103A0B">
        <w:rPr>
          <w:rFonts w:ascii="Arial" w:hAnsi="Arial" w:cs="Arial"/>
          <w:i/>
          <w:iCs/>
          <w:sz w:val="24"/>
          <w:szCs w:val="24"/>
        </w:rPr>
        <w:fldChar w:fldCharType="separate"/>
      </w:r>
      <w:r w:rsidRPr="00103A0B">
        <w:rPr>
          <w:rFonts w:ascii="Arial" w:hAnsi="Arial" w:cs="Arial"/>
          <w:iCs/>
          <w:noProof/>
          <w:sz w:val="24"/>
          <w:szCs w:val="24"/>
        </w:rPr>
        <w:t>(</w:t>
      </w:r>
      <w:r w:rsidR="00CC0D38" w:rsidRPr="00103A0B">
        <w:rPr>
          <w:rFonts w:ascii="Arial" w:hAnsi="Arial" w:cs="Arial"/>
          <w:iCs/>
          <w:noProof/>
          <w:sz w:val="24"/>
          <w:szCs w:val="24"/>
        </w:rPr>
        <w:t xml:space="preserve">adapted from </w:t>
      </w:r>
      <w:r w:rsidRPr="00103A0B">
        <w:rPr>
          <w:rFonts w:ascii="Arial" w:hAnsi="Arial" w:cs="Arial"/>
          <w:iCs/>
          <w:noProof/>
          <w:sz w:val="24"/>
          <w:szCs w:val="24"/>
        </w:rPr>
        <w:t>Neweb Creations, 2020)</w:t>
      </w:r>
      <w:r w:rsidRPr="00103A0B">
        <w:rPr>
          <w:rFonts w:ascii="Arial" w:hAnsi="Arial" w:cs="Arial"/>
          <w:i/>
          <w:iCs/>
          <w:sz w:val="24"/>
          <w:szCs w:val="24"/>
        </w:rPr>
        <w:fldChar w:fldCharType="end"/>
      </w:r>
    </w:p>
    <w:bookmarkEnd w:id="296"/>
    <w:p w14:paraId="0D2C46FC" w14:textId="278B3B3F" w:rsidR="008B58ED" w:rsidRPr="00103A0B" w:rsidRDefault="009E7B4C" w:rsidP="00CD5919">
      <w:pPr>
        <w:spacing w:line="360" w:lineRule="auto"/>
        <w:jc w:val="both"/>
        <w:rPr>
          <w:rFonts w:ascii="Arial" w:hAnsi="Arial" w:cs="Arial"/>
          <w:sz w:val="24"/>
          <w:szCs w:val="24"/>
        </w:rPr>
      </w:pPr>
      <w:r w:rsidRPr="00103A0B">
        <w:rPr>
          <w:rFonts w:ascii="Arial" w:hAnsi="Arial" w:cs="Arial"/>
          <w:noProof/>
        </w:rPr>
        <w:drawing>
          <wp:inline distT="0" distB="0" distL="0" distR="0" wp14:anchorId="15D7A9BF" wp14:editId="0D97B5B1">
            <wp:extent cx="5731510" cy="45224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522470"/>
                    </a:xfrm>
                    <a:prstGeom prst="rect">
                      <a:avLst/>
                    </a:prstGeom>
                    <a:noFill/>
                    <a:ln>
                      <a:noFill/>
                    </a:ln>
                  </pic:spPr>
                </pic:pic>
              </a:graphicData>
            </a:graphic>
          </wp:inline>
        </w:drawing>
      </w:r>
      <w:r w:rsidR="008B58ED" w:rsidRPr="00103A0B">
        <w:rPr>
          <w:rFonts w:ascii="Arial" w:hAnsi="Arial" w:cs="Arial"/>
          <w:sz w:val="24"/>
          <w:szCs w:val="24"/>
        </w:rPr>
        <w:t xml:space="preserve">The population of Southwark is growing faster than the national average with just over 314,200 people residing in Southwark compared to 230,000 in 1995 and 256,700 in 2001 </w:t>
      </w:r>
      <w:r w:rsidR="008B58ED"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{"citationItems":[{"id":"ITEM-1","itemData":{"author":[{"dropping-particle":"","family":"Southwark Council","given":"","non-dropping-particle":"","parse-names":false,"suffix":""}],"id":"ITEM-1","issued":{"date-parts":[["2018"]]},"number-of-pages":"1-16","title":"Overview of Southwark ’ s population","type":"report"},"uris":["http://www.mendeley.com/documents/?uuid=8112468d-9641-44c5-86b6-21a1686fdb70"]},{"id":"ITEM-2","itemData":{"author":[{"dropping-particle":"","family":"New Policy Institute","given":"","non-dropping-particle":"","parse-names":false,"suffix":""}],"id":"ITEM-2","issued":{"date-parts":[["2016"]]},"number-of-pages":"1-41","title":"Demography and deprivation in Southwark and Tower Hamlets","type":"report"},"uris":["http://www.mendeley.com/documents/?uuid=99d93356-8ea6-45e8-b861-56b0f78d2dc2"]}],"mendeley":{"formattedCitation":"(New Policy Institute, 2016; Southwark Council, 2018)","plainTextFormattedCitation":"(New Policy Institute, 2016; Southwark Council, 2018)","previouslyFormattedCitation":"(New Policy Institute, 2016; Southwark Council, 2018)"},"properties":{"noteIndex":0},"schema":"https://github.com/citation-style-language/schema/raw/master/csl-citation.json"}</w:instrText>
      </w:r>
      <w:r w:rsidR="008B58ED" w:rsidRPr="00103A0B">
        <w:rPr>
          <w:rFonts w:ascii="Arial" w:hAnsi="Arial" w:cs="Arial"/>
          <w:sz w:val="24"/>
          <w:szCs w:val="24"/>
        </w:rPr>
        <w:fldChar w:fldCharType="separate"/>
      </w:r>
      <w:r w:rsidR="008B58ED" w:rsidRPr="00103A0B">
        <w:rPr>
          <w:rFonts w:ascii="Arial" w:hAnsi="Arial" w:cs="Arial"/>
          <w:noProof/>
          <w:sz w:val="24"/>
          <w:szCs w:val="24"/>
        </w:rPr>
        <w:t>(New Policy Institute, 2016; Southwark Council, 2018)</w:t>
      </w:r>
      <w:r w:rsidR="008B58ED" w:rsidRPr="00103A0B">
        <w:rPr>
          <w:rFonts w:ascii="Arial" w:hAnsi="Arial" w:cs="Arial"/>
          <w:sz w:val="24"/>
          <w:szCs w:val="24"/>
        </w:rPr>
        <w:fldChar w:fldCharType="end"/>
      </w:r>
      <w:r w:rsidR="008B58ED" w:rsidRPr="00103A0B">
        <w:rPr>
          <w:rFonts w:ascii="Arial" w:hAnsi="Arial" w:cs="Arial"/>
          <w:sz w:val="24"/>
          <w:szCs w:val="24"/>
        </w:rPr>
        <w:t xml:space="preserve">. In 2017, the median age of residents was 33.1 years resulting in the age profile of the Southwark population being younger in comparison to the London average (35.1 years) and national average (40.1 years) </w:t>
      </w:r>
      <w:r w:rsidR="008B58ED"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{"citationItems":[{"id":"ITEM-1","itemData":{"author":[{"dropping-particle":"","family":"Southwark Council","given":"","non-dropping-particle":"","parse-names":false,"suffix":""}],"id":"ITEM-1","issued":{"date-parts":[["2018"]]},"number-of-pages":"1-16","title":"Overview of Southwark ’ s population","type":"report"},"uris":["http://www.mendeley.com/documents/?uuid=8112468d-9641-44c5-86b6-21a1686fdb70"]},{"id":"ITEM-2","itemData":{"author":[{"dropping-particle":"","family":"New Policy Institute","given":"","non-dropping-particle":"","parse-names":false,"suffix":""}],"id":"ITEM-2","issued":{"date-parts":[["2016"]]},"number-of-pages":"1-41","title":"Demography and deprivation in Southwark and Tower Hamlets","type":"report"},"uris":["http://www.mendeley.com/documents/?uuid=99d93356-8ea6-45e8-b861-56b0f78d2dc2"]}],"mendeley":{"formattedCitation":"(New Policy Institute, 2016; Southwark Council, 2018)","plainTextFormattedCitation":"(New Policy Institute, 2016; Southwark Council, 2018)","previouslyFormattedCitation":"(New Policy Institute, 2016; Southwark Council, 2018)"},"properties":{"noteIndex":0},"schema":"https://github.com/citation-style-language/schema/raw/master/csl-citation.json"}</w:instrText>
      </w:r>
      <w:r w:rsidR="008B58ED" w:rsidRPr="00103A0B">
        <w:rPr>
          <w:rFonts w:ascii="Arial" w:hAnsi="Arial" w:cs="Arial"/>
          <w:sz w:val="24"/>
          <w:szCs w:val="24"/>
        </w:rPr>
        <w:fldChar w:fldCharType="separate"/>
      </w:r>
      <w:r w:rsidR="008B58ED" w:rsidRPr="00103A0B">
        <w:rPr>
          <w:rFonts w:ascii="Arial" w:hAnsi="Arial" w:cs="Arial"/>
          <w:noProof/>
          <w:sz w:val="24"/>
          <w:szCs w:val="24"/>
        </w:rPr>
        <w:t>(New Policy Institute, 2016; Southwark Council, 2018)</w:t>
      </w:r>
      <w:r w:rsidR="008B58ED" w:rsidRPr="00103A0B">
        <w:rPr>
          <w:rFonts w:ascii="Arial" w:hAnsi="Arial" w:cs="Arial"/>
          <w:sz w:val="24"/>
          <w:szCs w:val="24"/>
        </w:rPr>
        <w:fldChar w:fldCharType="end"/>
      </w:r>
      <w:r w:rsidR="008B58ED" w:rsidRPr="00103A0B">
        <w:rPr>
          <w:rFonts w:ascii="Arial" w:hAnsi="Arial" w:cs="Arial"/>
          <w:sz w:val="24"/>
          <w:szCs w:val="24"/>
        </w:rPr>
        <w:t xml:space="preserve">. By 2030, it is </w:t>
      </w:r>
      <w:r w:rsidR="008B58ED" w:rsidRPr="00103A0B">
        <w:rPr>
          <w:rFonts w:ascii="Arial" w:hAnsi="Arial" w:cs="Arial"/>
          <w:sz w:val="24"/>
          <w:szCs w:val="24"/>
        </w:rPr>
        <w:lastRenderedPageBreak/>
        <w:t xml:space="preserve">projected that the population of Southwark will increase by almost 20% (with more young people, working age adults and older people) </w:t>
      </w:r>
      <w:r w:rsidR="008B58ED"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{"citationItems":[{"id":"ITEM-1","itemData":{"author":[{"dropping-particle":"","family":"Southwark Council","given":"","non-dropping-particle":"","parse-names":false,"suffix":""}],"id":"ITEM-1","issued":{"date-parts":[["2018"]]},"number-of-pages":"1-16","title":"Overview of Southwark ’ s population","type":"report"},"uris":["http://www.mendeley.com/documents/?uuid=8112468d-9641-44c5-86b6-21a1686fdb70"]}],"mendeley":{"formattedCitation":"(Southwark Council, 2018)","plainTextFormattedCitation":"(Southwark Council, 2018)","previouslyFormattedCitation":"(Southwark Council, 2018)"},"properties":{"noteIndex":0},"schema":"https://github.com/citation-style-language/schema/raw/master/csl-citation.json"}</w:instrText>
      </w:r>
      <w:r w:rsidR="008B58ED" w:rsidRPr="00103A0B">
        <w:rPr>
          <w:rFonts w:ascii="Arial" w:hAnsi="Arial" w:cs="Arial"/>
          <w:sz w:val="24"/>
          <w:szCs w:val="24"/>
        </w:rPr>
        <w:fldChar w:fldCharType="separate"/>
      </w:r>
      <w:r w:rsidR="008B58ED" w:rsidRPr="00103A0B">
        <w:rPr>
          <w:rFonts w:ascii="Arial" w:hAnsi="Arial" w:cs="Arial"/>
          <w:noProof/>
          <w:sz w:val="24"/>
          <w:szCs w:val="24"/>
        </w:rPr>
        <w:t>(Southwark Council, 2018)</w:t>
      </w:r>
      <w:r w:rsidR="008B58ED" w:rsidRPr="00103A0B">
        <w:rPr>
          <w:rFonts w:ascii="Arial" w:hAnsi="Arial" w:cs="Arial"/>
          <w:sz w:val="24"/>
          <w:szCs w:val="24"/>
        </w:rPr>
        <w:fldChar w:fldCharType="end"/>
      </w:r>
      <w:r w:rsidR="008B58ED" w:rsidRPr="00103A0B">
        <w:rPr>
          <w:rFonts w:ascii="Arial" w:hAnsi="Arial" w:cs="Arial"/>
          <w:sz w:val="24"/>
          <w:szCs w:val="24"/>
        </w:rPr>
        <w:t xml:space="preserve">. </w:t>
      </w:r>
    </w:p>
    <w:p w14:paraId="0E2A20E4" w14:textId="4811E19A" w:rsidR="009E7B4C" w:rsidRPr="00103A0B" w:rsidRDefault="009E7B4C" w:rsidP="00CD5919">
      <w:pPr>
        <w:spacing w:line="360" w:lineRule="auto"/>
        <w:jc w:val="both"/>
        <w:rPr>
          <w:rFonts w:ascii="Arial" w:hAnsi="Arial" w:cs="Arial"/>
          <w:i/>
          <w:iCs/>
          <w:sz w:val="24"/>
          <w:szCs w:val="24"/>
        </w:rPr>
      </w:pPr>
      <w:r w:rsidRPr="00103A0B">
        <w:rPr>
          <w:rFonts w:ascii="Arial" w:hAnsi="Arial" w:cs="Arial"/>
          <w:i/>
          <w:iCs/>
          <w:sz w:val="24"/>
          <w:szCs w:val="24"/>
        </w:rPr>
        <w:t xml:space="preserve">Ethnicity </w:t>
      </w:r>
    </w:p>
    <w:p w14:paraId="7108AAB5" w14:textId="3778BD87" w:rsidR="008B58ED" w:rsidRPr="00103A0B" w:rsidRDefault="008B58ED" w:rsidP="00CD5919">
      <w:pPr>
        <w:spacing w:line="360" w:lineRule="auto"/>
        <w:jc w:val="both"/>
        <w:rPr>
          <w:rFonts w:ascii="Arial" w:hAnsi="Arial" w:cs="Arial"/>
          <w:color w:val="000000" w:themeColor="text1"/>
          <w:sz w:val="24"/>
          <w:szCs w:val="24"/>
        </w:rPr>
      </w:pPr>
      <w:r w:rsidRPr="00103A0B">
        <w:rPr>
          <w:rFonts w:ascii="Arial" w:hAnsi="Arial" w:cs="Arial"/>
          <w:sz w:val="24"/>
          <w:szCs w:val="24"/>
        </w:rPr>
        <w:t>Southwark is an ethnically diverse borough consisting of individuals from various backgrounds where over 120 languages are spoken</w:t>
      </w:r>
      <w:r w:rsidR="00E2335B" w:rsidRPr="00103A0B">
        <w:rPr>
          <w:rFonts w:ascii="Arial" w:hAnsi="Arial" w:cs="Arial"/>
          <w:sz w:val="24"/>
          <w:szCs w:val="24"/>
        </w:rPr>
        <w:t>,</w:t>
      </w:r>
      <w:r w:rsidRPr="00103A0B">
        <w:rPr>
          <w:rFonts w:ascii="Arial" w:hAnsi="Arial" w:cs="Arial"/>
          <w:sz w:val="24"/>
          <w:szCs w:val="24"/>
        </w:rPr>
        <w:t xml:space="preserve"> and approximately 11% of households do not have any individuals with English as their first language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{"citationItems":[{"id":"ITEM-1","itemData":{"author":[{"dropping-particle":"","family":"Southwark Council","given":"","non-dropping-particle":"","parse-names":false,"suffix":""}],"id":"ITEM-1","issued":{"date-parts":[["2018"]]},"number-of-pages":"1-16","title":"Overview of Southwark ’ s population","type":"report"},"uris":["http://www.mendeley.com/documents/?uuid=8112468d-9641-44c5-86b6-21a1686fdb70"]}],"mendeley":{"formattedCitation":"(Southwark Council, 2018)","plainTextFormattedCitation":"(Southwark Council, 2018)","previouslyFormattedCitation":"(Southwark Council,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(Southwark Council, 2018)</w:t>
      </w:r>
      <w:r w:rsidRPr="00103A0B">
        <w:rPr>
          <w:rFonts w:ascii="Arial" w:hAnsi="Arial" w:cs="Arial"/>
          <w:sz w:val="24"/>
          <w:szCs w:val="24"/>
        </w:rPr>
        <w:fldChar w:fldCharType="end"/>
      </w:r>
      <w:r w:rsidRPr="00103A0B">
        <w:rPr>
          <w:rFonts w:ascii="Arial" w:hAnsi="Arial" w:cs="Arial"/>
          <w:sz w:val="24"/>
          <w:szCs w:val="24"/>
        </w:rPr>
        <w:t xml:space="preserve">. Approximately 46% of the population </w:t>
      </w:r>
      <w:r w:rsidRPr="00103A0B">
        <w:rPr>
          <w:rFonts w:ascii="Arial" w:hAnsi="Arial" w:cs="Arial"/>
          <w:color w:val="000000" w:themeColor="text1"/>
          <w:sz w:val="24"/>
          <w:szCs w:val="24"/>
        </w:rPr>
        <w:t xml:space="preserve">belong to the </w:t>
      </w:r>
      <w:bookmarkStart w:id="297" w:name="_Hlk49167388"/>
      <w:r w:rsidRPr="00103A0B">
        <w:rPr>
          <w:rFonts w:ascii="Arial" w:hAnsi="Arial" w:cs="Arial"/>
          <w:color w:val="000000" w:themeColor="text1"/>
          <w:sz w:val="24"/>
          <w:szCs w:val="24"/>
        </w:rPr>
        <w:t xml:space="preserve">Black, Asian and Minority Ethnic </w:t>
      </w:r>
      <w:bookmarkEnd w:id="297"/>
      <w:r w:rsidRPr="00103A0B">
        <w:rPr>
          <w:rFonts w:ascii="Arial" w:hAnsi="Arial" w:cs="Arial"/>
          <w:color w:val="000000" w:themeColor="text1"/>
          <w:sz w:val="24"/>
          <w:szCs w:val="24"/>
        </w:rPr>
        <w:t xml:space="preserve">(BAME) group (25% Black, 11% Asian and 10% other), and 54% belong to the White ethnic group, resulting in Southwark being more diverse than the rest of London and the national average </w:t>
      </w:r>
      <w:r w:rsidRPr="00103A0B">
        <w:rPr>
          <w:rFonts w:ascii="Arial" w:hAnsi="Arial" w:cs="Arial"/>
          <w:color w:val="000000" w:themeColor="text1"/>
          <w:sz w:val="24"/>
          <w:szCs w:val="24"/>
        </w:rPr>
        <w:fldChar w:fldCharType="begin" w:fldLock="1"/>
      </w:r>
      <w:r w:rsidR="00643C08" w:rsidRPr="00103A0B">
        <w:rPr>
          <w:rFonts w:ascii="Arial" w:hAnsi="Arial" w:cs="Arial"/>
          <w:color w:val="000000" w:themeColor="text1"/>
          <w:sz w:val="24"/>
          <w:szCs w:val="24"/>
        </w:rPr>
        <w:instrText>ADDIN CSL_CITATION {"citationItems":[{"id":"ITEM-1","itemData":{"author":[{"dropping-particle":"","family":"Southwark Council","given":"","non-dropping-particle":"","parse-names":false,"suffix":""}],"id":"ITEM-1","issued":{"date-parts":[["2018"]]},"number-of-pages":"1-16","title":"Overview of Southwark ’ s population","type":"report"},"uris":["http://www.mendeley.com/documents/?uuid=8112468d-9641-44c5-86b6-21a1686fdb70"]},{"id":"ITEM-2","itemData":{"author":[{"dropping-particle":"","family":"New Policy Institute","given":"","non-dropping-particle":"","parse-names":false,"suffix":""}],"id":"ITEM-2","issued":{"date-parts":[["2016"]]},"number-of-pages":"1-41","title":"Demography and deprivation in Southwark and Tower Hamlets","type":"report"},"uris":["http://www.mendeley.com/documents/?uuid=99d93356-8ea6-45e8-b861-56b0f78d2dc2"]}],"mendeley":{"formattedCitation":"(New Policy Institute, 2016; Southwark Council, 2018)","plainTextFormattedCitation":"(New Policy Institute, 2016; Southwark Council, 2018)","previouslyFormattedCitation":"(New Policy Institute, 2016; Southwark Council, 2018)"},"properties":{"noteIndex":0},"schema":"https://github.com/citation-style-language/schema/raw/master/csl-citation.json"}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(New Policy Institute, 2016; Southwark Council, 2018)</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w:t>
      </w:r>
    </w:p>
    <w:p w14:paraId="078741DE" w14:textId="1F0219E4" w:rsidR="009E7B4C" w:rsidRPr="00103A0B" w:rsidRDefault="009E7B4C" w:rsidP="00CD5919">
      <w:pPr>
        <w:spacing w:line="360" w:lineRule="auto"/>
        <w:jc w:val="both"/>
        <w:rPr>
          <w:rFonts w:ascii="Arial" w:hAnsi="Arial" w:cs="Arial"/>
          <w:i/>
          <w:iCs/>
          <w:sz w:val="24"/>
          <w:szCs w:val="24"/>
        </w:rPr>
      </w:pPr>
      <w:bookmarkStart w:id="298" w:name="_Toc363208576"/>
      <w:bookmarkStart w:id="299" w:name="_Ref355859168"/>
      <w:bookmarkStart w:id="300" w:name="_Ref355596151"/>
      <w:bookmarkStart w:id="301" w:name="_Toc354352677"/>
      <w:bookmarkStart w:id="302" w:name="_Toc354352522"/>
      <w:bookmarkStart w:id="303" w:name="_Toc354352367"/>
      <w:bookmarkStart w:id="304" w:name="_Toc354351588"/>
      <w:bookmarkStart w:id="305" w:name="_Toc354335683"/>
      <w:bookmarkStart w:id="306" w:name="_Toc354335538"/>
      <w:bookmarkStart w:id="307" w:name="_Toc354335393"/>
      <w:bookmarkStart w:id="308" w:name="_Toc354335248"/>
      <w:bookmarkStart w:id="309" w:name="_Toc354335103"/>
      <w:bookmarkStart w:id="310" w:name="_Toc354334958"/>
      <w:bookmarkStart w:id="311" w:name="_Toc354334813"/>
      <w:bookmarkStart w:id="312" w:name="_Toc345918845"/>
      <w:bookmarkStart w:id="313" w:name="_Toc345879975"/>
      <w:r w:rsidRPr="00103A0B">
        <w:rPr>
          <w:rFonts w:ascii="Arial" w:hAnsi="Arial" w:cs="Arial"/>
          <w:i/>
          <w:iCs/>
          <w:sz w:val="24"/>
          <w:szCs w:val="24"/>
        </w:rPr>
        <w:t>Deprivation</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2A24AC3C" w14:textId="3E3B7118" w:rsidR="00D4207C" w:rsidRPr="00103A0B" w:rsidRDefault="00D4207C" w:rsidP="00CD5919">
      <w:pPr>
        <w:spacing w:line="360" w:lineRule="auto"/>
        <w:jc w:val="both"/>
        <w:rPr>
          <w:rFonts w:ascii="Arial" w:hAnsi="Arial" w:cs="Arial"/>
          <w:sz w:val="24"/>
          <w:szCs w:val="24"/>
        </w:rPr>
      </w:pPr>
      <w:r w:rsidRPr="00103A0B">
        <w:rPr>
          <w:rFonts w:ascii="Arial" w:hAnsi="Arial" w:cs="Arial"/>
          <w:color w:val="000000" w:themeColor="text1"/>
          <w:sz w:val="24"/>
          <w:szCs w:val="24"/>
        </w:rPr>
        <w:t>There are high levels of deprivation in Southwark compared to the rest of England, where 39% of neighbourhoods are in the bottom fifth nationally resulting in Southwark being classified as o</w:t>
      </w:r>
      <w:r w:rsidRPr="00103A0B">
        <w:rPr>
          <w:rFonts w:ascii="Arial" w:hAnsi="Arial" w:cs="Arial"/>
          <w:sz w:val="24"/>
          <w:szCs w:val="24"/>
        </w:rPr>
        <w:t>ne of the 20% most deprived</w:t>
      </w:r>
      <w:r w:rsidRPr="00103A0B">
        <w:rPr>
          <w:rFonts w:ascii="Arial" w:hAnsi="Arial" w:cs="Arial"/>
          <w:color w:val="000000" w:themeColor="text1"/>
          <w:sz w:val="24"/>
          <w:szCs w:val="24"/>
        </w:rPr>
        <w:t xml:space="preserve"> </w:t>
      </w:r>
      <w:r w:rsidRPr="00103A0B">
        <w:rPr>
          <w:rFonts w:ascii="Arial" w:hAnsi="Arial" w:cs="Arial"/>
          <w:sz w:val="24"/>
          <w:szCs w:val="24"/>
        </w:rPr>
        <w:t xml:space="preserve">districts in England </w:t>
      </w:r>
      <w:r w:rsidRPr="00103A0B">
        <w:rPr>
          <w:rFonts w:ascii="Arial" w:hAnsi="Arial" w:cs="Arial"/>
          <w:sz w:val="24"/>
          <w:szCs w:val="24"/>
        </w:rPr>
        <w:fldChar w:fldCharType="begin" w:fldLock="1"/>
      </w:r>
      <w:r w:rsidR="00062570" w:rsidRPr="00103A0B">
        <w:rPr>
          <w:rFonts w:ascii="Arial" w:hAnsi="Arial" w:cs="Arial"/>
          <w:sz w:val="24"/>
          <w:szCs w:val="24"/>
        </w:rPr>
        <w:instrText>ADDIN CSL_CITATION {"citationItems":[{"id":"ITEM-1","itemData":{"author":[{"dropping-particle":"","family":"Public Health England","given":"","non-dropping-particle":"","parse-names":false,"suffix":""}],"id":"ITEM-1","issued":{"date-parts":[["2020"]]},"number-of-pages":"1-3","title":"Southwark local authority health profile 2019","type":"report"},"uris":["http://www.mendeley.com/documents/?uuid=14aa9b9c-810c-4b66-8f2a-1632e9e31822"]},{"id":"ITEM-2","itemData":{"author":[{"dropping-particle":"","family":"New Policy Institute","given":"","non-dropping-particle":"","parse-names":false,"suffix":""}],"id":"ITEM-2","issued":{"date-parts":[["2016"]]},"number-of-pages":"1-41","title":"Demography and deprivation in Southwark and Tower Hamlets","type":"report"},"uris":["http://www.mendeley.com/documents/?uuid=99d93356-8ea6-45e8-b861-56b0f78d2dc2"]}],"mendeley":{"formattedCitation":"(New Policy Institute, 2016; Public Health England, 2020b)","plainTextFormattedCitation":"(New Policy Institute, 2016; Public Health England, 2020b)","previouslyFormattedCitation":"(New Policy Institute, 2016; Public Health England, 2020b)"},"properties":{"noteIndex":0},"schema":"https://github.com/citation-style-language/schema/raw/master/csl-citation.json"}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(New Policy Institute, 2016; Public Health England, 2020b)</w:t>
      </w:r>
      <w:r w:rsidRPr="00103A0B">
        <w:rPr>
          <w:rFonts w:ascii="Arial" w:hAnsi="Arial" w:cs="Arial"/>
          <w:sz w:val="24"/>
          <w:szCs w:val="24"/>
        </w:rPr>
        <w:fldChar w:fldCharType="end"/>
      </w:r>
      <w:r w:rsidRPr="00103A0B">
        <w:rPr>
          <w:rFonts w:ascii="Arial" w:hAnsi="Arial" w:cs="Arial"/>
          <w:sz w:val="24"/>
          <w:szCs w:val="24"/>
        </w:rPr>
        <w:t>.</w:t>
      </w:r>
      <w:r w:rsidR="00597BD1" w:rsidRPr="00103A0B">
        <w:rPr>
          <w:rFonts w:ascii="Arial" w:hAnsi="Arial" w:cs="Arial"/>
          <w:sz w:val="24"/>
          <w:szCs w:val="24"/>
        </w:rPr>
        <w:t xml:space="preserve"> </w:t>
      </w:r>
      <w:r w:rsidRPr="00103A0B">
        <w:rPr>
          <w:rFonts w:ascii="Arial" w:hAnsi="Arial" w:cs="Arial"/>
          <w:sz w:val="24"/>
          <w:szCs w:val="24"/>
        </w:rPr>
        <w:t xml:space="preserve">Compared to the least deprived areas (i.e., more affluent) in Southwark, those living in more deprived areas have lower life expectancy where it is 7.4 years lower for men and 5.6 years lower for women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{"citationItems":[{"id":"ITEM-1","itemData":{"author":[{"dropping-particle":"","family":"Public Health England","given":"","non-dropping-particle":"","parse-names":false,"suffix":""}],"id":"ITEM-1","issued":{"date-parts":[["2020"]]},"number-of-pages":"1-3","title":"Southwark local authority health profile 2019","type":"report"},"uris":["http://www.mendeley.com/documents/?uuid=14aa9b9c-810c-4b66-8f2a-1632e9e31822"]}],"mendeley":{"formattedCitation":"(Public Health England, 2020b)","plainTextFormattedCitation":"(Public Health England, 2020b)","previouslyFormattedCitation":"(Public Health England, 2020b)"},"properties":{"noteIndex":0},"schema":"https://github.com/citation-style-language/schema/raw/master/csl-citation.json"}</w:instrText>
      </w:r>
      <w:r w:rsidRPr="00103A0B">
        <w:rPr>
          <w:rFonts w:ascii="Arial" w:hAnsi="Arial" w:cs="Arial"/>
          <w:sz w:val="24"/>
          <w:szCs w:val="24"/>
        </w:rPr>
        <w:fldChar w:fldCharType="separate"/>
      </w:r>
      <w:r w:rsidR="00597BD1" w:rsidRPr="00103A0B">
        <w:rPr>
          <w:rFonts w:ascii="Arial" w:hAnsi="Arial" w:cs="Arial"/>
          <w:noProof/>
          <w:sz w:val="24"/>
          <w:szCs w:val="24"/>
        </w:rPr>
        <w:t>(Public Health England, 2020b)</w:t>
      </w:r>
      <w:r w:rsidRPr="00103A0B">
        <w:rPr>
          <w:rFonts w:ascii="Arial" w:hAnsi="Arial" w:cs="Arial"/>
          <w:sz w:val="24"/>
          <w:szCs w:val="24"/>
        </w:rPr>
        <w:fldChar w:fldCharType="end"/>
      </w:r>
      <w:r w:rsidRPr="00103A0B">
        <w:rPr>
          <w:rFonts w:ascii="Arial" w:hAnsi="Arial" w:cs="Arial"/>
          <w:sz w:val="24"/>
          <w:szCs w:val="24"/>
        </w:rPr>
        <w:t xml:space="preserve">. </w:t>
      </w:r>
    </w:p>
    <w:p w14:paraId="1686BFB2" w14:textId="77777777" w:rsidR="009E7B4C" w:rsidRPr="00103A0B" w:rsidRDefault="009E7B4C" w:rsidP="00CD5919">
      <w:pPr>
        <w:spacing w:line="360" w:lineRule="auto"/>
        <w:jc w:val="both"/>
        <w:rPr>
          <w:rFonts w:ascii="Arial" w:hAnsi="Arial" w:cs="Arial"/>
          <w:i/>
          <w:iCs/>
          <w:sz w:val="24"/>
          <w:szCs w:val="24"/>
        </w:rPr>
      </w:pPr>
      <w:r w:rsidRPr="00103A0B">
        <w:rPr>
          <w:rFonts w:ascii="Arial" w:hAnsi="Arial" w:cs="Arial"/>
          <w:i/>
          <w:iCs/>
          <w:sz w:val="24"/>
          <w:szCs w:val="24"/>
        </w:rPr>
        <w:t xml:space="preserve">Prediabetes/T2DM </w:t>
      </w:r>
    </w:p>
    <w:p w14:paraId="52825A5A" w14:textId="5A1667B1" w:rsidR="00D4207C" w:rsidRPr="00103A0B" w:rsidRDefault="00D4207C" w:rsidP="00CD5919">
      <w:pPr>
        <w:spacing w:line="360" w:lineRule="auto"/>
        <w:jc w:val="both"/>
        <w:rPr>
          <w:rFonts w:ascii="Arial" w:hAnsi="Arial" w:cs="Arial"/>
          <w:sz w:val="24"/>
          <w:szCs w:val="24"/>
        </w:rPr>
      </w:pPr>
      <w:r w:rsidRPr="00103A0B">
        <w:rPr>
          <w:rFonts w:ascii="Arial" w:hAnsi="Arial" w:cs="Arial"/>
          <w:sz w:val="24"/>
          <w:szCs w:val="24"/>
        </w:rPr>
        <w:t xml:space="preserve">Compared to the national average, the estimated diabetes diagnosis rate in Southwark is significantly worse </w:t>
      </w:r>
      <w:r w:rsidRPr="00103A0B">
        <w:rPr>
          <w:rFonts w:ascii="Arial" w:hAnsi="Arial" w:cs="Arial"/>
          <w:sz w:val="24"/>
          <w:szCs w:val="24"/>
        </w:rPr>
        <w:fldChar w:fldCharType="begin" w:fldLock="1"/>
      </w:r>
      <w:r w:rsidR="00062570" w:rsidRPr="00103A0B">
        <w:rPr>
          <w:rFonts w:ascii="Arial" w:hAnsi="Arial" w:cs="Arial"/>
          <w:sz w:val="24"/>
          <w:szCs w:val="24"/>
        </w:rPr>
        <w:instrText>ADDIN CSL_CITATION {"citationItems":[{"id":"ITEM-1","itemData":{"author":[{"dropping-particle":"","family":"Public Health England","given":"","non-dropping-particle":"","parse-names":false,"suffix":""}],"id":"ITEM-1","issued":{"date-parts":[["2020"]]},"number-of-pages":"1-3","title":"Southwark local authority health profile 2019","type":"report"},"uris":["http://www.mendeley.com/documents/?uuid=14aa9b9c-810c-4b66-8f2a-1632e9e31822"]}],"mendeley":{"formattedCitation":"(Public Health England, 2020b)","plainTextFormattedCitation":"(Public Health England, 2020b)","previouslyFormattedCitation":"(Public Health England, 2020b)"},"properties":{"noteIndex":0},"schema":"https://github.com/citation-style-language/schema/raw/master/csl-citation.json"}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(Public Health England, 2020b)</w:t>
      </w:r>
      <w:r w:rsidRPr="00103A0B">
        <w:rPr>
          <w:rFonts w:ascii="Arial" w:hAnsi="Arial" w:cs="Arial"/>
          <w:sz w:val="24"/>
          <w:szCs w:val="24"/>
        </w:rPr>
        <w:fldChar w:fldCharType="end"/>
      </w:r>
      <w:r w:rsidRPr="00103A0B">
        <w:rPr>
          <w:rFonts w:ascii="Arial" w:hAnsi="Arial" w:cs="Arial"/>
          <w:sz w:val="24"/>
          <w:szCs w:val="24"/>
        </w:rPr>
        <w:t xml:space="preserve">. Approximately 5.1%-9.1% of the population in NHS Southwark Clinical Commissioning Group (CCG) have T2DM, with a higher diagnosed T2DM prevalence among men than women </w:t>
      </w:r>
      <w:r w:rsidRPr="00103A0B">
        <w:rPr>
          <w:rFonts w:ascii="Arial" w:hAnsi="Arial" w:cs="Arial"/>
          <w:sz w:val="24"/>
          <w:szCs w:val="24"/>
        </w:rPr>
        <w:fldChar w:fldCharType="begin" w:fldLock="1"/>
      </w:r>
      <w:r w:rsidR="00062570" w:rsidRPr="00103A0B">
        <w:rPr>
          <w:rFonts w:ascii="Arial" w:hAnsi="Arial" w:cs="Arial"/>
          <w:sz w:val="24"/>
          <w:szCs w:val="24"/>
        </w:rPr>
        <w:instrText>ADDIN CSL_CITATION {"citationItems":[{"id":"ITEM-1","itemData":{"author":[{"dropping-particle":"","family":"NHS Digital","given":"","non-dropping-particle":"","parse-names":false,"suffix":""}],"id":"ITEM-1","issued":{"date-parts":[["2020"]]},"title":"Non-diabetic hyperglycaemia, quarter 2 2019-20: diagnoses and demographics","type":"report"},"uris":["http://www.mendeley.com/documents/?uuid=451cca59-ead5-4d17-8101-88c5ac1dba57"]},{"id":"ITEM-2","itemData":{"DOI":"https://www.southwark.gov.uk/assets/attach/7294/jsna-factsheet-2018-long-term-conditions-20180614.pdf","author":[{"dropping-particle":"","family":"Shapo","given":"Leidon","non-dropping-particle":"","parse-names":false,"suffix":""}],"id":"ITEM-2","issued":{"date-parts":[["2018"]]},"title":"Supporting commissioning decisions by assessing the burden of long-term conditions locally","type":"report"},"uris":["http://www.mendeley.com/documents/?uuid=1c8c5fed-3dd2-4b98-a42b-6abdee6ed52f"]},{"id":"ITEM-3","itemData":{"author":[{"dropping-particle":"","family":"O’Dowd","given":"N Cooke","non-dropping-particle":"","parse-names":false,"suffix":""}],"id":"ITEM-3","issued":{"date-parts":[["2018"]]},"title":"Multiple long-term conditions in Southwark Southwark`s joint strategic needs assessment","type":"report"},"uris":["http://www.mendeley.com/documents/?uuid=0047a239-3525-4ce4-85a9-b4a769906b0c"]}],"mendeley":{"formattedCitation":"(NHS Digital, 2020a; O’Dowd, 2018; Shapo, 2018)","plainTextFormattedCitation":"(NHS Digital, 2020a; O’Dowd, 2018; Shapo, 2018)","previouslyFormattedCitation":"(NHS Digital, 2020a; O’Dowd, 2018; Shapo, 2018)"},"properties":{"noteIndex":0},"schema":"https://github.com/citation-style-language/schema/raw/master/csl-citation.json"}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(NHS Digital, 2020a; O’Dowd, 2018; Shapo, 2018)</w:t>
      </w:r>
      <w:r w:rsidRPr="00103A0B">
        <w:rPr>
          <w:rFonts w:ascii="Arial" w:hAnsi="Arial" w:cs="Arial"/>
          <w:sz w:val="24"/>
          <w:szCs w:val="24"/>
        </w:rPr>
        <w:fldChar w:fldCharType="end"/>
      </w:r>
      <w:r w:rsidRPr="00103A0B">
        <w:rPr>
          <w:rFonts w:ascii="Arial" w:hAnsi="Arial" w:cs="Arial"/>
          <w:sz w:val="24"/>
          <w:szCs w:val="24"/>
        </w:rPr>
        <w:t xml:space="preserve">. Approximately 6.3%-10.2% of the population in NHS Southwark CCG have prediabetes (i.e., non-diabetic hyperglycaemia) </w:t>
      </w:r>
      <w:r w:rsidRPr="00103A0B">
        <w:rPr>
          <w:rFonts w:ascii="Arial" w:hAnsi="Arial" w:cs="Arial"/>
          <w:sz w:val="24"/>
          <w:szCs w:val="24"/>
        </w:rPr>
        <w:fldChar w:fldCharType="begin" w:fldLock="1"/>
      </w:r>
      <w:r w:rsidR="00062570" w:rsidRPr="00103A0B">
        <w:rPr>
          <w:rFonts w:ascii="Arial" w:hAnsi="Arial" w:cs="Arial"/>
          <w:sz w:val="24"/>
          <w:szCs w:val="24"/>
        </w:rPr>
        <w:instrText>ADDIN CSL_CITATION {"citationItems":[{"id":"ITEM-1","itemData":{"author":[{"dropping-particle":"","family":"NHS Digital","given":"","non-dropping-particle":"","parse-names":false,"suffix":""}],"id":"ITEM-1","issued":{"date-parts":[["2020"]]},"title":"Non-diabetic hyperglycaemia, quarter 2 2019-20: diagnoses and demographics","type":"report"},"uris":["http://www.mendeley.com/documents/?uuid=451cca59-ead5-4d17-8101-88c5ac1dba57"]},{"id":"ITEM-2","itemData":{"DOI":"https://www.southwark.gov.uk/assets/attach/7294/jsna-factsheet-2018-long-term-conditions-20180614.pdf","author":[{"dropping-particle":"","family":"Shapo","given":"Leidon","non-dropping-particle":"","parse-names":false,"suffix":""}],"id":"ITEM-2","issued":{"date-parts":[["2018"]]},"title":"Supporting commissioning decisions by assessing the burden of long-term conditions locally","type":"report"},"uris":["http://www.mendeley.com/documents/?uuid=1c8c5fed-3dd2-4b98-a42b-6abdee6ed52f"]},{"id":"ITEM-3","itemData":{"author":[{"dropping-particle":"","family":"O’Dowd","given":"N Cooke","non-dropping-particle":"","parse-names":false,"suffix":""}],"id":"ITEM-3","issued":{"date-parts":[["2018"]]},"title":"Multiple long-term conditions in Southwark Southwark`s joint strategic needs assessment","type":"report"},"uris":["http://www.mendeley.com/documents/?uuid=0047a239-3525-4ce4-85a9-b4a769906b0c"]}],"mendeley":{"formattedCitation":"(NHS Digital, 2020a; O’Dowd, 2018; Shapo, 2018)","plainTextFormattedCitation":"(NHS Digital, 2020a; O’Dowd, 2018; Shapo, 2018)","previouslyFormattedCitation":"(NHS Digital, 2020a; O’Dowd, 2018; Shapo, 2018)"},"properties":{"noteIndex":0},"schema":"https://github.com/citation-style-language/schema/raw/master/csl-citation.json"}</w:instrText>
      </w:r>
      <w:r w:rsidRPr="00103A0B">
        <w:rPr>
          <w:rFonts w:ascii="Arial" w:hAnsi="Arial" w:cs="Arial"/>
          <w:sz w:val="24"/>
          <w:szCs w:val="24"/>
        </w:rPr>
        <w:fldChar w:fldCharType="separate"/>
      </w:r>
      <w:r w:rsidR="00643C08" w:rsidRPr="00103A0B">
        <w:rPr>
          <w:rFonts w:ascii="Arial" w:hAnsi="Arial" w:cs="Arial"/>
          <w:noProof/>
          <w:sz w:val="24"/>
          <w:szCs w:val="24"/>
        </w:rPr>
        <w:t>(NHS Digital, 2020a; O’Dowd, 2018; Shapo, 2018)</w:t>
      </w:r>
      <w:r w:rsidRPr="00103A0B">
        <w:rPr>
          <w:rFonts w:ascii="Arial" w:hAnsi="Arial" w:cs="Arial"/>
          <w:sz w:val="24"/>
          <w:szCs w:val="24"/>
        </w:rPr>
        <w:fldChar w:fldCharType="end"/>
      </w:r>
      <w:r w:rsidRPr="00103A0B">
        <w:rPr>
          <w:rFonts w:ascii="Arial" w:hAnsi="Arial" w:cs="Arial"/>
          <w:sz w:val="24"/>
          <w:szCs w:val="24"/>
        </w:rPr>
        <w:t xml:space="preserve">. </w:t>
      </w:r>
    </w:p>
    <w:p w14:paraId="3E4C49E3" w14:textId="2E0BC4C7" w:rsidR="00597BD1" w:rsidRPr="00103A0B" w:rsidRDefault="00597BD1" w:rsidP="00597BD1">
      <w:pPr>
        <w:spacing w:line="360" w:lineRule="auto"/>
        <w:jc w:val="both"/>
        <w:rPr>
          <w:rFonts w:ascii="Arial" w:hAnsi="Arial" w:cs="Arial"/>
          <w:sz w:val="24"/>
          <w:szCs w:val="24"/>
        </w:rPr>
      </w:pPr>
      <w:r w:rsidRPr="00103A0B">
        <w:rPr>
          <w:rFonts w:ascii="Arial" w:hAnsi="Arial" w:cs="Arial"/>
          <w:sz w:val="24"/>
          <w:szCs w:val="24"/>
        </w:rPr>
        <w:t>Overall, Southwark is a young, densely populated, ethnically diverse, socioeconomically deprived London borough with higher than national average rates of T2DM.</w:t>
      </w:r>
      <w:r w:rsidR="000B3107" w:rsidRPr="00103A0B">
        <w:rPr>
          <w:rFonts w:ascii="Arial" w:hAnsi="Arial" w:cs="Arial"/>
          <w:sz w:val="24"/>
          <w:szCs w:val="24"/>
        </w:rPr>
        <w:t xml:space="preserve"> </w:t>
      </w:r>
      <w:r w:rsidRPr="00103A0B">
        <w:rPr>
          <w:rFonts w:ascii="Arial" w:hAnsi="Arial" w:cs="Arial"/>
          <w:sz w:val="24"/>
          <w:szCs w:val="24"/>
        </w:rPr>
        <w:t xml:space="preserve">Exploring key factors influencing decisions to attend and complete a diabetes prevention programme will help to ensure uptake and retention in the </w:t>
      </w:r>
      <w:r w:rsidRPr="00103A0B">
        <w:rPr>
          <w:rFonts w:ascii="Arial" w:hAnsi="Arial" w:cs="Arial"/>
          <w:sz w:val="24"/>
          <w:szCs w:val="24"/>
        </w:rPr>
        <w:lastRenderedPageBreak/>
        <w:t>NHSDPP is optimised for this population.</w:t>
      </w:r>
      <w:r w:rsidR="000B3107" w:rsidRPr="00103A0B">
        <w:rPr>
          <w:rFonts w:ascii="Arial" w:hAnsi="Arial" w:cs="Arial"/>
          <w:sz w:val="24"/>
          <w:szCs w:val="24"/>
        </w:rPr>
        <w:t xml:space="preserve"> </w:t>
      </w:r>
      <w:r w:rsidRPr="00103A0B">
        <w:rPr>
          <w:rFonts w:ascii="Arial" w:hAnsi="Arial" w:cs="Arial"/>
          <w:sz w:val="24"/>
          <w:szCs w:val="24"/>
        </w:rPr>
        <w:t>The following two chapters (Chapters 5 and 6) present the qualitative findings from two studies</w:t>
      </w:r>
      <w:r w:rsidR="00E2335B" w:rsidRPr="00103A0B">
        <w:rPr>
          <w:rFonts w:ascii="Arial" w:hAnsi="Arial" w:cs="Arial"/>
          <w:sz w:val="24"/>
          <w:szCs w:val="24"/>
        </w:rPr>
        <w:t>,</w:t>
      </w:r>
      <w:r w:rsidRPr="00103A0B">
        <w:rPr>
          <w:rFonts w:ascii="Arial" w:hAnsi="Arial" w:cs="Arial"/>
          <w:sz w:val="24"/>
          <w:szCs w:val="24"/>
        </w:rPr>
        <w:t xml:space="preserve"> which explore experiences of attenders/non-attenders</w:t>
      </w:r>
      <w:r w:rsidR="000B3107" w:rsidRPr="00103A0B">
        <w:rPr>
          <w:rFonts w:ascii="Arial" w:hAnsi="Arial" w:cs="Arial"/>
          <w:sz w:val="24"/>
          <w:szCs w:val="24"/>
        </w:rPr>
        <w:t xml:space="preserve"> </w:t>
      </w:r>
      <w:r w:rsidRPr="00103A0B">
        <w:rPr>
          <w:rFonts w:ascii="Arial" w:hAnsi="Arial" w:cs="Arial"/>
          <w:sz w:val="24"/>
          <w:szCs w:val="24"/>
        </w:rPr>
        <w:t>and completers/non-completers of the NHSDPP in Southwark.  Both chapters have been written up as papers and are presented in the thesis in the form of the submitted articles.</w:t>
      </w:r>
      <w:r w:rsidR="000B3107" w:rsidRPr="00103A0B">
        <w:rPr>
          <w:rFonts w:ascii="Arial" w:hAnsi="Arial" w:cs="Arial"/>
          <w:sz w:val="24"/>
          <w:szCs w:val="24"/>
        </w:rPr>
        <w:t xml:space="preserve"> </w:t>
      </w:r>
      <w:r w:rsidRPr="00103A0B">
        <w:rPr>
          <w:rFonts w:ascii="Arial" w:hAnsi="Arial" w:cs="Arial"/>
          <w:sz w:val="24"/>
          <w:szCs w:val="24"/>
        </w:rPr>
        <w:t xml:space="preserve">Chapter 5 </w:t>
      </w:r>
      <w:r w:rsidR="00EC0B5C" w:rsidRPr="00103A0B">
        <w:rPr>
          <w:rFonts w:ascii="Arial" w:hAnsi="Arial" w:cs="Arial"/>
          <w:sz w:val="24"/>
          <w:szCs w:val="24"/>
        </w:rPr>
        <w:t xml:space="preserve">has been written up as a paper and published in </w:t>
      </w:r>
      <w:r w:rsidRPr="00103A0B">
        <w:rPr>
          <w:rFonts w:ascii="Arial" w:hAnsi="Arial" w:cs="Arial"/>
          <w:i/>
          <w:iCs/>
          <w:sz w:val="24"/>
          <w:szCs w:val="24"/>
        </w:rPr>
        <w:t>Diabetic Medicine</w:t>
      </w:r>
      <w:r w:rsidRPr="00103A0B">
        <w:rPr>
          <w:rFonts w:ascii="Arial" w:hAnsi="Arial" w:cs="Arial"/>
          <w:sz w:val="24"/>
          <w:szCs w:val="24"/>
        </w:rPr>
        <w:t xml:space="preserve">, and Chapter 6 </w:t>
      </w:r>
      <w:r w:rsidR="00EC0B5C" w:rsidRPr="00103A0B">
        <w:rPr>
          <w:rFonts w:ascii="Arial" w:hAnsi="Arial" w:cs="Arial"/>
          <w:sz w:val="24"/>
          <w:szCs w:val="24"/>
        </w:rPr>
        <w:t xml:space="preserve">is currently being prepared to be submitted to a journal. </w:t>
      </w:r>
      <w:r w:rsidR="000B3107" w:rsidRPr="00103A0B">
        <w:rPr>
          <w:rFonts w:ascii="Arial" w:hAnsi="Arial" w:cs="Arial"/>
          <w:sz w:val="24"/>
          <w:szCs w:val="24"/>
        </w:rPr>
        <w:t xml:space="preserve">Please see </w:t>
      </w:r>
      <w:r w:rsidR="00DB2EED" w:rsidRPr="00103A0B">
        <w:rPr>
          <w:rFonts w:ascii="Arial" w:hAnsi="Arial" w:cs="Arial"/>
          <w:sz w:val="24"/>
          <w:szCs w:val="24"/>
        </w:rPr>
        <w:t xml:space="preserve">pages vi – viii </w:t>
      </w:r>
      <w:r w:rsidR="000B3107" w:rsidRPr="00103A0B">
        <w:rPr>
          <w:rFonts w:ascii="Arial" w:hAnsi="Arial" w:cs="Arial"/>
          <w:sz w:val="24"/>
          <w:szCs w:val="24"/>
        </w:rPr>
        <w:t>(List of Outputs) for further details.</w:t>
      </w:r>
    </w:p>
    <w:p w14:paraId="0FBB4F00" w14:textId="77777777" w:rsidR="00597BD1" w:rsidRPr="00103A0B" w:rsidRDefault="00597BD1" w:rsidP="00597BD1">
      <w:pPr>
        <w:tabs>
          <w:tab w:val="left" w:pos="5580"/>
        </w:tabs>
        <w:spacing w:line="360" w:lineRule="auto"/>
        <w:rPr>
          <w:rFonts w:ascii="Arial" w:hAnsi="Arial" w:cs="Arial"/>
          <w:b/>
          <w:bCs/>
          <w:sz w:val="24"/>
          <w:szCs w:val="24"/>
        </w:rPr>
      </w:pPr>
    </w:p>
    <w:p w14:paraId="082A16F8" w14:textId="77777777" w:rsidR="00D4207C" w:rsidRPr="00103A0B" w:rsidRDefault="00D4207C" w:rsidP="00CD5919">
      <w:pPr>
        <w:tabs>
          <w:tab w:val="left" w:pos="5580"/>
        </w:tabs>
        <w:jc w:val="both"/>
        <w:rPr>
          <w:rFonts w:ascii="Arial" w:hAnsi="Arial" w:cs="Arial"/>
          <w:szCs w:val="24"/>
        </w:rPr>
      </w:pPr>
    </w:p>
    <w:p w14:paraId="5A09DF84" w14:textId="47D0BFB1" w:rsidR="009E7B4C" w:rsidRPr="00103A0B" w:rsidRDefault="009E7B4C" w:rsidP="00CD5919">
      <w:pPr>
        <w:tabs>
          <w:tab w:val="left" w:pos="5580"/>
        </w:tabs>
        <w:spacing w:line="360" w:lineRule="auto"/>
        <w:jc w:val="both"/>
        <w:rPr>
          <w:rFonts w:ascii="Arial" w:hAnsi="Arial" w:cs="Arial"/>
          <w:szCs w:val="24"/>
        </w:rPr>
      </w:pPr>
    </w:p>
    <w:p w14:paraId="2E56C2FE" w14:textId="51834E02" w:rsidR="009E7B4C" w:rsidRPr="00103A0B" w:rsidRDefault="009E7B4C" w:rsidP="00CD5919">
      <w:pPr>
        <w:tabs>
          <w:tab w:val="left" w:pos="5580"/>
        </w:tabs>
        <w:spacing w:line="360" w:lineRule="auto"/>
        <w:jc w:val="both"/>
        <w:rPr>
          <w:rFonts w:ascii="Arial" w:hAnsi="Arial" w:cs="Arial"/>
          <w:szCs w:val="24"/>
        </w:rPr>
      </w:pPr>
    </w:p>
    <w:p w14:paraId="3554845C" w14:textId="06668AE7" w:rsidR="009E7B4C" w:rsidRPr="00103A0B" w:rsidRDefault="009E7B4C" w:rsidP="00CD5919">
      <w:pPr>
        <w:tabs>
          <w:tab w:val="left" w:pos="5580"/>
        </w:tabs>
        <w:spacing w:line="360" w:lineRule="auto"/>
        <w:jc w:val="both"/>
        <w:rPr>
          <w:rFonts w:ascii="Arial" w:hAnsi="Arial" w:cs="Arial"/>
          <w:szCs w:val="24"/>
        </w:rPr>
      </w:pPr>
    </w:p>
    <w:p w14:paraId="26EB6C5A" w14:textId="30A88785" w:rsidR="009E7B4C" w:rsidRPr="00103A0B" w:rsidRDefault="009E7B4C" w:rsidP="00CD5919">
      <w:pPr>
        <w:tabs>
          <w:tab w:val="left" w:pos="5580"/>
        </w:tabs>
        <w:spacing w:line="360" w:lineRule="auto"/>
        <w:jc w:val="both"/>
        <w:rPr>
          <w:rFonts w:ascii="Arial" w:hAnsi="Arial" w:cs="Arial"/>
          <w:szCs w:val="24"/>
        </w:rPr>
      </w:pPr>
    </w:p>
    <w:p w14:paraId="4C63D674" w14:textId="2D26F184" w:rsidR="009E7B4C" w:rsidRPr="00103A0B" w:rsidRDefault="009E7B4C" w:rsidP="00CD5919">
      <w:pPr>
        <w:tabs>
          <w:tab w:val="left" w:pos="5580"/>
        </w:tabs>
        <w:spacing w:line="360" w:lineRule="auto"/>
        <w:jc w:val="both"/>
        <w:rPr>
          <w:rFonts w:ascii="Arial" w:hAnsi="Arial" w:cs="Arial"/>
          <w:szCs w:val="24"/>
        </w:rPr>
      </w:pPr>
    </w:p>
    <w:p w14:paraId="4A0C1278" w14:textId="4C2D644D" w:rsidR="009E7B4C" w:rsidRPr="00103A0B" w:rsidRDefault="009E7B4C" w:rsidP="00CD5919">
      <w:pPr>
        <w:tabs>
          <w:tab w:val="left" w:pos="5580"/>
        </w:tabs>
        <w:spacing w:line="360" w:lineRule="auto"/>
        <w:jc w:val="both"/>
        <w:rPr>
          <w:rFonts w:ascii="Arial" w:hAnsi="Arial" w:cs="Arial"/>
          <w:szCs w:val="24"/>
        </w:rPr>
      </w:pPr>
    </w:p>
    <w:p w14:paraId="046DCE98" w14:textId="039B50EC" w:rsidR="009E7B4C" w:rsidRPr="00103A0B" w:rsidRDefault="009E7B4C" w:rsidP="00CD5919">
      <w:pPr>
        <w:tabs>
          <w:tab w:val="left" w:pos="5580"/>
        </w:tabs>
        <w:spacing w:line="360" w:lineRule="auto"/>
        <w:jc w:val="both"/>
        <w:rPr>
          <w:rFonts w:ascii="Arial" w:hAnsi="Arial" w:cs="Arial"/>
          <w:szCs w:val="24"/>
        </w:rPr>
      </w:pPr>
    </w:p>
    <w:p w14:paraId="787C2DF2" w14:textId="4EFB904E" w:rsidR="009E7B4C" w:rsidRPr="00103A0B" w:rsidRDefault="009E7B4C" w:rsidP="00CD5919">
      <w:pPr>
        <w:tabs>
          <w:tab w:val="left" w:pos="5580"/>
        </w:tabs>
        <w:spacing w:line="360" w:lineRule="auto"/>
        <w:jc w:val="both"/>
        <w:rPr>
          <w:rFonts w:ascii="Arial" w:hAnsi="Arial" w:cs="Arial"/>
          <w:szCs w:val="24"/>
        </w:rPr>
      </w:pPr>
    </w:p>
    <w:p w14:paraId="23DBCFB0" w14:textId="3D113679" w:rsidR="009E7B4C" w:rsidRPr="00103A0B" w:rsidRDefault="009E7B4C" w:rsidP="00CD5919">
      <w:pPr>
        <w:tabs>
          <w:tab w:val="left" w:pos="5580"/>
        </w:tabs>
        <w:spacing w:line="360" w:lineRule="auto"/>
        <w:jc w:val="both"/>
        <w:rPr>
          <w:rFonts w:ascii="Arial" w:hAnsi="Arial" w:cs="Arial"/>
          <w:szCs w:val="24"/>
        </w:rPr>
      </w:pPr>
    </w:p>
    <w:p w14:paraId="58639453" w14:textId="7F3E2238" w:rsidR="00EC6101" w:rsidRPr="00103A0B" w:rsidRDefault="00EC6101" w:rsidP="00CD5919">
      <w:pPr>
        <w:tabs>
          <w:tab w:val="left" w:pos="5580"/>
        </w:tabs>
        <w:spacing w:line="360" w:lineRule="auto"/>
        <w:jc w:val="both"/>
        <w:rPr>
          <w:rFonts w:ascii="Arial" w:hAnsi="Arial" w:cs="Arial"/>
          <w:szCs w:val="24"/>
        </w:rPr>
      </w:pPr>
    </w:p>
    <w:p w14:paraId="0DB3B808" w14:textId="42A7BDC8" w:rsidR="00EC6101" w:rsidRPr="00103A0B" w:rsidRDefault="00EC6101" w:rsidP="00CD5919">
      <w:pPr>
        <w:tabs>
          <w:tab w:val="left" w:pos="5580"/>
        </w:tabs>
        <w:spacing w:line="360" w:lineRule="auto"/>
        <w:jc w:val="both"/>
        <w:rPr>
          <w:rFonts w:ascii="Arial" w:hAnsi="Arial" w:cs="Arial"/>
          <w:szCs w:val="24"/>
        </w:rPr>
      </w:pPr>
    </w:p>
    <w:p w14:paraId="3828884F" w14:textId="060212B3" w:rsidR="00EC6101" w:rsidRPr="00103A0B" w:rsidRDefault="00EC6101" w:rsidP="00CD5919">
      <w:pPr>
        <w:tabs>
          <w:tab w:val="left" w:pos="5580"/>
        </w:tabs>
        <w:spacing w:line="360" w:lineRule="auto"/>
        <w:jc w:val="both"/>
        <w:rPr>
          <w:rFonts w:ascii="Arial" w:hAnsi="Arial" w:cs="Arial"/>
          <w:szCs w:val="24"/>
        </w:rPr>
      </w:pPr>
    </w:p>
    <w:p w14:paraId="189401E5" w14:textId="01196FC2" w:rsidR="00EC6101" w:rsidRPr="00103A0B" w:rsidRDefault="00EC6101" w:rsidP="00CD5919">
      <w:pPr>
        <w:tabs>
          <w:tab w:val="left" w:pos="5580"/>
        </w:tabs>
        <w:spacing w:line="360" w:lineRule="auto"/>
        <w:jc w:val="both"/>
        <w:rPr>
          <w:rFonts w:ascii="Arial" w:hAnsi="Arial" w:cs="Arial"/>
          <w:szCs w:val="24"/>
        </w:rPr>
      </w:pPr>
    </w:p>
    <w:p w14:paraId="47E1167B" w14:textId="513DB5E3" w:rsidR="00EC6101" w:rsidRPr="00103A0B" w:rsidRDefault="00EC6101" w:rsidP="00CD5919">
      <w:pPr>
        <w:tabs>
          <w:tab w:val="left" w:pos="5580"/>
        </w:tabs>
        <w:spacing w:line="360" w:lineRule="auto"/>
        <w:jc w:val="both"/>
        <w:rPr>
          <w:rFonts w:ascii="Arial" w:hAnsi="Arial" w:cs="Arial"/>
          <w:szCs w:val="24"/>
        </w:rPr>
      </w:pPr>
    </w:p>
    <w:p w14:paraId="4777B7CE" w14:textId="77777777" w:rsidR="000B3107" w:rsidRPr="00103A0B" w:rsidRDefault="000B3107" w:rsidP="00CD5919">
      <w:pPr>
        <w:tabs>
          <w:tab w:val="left" w:pos="5580"/>
        </w:tabs>
        <w:spacing w:line="360" w:lineRule="auto"/>
        <w:jc w:val="both"/>
        <w:rPr>
          <w:rFonts w:ascii="Arial" w:hAnsi="Arial" w:cs="Arial"/>
          <w:szCs w:val="24"/>
        </w:rPr>
      </w:pPr>
    </w:p>
    <w:p w14:paraId="016C83BC" w14:textId="5E02CD40" w:rsidR="009E7B4C" w:rsidRPr="00103A0B" w:rsidRDefault="009E7B4C" w:rsidP="00CD5919">
      <w:pPr>
        <w:tabs>
          <w:tab w:val="left" w:pos="5580"/>
        </w:tabs>
        <w:spacing w:line="360" w:lineRule="auto"/>
        <w:jc w:val="both"/>
        <w:rPr>
          <w:rFonts w:ascii="Arial" w:hAnsi="Arial" w:cs="Arial"/>
          <w:szCs w:val="24"/>
        </w:rPr>
      </w:pPr>
    </w:p>
    <w:p w14:paraId="2C8908A9" w14:textId="77777777" w:rsidR="00884F28" w:rsidRPr="00103A0B" w:rsidRDefault="00884F28" w:rsidP="00CD5919">
      <w:pPr>
        <w:tabs>
          <w:tab w:val="left" w:pos="5580"/>
        </w:tabs>
        <w:spacing w:line="360" w:lineRule="auto"/>
        <w:jc w:val="both"/>
        <w:rPr>
          <w:rFonts w:ascii="Arial" w:hAnsi="Arial" w:cs="Arial"/>
          <w:szCs w:val="24"/>
        </w:rPr>
      </w:pPr>
    </w:p>
    <w:p w14:paraId="3EC08103" w14:textId="73EB96F5" w:rsidR="00A912AC" w:rsidRPr="00103A0B" w:rsidRDefault="009E7B4C" w:rsidP="00A26AB9">
      <w:pPr>
        <w:pStyle w:val="Heading1"/>
        <w:keepLines/>
        <w:numPr>
          <w:ilvl w:val="0"/>
          <w:numId w:val="0"/>
        </w:numPr>
        <w:rPr>
          <w:rFonts w:ascii="Arial" w:hAnsi="Arial" w:cs="Arial"/>
        </w:rPr>
      </w:pPr>
      <w:bookmarkStart w:id="314" w:name="_Toc151548319"/>
      <w:bookmarkStart w:id="315" w:name="_Hlk121391729"/>
      <w:bookmarkStart w:id="316" w:name="_Hlk35445302"/>
      <w:r w:rsidRPr="00103A0B">
        <w:rPr>
          <w:rFonts w:ascii="Arial" w:hAnsi="Arial" w:cs="Arial"/>
        </w:rPr>
        <w:lastRenderedPageBreak/>
        <w:t xml:space="preserve">Chapter 5: </w:t>
      </w:r>
      <w:r w:rsidR="00693438" w:rsidRPr="00103A0B">
        <w:rPr>
          <w:rFonts w:ascii="Arial" w:hAnsi="Arial" w:cs="Arial"/>
        </w:rPr>
        <w:t xml:space="preserve">Influences of </w:t>
      </w:r>
      <w:r w:rsidR="004A153A" w:rsidRPr="00103A0B">
        <w:rPr>
          <w:rFonts w:ascii="Arial" w:hAnsi="Arial" w:cs="Arial"/>
        </w:rPr>
        <w:t>D</w:t>
      </w:r>
      <w:r w:rsidR="00693438" w:rsidRPr="00103A0B">
        <w:rPr>
          <w:rFonts w:ascii="Arial" w:hAnsi="Arial" w:cs="Arial"/>
        </w:rPr>
        <w:t xml:space="preserve">ecisions to </w:t>
      </w:r>
      <w:r w:rsidR="004A153A" w:rsidRPr="00103A0B">
        <w:rPr>
          <w:rFonts w:ascii="Arial" w:hAnsi="Arial" w:cs="Arial"/>
        </w:rPr>
        <w:t>A</w:t>
      </w:r>
      <w:r w:rsidR="00693438" w:rsidRPr="00103A0B">
        <w:rPr>
          <w:rFonts w:ascii="Arial" w:hAnsi="Arial" w:cs="Arial"/>
        </w:rPr>
        <w:t xml:space="preserve">ttend a </w:t>
      </w:r>
      <w:r w:rsidR="004A153A" w:rsidRPr="00103A0B">
        <w:rPr>
          <w:rFonts w:ascii="Arial" w:hAnsi="Arial" w:cs="Arial"/>
        </w:rPr>
        <w:t>N</w:t>
      </w:r>
      <w:r w:rsidR="00693438" w:rsidRPr="00103A0B">
        <w:rPr>
          <w:rFonts w:ascii="Arial" w:hAnsi="Arial" w:cs="Arial"/>
        </w:rPr>
        <w:t xml:space="preserve">ational </w:t>
      </w:r>
      <w:r w:rsidR="004A153A" w:rsidRPr="00103A0B">
        <w:rPr>
          <w:rFonts w:ascii="Arial" w:hAnsi="Arial" w:cs="Arial"/>
        </w:rPr>
        <w:t>D</w:t>
      </w:r>
      <w:r w:rsidR="00693438" w:rsidRPr="00103A0B">
        <w:rPr>
          <w:rFonts w:ascii="Arial" w:hAnsi="Arial" w:cs="Arial"/>
        </w:rPr>
        <w:t xml:space="preserve">iabetes </w:t>
      </w:r>
      <w:r w:rsidR="004A153A" w:rsidRPr="00103A0B">
        <w:rPr>
          <w:rFonts w:ascii="Arial" w:hAnsi="Arial" w:cs="Arial"/>
        </w:rPr>
        <w:t>P</w:t>
      </w:r>
      <w:r w:rsidR="00693438" w:rsidRPr="00103A0B">
        <w:rPr>
          <w:rFonts w:ascii="Arial" w:hAnsi="Arial" w:cs="Arial"/>
        </w:rPr>
        <w:t xml:space="preserve">revention </w:t>
      </w:r>
      <w:r w:rsidR="004A153A" w:rsidRPr="00103A0B">
        <w:rPr>
          <w:rFonts w:ascii="Arial" w:hAnsi="Arial" w:cs="Arial"/>
        </w:rPr>
        <w:t>P</w:t>
      </w:r>
      <w:r w:rsidR="00693438" w:rsidRPr="00103A0B">
        <w:rPr>
          <w:rFonts w:ascii="Arial" w:hAnsi="Arial" w:cs="Arial"/>
        </w:rPr>
        <w:t>rogramme</w:t>
      </w:r>
      <w:bookmarkEnd w:id="314"/>
      <w:r w:rsidR="00693438" w:rsidRPr="00103A0B">
        <w:rPr>
          <w:rFonts w:ascii="Arial" w:hAnsi="Arial" w:cs="Arial"/>
        </w:rPr>
        <w:t xml:space="preserve"> </w:t>
      </w:r>
    </w:p>
    <w:p w14:paraId="5D6082F2" w14:textId="0340BB85" w:rsidR="008D109C" w:rsidRPr="00103A0B" w:rsidRDefault="00693438" w:rsidP="00A26AB9">
      <w:pPr>
        <w:pStyle w:val="Heading2"/>
        <w:numPr>
          <w:ilvl w:val="0"/>
          <w:numId w:val="0"/>
        </w:numPr>
        <w:ind w:left="578" w:hanging="578"/>
        <w:jc w:val="both"/>
        <w:rPr>
          <w:rFonts w:ascii="Arial" w:hAnsi="Arial" w:cs="Arial"/>
          <w:sz w:val="28"/>
        </w:rPr>
      </w:pPr>
      <w:bookmarkStart w:id="317" w:name="_Toc151548320"/>
      <w:bookmarkEnd w:id="315"/>
      <w:r w:rsidRPr="00103A0B">
        <w:rPr>
          <w:rFonts w:ascii="Arial" w:hAnsi="Arial" w:cs="Arial"/>
          <w:sz w:val="28"/>
        </w:rPr>
        <w:t xml:space="preserve">5.1 </w:t>
      </w:r>
      <w:r w:rsidR="008D109C" w:rsidRPr="00103A0B">
        <w:rPr>
          <w:rFonts w:ascii="Arial" w:hAnsi="Arial" w:cs="Arial"/>
          <w:sz w:val="28"/>
        </w:rPr>
        <w:t>Introduction</w:t>
      </w:r>
      <w:bookmarkEnd w:id="317"/>
      <w:r w:rsidR="008D109C" w:rsidRPr="00103A0B">
        <w:rPr>
          <w:rFonts w:ascii="Arial" w:hAnsi="Arial" w:cs="Arial"/>
          <w:sz w:val="28"/>
        </w:rPr>
        <w:t xml:space="preserve"> </w:t>
      </w:r>
    </w:p>
    <w:p w14:paraId="27D98F6F" w14:textId="6BB13120" w:rsidR="00693438" w:rsidRPr="00103A0B" w:rsidRDefault="00693438" w:rsidP="00CD5919">
      <w:pPr>
        <w:spacing w:before="240" w:line="360" w:lineRule="auto"/>
        <w:jc w:val="both"/>
        <w:rPr>
          <w:rFonts w:ascii="Arial" w:hAnsi="Arial" w:cs="Arial"/>
          <w:sz w:val="24"/>
          <w:szCs w:val="24"/>
        </w:rPr>
      </w:pPr>
      <w:r w:rsidRPr="00103A0B">
        <w:rPr>
          <w:rFonts w:ascii="Arial" w:hAnsi="Arial" w:cs="Arial"/>
          <w:sz w:val="24"/>
          <w:szCs w:val="24"/>
        </w:rPr>
        <w:t xml:space="preserve">Type 2 Diabetes Mellitus (T2DM) prevention is a worldwide health care priority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Medicine","id":"ITEM-1","issue":"7","issued":{"date-parts":[["2016"]]},"page":"e1002078","title":"Engagement, retention, and progression to type 2 diabetes: a retrospective analysis of the cluster-randomised \"Let's Prevent Diabetes\" trial","type":"article-journal","volume":"13"},"uris":["http://www.mendeley.com/documents/?uuid=34e3af29-349e-4120-a3cb-a3a7408ba3b4"]}],"mendeley":{"formattedCitation":"(Gray et al., 2016)","plainTextFormattedCitation":"(Gray et al., 2016)","previouslyFormattedCitation":"(Gray et al.,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(Gray et al., 2016)</w:t>
      </w:r>
      <w:r w:rsidRPr="00103A0B">
        <w:rPr>
          <w:rFonts w:ascii="Arial" w:hAnsi="Arial" w:cs="Arial"/>
          <w:sz w:val="24"/>
          <w:szCs w:val="24"/>
        </w:rPr>
        <w:fldChar w:fldCharType="end"/>
      </w:r>
      <w:r w:rsidRPr="00103A0B">
        <w:rPr>
          <w:rFonts w:ascii="Arial" w:hAnsi="Arial" w:cs="Arial"/>
          <w:sz w:val="24"/>
          <w:szCs w:val="24"/>
        </w:rPr>
        <w:t xml:space="preserve">, with global levels of prediabetes </w:t>
      </w:r>
      <w:r w:rsidRPr="00103A0B">
        <w:rPr>
          <w:rFonts w:ascii="Arial" w:eastAsia="Times New Roman" w:hAnsi="Arial" w:cs="Arial"/>
          <w:sz w:val="24"/>
          <w:szCs w:val="24"/>
          <w:lang w:eastAsia="en-GB"/>
        </w:rPr>
        <w:t>(i.e., those at high risk of T2DM)</w:t>
      </w:r>
      <w:r w:rsidRPr="00103A0B">
        <w:rPr>
          <w:rFonts w:ascii="Arial" w:hAnsi="Arial" w:cs="Arial"/>
          <w:sz w:val="24"/>
          <w:szCs w:val="24"/>
        </w:rPr>
        <w:t xml:space="preserve"> predicted to rise from 374 million to 548 million between 2019-2040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Practice","id":"ITEM-1","issued":{"date-parts":[["2019"]]},"page":"107843","publisher":"Elsevier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edition","type":"article-journal","volume":"157"},"uris":["http://www.mendeley.com/documents/?uuid=d2427967-043a-4315-9977-8c46594ef56c"]}],"mendeley":{"formattedCitation":"(Saeedi et al., 2019)","plainTextFormattedCitation":"(Saeedi et al., 2019)","previouslyFormattedCitation":"(Saeedi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(Saeedi et al., 2019)</w:t>
      </w:r>
      <w:r w:rsidRPr="00103A0B">
        <w:rPr>
          <w:rFonts w:ascii="Arial" w:hAnsi="Arial" w:cs="Arial"/>
          <w:sz w:val="24"/>
          <w:szCs w:val="24"/>
        </w:rPr>
        <w:fldChar w:fldCharType="end"/>
      </w:r>
      <w:r w:rsidRPr="00103A0B">
        <w:rPr>
          <w:rFonts w:ascii="Arial" w:hAnsi="Arial" w:cs="Arial"/>
          <w:sz w:val="24"/>
          <w:szCs w:val="24"/>
        </w:rPr>
        <w:t xml:space="preserve">. In England, levels of obesity and physical inactivity are escalating, leading to more adults being overweight or obese, and T2DM diagnosis increasing, costing the National Health Service (NHS) approximately £8.8 billion each year (direct costs of T2DM)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{"citationItems":[{"id":"ITEM-1","itemData":{"ISBN":"1464-5491","ISSN":"07423071","PMID":"22537247","abstract":"Aims To estimate the current and future economic burdens of Type 1 and Type 2 diabetes in the UK. Methods A top-down approach was used to estimate costs for 2010 ⁄ 2011 from aggregated data sets and literature. Prevalence and population data were used to project costs for 2035 ⁄ 2036. Direct health costs were estimated from data on diagnosis, lifestyle interventions, ongoing treatment and management, and complications. Indirect costs were estimated from data on mortality, sickness, presenteeism (potential loss of productivity among people who remain in work) and informal care. Results Diabetes cost approximately £23.7bn in the UK in 2010 ⁄ 2011: £9.8bn in direct costs (£1bn for Type 1 diabetes and £8.8bn for Type 2 diabetes) and £13.9bn in indirect costs (£0.9bn and £13bn). In real terms, the 2035 ⁄ 2036 cost is estimated at £39.8bn: £16.9bn in direct costs (£1.8bn for Type 1 diabetes and £15.1bn for Type 2 diabetes) and £22.9bn in indirect costs (£2.4bn and £20.5bn). Sensitivity analysis applied to the direct costs produced a range of costs: between £7.9bn and £11.7bn in 2010 ⁄ 2011 and between £13.8bn and £20bn in 2035 ⁄ 2036. Diabetes currently accounts for approximately 10% of the total health resource expenditure and is projected to account for around 17% in 2035 ⁄ 2036. Conclusions Type 1 and Type 2 diabetes are prominent diseases in the UK and are a significant economic burden. Data differentiating between the costs of Type 1 and Type 2 diabetes are sparse. Complications related to the diseases account for a substantial proportion of the direct health costs. As prevalence increases, the cost of treating complications will grow if current care regimes are maintained. Diabet. Med. 29, 855–862 (2012)","author":[{"dropping-particle":"","family":"Hex","given":"N.","non-dropping-particle":"","parse-names":false,"suffix":""},{"dropping-particle":"","family":"Bartlett","given":"C.","non-dropping-particle":"","parse-names":false,"suffix":""},{"dropping-particle":"","family":"Wright","given":"D.","non-dropping-particle":"","parse-names":false,"suffix":""},{"dropping-particle":"","family":"Taylor","given":"M.","non-dropping-particle":"","parse-names":false,"suffix":""},{"dropping-particle":"","family":"Varley","given":"D.","non-dropping-particle":"","parse-names":false,"suffix":""}],"container-title":"Diabetic Medicine","id":"ITEM-1","issue":"7","issued":{"date-parts":[["2012"]]},"page":"855-862","title":"Estimating the current and future costs of type 1 and type 2 diabetes in the UK, including direct health costs and indirect societal and productivity costs","type":"article-journal","volume":"29"},"uris":["http://www.mendeley.com/documents/?uuid=266ab552-f6e7-434c-9f87-5e02fe2490b9"]}],"mendeley":{"formattedCitation":"(Hex et al., 2012)","plainTextFormattedCitation":"(Hex et al., 2012)","previouslyFormattedCitation":"(Hex et al., 2012)"},"properties":{"noteIndex":0},"schema":"https://github.com/citation-style-language/schema/raw/master/csl-citation.json"}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(Hex et al., 2012)</w:t>
      </w:r>
      <w:r w:rsidRPr="00103A0B">
        <w:rPr>
          <w:rFonts w:ascii="Arial" w:hAnsi="Arial" w:cs="Arial"/>
          <w:sz w:val="24"/>
          <w:szCs w:val="24"/>
        </w:rPr>
        <w:fldChar w:fldCharType="end"/>
      </w:r>
      <w:r w:rsidRPr="00103A0B">
        <w:rPr>
          <w:rFonts w:ascii="Arial" w:hAnsi="Arial" w:cs="Arial"/>
          <w:sz w:val="24"/>
          <w:szCs w:val="24"/>
        </w:rPr>
        <w:t xml:space="preserve">. It is predicted that by 2034, 1 in 3 adults will be obese and 1 in 10 diagnosed with T2DM, highlighting the need for more preventative measures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{"citationItems":[{"id":"ITEM-1","itemData":{"abstract":"We have an ambition: for people of this country to live as well as possible, for as long as possible. But on current trends, we are going to fall short because we face an epidemic of largely preventable long-term diseases. We may be living longer, but we – and future generations – risk spending many of these extra years in poor health unless we do a better job of tackling major risks such as obesity, poor diet, physical inactivity, smoking, and excessive alcohol consumption. If we fail, it will be the most vulnerable and the most deprived communities who will bear the heaviest burden. It will be neither effective nor feasible to attempt to solve these problems by ramping up our spending on hospitals, clinicians and services. Resources are scarce and all sectors, from the NHS to local authorities, are under huge pressure from constrained budgets and rising demand. What we need is a fundamentally new approach to creating and sustaining health, mental and physical, at every stage of life and across all our communities. It is an approach that acknowledges that our health is shaped by where and how we live: by our jobs, families, homes; but that also recognises the power of individuals to change their lifestyles, especially if they get the right support at the right time. We have an opportunity, with the creation of Public Health England, the NHS Five Year Forward View and the momentous return of public health to local authorities, to put this approach into practice. We have looked to the evidence to identify where we should focus our efforts. This report sets out seven key priorities where, through working closely with our partners in local and national government, with the NHS, the voluntary and community sector, and with industry and academia, we can make a significant difference over the coming five to ten years. In real time, these will not be quick wins, but in public health time, which is measured in decades, they could be. None of this is easy, but we will demonstrate that it is achievable. First, because we know what success looks like – take, for instance, the interventions that have led to dramatic falls in death rates from heart disease over the past decade 1 as proof of what is possible. 4 Foreword Contents Foreword Our health today Health drivers Protecting health Looking to the future Our seven priorities New drivers and opportunities References Second, because we have opportunities to do things differently. These we must seize because they ha…","author":[{"dropping-particle":"","family":"Public Health England","given":"","non-dropping-particle":"","parse-names":false,"suffix":""}],"id":"ITEM-1","issue":"October","issued":{"date-parts":[["2014"]]},"number-of-pages":"1-28","title":"From evidence into action: opportunities to protect and improve the nation's health","type":"report"},"uris":["http://www.mendeley.com/documents/?uuid=004c194e-8146-43ed-8328-4c1107adf1e9"]}],"mendeley":{"formattedCitation":"(Public Health England, 2014)","plainTextFormattedCitation":"(Public Health England, 2014)","previouslyFormattedCitation":"(Public Health England,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(Public Health England, 2014)</w:t>
      </w:r>
      <w:r w:rsidRPr="00103A0B">
        <w:rPr>
          <w:rFonts w:ascii="Arial" w:hAnsi="Arial" w:cs="Arial"/>
          <w:sz w:val="24"/>
          <w:szCs w:val="24"/>
        </w:rPr>
        <w:fldChar w:fldCharType="end"/>
      </w:r>
      <w:r w:rsidRPr="00103A0B">
        <w:rPr>
          <w:rFonts w:ascii="Arial" w:hAnsi="Arial" w:cs="Arial"/>
          <w:sz w:val="24"/>
          <w:szCs w:val="24"/>
        </w:rPr>
        <w:t xml:space="preserve">. Following other countries like Finland that have successfully implemented diabetes prevention programmes (DPPs)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{"citationItems":[{"id":"ITEM-1","itemData":{"ISBN":"0140-6736","ISSN":"1474-547X","PMID":"17098085","abstract":"SummaryBackground Lifestyle interventions can prevent the deterioration of impaired glucose tolerance to manifest type 2 diabetes, at least as long as the intervention continues. In the extended follow-up of the Finnish Diabetes Prevention Study, we assessed the extent to which the originally-achieved lifestyle changes and risk reduction remain after discontinuation of active counselling. Methods Overweight, middle-aged men (n=172) and women (n=350) with impaired glucose tolerance were randomly assigned to intensive lifestyle intervention or control group. After a median of 4 years of active intervention period, participants who were still free of diabetes were further followed up for a median of 3 years, with median total follow-up of 7 years. Diabetes incidence, bodyweight, physical activity, and dietary intakes of fat, saturated fat, and fibre were measured. Findings During the total follow-up, the incidence of type 2 diabetes was 4·3 and 7·4 per 100 person-years in the intervention and control group, respectively (log-rank test p=0·0001), indicating 43% reduction in relative risk. The risk reduction was related to the success in achieving the intervention goals of weight loss, reduced intake of total and saturated fat and increased intake of dietary fibre, and increased physical activity. Beneficial lifestyle changes achieved by participants in the intervention group were maintained after the discontinuation of the intervention, and the corresponding incidence rates during the post-intervention follow-up were 4·6 and 7·2 (p=0·0401), indicating 36% reduction in relative risk. Interpretation Lifestyle intervention in people at high risk for type 2 diabetes resulted in sustained lifestyle changes and a reduction in diabetes incidence, which remained after the individual lifestyle counselling was stopped.","author":[{"dropping-particle":"","family":"Lindstrom","given":"J","non-dropping-particle":"","parse-names":false,"suffix":""},{"dropping-particle":"","family":"Ilanne-Parikka","given":"Pirjo","non-dropping-particle":"","parse-names":false,"suffix":""},{"dropping-particle":"","family":"Peltonen","given":"Markku","non-dropping-particle":"","parse-names":false,"suffix":""},{"dropping-particle":"","family":"Aunola","given":"Sirkka","non-dropping-particle":"","parse-names":false,"suffix":""},{"dropping-particle":"","family":"Eriksson","given":"Johan G","non-dropping-particle":"","parse-names":false,"suffix":""},{"dropping-particle":"","family":"Hemio","given":"K","non-dropping-particle":"","parse-names":false,"suffix":""},{"dropping-particle":"","family":"Hamalainen","given":"H","non-dropping-particle":"","parse-names":false,"suffix":""},{"dropping-particle":"","family":"Harkonen","given":"P","non-dropping-particle":"","parse-names":false,"suffix":""},{"dropping-particle":"","family":"Keinanen-Kiukaanniemi","given":"S","non-dropping-particle":"","parse-names":false,"suffix":""},{"dropping-particle":"","family":"Laakso","given":"Mauri","non-dropping-particle":"","parse-names":false,"suffix":""},{"dropping-particle":"","family":"Louheranta","given":"Anne","non-dropping-particle":"","parse-names":false,"suffix":""},{"dropping-particle":"","family":"Mannelin","given":"Marjo","non-dropping-particle":"","parse-names":false,"suffix":""},{"dropping-particle":"","family":"Paturi","given":"Merja","non-dropping-particle":"","parse-names":false,"suffix":""},{"dropping-particle":"","family":"Sundvall","given":"Jouko","non-dropping-particle":"","parse-names":false,"suffix":""},{"dropping-particle":"","family":"Valle","given":"Timo T","non-dropping-particle":"","parse-names":false,"suffix":""},{"dropping-particle":"","family":"Uusitupa","given":"Matti","non-dropping-particle":"","parse-names":false,"suffix":""},{"dropping-particle":"","family":"Tuomilehto","given":"Jaakko","non-dropping-particle":"","parse-names":false,"suffix":""}],"container-title":"The Lancet","id":"ITEM-1","issued":{"date-parts":[["2006"]]},"page":"1673-1679","title":"Sustained reduction in the incidence of type 2 diabetes by lifestyle intervention: follow-up of the Finnish diabetes prevention study","type":"article-journal","volume":"368"},"uris":["http://www.mendeley.com/documents/?uuid=d27c96c5-e2fc-4ac6-8909-642dbf236daf"]}],"mendeley":{"formattedCitation":"(Lindstrom et al., 2006)","plainTextFormattedCitation":"(Lindstrom et al., 2006)","previouslyFormattedCitation":"(Lindstrom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(Lindstrom et al., 2006)</w:t>
      </w:r>
      <w:r w:rsidRPr="00103A0B">
        <w:rPr>
          <w:rFonts w:ascii="Arial" w:hAnsi="Arial" w:cs="Arial"/>
          <w:sz w:val="24"/>
          <w:szCs w:val="24"/>
        </w:rPr>
        <w:fldChar w:fldCharType="end"/>
      </w:r>
      <w:r w:rsidRPr="00103A0B">
        <w:rPr>
          <w:rFonts w:ascii="Arial" w:hAnsi="Arial" w:cs="Arial"/>
          <w:sz w:val="24"/>
          <w:szCs w:val="24"/>
        </w:rPr>
        <w:t xml:space="preserve">, England has developed the Healthier You: NHS Diabetes Prevention Programme (NHSDPP) to delay or prevent the onset of T2DM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hyperglycaemia","type":"report"},"uris":["http://www.mendeley.com/documents/?uuid=00fe88c7-ca9b-4ae1-8051-3f6463f5ce57"]}],"mendeley":{"formattedCitation":"(Diabetes Prevention Team, 2015)","plainTextFormattedCitation":"(Diabetes Prevention Team, 2015)","previouslyFormattedCitation":"(Diabetes Prevention Team,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w:t>
      </w:r>
      <w:r w:rsidRPr="00103A0B">
        <w:rPr>
          <w:rFonts w:ascii="Arial" w:hAnsi="Arial" w:cs="Arial"/>
          <w:sz w:val="24"/>
          <w:szCs w:val="24"/>
        </w:rPr>
        <w:fldChar w:fldCharType="end"/>
      </w:r>
      <w:r w:rsidRPr="00103A0B">
        <w:rPr>
          <w:rFonts w:ascii="Arial" w:hAnsi="Arial" w:cs="Arial"/>
          <w:sz w:val="24"/>
          <w:szCs w:val="24"/>
        </w:rPr>
        <w:t>. This involves offering those with prediabetes</w:t>
      </w:r>
      <w:r w:rsidRPr="00103A0B">
        <w:rPr>
          <w:rFonts w:ascii="Arial" w:eastAsia="Times New Roman" w:hAnsi="Arial" w:cs="Arial"/>
          <w:sz w:val="24"/>
          <w:szCs w:val="24"/>
          <w:lang w:eastAsia="en-GB"/>
        </w:rPr>
        <w:t xml:space="preserve"> </w:t>
      </w:r>
      <w:r w:rsidRPr="00103A0B">
        <w:rPr>
          <w:rFonts w:ascii="Arial" w:hAnsi="Arial" w:cs="Arial"/>
          <w:sz w:val="24"/>
          <w:szCs w:val="24"/>
        </w:rPr>
        <w:t xml:space="preserve">a behaviour change programme with lifestyle modification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hyperglycaemia","type":"report"},"uris":["http://www.mendeley.com/documents/?uuid=00fe88c7-ca9b-4ae1-8051-3f6463f5ce57"]}],"mendeley":{"formattedCitation":"(Diabetes Prevention Team, 2015)","plainTextFormattedCitation":"(Diabetes Prevention Team, 2015)","previouslyFormattedCitation":"(Diabetes Prevention Team,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w:t>
      </w:r>
      <w:r w:rsidRPr="00103A0B">
        <w:rPr>
          <w:rFonts w:ascii="Arial" w:hAnsi="Arial" w:cs="Arial"/>
          <w:sz w:val="24"/>
          <w:szCs w:val="24"/>
        </w:rPr>
        <w:fldChar w:fldCharType="end"/>
      </w:r>
      <w:r w:rsidRPr="00103A0B">
        <w:rPr>
          <w:rFonts w:ascii="Arial" w:hAnsi="Arial" w:cs="Arial"/>
          <w:sz w:val="24"/>
          <w:szCs w:val="24"/>
        </w:rPr>
        <w:t xml:space="preserve">. The programme consists of at least 13 group sessions over a 9-month period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hyperglycaemia","type":"report"},"uris":["http://www.mendeley.com/documents/?uuid=00fe88c7-ca9b-4ae1-8051-3f6463f5ce57"]}],"mendeley":{"formattedCitation":"(Diabetes Prevention Team, 2015)","plainTextFormattedCitation":"(Diabetes Prevention Team, 2015)","previouslyFormattedCitation":"(Diabetes Prevention Team,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w:t>
      </w:r>
      <w:r w:rsidRPr="00103A0B">
        <w:rPr>
          <w:rFonts w:ascii="Arial" w:hAnsi="Arial" w:cs="Arial"/>
          <w:sz w:val="24"/>
          <w:szCs w:val="24"/>
        </w:rPr>
        <w:fldChar w:fldCharType="end"/>
      </w:r>
      <w:r w:rsidRPr="00103A0B">
        <w:rPr>
          <w:rFonts w:ascii="Arial" w:hAnsi="Arial" w:cs="Arial"/>
          <w:sz w:val="24"/>
          <w:szCs w:val="24"/>
        </w:rPr>
        <w:t xml:space="preserve">. </w:t>
      </w:r>
    </w:p>
    <w:p w14:paraId="60606904" w14:textId="13A2B8C3" w:rsidR="00693438" w:rsidRPr="00103A0B" w:rsidRDefault="00693438" w:rsidP="00CD5919">
      <w:pPr>
        <w:spacing w:before="100" w:after="100" w:line="360" w:lineRule="auto"/>
        <w:jc w:val="both"/>
        <w:rPr>
          <w:rFonts w:ascii="Arial" w:hAnsi="Arial" w:cs="Arial"/>
          <w:color w:val="000000" w:themeColor="text1"/>
          <w:sz w:val="24"/>
          <w:szCs w:val="24"/>
        </w:rPr>
      </w:pPr>
      <w:r w:rsidRPr="00103A0B">
        <w:rPr>
          <w:rFonts w:ascii="Arial" w:eastAsia="Times New Roman" w:hAnsi="Arial" w:cs="Arial"/>
          <w:sz w:val="24"/>
          <w:szCs w:val="24"/>
          <w:lang w:eastAsia="en-GB"/>
        </w:rPr>
        <w:t xml:space="preserve">For any DPPs, it is important that they are clinically effective and financially viable, especially when delivered at scale </w:t>
      </w:r>
      <w:r w:rsidRPr="00103A0B">
        <w:rPr>
          <w:rFonts w:ascii="Arial" w:eastAsia="Times New Roman" w:hAnsi="Arial" w:cs="Arial"/>
          <w:sz w:val="24"/>
          <w:szCs w:val="24"/>
          <w:lang w:eastAsia="en-GB"/>
        </w:rPr>
        <w:fldChar w:fldCharType="begin" w:fldLock="1"/>
      </w:r>
      <w:r w:rsidR="00643C08" w:rsidRPr="00103A0B">
        <w:rPr>
          <w:rFonts w:ascii="Arial" w:eastAsia="Times New Roman" w:hAnsi="Arial" w:cs="Arial"/>
          <w:sz w:val="24"/>
          <w:szCs w:val="24"/>
          <w:lang w:eastAsia="en-GB"/>
        </w:rPr>
        <w:instrText>ADDIN CSL_CITATION {"citationItems":[{"id":"ITEM-1","itemData":{"abstract":"The significant rise and projected trends in the incidence of type 2 diabetes argue for a concerted effort on prevention. The strongest currently available evidence for diabetes prevention involves people at high risk for type 2 diabetes (i.e., those with prediabetes). Randomized, controlled trials and translation studies have demonstrated that type 2 diabetes can be prevented or delayed through a structured lifestyle intervention that can be delivered cost-effectively in a variety of settings. For the first time in the United States, a coordinated, focused effort is underway to bring this effective and cost-conscious lifestyle intervention to communities across the country to ultimately reduce the incidence of type 2 diabetes.","author":[{"dropping-particle":"","family":"Albright","given":"Ann","non-dropping-particle":"","parse-names":false,"suffix":""}],"container-title":"Diabetes care Educ Newsl.","id":"ITEM-1","issue":"4","issued":{"date-parts":[["2012"]]},"page":"4-7","title":"The national diabetes prevention program: from research to reality","type":"article-journal","volume":"33"},"uris":["http://www.mendeley.com/documents/?uuid=36427db8-9c7a-4530-b370-c8e7d9de3abb"]}],"mendeley":{"formattedCitation":"(Albright, 2012)","plainTextFormattedCitation":"(Albright, 2012)","previouslyFormattedCitation":"(Albright, 2012)"},"properties":{"noteIndex":0},"schema":"https://github.com/citation-style-language/schema/raw/master/csl-citation.json"}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(Albright, 2012)</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Programme viability involves maximising attendance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https://doi.org/10.1186/s12913-019-4139-5","ISBN":"1291301941","author":[{"dropping-particle":"","family":"Knowles","given":"Sarah","non-dropping-particle":"","parse-names":false,"suffix":""},{"dropping-particle":"","family":"Cotterill","given":"Sarah","non-dropping-particle":"","parse-names":false,"suffix":""},{"dropping-particle":"","family":"Coupe","given":"Nia","non-dropping-particle":"","parse-names":false,"suffix":""},{"dropping-particle":"","family":"Spence","given":"Michael","non-dropping-particle":"","parse-names":false,"suffix":""}],"container-title":"BMC Health Services Research","id":"ITEM-1","issued":{"date-parts":[["2019"]]},"page":"321","publisher":"BMC Health Services Research","title":"Referral of patients to diabetes prevention programmes from community campaigns and general practices: mixed-method evaluation using the RE-AIM framework and Normalisation Process Theory","type":"article-journal","volume":"19"},"uris":["http://www.mendeley.com/documents/?uuid=662ecaea-3434-4d74-a06c-406eca0fd5e6"]}],"mendeley":{"formattedCitation":"(Knowles et al., 2019)","plainTextFormattedCitation":"(Knowles et al., 2019)","previouslyFormattedCitation":"(Knowles et al., 2019)"},"properties":{"noteIndex":0},"schema":"https://github.com/citation-style-language/schema/raw/master/csl-citation.json"}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(Knowles et al., 2019)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I</w:t>
      </w:r>
      <w:r w:rsidRPr="00103A0B">
        <w:rPr>
          <w:rFonts w:ascii="Arial" w:hAnsi="Arial" w:cs="Arial"/>
          <w:color w:val="000000" w:themeColor="text1"/>
          <w:sz w:val="24"/>
          <w:szCs w:val="24"/>
        </w:rPr>
        <w:t xml:space="preserve">t is recommended that to develop future DPPs, an in-depth understanding of the reasons why participants choose not to attend is required </w:t>
      </w:r>
      <w:r w:rsidRPr="00103A0B">
        <w:rPr>
          <w:rFonts w:ascii="Arial" w:hAnsi="Arial" w:cs="Arial"/>
          <w:color w:val="000000" w:themeColor="text1"/>
          <w:sz w:val="24"/>
          <w:szCs w:val="24"/>
        </w:rPr>
        <w:fldChar w:fldCharType="begin" w:fldLock="1"/>
      </w:r>
      <w:r w:rsidR="00643C08" w:rsidRPr="00103A0B">
        <w:rPr>
          <w:rFonts w:ascii="Arial" w:hAnsi="Arial" w:cs="Arial"/>
          <w:color w:val="000000" w:themeColor="text1"/>
          <w:sz w:val="24"/>
          <w:szCs w:val="24"/>
        </w:rPr>
        <w:instrText>ADDIN CSL_CITATION {"citationItems":[{"id":"ITEM-1","itemData":{"ISBN":"1549-1277","ISSN":"15491676","PMID":"27404094","abstract":"BACKGROUND: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Medicine","id":"ITEM-1","issue":"7","issued":{"date-parts":[["2016"]]},"page":"e1002078","title":"Engagement, retention, and progression to type 2 diabetes: a retrospective analysis of the cluster-randomised \"Let's Prevent Diabetes\" trial","type":"article-journal","volume":"13"},"uris":["http://www.mendeley.com/documents/?uuid=34e3af29-349e-4120-a3cb-a3a7408ba3b4"]}],"mendeley":{"formattedCitation":"(Gray et al., 2016)","plainTextFormattedCitation":"(Gray et al., 2016)","previouslyFormattedCitation":"(Gray et al., 2016)"},"properties":{"noteIndex":0},"schema":"https://github.com/citation-style-language/schema/raw/master/csl-citation.json"}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(Gray et al., 2016)</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Individual factors associated with non-attendance, include smoking, taking blood pressure medication and consuming less fruit and vegetables </w:t>
      </w:r>
      <w:r w:rsidRPr="00103A0B">
        <w:rPr>
          <w:rFonts w:ascii="Arial" w:hAnsi="Arial" w:cs="Arial"/>
          <w:color w:val="000000" w:themeColor="text1"/>
          <w:sz w:val="24"/>
          <w:szCs w:val="24"/>
        </w:rPr>
        <w:fldChar w:fldCharType="begin" w:fldLock="1"/>
      </w:r>
      <w:r w:rsidR="00643C08" w:rsidRPr="00103A0B">
        <w:rPr>
          <w:rFonts w:ascii="Arial" w:hAnsi="Arial" w:cs="Arial"/>
          <w:color w:val="000000" w:themeColor="text1"/>
          <w:sz w:val="24"/>
          <w:szCs w:val="24"/>
        </w:rPr>
        <w:instrText>ADDIN CSL_CITATION {"citationItems":[{"id":"ITEM-1","itemData":{"author":[{"dropping-particle":"","family":"Laws","given":"R. A.","non-dropping-particle":"","parse-names":false,"suffix":""},{"dropping-particle":"","family":"Vita","given":"P.","non-dropping-particle":"","parse-names":false,"suffix":""},{"dropping-particle":"","family":"Venugopal","given":"K.","non-dropping-particle":"","parse-names":false,"suffix":""},{"dropping-particle":"","family":"Rissel","given":"C.","non-dropping-particle":"","parse-names":false,"suffix":""}],"container-title":"BMC Public Health","id":"ITEM-1","issued":{"date-parts":[["2012"]]},"page":"822","title":"Factors influencing participant enrolment in a diabetes prevention program in general practice: lessons from the Sydney diabetes prevention program","type":"article-journal","volume":"12"},"uris":["http://www.mendeley.com/documents/?uuid=13c7498d-639c-4e9c-aaa7-89cf6fca44f2"]}],"mendeley":{"formattedCitation":"(Laws et al., 2012)","plainTextFormattedCitation":"(Laws et al., 2012)","previouslyFormattedCitation":"(Laws et al., 2012)"},"properties":{"noteIndex":0},"schema":"https://github.com/citation-style-language/schema/raw/master/csl-citation.json"}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(Laws et al., 2012)</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Attenders of DPPs on the other hand are more likely to be older, leaner, non-smokers, men or from less socioeconomically deprived areas than non-attenders </w:t>
      </w:r>
      <w:r w:rsidRPr="00103A0B">
        <w:rPr>
          <w:rFonts w:ascii="Arial" w:hAnsi="Arial" w:cs="Arial"/>
          <w:color w:val="000000" w:themeColor="text1"/>
          <w:sz w:val="24"/>
          <w:szCs w:val="24"/>
        </w:rPr>
        <w:fldChar w:fldCharType="begin" w:fldLock="1"/>
      </w:r>
      <w:r w:rsidR="00643C08" w:rsidRPr="00103A0B">
        <w:rPr>
          <w:rFonts w:ascii="Arial" w:hAnsi="Arial" w:cs="Arial"/>
          <w:color w:val="000000" w:themeColor="text1"/>
          <w:sz w:val="24"/>
          <w:szCs w:val="24"/>
        </w:rPr>
        <w:instrText>ADDIN CSL_CITATION {"citationItems":[{"id":"ITEM-1","itemData":{"ISBN":"1549-1277","ISSN":"15491676","PMID":"27404094","abstract":"BACKGROUND: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Medicine","id":"ITEM-1","issue":"7","issued":{"date-parts":[["2016"]]},"page":"e1002078","title":"Engagement, retention, and progression to type 2 diabetes: a retrospective analysis of the cluster-randomised \"Let's Prevent Diabetes\" trial","type":"article-journal","volume":"13"},"uris":["http://www.mendeley.com/documents/?uuid=34e3af29-349e-4120-a3cb-a3a7408ba3b4"]}],"mendeley":{"formattedCitation":"(Gray et al., 2016)","plainTextFormattedCitation":"(Gray et al., 2016)","previouslyFormattedCitation":"(Gray et al., 2016)"},"properties":{"noteIndex":0},"schema":"https://github.com/citation-style-language/schema/raw/master/csl-citation.json"}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(Gray et al., 2016)</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Barriers to attendance associated with the programmes themselves include inconvenient timing of sessions, location or lack of interest </w:t>
      </w:r>
      <w:r w:rsidRPr="00103A0B">
        <w:rPr>
          <w:rFonts w:ascii="Arial" w:hAnsi="Arial" w:cs="Arial"/>
          <w:color w:val="000000" w:themeColor="text1"/>
          <w:sz w:val="24"/>
          <w:szCs w:val="24"/>
        </w:rPr>
        <w:fldChar w:fldCharType="begin" w:fldLock="1"/>
      </w:r>
      <w:r w:rsidR="00926B09" w:rsidRPr="00103A0B">
        <w:rPr>
          <w:rFonts w:ascii="Arial" w:hAnsi="Arial" w:cs="Arial"/>
          <w:color w:val="000000" w:themeColor="text1"/>
          <w:sz w:val="24"/>
          <w:szCs w:val="24"/>
        </w:rPr>
        <w:instrText>ADDIN CSL_CITATION {"citationItems":[{"id":"ITEM-1","itemData":{"ISBN":"1261100026","author":[{"dropping-particle":"","family":"Aziz","given":"Zahra","non-dropping-particle":"","parse-names":false,"suffix":""},{"dropping-particle":"","family":"Mathews","given":"Elezebeth","non-dropping-particle":"","parse-names":false,"suffix":""},{"dropping-particle":"","family":"Absetz","given":"Pilvikki","non-dropping-particle":"","parse-names":false,"suffix":""},{"dropping-particle":"","family":"Sathish","given":"Thirunavukkarasu","non-dropping-particle":"","parse-names":false,"suffix":""},{"dropping-particle":"","family":"Oldroyd","given":"John","non-dropping-particle":"","parse-names":false,"suffix":""},{"dropping-particle":"","family":"Balachandran","given":"Sajitha","non-dropping-particle":"","parse-names":false,"suffix":""},{"dropping-particle":"","family":"Shetty","given":"Suman S","non-dropping-particle":"","parse-names":false,"suffix":""},{"dropping-particle":"","family":"Thankappan","given":"K R","non-dropping-particle":"","parse-names":false,"suffix":""},{"dropping-particle":"","family":"Oldenburg","given":"Brian","non-dropping-particle":"","parse-names":false,"suffix":""}],"container-title":"Implementation Science","id":"ITEM-1","issue":"97","issued":{"date-parts":[["2018"]]},"page":"1-14","publisher":"Implementation Science","title":"A group-based lifestyle intervention for diabetes prevention in low- and middle- income country: implementation evaluation of the Kerala diabetes prevention program","type":"article-journal","volume":"13"},"uris":["http://www.mendeley.com/documents/?uuid=a4c91169-0504-4b78-a5a8-329ffa0e11a4"]}],"mendeley":{"formattedCitation":"(Aziz et al., 2018)","plainTextFormattedCitation":"(Aziz et al., 2018)","previouslyFormattedCitation":"(Aziz et al., 2018)"},"properties":{"noteIndex":0},"schema":"https://github.com/citation-style-language/schema/raw/master/csl-citation.json"}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(Aziz et al., 2018)</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w:t>
      </w:r>
    </w:p>
    <w:p w14:paraId="6DA9BA88" w14:textId="7DB58D0B" w:rsidR="00693438" w:rsidRPr="00103A0B" w:rsidRDefault="00693438" w:rsidP="00CD5919">
      <w:pPr>
        <w:spacing w:after="100" w:line="360" w:lineRule="auto"/>
        <w:jc w:val="both"/>
        <w:rPr>
          <w:rFonts w:ascii="Arial" w:hAnsi="Arial" w:cs="Arial"/>
          <w:color w:val="000000" w:themeColor="text1"/>
          <w:sz w:val="24"/>
          <w:szCs w:val="24"/>
        </w:rPr>
      </w:pPr>
      <w:r w:rsidRPr="00103A0B">
        <w:rPr>
          <w:rFonts w:ascii="Arial" w:hAnsi="Arial" w:cs="Arial"/>
          <w:color w:val="000000" w:themeColor="text1"/>
          <w:sz w:val="24"/>
          <w:szCs w:val="24"/>
        </w:rPr>
        <w:lastRenderedPageBreak/>
        <w:t xml:space="preserve">The NHSDPP (2016-2018) found that 63% of individuals who attended the initial assessment (IA), a brief appointment before programme commencement, attended at least one intervention session (i.e., started) and 37% did not attend any sessions </w:t>
      </w:r>
      <w:r w:rsidRPr="00103A0B">
        <w:rPr>
          <w:rFonts w:ascii="Arial" w:hAnsi="Arial" w:cs="Arial"/>
          <w:color w:val="000000" w:themeColor="text1"/>
          <w:sz w:val="24"/>
          <w:szCs w:val="24"/>
        </w:rPr>
        <w:fldChar w:fldCharType="begin" w:fldLock="1"/>
      </w:r>
      <w:r w:rsidR="00992026" w:rsidRPr="00103A0B">
        <w:rPr>
          <w:rFonts w:ascii="Arial" w:hAnsi="Arial" w:cs="Arial"/>
          <w:color w:val="000000" w:themeColor="text1"/>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programme","type":"article-journal","volume":"43"},"uris":["http://www.mendeley.com/documents/?uuid=32a7a44a-df0b-4cde-9269-536e48e08190"]}],"mendeley":{"formattedCitation":"(Valabhji et al., 2020)","plainTextFormattedCitation":"(Valabhji et al., 2020)","previouslyFormattedCitation":"(Valabhji et al., 2020)"},"properties":{"noteIndex":0},"schema":"https://github.com/citation-style-language/schema/raw/master/csl-citation.json"}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(Valabhji et al., 2020)</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w:t>
      </w:r>
      <w:r w:rsidRPr="00103A0B">
        <w:rPr>
          <w:rFonts w:ascii="Arial" w:hAnsi="Arial" w:cs="Arial"/>
          <w:sz w:val="24"/>
          <w:szCs w:val="24"/>
        </w:rPr>
        <w:t>Q</w:t>
      </w:r>
      <w:r w:rsidRPr="00103A0B">
        <w:rPr>
          <w:rFonts w:ascii="Arial" w:hAnsi="Arial" w:cs="Arial"/>
          <w:color w:val="000000" w:themeColor="text1"/>
          <w:sz w:val="24"/>
          <w:szCs w:val="24"/>
        </w:rPr>
        <w:t xml:space="preserve">ualitative literature exploring service users’ experiences of the NHSDPP </w:t>
      </w:r>
      <w:r w:rsidRPr="00103A0B">
        <w:rPr>
          <w:rFonts w:ascii="Arial" w:hAnsi="Arial" w:cs="Arial"/>
          <w:color w:val="000000" w:themeColor="text1"/>
          <w:sz w:val="24"/>
          <w:szCs w:val="24"/>
        </w:rPr>
        <w:fldChar w:fldCharType="begin" w:fldLock="1"/>
      </w:r>
      <w:r w:rsidR="00643C08" w:rsidRPr="00103A0B">
        <w:rPr>
          <w:rFonts w:ascii="Arial" w:hAnsi="Arial" w:cs="Arial"/>
          <w:color w:val="000000" w:themeColor="text1"/>
          <w:sz w:val="24"/>
          <w:szCs w:val="24"/>
        </w:rPr>
        <w:instrText>ADDIN CSL_CITATION {"citationItems":[{"id":"ITEM-1","itemData":{"ISSN":"14726963","PMID":"32293424","abstract":"Background: The National Health Service diabetes prevention programme in England, (NHS DPP) aims to identify people at high risk of type 2 diabetes (T2D) and offer them a face-to-face, group-based, behaviour change intervention for at least 9 months. The NHS DPP was rolled out in phases. We aimed to elicit stakeholders' perceptions and experiences of the factors influencing implementation of, and participation in, the programme during the development phase. Methods: Individual, semi-structured telephone interviews were conducted with 50 purposively sampled stakeholders: Service users (n = 20); programme commissioners (n = 7); referrers (n = 8); and intervention deliverers (n = 15). Topic guides were structured using a pragmatic, theory-informed approach. Analysis employed the framework method. Results: We identified factors that influenced participation: Risk communication at referral-stakeholders identified point of referral as a window of opportunity to offer brief advice, to provide an understanding of T2D risk and information about the programme; Perceived impact of the NHS DPP-service users highlighted the positive perceived impact on their behaviour change, the peer support provided by participating in the programme, the option to involve a relative, and the 'knock on' effect on others. Service users also voiced disappointment when blood test results still identified them at high risk after the programme; and Behavioural maintenance-participants highlighted the challenges linked to behavioural maintenance (e.g. discontinuation of active support). Factors influencing implementations were also identified: Case finding-stakeholders suggested that using community involvement to identify service users could increase reach and ensure that the workload was not solely on GP practices; Adaptability: Intervention deliverers acknowledged the need to tailor advice to service users' preferences and needs; Accountability-the need to acknowledge who was responsible for what at different stages of the NHS DPP pathway; and Fidelity-stakeholders described procedures involved in monitoring service users' satisfaction, outcome data collection and quality assurance assessments. Conclusions: The NHS DPP offers an evidence-informed behavioural intervention for T2D prevention. Better risk communication specification could ensure consistency at the referral stage and improve participation in the NHS DPP intervention. Cultural adaptations and outreach strategies could ensu…","author":[{"dropping-particle":"","family":"Rodrigues","given":"Angela M.","non-dropping-particle":"","parse-names":false,"suffix":""},{"dropping-particle":"","family":"Haste","given":"Anna","non-dropping-particle":"","parse-names":false,"suffix":""},{"dropping-particle":"","family":"Penn","given":"Linda","non-dropping-particle":"","parse-names":false,"suffix":""},{"dropping-particle":"","family":"Bell","given":"Ruth","non-dropping-particle":"","parse-names":false,"suffix":""},{"dropping-particle":"","family":"Summerbell","given":"Carolyn","non-dropping-particle":"","parse-names":false,"suffix":""},{"dropping-particle":"","family":"White","given":"Martin","non-dropping-particle":"","parse-names":false,"suffix":""},{"dropping-particle":"","family":"Adamson","given":"Ashley J.","non-dropping-particle":"","parse-names":false,"suffix":""},{"dropping-particle":"","family":"Sniehotta","given":"Falko F.","non-dropping-particle":"","parse-names":false,"suffix":""}],"container-title":"BMC Health Services Research","id":"ITEM-1","issued":{"date-parts":[["2020"]]},"page":"307","publisher":"BMC Health Services Research","title":"Stakeholders' perceptions and experiences of the National Health Service diabetes prevention programme in England: qualitative study with service users, intervention providers and deliverers, commissioners and referrers","type":"article-journal","volume":"20"},"uris":["http://www.mendeley.com/documents/?uuid=f72c730c-7abc-4ecd-b17f-09aa8f2ad088"]}],"mendeley":{"formattedCitation":"(Rodrigues et al., 2020)","plainTextFormattedCitation":"(Rodrigues et al., 2020)","previouslyFormattedCitation":"(Rodrigues et al., 2020)"},"properties":{"noteIndex":0},"schema":"https://github.com/citation-style-language/schema/raw/master/csl-citation.json"}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(Rodrigues et al., 2020)</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highlighted that service users’ confusion about their prediabetes diagnosis and the programme, could negatively affect attendance. They stated how the expected programme benefits such as making lifestyle improvements and reducing T2DM risk encouraged attendance. However, the sample was not ethnically diverse, and non-attenders were not interviewed. Overall, there is lack of qualitative evidence exploring reasons for both attendance and non-attendance.</w:t>
      </w:r>
    </w:p>
    <w:p w14:paraId="2365EBD1" w14:textId="566D2320" w:rsidR="00693438" w:rsidRPr="00103A0B" w:rsidRDefault="00693438" w:rsidP="00CD5919">
      <w:pPr>
        <w:spacing w:before="100" w:after="100" w:line="360" w:lineRule="auto"/>
        <w:jc w:val="both"/>
        <w:rPr>
          <w:rFonts w:ascii="Arial" w:hAnsi="Arial" w:cs="Arial"/>
          <w:sz w:val="24"/>
          <w:szCs w:val="24"/>
        </w:rPr>
      </w:pPr>
      <w:r w:rsidRPr="00103A0B">
        <w:rPr>
          <w:rFonts w:ascii="Arial" w:hAnsi="Arial" w:cs="Arial"/>
          <w:color w:val="000000" w:themeColor="text1"/>
          <w:sz w:val="24"/>
          <w:szCs w:val="24"/>
        </w:rPr>
        <w:t>Individual factors that have affected attendance at other preventive health programmes include illness perceptions (IPs). IPs</w:t>
      </w:r>
      <w:r w:rsidRPr="00103A0B">
        <w:rPr>
          <w:rFonts w:ascii="Arial" w:hAnsi="Arial" w:cs="Arial"/>
          <w:sz w:val="24"/>
          <w:szCs w:val="24"/>
        </w:rPr>
        <w:t xml:space="preserve"> are beliefs or cognitive perceptions held by individuals regarding their illness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conditions","type":"article-journal","volume":"20"},"uris":["http://www.mendeley.com/documents/?uuid=6ab2e4be-fe8b-472d-9f8b-4708fd8304e7"]}],"mendeley":{"formattedCitation":"(Petrie et al., 2007)","plainTextFormattedCitation":"(Petrie et al., 2007)","previouslyFormattedCitation":"(Petrie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et al., 2007)</w:t>
      </w:r>
      <w:r w:rsidRPr="00103A0B">
        <w:rPr>
          <w:rFonts w:ascii="Arial" w:hAnsi="Arial" w:cs="Arial"/>
          <w:sz w:val="24"/>
          <w:szCs w:val="24"/>
        </w:rPr>
        <w:fldChar w:fldCharType="end"/>
      </w:r>
      <w:r w:rsidRPr="00103A0B">
        <w:rPr>
          <w:rFonts w:ascii="Arial" w:hAnsi="Arial" w:cs="Arial"/>
          <w:sz w:val="24"/>
          <w:szCs w:val="24"/>
        </w:rPr>
        <w:t xml:space="preserve">. These IPs include beliefs about illness: identity, causes, timeline, consequences, and cure/control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{"citationItems":[{"id":"ITEM-1","itemData":{"ISSN":"08870446","abstract":"The Illness Perception Questionnaire (IPQ) is a new method for assessing cognitive representations of illness. The IPQ is a theoretically derived measure comprising five scales that provides information about the five components that have been found to underlie the cognitive representation of illness. The five scales assess identity - the symptoms the patient associates with the illness, cause - personal ideas about aetiology, time-line - the perceived duration of the illness, consequences - expected effects and outcome and cure control - how one controls or recovers from the illness. The IPQ has a specific number of core items but allows the user to add items for particular patient groups or health threats. Data is presented supporting the reliability and validity of the IPQ scales in different chronic illness populations.","author":[{"dropping-particle":"","family":"Weinman","given":"John.","non-dropping-particle":"","parse-names":false,"suffix":""},{"dropping-particle":"","family":"Petrie","given":"Keith J.","non-dropping-particle":"","parse-names":false,"suffix":""},{"dropping-particle":"","family":"Moss-Morris","given":"Rona","non-dropping-particle":"","parse-names":false,"suffix":""},{"dropping-particle":"","family":"Horne","given":"Rob","non-dropping-particle":"","parse-names":false,"suffix":""}],"container-title":"Psychology and Health","id":"ITEM-1","issue":"3","issued":{"date-parts":[["1996"]]},"page":"431-445","title":"The illness perception questionnaire: a new method for assessing the cognitive representation of illness","type":"article-journal","volume":"11"},"uris":["http://www.mendeley.com/documents/?uuid=042696dd-59b4-42f9-be46-893b4e2489bb"]}],"mendeley":{"formattedCitation":"(Weinman et al., 1996)","plainTextFormattedCitation":"(Weinman et al., 1996)","previouslyFormattedCitation":"(Weinman et al., 1996)"},"properties":{"noteIndex":0},"schema":"https://github.com/citation-style-language/schema/raw/master/csl-citation.json"}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(Weinman et al., 1996)</w:t>
      </w:r>
      <w:r w:rsidRPr="00103A0B">
        <w:rPr>
          <w:rFonts w:ascii="Arial" w:hAnsi="Arial" w:cs="Arial"/>
          <w:sz w:val="24"/>
          <w:szCs w:val="24"/>
        </w:rPr>
        <w:fldChar w:fldCharType="end"/>
      </w:r>
      <w:r w:rsidRPr="00103A0B">
        <w:rPr>
          <w:rFonts w:ascii="Arial" w:hAnsi="Arial" w:cs="Arial"/>
          <w:sz w:val="24"/>
          <w:szCs w:val="24"/>
        </w:rPr>
        <w:t xml:space="preserve">. It is well established that IPs are important determinants of behaviour and various outcomes in individuals with different conditions such as T2DM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conditions","type":"article-journal","volume":"20"},"uris":["http://www.mendeley.com/documents/?uuid=6ab2e4be-fe8b-472d-9f8b-4708fd8304e7"]}],"mendeley":{"formattedCitation":"(Petrie et al., 2007)","plainTextFormattedCitation":"(Petrie et al., 2007)","previouslyFormattedCitation":"(Petrie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et al., 2007)</w:t>
      </w:r>
      <w:r w:rsidRPr="00103A0B">
        <w:rPr>
          <w:rFonts w:ascii="Arial" w:hAnsi="Arial" w:cs="Arial"/>
          <w:sz w:val="24"/>
          <w:szCs w:val="24"/>
        </w:rPr>
        <w:fldChar w:fldCharType="end"/>
      </w:r>
      <w:r w:rsidRPr="00103A0B">
        <w:rPr>
          <w:rFonts w:ascii="Arial" w:hAnsi="Arial" w:cs="Arial"/>
          <w:sz w:val="24"/>
          <w:szCs w:val="24"/>
        </w:rPr>
        <w:t xml:space="preserve">. Research exploring predictors of attendance at other health preventative programmes have shown IPs to predict uptake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Disorders","id":"ITEM-1","issued":{"date-parts":[["2012"]]},"page":"120","title":"A systematic review of patient reported factors associated with uptake and completion of cardiovascular lifestyle behaviour change","type":"article-journal","volume":"12"},"uris":["http://www.mendeley.com/documents/?uuid=8909c03f-c8a9-4dd2-84c1-a3cf90717072"]}],"mendeley":{"formattedCitation":"(Murray et al., 2012)","plainTextFormattedCitation":"(Murray et al., 2012)","previouslyFormattedCitation":"(Murray et al., 2012)"},"properties":{"noteIndex":0},"schema":"https://github.com/citation-style-language/schema/raw/master/csl-citation.json"}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(Murray et al., 2012)</w:t>
      </w:r>
      <w:r w:rsidRPr="00103A0B">
        <w:rPr>
          <w:rFonts w:ascii="Arial" w:hAnsi="Arial" w:cs="Arial"/>
          <w:sz w:val="24"/>
          <w:szCs w:val="24"/>
        </w:rPr>
        <w:fldChar w:fldCharType="end"/>
      </w:r>
      <w:r w:rsidRPr="00103A0B">
        <w:rPr>
          <w:rFonts w:ascii="Arial" w:hAnsi="Arial" w:cs="Arial"/>
          <w:sz w:val="24"/>
          <w:szCs w:val="24"/>
        </w:rPr>
        <w:t xml:space="preserve">. For example, beliefs about the causes of illness were associated with attendance at lifestyle change programmes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Disorders","id":"ITEM-1","issued":{"date-parts":[["2012"]]},"page":"120","title":"A systematic review of patient reported factors associated with uptake and completion of cardiovascular lifestyle behaviour change","type":"article-journal","volume":"12"},"uris":["http://www.mendeley.com/documents/?uuid=8909c03f-c8a9-4dd2-84c1-a3cf90717072"]}],"mendeley":{"formattedCitation":"(Murray et al., 2012)","plainTextFormattedCitation":"(Murray et al., 2012)","previouslyFormattedCitation":"(Murray et al., 2012)"},"properties":{"noteIndex":0},"schema":"https://github.com/citation-style-language/schema/raw/master/csl-citation.json"}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(Murray et al., 2012)</w:t>
      </w:r>
      <w:r w:rsidRPr="00103A0B">
        <w:rPr>
          <w:rFonts w:ascii="Arial" w:hAnsi="Arial" w:cs="Arial"/>
          <w:sz w:val="24"/>
          <w:szCs w:val="24"/>
        </w:rPr>
        <w:fldChar w:fldCharType="end"/>
      </w:r>
      <w:r w:rsidRPr="00103A0B">
        <w:rPr>
          <w:rFonts w:ascii="Arial" w:hAnsi="Arial" w:cs="Arial"/>
          <w:sz w:val="24"/>
          <w:szCs w:val="24"/>
        </w:rPr>
        <w:t xml:space="preserve">, and those who believed their condition was controllable were more likely to attend cardiac rehabilitation programmes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Research","id":"ITEM-1","issued":{"date-parts":[["2006"]]},"page":"757-767","title":"Illness perceptions predict attendance at cardiac rehabilitation following acute myocardial infarction: a systematic review with meta-analysis","type":"article-journal","volume":"61"},"uris":["http://www.mendeley.com/documents/?uuid=046866de-6856-4a38-87d2-91dee1be78bc"]}],"mendeley":{"formattedCitation":"(French et al., 2006)","plainTextFormattedCitation":"(French et al., 2006)","previouslyFormattedCitation":"(French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(French et al., 2006)</w:t>
      </w:r>
      <w:r w:rsidRPr="00103A0B">
        <w:rPr>
          <w:rFonts w:ascii="Arial" w:hAnsi="Arial" w:cs="Arial"/>
          <w:sz w:val="24"/>
          <w:szCs w:val="24"/>
        </w:rPr>
        <w:fldChar w:fldCharType="end"/>
      </w:r>
      <w:r w:rsidRPr="00103A0B">
        <w:rPr>
          <w:rFonts w:ascii="Arial" w:hAnsi="Arial" w:cs="Arial"/>
          <w:sz w:val="24"/>
          <w:szCs w:val="24"/>
        </w:rPr>
        <w:t xml:space="preserve">. However, whether IPs reflect attendance at the NHSDPP is yet to be explored. </w:t>
      </w:r>
    </w:p>
    <w:p w14:paraId="48EACAEE" w14:textId="05587CB4" w:rsidR="008D109C" w:rsidRPr="00103A0B" w:rsidRDefault="00693438" w:rsidP="00CD5919">
      <w:pPr>
        <w:spacing w:before="100" w:after="100" w:line="360" w:lineRule="auto"/>
        <w:jc w:val="both"/>
        <w:rPr>
          <w:rFonts w:ascii="Arial" w:hAnsi="Arial" w:cs="Arial"/>
          <w:color w:val="000000" w:themeColor="text1"/>
          <w:sz w:val="24"/>
          <w:szCs w:val="24"/>
        </w:rPr>
      </w:pPr>
      <w:r w:rsidRPr="00103A0B">
        <w:rPr>
          <w:rFonts w:ascii="Arial" w:hAnsi="Arial" w:cs="Arial"/>
          <w:color w:val="000000" w:themeColor="text1"/>
          <w:sz w:val="24"/>
          <w:szCs w:val="24"/>
        </w:rPr>
        <w:t xml:space="preserve">This present research is based in an area of South London, England where 46% of the population belong to Black, Asian and Minority Ethnic (BAME) groups </w:t>
      </w:r>
      <w:r w:rsidRPr="00103A0B">
        <w:rPr>
          <w:rFonts w:ascii="Arial" w:hAnsi="Arial" w:cs="Arial"/>
          <w:color w:val="000000" w:themeColor="text1"/>
          <w:sz w:val="24"/>
          <w:szCs w:val="24"/>
        </w:rPr>
        <w:fldChar w:fldCharType="begin" w:fldLock="1"/>
      </w:r>
      <w:r w:rsidR="00643C08" w:rsidRPr="00103A0B">
        <w:rPr>
          <w:rFonts w:ascii="Arial" w:hAnsi="Arial" w:cs="Arial"/>
          <w:color w:val="000000" w:themeColor="text1"/>
          <w:sz w:val="24"/>
          <w:szCs w:val="24"/>
        </w:rPr>
        <w:instrText>ADDIN CSL_CITATION {"citationItems":[{"id":"ITEM-1","itemData":{"author":[{"dropping-particle":"","family":"Southwark Council","given":"","non-dropping-particle":"","parse-names":false,"suffix":""}],"id":"ITEM-1","issued":{"date-parts":[["2018"]]},"number-of-pages":"1-16","title":"Overview of Southwark ’ s population","type":"report"},"uris":["http://www.mendeley.com/documents/?uuid=8112468d-9641-44c5-86b6-21a1686fdb70"]}],"mendeley":{"formattedCitation":"(Southwark Council, 2018)","plainTextFormattedCitation":"(Southwark Council, 2018)","previouslyFormattedCitation":"(Southwark Council, 2018)"},"properties":{"noteIndex":0},"schema":"https://github.com/citation-style-language/schema/raw/master/csl-citation.json"}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(Southwark Council, 2018)</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known to be at a considerably higher risk for T2DM than White groups </w:t>
      </w:r>
      <w:r w:rsidRPr="00103A0B">
        <w:rPr>
          <w:rFonts w:ascii="Arial" w:hAnsi="Arial" w:cs="Arial"/>
          <w:color w:val="000000" w:themeColor="text1"/>
          <w:sz w:val="24"/>
          <w:szCs w:val="24"/>
        </w:rPr>
        <w:fldChar w:fldCharType="begin" w:fldLock="1"/>
      </w:r>
      <w:r w:rsidR="00AF410C" w:rsidRPr="00103A0B">
        <w:rPr>
          <w:rFonts w:ascii="Arial" w:hAnsi="Arial" w:cs="Arial"/>
          <w:color w:val="000000" w:themeColor="text1"/>
          <w:sz w:val="24"/>
          <w:szCs w:val="24"/>
        </w:rPr>
        <w:instrText>ADDIN CSL_CITATION {"citationItems":[{"id":"ITEM-1","itemData":{"DOI":"10.1016/j.pcd.2010.08.002","ISSN":"1751-9918","author":[{"dropping-particle":"","family":"Gholap","given":"Nitin","non-dropping-particle":"","parse-names":false,"suffix":""},{"dropping-particle":"","family":"Davies","given":"Melanie","non-dropping-particle":"","parse-names":false,"suffix":""},{"dropping-particle":"","family":"Patel","given":"Kiran","non-dropping-particle":"","parse-names":false,"suffix":""},{"dropping-particle":"","family":"Sattar","given":"Naveed","non-dropping-particle":"","parse-names":false,"suffix":""},{"dropping-particle":"","family":"Khunti","given":"Kamlesh","non-dropping-particle":"","parse-names":false,"suffix":""}],"container-title":"Primary Care Diabetes","id":"ITEM-1","issued":{"date-parts":[["2011"]]},"page":"45-56","publisher":"Primary Care Diabetes Europe","title":"Type 2 diabetes and cardiovascular disease in South Asians","type":"article-journal","volume":"5"},"uris":["http://www.mendeley.com/documents/?uuid=9d8ffa18-1c88-49ef-8e29-4ace97571aca"]}],"mendeley":{"formattedCitation":"(Gholap et al., 2011)","plainTextFormattedCitation":"(Gholap et al., 2011)","previouslyFormattedCitation":"(Gholap et al., 2011)"},"properties":{"noteIndex":0},"schema":"https://github.com/citation-style-language/schema/raw/master/csl-citation.json"}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(Gholap et al., 2011)</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This area of South London is more socio-economically deprived than the national average </w:t>
      </w:r>
      <w:r w:rsidRPr="00103A0B">
        <w:rPr>
          <w:rFonts w:ascii="Arial" w:hAnsi="Arial" w:cs="Arial"/>
          <w:color w:val="000000" w:themeColor="text1"/>
          <w:sz w:val="24"/>
          <w:szCs w:val="24"/>
        </w:rPr>
        <w:fldChar w:fldCharType="begin" w:fldLock="1"/>
      </w:r>
      <w:r w:rsidR="00643C08" w:rsidRPr="00103A0B">
        <w:rPr>
          <w:rFonts w:ascii="Arial" w:hAnsi="Arial" w:cs="Arial"/>
          <w:color w:val="000000" w:themeColor="text1"/>
          <w:sz w:val="24"/>
          <w:szCs w:val="24"/>
        </w:rPr>
        <w:instrText>ADDIN CSL_CITATION {"citationItems":[{"id":"ITEM-1","itemData":{"author":[{"dropping-particle":"","family":"New Policy Institute","given":"","non-dropping-particle":"","parse-names":false,"suffix":""}],"id":"ITEM-1","issued":{"date-parts":[["2016"]]},"number-of-pages":"1-41","title":"Demography and deprivation in Southwark and Tower Hamlets","type":"report"},"uris":["http://www.mendeley.com/documents/?uuid=99d93356-8ea6-45e8-b861-56b0f78d2dc2"]}],"mendeley":{"formattedCitation":"(New Policy Institute, 2016)","plainTextFormattedCitation":"(New Policy Institute, 2016)","previouslyFormattedCitation":"(New Policy Institute, 2016)"},"properties":{"noteIndex":0},"schema":"https://github.com/citation-style-language/schema/raw/master/csl-citation.json"}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(New Policy Institute, 2016)</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which is also linked with an increased T2DM risk </w:t>
      </w:r>
      <w:r w:rsidRPr="00103A0B">
        <w:rPr>
          <w:rFonts w:ascii="Arial" w:hAnsi="Arial" w:cs="Arial"/>
          <w:color w:val="000000" w:themeColor="text1"/>
          <w:sz w:val="24"/>
          <w:szCs w:val="24"/>
        </w:rPr>
        <w:fldChar w:fldCharType="begin" w:fldLock="1"/>
      </w:r>
      <w:r w:rsidR="00597BD1" w:rsidRPr="00103A0B">
        <w:rPr>
          <w:rFonts w:ascii="Arial" w:hAnsi="Arial" w:cs="Arial"/>
          <w:color w:val="000000" w:themeColor="text1"/>
          <w:sz w:val="24"/>
          <w:szCs w:val="24"/>
        </w:rPr>
        <w:instrText>ADDIN CSL_CITATION {"citationItems":[{"id":"ITEM-1","itemData":{"author":[{"dropping-particle":"","family":"Mainous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Open","id":"ITEM-1","issued":{"date-parts":[["2014"]]},"page":"e005002","title":"Prevalence of prediabetes in England from 2003 to 2011: population-based, cross-sectional study","type":"article-journal","volume":"4"},"uris":["http://www.mendeley.com/documents/?uuid=3d8c06b2-c467-4cfa-b523-36fc0982e568"]}],"mendeley":{"formattedCitation":"(Mainous III et al., 2014)","plainTextFormattedCitation":"(Mainous III et al., 2014)","previouslyFormattedCitation":"(Mainous III et al., 2014)"},"properties":{"noteIndex":0},"schema":"https://github.com/citation-style-language/schema/raw/master/csl-citation.json"}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(Mainous III et al., 2014)</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Exploring facilitators and barriers to attendance, especially with this under-researched at-risk population, could better inform programme recruitment and delivery. </w:t>
      </w:r>
      <w:r w:rsidRPr="00103A0B">
        <w:rPr>
          <w:rFonts w:ascii="Arial" w:hAnsi="Arial" w:cs="Arial"/>
          <w:sz w:val="24"/>
          <w:szCs w:val="24"/>
        </w:rPr>
        <w:t>This study aimed to explore key influences of participants’ decisions to attend the NHSDPP.</w:t>
      </w:r>
    </w:p>
    <w:p w14:paraId="706E0ACD" w14:textId="77777777" w:rsidR="00732D6B" w:rsidRPr="00103A0B" w:rsidRDefault="00732D6B" w:rsidP="00CD5919">
      <w:pPr>
        <w:spacing w:before="100" w:after="100" w:line="360" w:lineRule="auto"/>
        <w:jc w:val="both"/>
        <w:rPr>
          <w:rFonts w:ascii="Arial" w:hAnsi="Arial" w:cs="Arial"/>
          <w:color w:val="000000" w:themeColor="text1"/>
          <w:sz w:val="24"/>
          <w:szCs w:val="24"/>
        </w:rPr>
      </w:pPr>
    </w:p>
    <w:p w14:paraId="3DB8CCDF" w14:textId="53EEDADD" w:rsidR="00732D6B" w:rsidRPr="00103A0B" w:rsidRDefault="00732D6B" w:rsidP="00E0420C">
      <w:pPr>
        <w:pStyle w:val="Heading2"/>
        <w:numPr>
          <w:ilvl w:val="0"/>
          <w:numId w:val="0"/>
        </w:numPr>
        <w:ind w:left="578" w:hanging="578"/>
        <w:jc w:val="both"/>
        <w:rPr>
          <w:rFonts w:ascii="Arial" w:hAnsi="Arial" w:cs="Arial"/>
          <w:sz w:val="28"/>
        </w:rPr>
      </w:pPr>
      <w:bookmarkStart w:id="318" w:name="_Toc151548321"/>
      <w:r w:rsidRPr="00103A0B">
        <w:rPr>
          <w:rFonts w:ascii="Arial" w:hAnsi="Arial" w:cs="Arial"/>
          <w:sz w:val="28"/>
        </w:rPr>
        <w:lastRenderedPageBreak/>
        <w:t xml:space="preserve">5.2 </w:t>
      </w:r>
      <w:r w:rsidR="008D109C" w:rsidRPr="00103A0B">
        <w:rPr>
          <w:rFonts w:ascii="Arial" w:hAnsi="Arial" w:cs="Arial"/>
          <w:sz w:val="28"/>
        </w:rPr>
        <w:t xml:space="preserve">Material and </w:t>
      </w:r>
      <w:r w:rsidRPr="00103A0B">
        <w:rPr>
          <w:rFonts w:ascii="Arial" w:hAnsi="Arial" w:cs="Arial"/>
          <w:sz w:val="28"/>
        </w:rPr>
        <w:t>M</w:t>
      </w:r>
      <w:r w:rsidR="008D109C" w:rsidRPr="00103A0B">
        <w:rPr>
          <w:rFonts w:ascii="Arial" w:hAnsi="Arial" w:cs="Arial"/>
          <w:sz w:val="28"/>
        </w:rPr>
        <w:t>ethods</w:t>
      </w:r>
      <w:bookmarkEnd w:id="318"/>
      <w:r w:rsidR="008D109C" w:rsidRPr="00103A0B">
        <w:rPr>
          <w:rFonts w:ascii="Arial" w:hAnsi="Arial" w:cs="Arial"/>
          <w:sz w:val="28"/>
        </w:rPr>
        <w:t xml:space="preserve"> </w:t>
      </w:r>
    </w:p>
    <w:p w14:paraId="796E65BD" w14:textId="7605730F" w:rsidR="008D109C" w:rsidRPr="00103A0B" w:rsidRDefault="00732D6B" w:rsidP="00E0420C">
      <w:pPr>
        <w:keepLines/>
        <w:jc w:val="both"/>
        <w:rPr>
          <w:rFonts w:ascii="Arial" w:hAnsi="Arial" w:cs="Arial"/>
          <w:b/>
          <w:bCs/>
          <w:sz w:val="24"/>
          <w:szCs w:val="24"/>
        </w:rPr>
      </w:pPr>
      <w:r w:rsidRPr="00103A0B">
        <w:rPr>
          <w:rFonts w:ascii="Arial" w:hAnsi="Arial" w:cs="Arial"/>
          <w:b/>
          <w:bCs/>
          <w:sz w:val="24"/>
          <w:szCs w:val="24"/>
        </w:rPr>
        <w:t xml:space="preserve">5.2.1 </w:t>
      </w:r>
      <w:r w:rsidR="008D109C" w:rsidRPr="00103A0B">
        <w:rPr>
          <w:rFonts w:ascii="Arial" w:hAnsi="Arial" w:cs="Arial"/>
          <w:b/>
          <w:bCs/>
          <w:sz w:val="24"/>
          <w:szCs w:val="24"/>
        </w:rPr>
        <w:t xml:space="preserve">Interview </w:t>
      </w:r>
      <w:r w:rsidR="00246809" w:rsidRPr="00103A0B">
        <w:rPr>
          <w:rFonts w:ascii="Arial" w:hAnsi="Arial" w:cs="Arial"/>
          <w:b/>
          <w:bCs/>
          <w:sz w:val="24"/>
          <w:szCs w:val="24"/>
        </w:rPr>
        <w:t>S</w:t>
      </w:r>
      <w:r w:rsidR="008D109C" w:rsidRPr="00103A0B">
        <w:rPr>
          <w:rFonts w:ascii="Arial" w:hAnsi="Arial" w:cs="Arial"/>
          <w:b/>
          <w:bCs/>
          <w:sz w:val="24"/>
          <w:szCs w:val="24"/>
        </w:rPr>
        <w:t>chedule</w:t>
      </w:r>
    </w:p>
    <w:p w14:paraId="13910CDB" w14:textId="13DEA7D5" w:rsidR="00246809" w:rsidRPr="00103A0B" w:rsidRDefault="00732D6B" w:rsidP="00CD5919">
      <w:pPr>
        <w:spacing w:line="360" w:lineRule="auto"/>
        <w:jc w:val="both"/>
        <w:rPr>
          <w:rFonts w:ascii="Arial" w:hAnsi="Arial" w:cs="Arial"/>
          <w:sz w:val="24"/>
          <w:szCs w:val="24"/>
        </w:rPr>
      </w:pPr>
      <w:r w:rsidRPr="00103A0B">
        <w:rPr>
          <w:rFonts w:ascii="Arial" w:hAnsi="Arial" w:cs="Arial"/>
          <w:sz w:val="24"/>
          <w:szCs w:val="24"/>
        </w:rPr>
        <w:t xml:space="preserve">Questions explored participants’ perceptions of T2DM (questions were based around illness perceptions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conditions","type":"article-journal","volume":"20"},"uris":["http://www.mendeley.com/documents/?uuid=6ab2e4be-fe8b-472d-9f8b-4708fd8304e7"]}],"mendeley":{"formattedCitation":"(Petrie et al., 2007)","plainTextFormattedCitation":"(Petrie et al., 2007)","previouslyFormattedCitation":"(Petrie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et al., 2007)</w:t>
      </w:r>
      <w:r w:rsidRPr="00103A0B">
        <w:rPr>
          <w:rFonts w:ascii="Arial" w:hAnsi="Arial" w:cs="Arial"/>
          <w:sz w:val="24"/>
          <w:szCs w:val="24"/>
        </w:rPr>
        <w:fldChar w:fldCharType="end"/>
      </w:r>
      <w:r w:rsidRPr="00103A0B">
        <w:rPr>
          <w:rFonts w:ascii="Arial" w:hAnsi="Arial" w:cs="Arial"/>
          <w:sz w:val="24"/>
          <w:szCs w:val="24"/>
        </w:rPr>
        <w:t xml:space="preserve">), T2DM risk, the NHSDPP and experience of the referral process. The interview schedule was piloted with 11 participants (five men) after attending their IA. Minor changes included adding prompts and simplifying wording for non-native English speakers </w:t>
      </w:r>
      <w:r w:rsidR="008D109C" w:rsidRPr="00103A0B">
        <w:rPr>
          <w:rFonts w:ascii="Arial" w:hAnsi="Arial" w:cs="Arial"/>
          <w:sz w:val="24"/>
          <w:szCs w:val="24"/>
        </w:rPr>
        <w:t xml:space="preserve">(see </w:t>
      </w:r>
      <w:r w:rsidR="00246809" w:rsidRPr="00103A0B">
        <w:rPr>
          <w:rFonts w:ascii="Arial" w:hAnsi="Arial" w:cs="Arial"/>
          <w:sz w:val="24"/>
          <w:szCs w:val="24"/>
        </w:rPr>
        <w:t>A</w:t>
      </w:r>
      <w:r w:rsidR="00A35E83" w:rsidRPr="00103A0B">
        <w:rPr>
          <w:rFonts w:ascii="Arial" w:hAnsi="Arial" w:cs="Arial"/>
          <w:sz w:val="24"/>
          <w:szCs w:val="24"/>
        </w:rPr>
        <w:t xml:space="preserve">ppendix </w:t>
      </w:r>
      <w:r w:rsidR="00BE157E" w:rsidRPr="00103A0B">
        <w:rPr>
          <w:rFonts w:ascii="Arial" w:hAnsi="Arial" w:cs="Arial"/>
          <w:sz w:val="24"/>
          <w:szCs w:val="24"/>
        </w:rPr>
        <w:t>6</w:t>
      </w:r>
      <w:r w:rsidR="008D109C" w:rsidRPr="00103A0B">
        <w:rPr>
          <w:rFonts w:ascii="Arial" w:hAnsi="Arial" w:cs="Arial"/>
          <w:sz w:val="24"/>
          <w:szCs w:val="24"/>
        </w:rPr>
        <w:t xml:space="preserve"> for interview schedule). </w:t>
      </w:r>
    </w:p>
    <w:p w14:paraId="5DE7B592" w14:textId="2DBFA2DE" w:rsidR="008D109C" w:rsidRPr="00103A0B" w:rsidRDefault="00246809" w:rsidP="00E0420C">
      <w:pPr>
        <w:keepLines/>
        <w:jc w:val="both"/>
        <w:rPr>
          <w:rFonts w:ascii="Arial" w:hAnsi="Arial" w:cs="Arial"/>
          <w:b/>
          <w:bCs/>
          <w:sz w:val="24"/>
          <w:szCs w:val="24"/>
        </w:rPr>
      </w:pPr>
      <w:r w:rsidRPr="00103A0B">
        <w:rPr>
          <w:rFonts w:ascii="Arial" w:hAnsi="Arial" w:cs="Arial"/>
          <w:b/>
          <w:bCs/>
          <w:sz w:val="24"/>
          <w:szCs w:val="24"/>
        </w:rPr>
        <w:t xml:space="preserve">5.2.2 </w:t>
      </w:r>
      <w:r w:rsidR="008D109C" w:rsidRPr="00103A0B">
        <w:rPr>
          <w:rFonts w:ascii="Arial" w:hAnsi="Arial" w:cs="Arial"/>
          <w:b/>
          <w:bCs/>
          <w:sz w:val="24"/>
          <w:szCs w:val="24"/>
        </w:rPr>
        <w:t xml:space="preserve">Sampling and </w:t>
      </w:r>
      <w:r w:rsidRPr="00103A0B">
        <w:rPr>
          <w:rFonts w:ascii="Arial" w:hAnsi="Arial" w:cs="Arial"/>
          <w:b/>
          <w:bCs/>
          <w:sz w:val="24"/>
          <w:szCs w:val="24"/>
        </w:rPr>
        <w:t>R</w:t>
      </w:r>
      <w:r w:rsidR="008D109C" w:rsidRPr="00103A0B">
        <w:rPr>
          <w:rFonts w:ascii="Arial" w:hAnsi="Arial" w:cs="Arial"/>
          <w:b/>
          <w:bCs/>
          <w:sz w:val="24"/>
          <w:szCs w:val="24"/>
        </w:rPr>
        <w:t xml:space="preserve">ecruitment </w:t>
      </w:r>
    </w:p>
    <w:p w14:paraId="763DE9AA" w14:textId="3946830C" w:rsidR="008D109C" w:rsidRPr="00103A0B" w:rsidRDefault="00246809" w:rsidP="00CD5919">
      <w:pPr>
        <w:spacing w:line="360" w:lineRule="auto"/>
        <w:jc w:val="both"/>
        <w:rPr>
          <w:rFonts w:ascii="Arial" w:hAnsi="Arial" w:cs="Arial"/>
          <w:sz w:val="24"/>
          <w:szCs w:val="24"/>
        </w:rPr>
      </w:pPr>
      <w:r w:rsidRPr="00103A0B">
        <w:rPr>
          <w:rFonts w:ascii="Arial" w:hAnsi="Arial" w:cs="Arial"/>
          <w:sz w:val="24"/>
          <w:szCs w:val="24"/>
        </w:rPr>
        <w:t>Once ethical approval was gained from</w:t>
      </w:r>
      <w:r w:rsidR="00614AC1" w:rsidRPr="00103A0B">
        <w:rPr>
          <w:rFonts w:ascii="Arial" w:hAnsi="Arial" w:cs="Arial"/>
          <w:sz w:val="24"/>
          <w:szCs w:val="24"/>
        </w:rPr>
        <w:t xml:space="preserve"> Staffordshire University</w:t>
      </w:r>
      <w:r w:rsidRPr="00103A0B">
        <w:rPr>
          <w:rFonts w:ascii="Arial" w:hAnsi="Arial" w:cs="Arial"/>
          <w:sz w:val="24"/>
          <w:szCs w:val="24"/>
        </w:rPr>
        <w:t xml:space="preserve">, the local provider (LP) sent out invitation letters to those scheduled to attend the Initial Assessment (IA). The researcher recruited participants from the IA venue using opportunistic sampling, and aimed to recruit 25-30 attenders and 10-20 non-attenders as recommended for thematic analysis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{"citationItems":[{"id":"ITEM-1","itemData":{"author":[{"dropping-particle":"","family":"Braun, V.","given":"","non-dropping-particle":"","parse-names":false,"suffix":""},{"dropping-particle":"","family":"Clarke, V.","given":"","non-dropping-particle":"","parse-names":false,"suffix":""}],"id":"ITEM-1","issued":{"date-parts":[["2013"]]},"number-of-pages":"1-382","publisher":"SAGE Publications Ltd","publisher-place":"London","title":"Successful qualitative research: a practical guide for beginners","type":"book"},"uris":["http://www.mendeley.com/documents/?uuid=1f74fd6b-a2c1-442f-8c32-d5103d7531c6"]}],"mendeley":{"formattedCitation":"(Braun, V. &amp; Clarke, V., 2013)","manualFormatting":"(Braun &amp; Clarke, 2013)","plainTextFormattedCitation":"(Braun, V. &amp; Clarke, V., 2013)","previouslyFormattedCitation":"(Braun, V. &amp; Clarke, V., 2013)"},"properties":{"noteIndex":0},"schema":"https://github.com/citation-style-language/schema/raw/master/csl-citation.json"}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(Braun &amp; Clarke, 2013)</w:t>
      </w:r>
      <w:r w:rsidRPr="00103A0B">
        <w:rPr>
          <w:rFonts w:ascii="Arial" w:hAnsi="Arial" w:cs="Arial"/>
          <w:sz w:val="24"/>
          <w:szCs w:val="24"/>
        </w:rPr>
        <w:fldChar w:fldCharType="end"/>
      </w:r>
      <w:r w:rsidRPr="00103A0B">
        <w:rPr>
          <w:rFonts w:ascii="Arial" w:hAnsi="Arial" w:cs="Arial"/>
          <w:sz w:val="24"/>
          <w:szCs w:val="24"/>
        </w:rPr>
        <w:t>. The researcher</w:t>
      </w:r>
      <w:r w:rsidR="00FC6886" w:rsidRPr="00103A0B">
        <w:rPr>
          <w:rFonts w:ascii="Arial" w:hAnsi="Arial" w:cs="Arial"/>
          <w:sz w:val="24"/>
          <w:szCs w:val="24"/>
        </w:rPr>
        <w:t xml:space="preserve"> </w:t>
      </w:r>
      <w:r w:rsidRPr="00103A0B">
        <w:rPr>
          <w:rFonts w:ascii="Arial" w:hAnsi="Arial" w:cs="Arial"/>
          <w:sz w:val="24"/>
          <w:szCs w:val="24"/>
        </w:rPr>
        <w:t xml:space="preserve">attended the IA venue on 11 days, spoke to 84 individuals in total and interviewed 43 participants (following written informed consent). After attending the IA, participants who did not start the programme were classified as “non-attenders” and those who attended at least one session, were classified as “attenders” </w:t>
      </w:r>
      <w:r w:rsidR="008D109C" w:rsidRPr="00103A0B">
        <w:rPr>
          <w:rFonts w:ascii="Arial" w:hAnsi="Arial" w:cs="Arial"/>
          <w:sz w:val="24"/>
          <w:szCs w:val="24"/>
        </w:rPr>
        <w:t>(</w:t>
      </w:r>
      <w:r w:rsidR="00A35E83" w:rsidRPr="00103A0B">
        <w:rPr>
          <w:rFonts w:ascii="Arial" w:hAnsi="Arial" w:cs="Arial"/>
          <w:sz w:val="24"/>
          <w:szCs w:val="24"/>
        </w:rPr>
        <w:t xml:space="preserve">see </w:t>
      </w:r>
      <w:r w:rsidRPr="00103A0B">
        <w:rPr>
          <w:rFonts w:ascii="Arial" w:hAnsi="Arial" w:cs="Arial"/>
          <w:sz w:val="24"/>
          <w:szCs w:val="24"/>
        </w:rPr>
        <w:t>A</w:t>
      </w:r>
      <w:r w:rsidR="00A35E83" w:rsidRPr="00103A0B">
        <w:rPr>
          <w:rFonts w:ascii="Arial" w:hAnsi="Arial" w:cs="Arial"/>
          <w:sz w:val="24"/>
          <w:szCs w:val="24"/>
        </w:rPr>
        <w:t>ppendix 2</w:t>
      </w:r>
      <w:r w:rsidR="004649EF" w:rsidRPr="00103A0B">
        <w:rPr>
          <w:rFonts w:ascii="Arial" w:hAnsi="Arial" w:cs="Arial"/>
          <w:sz w:val="24"/>
          <w:szCs w:val="24"/>
        </w:rPr>
        <w:t>2</w:t>
      </w:r>
      <w:r w:rsidR="008D109C" w:rsidRPr="00103A0B">
        <w:rPr>
          <w:rFonts w:ascii="Arial" w:hAnsi="Arial" w:cs="Arial"/>
          <w:sz w:val="24"/>
          <w:szCs w:val="24"/>
        </w:rPr>
        <w:t xml:space="preserve"> for the recruitment process). </w:t>
      </w:r>
    </w:p>
    <w:p w14:paraId="403A1512" w14:textId="4536C546" w:rsidR="008D109C" w:rsidRPr="00103A0B" w:rsidRDefault="00246809" w:rsidP="00E0420C">
      <w:pPr>
        <w:keepLines/>
        <w:jc w:val="both"/>
        <w:rPr>
          <w:rFonts w:ascii="Arial" w:hAnsi="Arial" w:cs="Arial"/>
          <w:b/>
          <w:bCs/>
          <w:sz w:val="24"/>
          <w:szCs w:val="24"/>
        </w:rPr>
      </w:pPr>
      <w:r w:rsidRPr="00103A0B">
        <w:rPr>
          <w:rFonts w:ascii="Arial" w:hAnsi="Arial" w:cs="Arial"/>
          <w:b/>
          <w:bCs/>
          <w:sz w:val="24"/>
          <w:szCs w:val="24"/>
        </w:rPr>
        <w:t xml:space="preserve">5.2.3 </w:t>
      </w:r>
      <w:r w:rsidR="008D109C" w:rsidRPr="00103A0B">
        <w:rPr>
          <w:rFonts w:ascii="Arial" w:hAnsi="Arial" w:cs="Arial"/>
          <w:b/>
          <w:bCs/>
          <w:sz w:val="24"/>
          <w:szCs w:val="24"/>
        </w:rPr>
        <w:t xml:space="preserve">Data collection and </w:t>
      </w:r>
      <w:r w:rsidRPr="00103A0B">
        <w:rPr>
          <w:rFonts w:ascii="Arial" w:hAnsi="Arial" w:cs="Arial"/>
          <w:b/>
          <w:bCs/>
          <w:sz w:val="24"/>
          <w:szCs w:val="24"/>
        </w:rPr>
        <w:t>A</w:t>
      </w:r>
      <w:r w:rsidR="008D109C" w:rsidRPr="00103A0B">
        <w:rPr>
          <w:rFonts w:ascii="Arial" w:hAnsi="Arial" w:cs="Arial"/>
          <w:b/>
          <w:bCs/>
          <w:sz w:val="24"/>
          <w:szCs w:val="24"/>
        </w:rPr>
        <w:t xml:space="preserve">nalysis </w:t>
      </w:r>
    </w:p>
    <w:p w14:paraId="613AE113" w14:textId="7DC01112" w:rsidR="00246809" w:rsidRPr="00103A0B" w:rsidRDefault="00246809" w:rsidP="00CD5919">
      <w:pPr>
        <w:spacing w:before="240" w:line="360" w:lineRule="auto"/>
        <w:jc w:val="both"/>
        <w:rPr>
          <w:rFonts w:ascii="Arial" w:hAnsi="Arial" w:cs="Arial"/>
          <w:sz w:val="24"/>
          <w:szCs w:val="24"/>
        </w:rPr>
      </w:pPr>
      <w:r w:rsidRPr="00103A0B">
        <w:rPr>
          <w:rFonts w:ascii="Arial" w:hAnsi="Arial" w:cs="Arial"/>
          <w:sz w:val="24"/>
          <w:szCs w:val="24"/>
        </w:rPr>
        <w:t>Individual semi-structured interviews were conducted after the</w:t>
      </w:r>
      <w:r w:rsidR="00363C03" w:rsidRPr="00103A0B">
        <w:rPr>
          <w:rFonts w:ascii="Arial" w:hAnsi="Arial" w:cs="Arial"/>
          <w:sz w:val="24"/>
          <w:szCs w:val="24"/>
        </w:rPr>
        <w:t xml:space="preserve"> </w:t>
      </w:r>
      <w:r w:rsidR="00CF5984" w:rsidRPr="00103A0B">
        <w:rPr>
          <w:rFonts w:ascii="Arial" w:hAnsi="Arial" w:cs="Arial"/>
          <w:sz w:val="24"/>
          <w:szCs w:val="24"/>
        </w:rPr>
        <w:t xml:space="preserve">initial assessment </w:t>
      </w:r>
      <w:r w:rsidRPr="00103A0B">
        <w:rPr>
          <w:rFonts w:ascii="Arial" w:hAnsi="Arial" w:cs="Arial"/>
          <w:sz w:val="24"/>
          <w:szCs w:val="24"/>
        </w:rPr>
        <w:t>(before the first NHSDPP session) (April - November 2017</w:t>
      </w:r>
      <w:r w:rsidR="00363C03" w:rsidRPr="00103A0B">
        <w:rPr>
          <w:rFonts w:ascii="Arial" w:hAnsi="Arial" w:cs="Arial"/>
          <w:sz w:val="24"/>
          <w:szCs w:val="24"/>
        </w:rPr>
        <w:t xml:space="preserve">). </w:t>
      </w:r>
      <w:r w:rsidRPr="00103A0B">
        <w:rPr>
          <w:rFonts w:ascii="Arial" w:hAnsi="Arial" w:cs="Arial"/>
          <w:sz w:val="24"/>
          <w:szCs w:val="24"/>
        </w:rPr>
        <w:t>Participants were interviewed and a brief questionnaire was completed to record demographic information</w:t>
      </w:r>
      <w:r w:rsidR="00EF3BC6" w:rsidRPr="00103A0B">
        <w:rPr>
          <w:rFonts w:ascii="Arial" w:hAnsi="Arial" w:cs="Arial"/>
          <w:sz w:val="24"/>
          <w:szCs w:val="24"/>
        </w:rPr>
        <w:t xml:space="preserve"> (see Appendix 2</w:t>
      </w:r>
      <w:r w:rsidR="004649EF" w:rsidRPr="00103A0B">
        <w:rPr>
          <w:rFonts w:ascii="Arial" w:hAnsi="Arial" w:cs="Arial"/>
          <w:sz w:val="24"/>
          <w:szCs w:val="24"/>
        </w:rPr>
        <w:t>3</w:t>
      </w:r>
      <w:r w:rsidR="00EF3BC6" w:rsidRPr="00103A0B">
        <w:rPr>
          <w:rFonts w:ascii="Arial" w:hAnsi="Arial" w:cs="Arial"/>
          <w:sz w:val="24"/>
          <w:szCs w:val="24"/>
        </w:rPr>
        <w:t xml:space="preserve"> for demographic questionnaire)</w:t>
      </w:r>
      <w:r w:rsidRPr="00103A0B">
        <w:rPr>
          <w:rFonts w:ascii="Arial" w:hAnsi="Arial" w:cs="Arial"/>
          <w:sz w:val="24"/>
          <w:szCs w:val="24"/>
        </w:rPr>
        <w:t>.</w:t>
      </w:r>
      <w:r w:rsidR="00EF3BC6" w:rsidRPr="00103A0B">
        <w:rPr>
          <w:rFonts w:ascii="Arial" w:hAnsi="Arial" w:cs="Arial"/>
          <w:sz w:val="24"/>
          <w:szCs w:val="24"/>
        </w:rPr>
        <w:t xml:space="preserve"> </w:t>
      </w:r>
      <w:r w:rsidR="00B97722" w:rsidRPr="00103A0B">
        <w:rPr>
          <w:rFonts w:ascii="Arial" w:hAnsi="Arial" w:cs="Arial"/>
          <w:sz w:val="24"/>
          <w:szCs w:val="24"/>
        </w:rPr>
        <w:t xml:space="preserve">After these interviews had taken place, participants who did not start the programme were classified as “non-attenders” and those who attended at least one session, were classified as “attenders”. This was determined through regular updates from the local provider (LP) regarding whether the interviewed participants had started the programme.  </w:t>
      </w:r>
      <w:r w:rsidRPr="00103A0B">
        <w:rPr>
          <w:rFonts w:ascii="Arial" w:hAnsi="Arial" w:cs="Arial"/>
          <w:sz w:val="24"/>
          <w:szCs w:val="24"/>
        </w:rPr>
        <w:t xml:space="preserve">Twenty-three were classified as “attenders” and 12 as “non-attenders” (Table </w:t>
      </w:r>
      <w:r w:rsidR="00EF3BC6" w:rsidRPr="00103A0B">
        <w:rPr>
          <w:rFonts w:ascii="Arial" w:hAnsi="Arial" w:cs="Arial"/>
          <w:sz w:val="24"/>
          <w:szCs w:val="24"/>
        </w:rPr>
        <w:t>5</w:t>
      </w:r>
      <w:r w:rsidRPr="00103A0B">
        <w:rPr>
          <w:rFonts w:ascii="Arial" w:hAnsi="Arial" w:cs="Arial"/>
          <w:sz w:val="24"/>
          <w:szCs w:val="24"/>
        </w:rPr>
        <w:t>). Attenders and non-attenders were then followed up with a short telephone call discussing reasons for their attendance or non-attendance</w:t>
      </w:r>
      <w:r w:rsidR="00113A0F" w:rsidRPr="00103A0B">
        <w:rPr>
          <w:rFonts w:ascii="Arial" w:hAnsi="Arial" w:cs="Arial"/>
          <w:sz w:val="24"/>
          <w:szCs w:val="24"/>
        </w:rPr>
        <w:t xml:space="preserve"> </w:t>
      </w:r>
      <w:r w:rsidR="00B97722" w:rsidRPr="00103A0B">
        <w:rPr>
          <w:rFonts w:ascii="Arial" w:hAnsi="Arial" w:cs="Arial"/>
          <w:sz w:val="24"/>
          <w:szCs w:val="24"/>
        </w:rPr>
        <w:t xml:space="preserve">(August 2017 to May 2018) </w:t>
      </w:r>
      <w:r w:rsidRPr="00103A0B">
        <w:rPr>
          <w:rFonts w:ascii="Arial" w:hAnsi="Arial" w:cs="Arial"/>
          <w:sz w:val="24"/>
          <w:szCs w:val="24"/>
        </w:rPr>
        <w:t>(</w:t>
      </w:r>
      <w:r w:rsidR="002D7A55" w:rsidRPr="00103A0B">
        <w:rPr>
          <w:rFonts w:ascii="Arial" w:hAnsi="Arial" w:cs="Arial"/>
          <w:sz w:val="24"/>
          <w:szCs w:val="24"/>
        </w:rPr>
        <w:t>see Appendix 2</w:t>
      </w:r>
      <w:r w:rsidR="004649EF" w:rsidRPr="00103A0B">
        <w:rPr>
          <w:rFonts w:ascii="Arial" w:hAnsi="Arial" w:cs="Arial"/>
          <w:sz w:val="24"/>
          <w:szCs w:val="24"/>
        </w:rPr>
        <w:t>4</w:t>
      </w:r>
      <w:r w:rsidR="002D7A55" w:rsidRPr="00103A0B">
        <w:rPr>
          <w:rFonts w:ascii="Arial" w:hAnsi="Arial" w:cs="Arial"/>
          <w:sz w:val="24"/>
          <w:szCs w:val="24"/>
        </w:rPr>
        <w:t xml:space="preserve"> for reasons for non-attendance</w:t>
      </w:r>
      <w:r w:rsidRPr="00103A0B">
        <w:rPr>
          <w:rFonts w:ascii="Arial" w:hAnsi="Arial" w:cs="Arial"/>
          <w:sz w:val="24"/>
          <w:szCs w:val="24"/>
        </w:rPr>
        <w:t xml:space="preserve">). Eight participants were excluded from analysis (two developed T2DM and ineligible to start; four were not identified on the LP database; </w:t>
      </w:r>
      <w:r w:rsidRPr="00103A0B">
        <w:rPr>
          <w:rFonts w:ascii="Arial" w:hAnsi="Arial" w:cs="Arial"/>
          <w:sz w:val="24"/>
          <w:szCs w:val="24"/>
        </w:rPr>
        <w:lastRenderedPageBreak/>
        <w:t>and two non-attenders were unavailable for a follow-up call).</w:t>
      </w:r>
      <w:r w:rsidR="002D7A55" w:rsidRPr="00103A0B">
        <w:rPr>
          <w:rFonts w:ascii="Arial" w:hAnsi="Arial" w:cs="Arial"/>
          <w:sz w:val="24"/>
          <w:szCs w:val="24"/>
        </w:rPr>
        <w:t xml:space="preserve"> </w:t>
      </w:r>
      <w:r w:rsidRPr="00103A0B">
        <w:rPr>
          <w:rFonts w:ascii="Arial" w:hAnsi="Arial" w:cs="Arial"/>
          <w:sz w:val="24"/>
          <w:szCs w:val="24"/>
        </w:rPr>
        <w:t>Participants were offered a financial incentive to thank them for their time.</w:t>
      </w:r>
    </w:p>
    <w:p w14:paraId="1637C6E9" w14:textId="6BB37BAC" w:rsidR="000517FC" w:rsidRPr="00103A0B" w:rsidRDefault="000517FC" w:rsidP="000517FC">
      <w:pPr>
        <w:spacing w:line="360" w:lineRule="auto"/>
        <w:jc w:val="both"/>
        <w:rPr>
          <w:rFonts w:ascii="Arial" w:hAnsi="Arial" w:cs="Arial"/>
          <w:sz w:val="24"/>
          <w:szCs w:val="24"/>
        </w:rPr>
      </w:pPr>
      <w:bookmarkStart w:id="319" w:name="_Hlk121397282"/>
      <w:r w:rsidRPr="00103A0B">
        <w:rPr>
          <w:rFonts w:ascii="Arial" w:hAnsi="Arial" w:cs="Arial"/>
          <w:sz w:val="24"/>
          <w:szCs w:val="24"/>
        </w:rPr>
        <w:t xml:space="preserve">All interviews were audio recorded, transcribed verbatim and analysed using inductive thematic analysis with </w:t>
      </w:r>
      <w:r w:rsidR="00614AC1" w:rsidRPr="00103A0B">
        <w:rPr>
          <w:rFonts w:ascii="Arial" w:hAnsi="Arial" w:cs="Arial"/>
          <w:sz w:val="24"/>
          <w:szCs w:val="24"/>
        </w:rPr>
        <w:t xml:space="preserve">an </w:t>
      </w:r>
      <w:r w:rsidRPr="00103A0B">
        <w:rPr>
          <w:rFonts w:ascii="Arial" w:hAnsi="Arial" w:cs="Arial"/>
          <w:sz w:val="24"/>
          <w:szCs w:val="24"/>
        </w:rPr>
        <w:t>essentialist epistemological approach (Braun &amp; Clarke, 2006). Analysis took place once both the interviews and follow-up calls had been conducted. Discussions took place with supervisors (RP and NE) on the analysis approach, and it was agreed that due to the follow-up interviews being brief, the baseline interviews were analysed first. Once all the interviews had been analysed, data from the brief follow-up interviews were included and themes generated. Comparisons were then made between the two groups (attenders and non-attenders). Interview transcripts were anonymised, and participants were given pseudonyms for reporting. Analysis was undertaken using NVivo.</w:t>
      </w:r>
    </w:p>
    <w:p w14:paraId="51C55C69" w14:textId="77777777" w:rsidR="000517FC" w:rsidRPr="00103A0B" w:rsidRDefault="00246809" w:rsidP="000517FC">
      <w:pPr>
        <w:spacing w:line="360" w:lineRule="auto"/>
        <w:jc w:val="both"/>
        <w:rPr>
          <w:rFonts w:ascii="Arial" w:hAnsi="Arial" w:cs="Arial"/>
          <w:sz w:val="24"/>
          <w:szCs w:val="24"/>
        </w:rPr>
      </w:pPr>
      <w:r w:rsidRPr="00103A0B">
        <w:rPr>
          <w:rFonts w:ascii="Arial" w:hAnsi="Arial" w:cs="Arial"/>
          <w:sz w:val="24"/>
          <w:szCs w:val="24"/>
        </w:rPr>
        <w:t xml:space="preserve">The six phases of thematic analysis developed by Braun and Clarke (2006) were followed, starting with data familiarisation, initial coding, and development of possible sub-themes and themes, which were then discussed to refine and finalise the final themes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psychology","type":"article-journal","volume":"3"},"uris":["http://www.mendeley.com/documents/?uuid=1366554b-d0d7-43f1-9a4f-92c3d9825f2e"]}],"mendeley":{"formattedCitation":"(Braun &amp; Clarke, 2006)","plainTextFormattedCitation":"(Braun &amp; Clarke, 2006)","previouslyFormattedCitation":"(Braun &amp; Clarke, 2006)"},"properties":{"noteIndex":0},"schema":"https://github.com/citation-style-language/schema/raw/master/csl-citation.json"}</w:instrText>
      </w:r>
      <w:r w:rsidRPr="00103A0B">
        <w:rPr>
          <w:rFonts w:ascii="Arial" w:hAnsi="Arial" w:cs="Arial"/>
          <w:sz w:val="24"/>
          <w:szCs w:val="24"/>
        </w:rPr>
        <w:fldChar w:fldCharType="separate"/>
      </w:r>
      <w:r w:rsidR="00AF410C" w:rsidRPr="00103A0B">
        <w:rPr>
          <w:rFonts w:ascii="Arial" w:hAnsi="Arial" w:cs="Arial"/>
          <w:noProof/>
          <w:sz w:val="24"/>
          <w:szCs w:val="24"/>
        </w:rPr>
        <w:t>(Braun &amp; Clarke, 2006)</w:t>
      </w:r>
      <w:r w:rsidRPr="00103A0B">
        <w:rPr>
          <w:rFonts w:ascii="Arial" w:hAnsi="Arial" w:cs="Arial"/>
          <w:sz w:val="24"/>
          <w:szCs w:val="24"/>
        </w:rPr>
        <w:fldChar w:fldCharType="end"/>
      </w:r>
      <w:r w:rsidRPr="00103A0B">
        <w:rPr>
          <w:rFonts w:ascii="Arial" w:hAnsi="Arial" w:cs="Arial"/>
          <w:sz w:val="24"/>
          <w:szCs w:val="24"/>
        </w:rPr>
        <w:t xml:space="preserve">. </w:t>
      </w:r>
      <w:r w:rsidR="000517FC" w:rsidRPr="00103A0B">
        <w:rPr>
          <w:rFonts w:ascii="Arial" w:hAnsi="Arial" w:cs="Arial"/>
          <w:sz w:val="24"/>
          <w:szCs w:val="24"/>
        </w:rPr>
        <w:t xml:space="preserve">Data coding and initial theme development were undertaken by the researcher (SB) and reviewed and discussed together with the supervisor (RP) to ensure sub-themes and themes were distinct, </w:t>
      </w:r>
      <w:proofErr w:type="gramStart"/>
      <w:r w:rsidR="000517FC" w:rsidRPr="00103A0B">
        <w:rPr>
          <w:rFonts w:ascii="Arial" w:hAnsi="Arial" w:cs="Arial"/>
          <w:sz w:val="24"/>
          <w:szCs w:val="24"/>
        </w:rPr>
        <w:t>clear</w:t>
      </w:r>
      <w:proofErr w:type="gramEnd"/>
      <w:r w:rsidR="000517FC" w:rsidRPr="00103A0B">
        <w:rPr>
          <w:rFonts w:ascii="Arial" w:hAnsi="Arial" w:cs="Arial"/>
          <w:sz w:val="24"/>
          <w:szCs w:val="24"/>
        </w:rPr>
        <w:t xml:space="preserve"> and compatible. Interviews were spilt into two groups, </w:t>
      </w:r>
      <w:proofErr w:type="gramStart"/>
      <w:r w:rsidR="000517FC" w:rsidRPr="00103A0B">
        <w:rPr>
          <w:rFonts w:ascii="Arial" w:hAnsi="Arial" w:cs="Arial"/>
          <w:sz w:val="24"/>
          <w:szCs w:val="24"/>
        </w:rPr>
        <w:t>attenders</w:t>
      </w:r>
      <w:proofErr w:type="gramEnd"/>
      <w:r w:rsidR="000517FC" w:rsidRPr="00103A0B">
        <w:rPr>
          <w:rFonts w:ascii="Arial" w:hAnsi="Arial" w:cs="Arial"/>
          <w:sz w:val="24"/>
          <w:szCs w:val="24"/>
        </w:rPr>
        <w:t xml:space="preserve"> and non-attenders. Both baseline and follow-up for each participant in each group were initially coded and analysed separately, then combined (i.e., follow-up data were included with the baseline data for each participant), synthesised, and final key themes were agreed by the two researchers. Comparisons were then made between the attenders and non-attenders groups where any differences and similarities between the two groups were explored. A model diagram of these themes was created and how they influenced attendance to the NHSDPP (Figure 4). A 15-point checklist of criteria for good thematic analysis was also followed (Braun &amp; Clarke, 2006).</w:t>
      </w:r>
      <w:bookmarkEnd w:id="319"/>
    </w:p>
    <w:p w14:paraId="00BC82E8" w14:textId="2086E6B1" w:rsidR="00FC6886" w:rsidRPr="00103A0B" w:rsidRDefault="00246809" w:rsidP="00884F28">
      <w:pPr>
        <w:spacing w:line="360" w:lineRule="auto"/>
        <w:jc w:val="both"/>
        <w:rPr>
          <w:rFonts w:ascii="Arial" w:hAnsi="Arial" w:cs="Arial"/>
          <w:sz w:val="24"/>
          <w:szCs w:val="24"/>
        </w:rPr>
      </w:pPr>
      <w:r w:rsidRPr="00103A0B">
        <w:rPr>
          <w:rFonts w:ascii="Arial" w:hAnsi="Arial" w:cs="Arial"/>
          <w:sz w:val="24"/>
          <w:szCs w:val="24"/>
        </w:rPr>
        <w:t xml:space="preserve">Regarding reflexivity, the two researchers acknowledge how their beliefs, interests in health psychology and their past experiences could have influenced the interpretation of the data. This was considered during analysis so both </w:t>
      </w:r>
      <w:r w:rsidR="002D7A55" w:rsidRPr="00103A0B">
        <w:rPr>
          <w:rFonts w:ascii="Arial" w:hAnsi="Arial" w:cs="Arial"/>
          <w:sz w:val="24"/>
          <w:szCs w:val="24"/>
        </w:rPr>
        <w:t>researchers</w:t>
      </w:r>
      <w:r w:rsidRPr="00103A0B">
        <w:rPr>
          <w:rFonts w:ascii="Arial" w:hAnsi="Arial" w:cs="Arial"/>
          <w:sz w:val="24"/>
          <w:szCs w:val="24"/>
        </w:rPr>
        <w:t xml:space="preserve"> engaged in this process in a reflexive way. </w:t>
      </w:r>
      <w:bookmarkStart w:id="320" w:name="_Hlk25078852"/>
    </w:p>
    <w:p w14:paraId="7459D307" w14:textId="11FCA5A9" w:rsidR="008D109C" w:rsidRPr="00103A0B" w:rsidRDefault="002D7A55" w:rsidP="00CD5919">
      <w:pPr>
        <w:pStyle w:val="Heading2"/>
        <w:numPr>
          <w:ilvl w:val="0"/>
          <w:numId w:val="0"/>
        </w:numPr>
        <w:jc w:val="both"/>
        <w:rPr>
          <w:rFonts w:ascii="Arial" w:hAnsi="Arial" w:cs="Arial"/>
          <w:sz w:val="28"/>
        </w:rPr>
      </w:pPr>
      <w:bookmarkStart w:id="321" w:name="_Toc151548322"/>
      <w:bookmarkEnd w:id="320"/>
      <w:r w:rsidRPr="00103A0B">
        <w:rPr>
          <w:rFonts w:ascii="Arial" w:hAnsi="Arial" w:cs="Arial"/>
          <w:sz w:val="28"/>
        </w:rPr>
        <w:lastRenderedPageBreak/>
        <w:t xml:space="preserve">5.3 </w:t>
      </w:r>
      <w:r w:rsidR="008D109C" w:rsidRPr="00103A0B">
        <w:rPr>
          <w:rFonts w:ascii="Arial" w:hAnsi="Arial" w:cs="Arial"/>
          <w:sz w:val="28"/>
        </w:rPr>
        <w:t>Results</w:t>
      </w:r>
      <w:bookmarkEnd w:id="321"/>
      <w:r w:rsidR="008D109C" w:rsidRPr="00103A0B">
        <w:rPr>
          <w:rFonts w:ascii="Arial" w:hAnsi="Arial" w:cs="Arial"/>
          <w:sz w:val="28"/>
        </w:rPr>
        <w:t xml:space="preserve"> </w:t>
      </w:r>
    </w:p>
    <w:p w14:paraId="0455CF79" w14:textId="4925AA4F" w:rsidR="00FC6886" w:rsidRPr="00103A0B" w:rsidRDefault="00E5731D" w:rsidP="00CD5919">
      <w:pPr>
        <w:spacing w:line="360" w:lineRule="auto"/>
        <w:jc w:val="both"/>
        <w:rPr>
          <w:rFonts w:ascii="Arial" w:hAnsi="Arial" w:cs="Arial"/>
          <w:sz w:val="24"/>
          <w:szCs w:val="24"/>
        </w:rPr>
      </w:pPr>
      <w:bookmarkStart w:id="322" w:name="_Hlk25079277"/>
      <w:r w:rsidRPr="00103A0B">
        <w:rPr>
          <w:rFonts w:ascii="Arial" w:hAnsi="Arial" w:cs="Arial"/>
          <w:sz w:val="24"/>
          <w:szCs w:val="24"/>
        </w:rPr>
        <w:t xml:space="preserve">Twenty-three attenders (mean age 51.8 years, range 34-64) and twelve non-attenders (mean age 49.3 years, range 25-69) were recruited (Table 5). </w:t>
      </w:r>
    </w:p>
    <w:p w14:paraId="0FA9EA60" w14:textId="2C816A00" w:rsidR="00E5731D" w:rsidRPr="00103A0B" w:rsidRDefault="00A912AC" w:rsidP="00CD5919">
      <w:pPr>
        <w:spacing w:line="360" w:lineRule="auto"/>
        <w:jc w:val="both"/>
        <w:rPr>
          <w:rFonts w:ascii="Arial" w:hAnsi="Arial" w:cs="Arial"/>
          <w:i/>
          <w:sz w:val="24"/>
          <w:szCs w:val="24"/>
        </w:rPr>
      </w:pPr>
      <w:bookmarkStart w:id="323" w:name="_Hlk75195238"/>
      <w:r w:rsidRPr="00103A0B">
        <w:rPr>
          <w:rFonts w:ascii="Arial" w:hAnsi="Arial" w:cs="Arial"/>
          <w:i/>
          <w:sz w:val="24"/>
          <w:szCs w:val="24"/>
        </w:rPr>
        <w:t xml:space="preserve">Table 5: Sample characteristics </w:t>
      </w:r>
      <w:bookmarkEnd w:id="323"/>
    </w:p>
    <w:tbl>
      <w:tblPr>
        <w:tblStyle w:val="TableGrid"/>
        <w:tblW w:w="9599" w:type="dxa"/>
        <w:tblLook w:val="04A0" w:firstRow="1" w:lastRow="0" w:firstColumn="1" w:lastColumn="0" w:noHBand="0" w:noVBand="1"/>
      </w:tblPr>
      <w:tblGrid>
        <w:gridCol w:w="3199"/>
        <w:gridCol w:w="3199"/>
        <w:gridCol w:w="3201"/>
      </w:tblGrid>
      <w:tr w:rsidR="00E5731D" w:rsidRPr="00103A0B" w14:paraId="2033B6BE" w14:textId="77777777" w:rsidTr="00C220D1">
        <w:trPr>
          <w:trHeight w:val="454"/>
        </w:trPr>
        <w:tc>
          <w:tcPr>
            <w:tcW w:w="3199" w:type="dxa"/>
          </w:tcPr>
          <w:p w14:paraId="04910D0A" w14:textId="77777777" w:rsidR="00E5731D" w:rsidRPr="00103A0B" w:rsidRDefault="00E5731D" w:rsidP="00CD5919">
            <w:pPr>
              <w:spacing w:line="360" w:lineRule="auto"/>
              <w:jc w:val="both"/>
              <w:rPr>
                <w:rFonts w:ascii="Arial" w:hAnsi="Arial" w:cs="Arial"/>
                <w:sz w:val="24"/>
                <w:szCs w:val="24"/>
              </w:rPr>
            </w:pPr>
          </w:p>
        </w:tc>
        <w:tc>
          <w:tcPr>
            <w:tcW w:w="3199" w:type="dxa"/>
          </w:tcPr>
          <w:p w14:paraId="4BADF9E5"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b/>
                <w:bCs/>
                <w:sz w:val="24"/>
                <w:szCs w:val="24"/>
              </w:rPr>
              <w:t>Attenders</w:t>
            </w:r>
            <w:r w:rsidRPr="00103A0B">
              <w:rPr>
                <w:rFonts w:ascii="Arial" w:hAnsi="Arial" w:cs="Arial"/>
                <w:sz w:val="24"/>
                <w:szCs w:val="24"/>
              </w:rPr>
              <w:t xml:space="preserve"> (</w:t>
            </w:r>
            <w:r w:rsidRPr="00103A0B">
              <w:rPr>
                <w:rFonts w:ascii="Arial" w:hAnsi="Arial" w:cs="Arial"/>
                <w:i/>
                <w:sz w:val="24"/>
                <w:szCs w:val="24"/>
              </w:rPr>
              <w:t xml:space="preserve">n </w:t>
            </w:r>
            <w:r w:rsidRPr="00103A0B">
              <w:rPr>
                <w:rFonts w:ascii="Arial" w:hAnsi="Arial" w:cs="Arial"/>
                <w:sz w:val="24"/>
                <w:szCs w:val="24"/>
              </w:rPr>
              <w:t>= 23) (%)</w:t>
            </w:r>
          </w:p>
        </w:tc>
        <w:tc>
          <w:tcPr>
            <w:tcW w:w="3201" w:type="dxa"/>
          </w:tcPr>
          <w:p w14:paraId="6C58A80C"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b/>
                <w:bCs/>
                <w:sz w:val="24"/>
                <w:szCs w:val="24"/>
              </w:rPr>
              <w:t>Non-attenders</w:t>
            </w:r>
            <w:r w:rsidRPr="00103A0B">
              <w:rPr>
                <w:rFonts w:ascii="Arial" w:hAnsi="Arial" w:cs="Arial"/>
                <w:sz w:val="24"/>
                <w:szCs w:val="24"/>
              </w:rPr>
              <w:t xml:space="preserve"> (</w:t>
            </w:r>
            <w:r w:rsidRPr="00103A0B">
              <w:rPr>
                <w:rFonts w:ascii="Arial" w:hAnsi="Arial" w:cs="Arial"/>
                <w:i/>
                <w:sz w:val="24"/>
                <w:szCs w:val="24"/>
              </w:rPr>
              <w:t xml:space="preserve">n </w:t>
            </w:r>
            <w:r w:rsidRPr="00103A0B">
              <w:rPr>
                <w:rFonts w:ascii="Arial" w:hAnsi="Arial" w:cs="Arial"/>
                <w:sz w:val="24"/>
                <w:szCs w:val="24"/>
              </w:rPr>
              <w:t>= 12) (%)</w:t>
            </w:r>
          </w:p>
        </w:tc>
      </w:tr>
      <w:tr w:rsidR="00E5731D" w:rsidRPr="00103A0B" w14:paraId="5468439A" w14:textId="77777777" w:rsidTr="00FC6886">
        <w:trPr>
          <w:trHeight w:val="410"/>
        </w:trPr>
        <w:tc>
          <w:tcPr>
            <w:tcW w:w="3199" w:type="dxa"/>
            <w:shd w:val="clear" w:color="auto" w:fill="auto"/>
          </w:tcPr>
          <w:p w14:paraId="7AF65D87" w14:textId="77777777" w:rsidR="00E5731D" w:rsidRPr="00103A0B" w:rsidRDefault="00E5731D" w:rsidP="00CD5919">
            <w:pPr>
              <w:spacing w:line="360" w:lineRule="auto"/>
              <w:jc w:val="both"/>
              <w:rPr>
                <w:rFonts w:ascii="Arial" w:hAnsi="Arial" w:cs="Arial"/>
                <w:b/>
                <w:bCs/>
                <w:sz w:val="24"/>
                <w:szCs w:val="24"/>
              </w:rPr>
            </w:pPr>
            <w:r w:rsidRPr="00103A0B">
              <w:rPr>
                <w:rFonts w:ascii="Arial" w:hAnsi="Arial" w:cs="Arial"/>
                <w:b/>
                <w:bCs/>
                <w:sz w:val="24"/>
                <w:szCs w:val="24"/>
              </w:rPr>
              <w:t>Gender</w:t>
            </w:r>
          </w:p>
        </w:tc>
        <w:tc>
          <w:tcPr>
            <w:tcW w:w="3199" w:type="dxa"/>
            <w:shd w:val="clear" w:color="auto" w:fill="auto"/>
          </w:tcPr>
          <w:p w14:paraId="586F0152" w14:textId="77777777" w:rsidR="00E5731D" w:rsidRPr="00103A0B" w:rsidRDefault="00E5731D" w:rsidP="00CD5919">
            <w:pPr>
              <w:spacing w:line="360" w:lineRule="auto"/>
              <w:jc w:val="both"/>
              <w:rPr>
                <w:rFonts w:ascii="Arial" w:hAnsi="Arial" w:cs="Arial"/>
                <w:sz w:val="24"/>
                <w:szCs w:val="24"/>
              </w:rPr>
            </w:pPr>
          </w:p>
        </w:tc>
        <w:tc>
          <w:tcPr>
            <w:tcW w:w="3201" w:type="dxa"/>
            <w:shd w:val="clear" w:color="auto" w:fill="auto"/>
          </w:tcPr>
          <w:p w14:paraId="35929B9A" w14:textId="77777777" w:rsidR="00E5731D" w:rsidRPr="00103A0B" w:rsidRDefault="00E5731D" w:rsidP="00CD5919">
            <w:pPr>
              <w:spacing w:line="360" w:lineRule="auto"/>
              <w:jc w:val="both"/>
              <w:rPr>
                <w:rFonts w:ascii="Arial" w:hAnsi="Arial" w:cs="Arial"/>
                <w:sz w:val="24"/>
                <w:szCs w:val="24"/>
              </w:rPr>
            </w:pPr>
          </w:p>
        </w:tc>
      </w:tr>
      <w:tr w:rsidR="00E5731D" w:rsidRPr="00103A0B" w14:paraId="2AAF5C60" w14:textId="77777777" w:rsidTr="00FC6886">
        <w:trPr>
          <w:trHeight w:val="410"/>
        </w:trPr>
        <w:tc>
          <w:tcPr>
            <w:tcW w:w="3199" w:type="dxa"/>
          </w:tcPr>
          <w:p w14:paraId="3EF650EC"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Women</w:t>
            </w:r>
          </w:p>
        </w:tc>
        <w:tc>
          <w:tcPr>
            <w:tcW w:w="3199" w:type="dxa"/>
          </w:tcPr>
          <w:p w14:paraId="0A8B4FBF"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13 (56.5)</w:t>
            </w:r>
          </w:p>
        </w:tc>
        <w:tc>
          <w:tcPr>
            <w:tcW w:w="3201" w:type="dxa"/>
          </w:tcPr>
          <w:p w14:paraId="1D7EF5FB"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7 (58.3)</w:t>
            </w:r>
          </w:p>
        </w:tc>
      </w:tr>
      <w:tr w:rsidR="00E5731D" w:rsidRPr="00103A0B" w14:paraId="18C94671" w14:textId="77777777" w:rsidTr="00FC6886">
        <w:trPr>
          <w:trHeight w:val="425"/>
        </w:trPr>
        <w:tc>
          <w:tcPr>
            <w:tcW w:w="3199" w:type="dxa"/>
          </w:tcPr>
          <w:p w14:paraId="24779F93"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 xml:space="preserve">Men </w:t>
            </w:r>
          </w:p>
        </w:tc>
        <w:tc>
          <w:tcPr>
            <w:tcW w:w="3199" w:type="dxa"/>
          </w:tcPr>
          <w:p w14:paraId="1C3195EF"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10 (43.5)</w:t>
            </w:r>
          </w:p>
        </w:tc>
        <w:tc>
          <w:tcPr>
            <w:tcW w:w="3201" w:type="dxa"/>
          </w:tcPr>
          <w:p w14:paraId="3551A8E6"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5 (41.7)</w:t>
            </w:r>
          </w:p>
        </w:tc>
      </w:tr>
      <w:tr w:rsidR="00E5731D" w:rsidRPr="00103A0B" w14:paraId="29D914CD" w14:textId="77777777" w:rsidTr="00FC6886">
        <w:trPr>
          <w:trHeight w:val="410"/>
        </w:trPr>
        <w:tc>
          <w:tcPr>
            <w:tcW w:w="3199" w:type="dxa"/>
            <w:shd w:val="clear" w:color="auto" w:fill="auto"/>
          </w:tcPr>
          <w:p w14:paraId="7CA00A14" w14:textId="77777777" w:rsidR="00E5731D" w:rsidRPr="00103A0B" w:rsidRDefault="00E5731D" w:rsidP="00CD5919">
            <w:pPr>
              <w:spacing w:line="360" w:lineRule="auto"/>
              <w:jc w:val="both"/>
              <w:rPr>
                <w:rFonts w:ascii="Arial" w:hAnsi="Arial" w:cs="Arial"/>
                <w:b/>
                <w:bCs/>
                <w:sz w:val="24"/>
                <w:szCs w:val="24"/>
              </w:rPr>
            </w:pPr>
            <w:r w:rsidRPr="00103A0B">
              <w:rPr>
                <w:rFonts w:ascii="Arial" w:hAnsi="Arial" w:cs="Arial"/>
                <w:b/>
                <w:bCs/>
                <w:sz w:val="24"/>
                <w:szCs w:val="24"/>
              </w:rPr>
              <w:t>Age</w:t>
            </w:r>
          </w:p>
        </w:tc>
        <w:tc>
          <w:tcPr>
            <w:tcW w:w="3199" w:type="dxa"/>
            <w:shd w:val="clear" w:color="auto" w:fill="auto"/>
          </w:tcPr>
          <w:p w14:paraId="22AFA7D7" w14:textId="77777777" w:rsidR="00E5731D" w:rsidRPr="00103A0B" w:rsidRDefault="00E5731D" w:rsidP="00CD5919">
            <w:pPr>
              <w:spacing w:line="360" w:lineRule="auto"/>
              <w:jc w:val="both"/>
              <w:rPr>
                <w:rFonts w:ascii="Arial" w:hAnsi="Arial" w:cs="Arial"/>
                <w:sz w:val="24"/>
                <w:szCs w:val="24"/>
              </w:rPr>
            </w:pPr>
          </w:p>
        </w:tc>
        <w:tc>
          <w:tcPr>
            <w:tcW w:w="3201" w:type="dxa"/>
            <w:shd w:val="clear" w:color="auto" w:fill="auto"/>
          </w:tcPr>
          <w:p w14:paraId="47C69F46" w14:textId="77777777" w:rsidR="00E5731D" w:rsidRPr="00103A0B" w:rsidRDefault="00E5731D" w:rsidP="00CD5919">
            <w:pPr>
              <w:spacing w:line="360" w:lineRule="auto"/>
              <w:jc w:val="both"/>
              <w:rPr>
                <w:rFonts w:ascii="Arial" w:hAnsi="Arial" w:cs="Arial"/>
                <w:sz w:val="24"/>
                <w:szCs w:val="24"/>
              </w:rPr>
            </w:pPr>
          </w:p>
        </w:tc>
      </w:tr>
      <w:tr w:rsidR="00E5731D" w:rsidRPr="00103A0B" w14:paraId="23671A2C" w14:textId="77777777" w:rsidTr="00FC6886">
        <w:trPr>
          <w:trHeight w:val="410"/>
        </w:trPr>
        <w:tc>
          <w:tcPr>
            <w:tcW w:w="3199" w:type="dxa"/>
          </w:tcPr>
          <w:p w14:paraId="07FFC42F"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20-29</w:t>
            </w:r>
          </w:p>
        </w:tc>
        <w:tc>
          <w:tcPr>
            <w:tcW w:w="3199" w:type="dxa"/>
          </w:tcPr>
          <w:p w14:paraId="7A15EC07"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0</w:t>
            </w:r>
          </w:p>
        </w:tc>
        <w:tc>
          <w:tcPr>
            <w:tcW w:w="3201" w:type="dxa"/>
          </w:tcPr>
          <w:p w14:paraId="360CC826"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 (8.3)</w:t>
            </w:r>
          </w:p>
        </w:tc>
      </w:tr>
      <w:tr w:rsidR="00E5731D" w:rsidRPr="00103A0B" w14:paraId="7EDED1F1" w14:textId="77777777" w:rsidTr="00FC6886">
        <w:trPr>
          <w:trHeight w:val="410"/>
        </w:trPr>
        <w:tc>
          <w:tcPr>
            <w:tcW w:w="3199" w:type="dxa"/>
          </w:tcPr>
          <w:p w14:paraId="4563BE96"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 xml:space="preserve">30-39 </w:t>
            </w:r>
          </w:p>
        </w:tc>
        <w:tc>
          <w:tcPr>
            <w:tcW w:w="3199" w:type="dxa"/>
          </w:tcPr>
          <w:p w14:paraId="1E93479A"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 (4.3)</w:t>
            </w:r>
          </w:p>
        </w:tc>
        <w:tc>
          <w:tcPr>
            <w:tcW w:w="3201" w:type="dxa"/>
          </w:tcPr>
          <w:p w14:paraId="132EA0E3"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0</w:t>
            </w:r>
          </w:p>
        </w:tc>
      </w:tr>
      <w:tr w:rsidR="00E5731D" w:rsidRPr="00103A0B" w14:paraId="360E17B7" w14:textId="77777777" w:rsidTr="00FC6886">
        <w:trPr>
          <w:trHeight w:val="425"/>
        </w:trPr>
        <w:tc>
          <w:tcPr>
            <w:tcW w:w="3199" w:type="dxa"/>
          </w:tcPr>
          <w:p w14:paraId="45291492"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40-49</w:t>
            </w:r>
          </w:p>
        </w:tc>
        <w:tc>
          <w:tcPr>
            <w:tcW w:w="3199" w:type="dxa"/>
          </w:tcPr>
          <w:p w14:paraId="5406EEFE"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7 (30.4)</w:t>
            </w:r>
          </w:p>
        </w:tc>
        <w:tc>
          <w:tcPr>
            <w:tcW w:w="3201" w:type="dxa"/>
          </w:tcPr>
          <w:p w14:paraId="290B6AD4"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6 (50.0)</w:t>
            </w:r>
          </w:p>
        </w:tc>
      </w:tr>
      <w:tr w:rsidR="00E5731D" w:rsidRPr="00103A0B" w14:paraId="594E9B9F" w14:textId="77777777" w:rsidTr="00FC6886">
        <w:trPr>
          <w:trHeight w:val="410"/>
        </w:trPr>
        <w:tc>
          <w:tcPr>
            <w:tcW w:w="3199" w:type="dxa"/>
          </w:tcPr>
          <w:p w14:paraId="55B09302"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50-59</w:t>
            </w:r>
          </w:p>
        </w:tc>
        <w:tc>
          <w:tcPr>
            <w:tcW w:w="3199" w:type="dxa"/>
          </w:tcPr>
          <w:p w14:paraId="72049129"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12 (52.2)</w:t>
            </w:r>
          </w:p>
        </w:tc>
        <w:tc>
          <w:tcPr>
            <w:tcW w:w="3201" w:type="dxa"/>
          </w:tcPr>
          <w:p w14:paraId="3441BF24"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3 (25.0)</w:t>
            </w:r>
          </w:p>
        </w:tc>
      </w:tr>
      <w:tr w:rsidR="00E5731D" w:rsidRPr="00103A0B" w14:paraId="3AC5618F" w14:textId="77777777" w:rsidTr="00FC6886">
        <w:trPr>
          <w:trHeight w:val="410"/>
        </w:trPr>
        <w:tc>
          <w:tcPr>
            <w:tcW w:w="3199" w:type="dxa"/>
          </w:tcPr>
          <w:p w14:paraId="37B510E8"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60-69</w:t>
            </w:r>
          </w:p>
        </w:tc>
        <w:tc>
          <w:tcPr>
            <w:tcW w:w="3199" w:type="dxa"/>
          </w:tcPr>
          <w:p w14:paraId="38566E92"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3 (13.0)</w:t>
            </w:r>
          </w:p>
        </w:tc>
        <w:tc>
          <w:tcPr>
            <w:tcW w:w="3201" w:type="dxa"/>
          </w:tcPr>
          <w:p w14:paraId="66DCAC28"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2 (16.7)</w:t>
            </w:r>
          </w:p>
        </w:tc>
      </w:tr>
      <w:tr w:rsidR="00E5731D" w:rsidRPr="00103A0B" w14:paraId="32547A33" w14:textId="77777777" w:rsidTr="00FC6886">
        <w:trPr>
          <w:trHeight w:val="425"/>
        </w:trPr>
        <w:tc>
          <w:tcPr>
            <w:tcW w:w="3199" w:type="dxa"/>
            <w:shd w:val="clear" w:color="auto" w:fill="auto"/>
          </w:tcPr>
          <w:p w14:paraId="413C7B6C" w14:textId="77777777" w:rsidR="00E5731D" w:rsidRPr="00103A0B" w:rsidRDefault="00E5731D" w:rsidP="00CD5919">
            <w:pPr>
              <w:spacing w:line="360" w:lineRule="auto"/>
              <w:jc w:val="both"/>
              <w:rPr>
                <w:rFonts w:ascii="Arial" w:hAnsi="Arial" w:cs="Arial"/>
                <w:b/>
                <w:bCs/>
                <w:sz w:val="24"/>
                <w:szCs w:val="24"/>
              </w:rPr>
            </w:pPr>
            <w:r w:rsidRPr="00103A0B">
              <w:rPr>
                <w:rFonts w:ascii="Arial" w:hAnsi="Arial" w:cs="Arial"/>
                <w:b/>
                <w:bCs/>
                <w:sz w:val="24"/>
                <w:szCs w:val="24"/>
              </w:rPr>
              <w:t xml:space="preserve">Ethnicity </w:t>
            </w:r>
          </w:p>
        </w:tc>
        <w:tc>
          <w:tcPr>
            <w:tcW w:w="3199" w:type="dxa"/>
            <w:shd w:val="clear" w:color="auto" w:fill="auto"/>
          </w:tcPr>
          <w:p w14:paraId="4857BB38" w14:textId="77777777" w:rsidR="00E5731D" w:rsidRPr="00103A0B" w:rsidRDefault="00E5731D" w:rsidP="00CD5919">
            <w:pPr>
              <w:spacing w:line="360" w:lineRule="auto"/>
              <w:jc w:val="both"/>
              <w:rPr>
                <w:rFonts w:ascii="Arial" w:hAnsi="Arial" w:cs="Arial"/>
                <w:sz w:val="24"/>
                <w:szCs w:val="24"/>
              </w:rPr>
            </w:pPr>
          </w:p>
        </w:tc>
        <w:tc>
          <w:tcPr>
            <w:tcW w:w="3201" w:type="dxa"/>
            <w:shd w:val="clear" w:color="auto" w:fill="auto"/>
          </w:tcPr>
          <w:p w14:paraId="68B63D24" w14:textId="77777777" w:rsidR="00E5731D" w:rsidRPr="00103A0B" w:rsidRDefault="00E5731D" w:rsidP="00CD5919">
            <w:pPr>
              <w:spacing w:line="360" w:lineRule="auto"/>
              <w:jc w:val="both"/>
              <w:rPr>
                <w:rFonts w:ascii="Arial" w:hAnsi="Arial" w:cs="Arial"/>
                <w:sz w:val="24"/>
                <w:szCs w:val="24"/>
              </w:rPr>
            </w:pPr>
          </w:p>
        </w:tc>
      </w:tr>
      <w:tr w:rsidR="00E5731D" w:rsidRPr="00103A0B" w14:paraId="793CD875" w14:textId="77777777" w:rsidTr="00FC6886">
        <w:trPr>
          <w:trHeight w:val="410"/>
        </w:trPr>
        <w:tc>
          <w:tcPr>
            <w:tcW w:w="3199" w:type="dxa"/>
          </w:tcPr>
          <w:p w14:paraId="6DE0D47C"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 xml:space="preserve">White British </w:t>
            </w:r>
          </w:p>
        </w:tc>
        <w:tc>
          <w:tcPr>
            <w:tcW w:w="3199" w:type="dxa"/>
          </w:tcPr>
          <w:p w14:paraId="654490B5"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6 (26.1)</w:t>
            </w:r>
          </w:p>
        </w:tc>
        <w:tc>
          <w:tcPr>
            <w:tcW w:w="3201" w:type="dxa"/>
          </w:tcPr>
          <w:p w14:paraId="12704CBE"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5 (41.7)</w:t>
            </w:r>
          </w:p>
        </w:tc>
      </w:tr>
      <w:tr w:rsidR="00E5731D" w:rsidRPr="00103A0B" w14:paraId="51B91AAF" w14:textId="77777777" w:rsidTr="00FC6886">
        <w:trPr>
          <w:trHeight w:val="410"/>
        </w:trPr>
        <w:tc>
          <w:tcPr>
            <w:tcW w:w="3199" w:type="dxa"/>
          </w:tcPr>
          <w:p w14:paraId="2E48ECA0"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 xml:space="preserve">Black/Black British </w:t>
            </w:r>
          </w:p>
        </w:tc>
        <w:tc>
          <w:tcPr>
            <w:tcW w:w="3199" w:type="dxa"/>
          </w:tcPr>
          <w:p w14:paraId="3EAA9429"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11 (47.8)</w:t>
            </w:r>
          </w:p>
        </w:tc>
        <w:tc>
          <w:tcPr>
            <w:tcW w:w="3201" w:type="dxa"/>
          </w:tcPr>
          <w:p w14:paraId="3102C129"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3 (25.0)</w:t>
            </w:r>
          </w:p>
        </w:tc>
      </w:tr>
      <w:tr w:rsidR="00E5731D" w:rsidRPr="00103A0B" w14:paraId="6B50D02A" w14:textId="77777777" w:rsidTr="00FC6886">
        <w:trPr>
          <w:trHeight w:val="410"/>
        </w:trPr>
        <w:tc>
          <w:tcPr>
            <w:tcW w:w="3199" w:type="dxa"/>
          </w:tcPr>
          <w:p w14:paraId="45418EC7"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 xml:space="preserve">Asian/Asian British </w:t>
            </w:r>
          </w:p>
        </w:tc>
        <w:tc>
          <w:tcPr>
            <w:tcW w:w="3199" w:type="dxa"/>
          </w:tcPr>
          <w:p w14:paraId="7F0F5503"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2 (8.7)</w:t>
            </w:r>
          </w:p>
        </w:tc>
        <w:tc>
          <w:tcPr>
            <w:tcW w:w="3201" w:type="dxa"/>
          </w:tcPr>
          <w:p w14:paraId="0A3D4370"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2 (16.7)</w:t>
            </w:r>
          </w:p>
        </w:tc>
      </w:tr>
      <w:tr w:rsidR="00E5731D" w:rsidRPr="00103A0B" w14:paraId="7FF1C701" w14:textId="77777777" w:rsidTr="00FC6886">
        <w:trPr>
          <w:trHeight w:val="425"/>
        </w:trPr>
        <w:tc>
          <w:tcPr>
            <w:tcW w:w="3199" w:type="dxa"/>
          </w:tcPr>
          <w:p w14:paraId="164EC91B"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Mixed</w:t>
            </w:r>
          </w:p>
        </w:tc>
        <w:tc>
          <w:tcPr>
            <w:tcW w:w="3199" w:type="dxa"/>
          </w:tcPr>
          <w:p w14:paraId="6785CF5F"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 (4.3)</w:t>
            </w:r>
          </w:p>
        </w:tc>
        <w:tc>
          <w:tcPr>
            <w:tcW w:w="3201" w:type="dxa"/>
          </w:tcPr>
          <w:p w14:paraId="1371630E"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 (8.3)</w:t>
            </w:r>
          </w:p>
        </w:tc>
      </w:tr>
      <w:tr w:rsidR="00E5731D" w:rsidRPr="00103A0B" w14:paraId="454D7A1B" w14:textId="77777777" w:rsidTr="00FC6886">
        <w:trPr>
          <w:trHeight w:val="410"/>
        </w:trPr>
        <w:tc>
          <w:tcPr>
            <w:tcW w:w="3199" w:type="dxa"/>
          </w:tcPr>
          <w:p w14:paraId="796C7708"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Other</w:t>
            </w:r>
          </w:p>
        </w:tc>
        <w:tc>
          <w:tcPr>
            <w:tcW w:w="3199" w:type="dxa"/>
          </w:tcPr>
          <w:p w14:paraId="511F6FE8"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3 (13.0)</w:t>
            </w:r>
          </w:p>
        </w:tc>
        <w:tc>
          <w:tcPr>
            <w:tcW w:w="3201" w:type="dxa"/>
          </w:tcPr>
          <w:p w14:paraId="3E14F6D1"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 (8.3)</w:t>
            </w:r>
          </w:p>
        </w:tc>
      </w:tr>
      <w:tr w:rsidR="00E5731D" w:rsidRPr="00103A0B" w14:paraId="783FCF97" w14:textId="77777777" w:rsidTr="00FC6886">
        <w:trPr>
          <w:trHeight w:val="399"/>
        </w:trPr>
        <w:tc>
          <w:tcPr>
            <w:tcW w:w="3199" w:type="dxa"/>
            <w:shd w:val="clear" w:color="auto" w:fill="auto"/>
          </w:tcPr>
          <w:p w14:paraId="485230E7" w14:textId="77777777" w:rsidR="00E5731D" w:rsidRPr="00103A0B" w:rsidRDefault="00E5731D" w:rsidP="00CD5919">
            <w:pPr>
              <w:spacing w:line="360" w:lineRule="auto"/>
              <w:jc w:val="both"/>
              <w:rPr>
                <w:rFonts w:ascii="Arial" w:hAnsi="Arial" w:cs="Arial"/>
                <w:b/>
                <w:bCs/>
                <w:sz w:val="24"/>
                <w:szCs w:val="24"/>
              </w:rPr>
            </w:pPr>
            <w:r w:rsidRPr="00103A0B">
              <w:rPr>
                <w:rFonts w:ascii="Arial" w:hAnsi="Arial" w:cs="Arial"/>
                <w:b/>
                <w:bCs/>
                <w:sz w:val="24"/>
                <w:szCs w:val="24"/>
              </w:rPr>
              <w:t>Deprivation quintile (1-5) *</w:t>
            </w:r>
          </w:p>
        </w:tc>
        <w:tc>
          <w:tcPr>
            <w:tcW w:w="3199" w:type="dxa"/>
            <w:shd w:val="clear" w:color="auto" w:fill="auto"/>
          </w:tcPr>
          <w:p w14:paraId="142AF89E" w14:textId="77777777" w:rsidR="00E5731D" w:rsidRPr="00103A0B" w:rsidRDefault="00E5731D" w:rsidP="00CD5919">
            <w:pPr>
              <w:spacing w:line="360" w:lineRule="auto"/>
              <w:jc w:val="both"/>
              <w:rPr>
                <w:rFonts w:ascii="Arial" w:hAnsi="Arial" w:cs="Arial"/>
                <w:sz w:val="24"/>
                <w:szCs w:val="24"/>
              </w:rPr>
            </w:pPr>
          </w:p>
        </w:tc>
        <w:tc>
          <w:tcPr>
            <w:tcW w:w="3201" w:type="dxa"/>
            <w:shd w:val="clear" w:color="auto" w:fill="auto"/>
          </w:tcPr>
          <w:p w14:paraId="4F90920D" w14:textId="77777777" w:rsidR="00E5731D" w:rsidRPr="00103A0B" w:rsidRDefault="00E5731D" w:rsidP="00CD5919">
            <w:pPr>
              <w:spacing w:line="360" w:lineRule="auto"/>
              <w:jc w:val="both"/>
              <w:rPr>
                <w:rFonts w:ascii="Arial" w:hAnsi="Arial" w:cs="Arial"/>
                <w:sz w:val="24"/>
                <w:szCs w:val="24"/>
              </w:rPr>
            </w:pPr>
          </w:p>
        </w:tc>
      </w:tr>
      <w:tr w:rsidR="00E5731D" w:rsidRPr="00103A0B" w14:paraId="1B9E96D6" w14:textId="77777777" w:rsidTr="00FC6886">
        <w:trPr>
          <w:trHeight w:val="410"/>
        </w:trPr>
        <w:tc>
          <w:tcPr>
            <w:tcW w:w="3199" w:type="dxa"/>
          </w:tcPr>
          <w:p w14:paraId="430BD003"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Quintile 1 (most deprived)</w:t>
            </w:r>
          </w:p>
        </w:tc>
        <w:tc>
          <w:tcPr>
            <w:tcW w:w="3199" w:type="dxa"/>
          </w:tcPr>
          <w:p w14:paraId="3737DC2E"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10 (43.5)</w:t>
            </w:r>
          </w:p>
        </w:tc>
        <w:tc>
          <w:tcPr>
            <w:tcW w:w="3201" w:type="dxa"/>
          </w:tcPr>
          <w:p w14:paraId="7506A96C"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7 (58.3)</w:t>
            </w:r>
          </w:p>
        </w:tc>
      </w:tr>
      <w:tr w:rsidR="00E5731D" w:rsidRPr="00103A0B" w14:paraId="17EBCA26" w14:textId="77777777" w:rsidTr="00FC6886">
        <w:trPr>
          <w:trHeight w:val="410"/>
        </w:trPr>
        <w:tc>
          <w:tcPr>
            <w:tcW w:w="3199" w:type="dxa"/>
          </w:tcPr>
          <w:p w14:paraId="2E0D5A4C"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Quintile 2</w:t>
            </w:r>
          </w:p>
        </w:tc>
        <w:tc>
          <w:tcPr>
            <w:tcW w:w="3199" w:type="dxa"/>
          </w:tcPr>
          <w:p w14:paraId="514DE52F"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8 (34.8)</w:t>
            </w:r>
          </w:p>
        </w:tc>
        <w:tc>
          <w:tcPr>
            <w:tcW w:w="3201" w:type="dxa"/>
          </w:tcPr>
          <w:p w14:paraId="345E122B"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 (8.3)</w:t>
            </w:r>
          </w:p>
        </w:tc>
      </w:tr>
      <w:tr w:rsidR="00E5731D" w:rsidRPr="00103A0B" w14:paraId="1BA10551" w14:textId="77777777" w:rsidTr="00FC6886">
        <w:trPr>
          <w:trHeight w:val="410"/>
        </w:trPr>
        <w:tc>
          <w:tcPr>
            <w:tcW w:w="3199" w:type="dxa"/>
          </w:tcPr>
          <w:p w14:paraId="4BB6D511"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Quintile 3</w:t>
            </w:r>
          </w:p>
        </w:tc>
        <w:tc>
          <w:tcPr>
            <w:tcW w:w="3199" w:type="dxa"/>
          </w:tcPr>
          <w:p w14:paraId="4018CF08"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0</w:t>
            </w:r>
          </w:p>
        </w:tc>
        <w:tc>
          <w:tcPr>
            <w:tcW w:w="3201" w:type="dxa"/>
          </w:tcPr>
          <w:p w14:paraId="12CB484A"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2 (16.7)</w:t>
            </w:r>
          </w:p>
        </w:tc>
      </w:tr>
      <w:tr w:rsidR="00E5731D" w:rsidRPr="00103A0B" w14:paraId="16B2083E" w14:textId="77777777" w:rsidTr="00FC6886">
        <w:trPr>
          <w:trHeight w:val="425"/>
        </w:trPr>
        <w:tc>
          <w:tcPr>
            <w:tcW w:w="3199" w:type="dxa"/>
          </w:tcPr>
          <w:p w14:paraId="0B55C461"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 xml:space="preserve">Quintile 4 </w:t>
            </w:r>
          </w:p>
        </w:tc>
        <w:tc>
          <w:tcPr>
            <w:tcW w:w="3199" w:type="dxa"/>
          </w:tcPr>
          <w:p w14:paraId="745B6971"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 (4.3)</w:t>
            </w:r>
          </w:p>
        </w:tc>
        <w:tc>
          <w:tcPr>
            <w:tcW w:w="3201" w:type="dxa"/>
          </w:tcPr>
          <w:p w14:paraId="71E91AB2"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1 (8.3)</w:t>
            </w:r>
          </w:p>
        </w:tc>
      </w:tr>
      <w:tr w:rsidR="00E5731D" w:rsidRPr="00103A0B" w14:paraId="1E7912C9" w14:textId="77777777" w:rsidTr="00FC6886">
        <w:trPr>
          <w:trHeight w:val="410"/>
        </w:trPr>
        <w:tc>
          <w:tcPr>
            <w:tcW w:w="3199" w:type="dxa"/>
          </w:tcPr>
          <w:p w14:paraId="46F2E374"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Quintile 5 (least deprived)</w:t>
            </w:r>
          </w:p>
        </w:tc>
        <w:tc>
          <w:tcPr>
            <w:tcW w:w="3199" w:type="dxa"/>
          </w:tcPr>
          <w:p w14:paraId="6F0CA411"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0</w:t>
            </w:r>
          </w:p>
        </w:tc>
        <w:tc>
          <w:tcPr>
            <w:tcW w:w="3201" w:type="dxa"/>
          </w:tcPr>
          <w:p w14:paraId="52FF1297" w14:textId="77777777"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0</w:t>
            </w:r>
          </w:p>
        </w:tc>
      </w:tr>
      <w:tr w:rsidR="00E5731D" w:rsidRPr="00103A0B" w14:paraId="2F62EB64" w14:textId="77777777" w:rsidTr="00FC6886">
        <w:trPr>
          <w:trHeight w:val="410"/>
        </w:trPr>
        <w:tc>
          <w:tcPr>
            <w:tcW w:w="3199" w:type="dxa"/>
          </w:tcPr>
          <w:p w14:paraId="25D25A06" w14:textId="77777777" w:rsidR="00E5731D" w:rsidRPr="00103A0B" w:rsidRDefault="00E5731D" w:rsidP="00C220D1">
            <w:pPr>
              <w:spacing w:line="360" w:lineRule="auto"/>
              <w:jc w:val="both"/>
              <w:rPr>
                <w:rFonts w:ascii="Arial" w:hAnsi="Arial" w:cs="Arial"/>
                <w:sz w:val="24"/>
                <w:szCs w:val="24"/>
              </w:rPr>
            </w:pPr>
            <w:r w:rsidRPr="00103A0B">
              <w:rPr>
                <w:rFonts w:ascii="Arial" w:hAnsi="Arial" w:cs="Arial"/>
                <w:sz w:val="24"/>
                <w:szCs w:val="24"/>
              </w:rPr>
              <w:t>Unable to calculate</w:t>
            </w:r>
          </w:p>
        </w:tc>
        <w:tc>
          <w:tcPr>
            <w:tcW w:w="3199" w:type="dxa"/>
          </w:tcPr>
          <w:p w14:paraId="11D46A14" w14:textId="77777777" w:rsidR="00E5731D" w:rsidRPr="00103A0B" w:rsidRDefault="00E5731D" w:rsidP="00C220D1">
            <w:pPr>
              <w:spacing w:line="360" w:lineRule="auto"/>
              <w:jc w:val="both"/>
              <w:rPr>
                <w:rFonts w:ascii="Arial" w:hAnsi="Arial" w:cs="Arial"/>
                <w:sz w:val="24"/>
                <w:szCs w:val="24"/>
              </w:rPr>
            </w:pPr>
            <w:r w:rsidRPr="00103A0B">
              <w:rPr>
                <w:rFonts w:ascii="Arial" w:hAnsi="Arial" w:cs="Arial"/>
                <w:sz w:val="24"/>
                <w:szCs w:val="24"/>
              </w:rPr>
              <w:t>4 (17.4)</w:t>
            </w:r>
          </w:p>
        </w:tc>
        <w:tc>
          <w:tcPr>
            <w:tcW w:w="3201" w:type="dxa"/>
          </w:tcPr>
          <w:p w14:paraId="1CF64933" w14:textId="77777777" w:rsidR="00E5731D" w:rsidRPr="00103A0B" w:rsidRDefault="00E5731D" w:rsidP="00C220D1">
            <w:pPr>
              <w:spacing w:line="360" w:lineRule="auto"/>
              <w:jc w:val="both"/>
              <w:rPr>
                <w:rFonts w:ascii="Arial" w:hAnsi="Arial" w:cs="Arial"/>
                <w:sz w:val="24"/>
                <w:szCs w:val="24"/>
              </w:rPr>
            </w:pPr>
            <w:r w:rsidRPr="00103A0B">
              <w:rPr>
                <w:rFonts w:ascii="Arial" w:hAnsi="Arial" w:cs="Arial"/>
                <w:sz w:val="24"/>
                <w:szCs w:val="24"/>
              </w:rPr>
              <w:t>1 (8.3)</w:t>
            </w:r>
          </w:p>
        </w:tc>
      </w:tr>
    </w:tbl>
    <w:p w14:paraId="00ED2835" w14:textId="6AA9EFA1" w:rsidR="00E5731D" w:rsidRPr="00103A0B" w:rsidRDefault="00E5731D" w:rsidP="00C220D1">
      <w:pPr>
        <w:spacing w:line="360" w:lineRule="auto"/>
        <w:jc w:val="both"/>
        <w:rPr>
          <w:rFonts w:ascii="Arial" w:hAnsi="Arial" w:cs="Arial"/>
          <w:sz w:val="24"/>
          <w:szCs w:val="24"/>
        </w:rPr>
      </w:pPr>
      <w:r w:rsidRPr="00103A0B">
        <w:rPr>
          <w:rFonts w:ascii="Arial" w:hAnsi="Arial" w:cs="Arial"/>
          <w:sz w:val="24"/>
          <w:szCs w:val="24"/>
        </w:rPr>
        <w:t xml:space="preserve">*The index of multiple deprivation </w:t>
      </w:r>
      <w:r w:rsidR="00597BD1" w:rsidRPr="00103A0B">
        <w:rPr>
          <w:rFonts w:ascii="Arial" w:hAnsi="Arial" w:cs="Arial"/>
          <w:sz w:val="24"/>
          <w:szCs w:val="24"/>
        </w:rPr>
        <w:t xml:space="preserve">(IMD) </w:t>
      </w:r>
      <w:r w:rsidRPr="00103A0B">
        <w:rPr>
          <w:rFonts w:ascii="Arial" w:hAnsi="Arial" w:cs="Arial"/>
          <w:sz w:val="24"/>
          <w:szCs w:val="24"/>
        </w:rPr>
        <w:t xml:space="preserve">was derived from participant home postcodes where possible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{"citationItems":[{"id":"ITEM-1","itemData":{"URL":"http://imd-by-postcode.opendatacommunities.org/","accessed":{"date-parts":[["2021","6","26"]]},"author":[{"dropping-particle":"","family":"Ministry of Housing","given":"Communities and Local Government","non-dropping-particle":"","parse-names":false,"suffix":""}],"id":"ITEM-1","issued":{"date-parts":[["2019"]]},"title":"English indices of deprivation 2019","type":"webpage"},"uris":["http://www.mendeley.com/documents/?uuid=0e83ec0f-2444-4b57-a412-734aa09afa96"]},{"id":"ITEM-2","itemData":{"author":[{"dropping-particle":"","family":"New Policy Institute","given":"","non-dropping-particle":"","parse-names":false,"suffix":""}],"id":"ITEM-2","issued":{"date-parts":[["2016"]]},"number-of-pages":"1-41","title":"Demography and deprivation in Southwark and Tower Hamlets","type":"report"},"uris":["http://www.mendeley.com/documents/?uuid=99d93356-8ea6-45e8-b861-56b0f78d2dc2"]}],"mendeley":{"formattedCitation":"(Ministry of Housing, 2019; New Policy Institute, 2016)","plainTextFormattedCitation":"(Ministry of Housing, 2019; New Policy Institute, 2016)","previouslyFormattedCitation":"(Ministry of Housing, 2019; New Policy Institute,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(Ministry of Housing, 2019; New Policy Institute, 2016)</w:t>
      </w:r>
      <w:r w:rsidRPr="00103A0B">
        <w:rPr>
          <w:rFonts w:ascii="Arial" w:hAnsi="Arial" w:cs="Arial"/>
          <w:sz w:val="24"/>
          <w:szCs w:val="24"/>
        </w:rPr>
        <w:fldChar w:fldCharType="end"/>
      </w:r>
      <w:r w:rsidRPr="00103A0B">
        <w:rPr>
          <w:rFonts w:ascii="Arial" w:hAnsi="Arial" w:cs="Arial"/>
          <w:sz w:val="24"/>
          <w:szCs w:val="24"/>
        </w:rPr>
        <w:t xml:space="preserve">. </w:t>
      </w:r>
    </w:p>
    <w:p w14:paraId="20E5CF44" w14:textId="11A26746" w:rsidR="00A912AC" w:rsidRPr="00103A0B" w:rsidRDefault="00A912AC" w:rsidP="00CD5919">
      <w:pPr>
        <w:jc w:val="both"/>
        <w:rPr>
          <w:rFonts w:ascii="Arial" w:hAnsi="Arial" w:cs="Arial"/>
          <w:sz w:val="28"/>
          <w:szCs w:val="28"/>
          <w:u w:val="single"/>
        </w:rPr>
      </w:pPr>
    </w:p>
    <w:p w14:paraId="55FA400F" w14:textId="77777777" w:rsidR="009B59A9" w:rsidRPr="00103A0B" w:rsidRDefault="009B59A9" w:rsidP="009B59A9">
      <w:pPr>
        <w:spacing w:line="360" w:lineRule="auto"/>
        <w:jc w:val="both"/>
        <w:rPr>
          <w:rFonts w:ascii="Arial" w:hAnsi="Arial" w:cs="Arial"/>
          <w:sz w:val="24"/>
          <w:szCs w:val="24"/>
        </w:rPr>
      </w:pPr>
      <w:r w:rsidRPr="00103A0B">
        <w:rPr>
          <w:rFonts w:ascii="Arial" w:hAnsi="Arial" w:cs="Arial"/>
          <w:sz w:val="24"/>
          <w:szCs w:val="24"/>
        </w:rPr>
        <w:lastRenderedPageBreak/>
        <w:t>Across both groups, slightly more women than men were recruited, and the majority were from the most deprived areas (based on national rankings). The most common ethnicity was black/black British amongst attenders and white British amongst non-attenders, with majority of non-attenders being younger when compared to attenders.</w:t>
      </w:r>
    </w:p>
    <w:p w14:paraId="3DFDCA15" w14:textId="7D1BFB5E" w:rsidR="00E5731D"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There are seven themes derived from the data (Figure 4). To conserve words, sub-themes are detailed within each theme without being explicitly mentioned (see Appendix 2</w:t>
      </w:r>
      <w:r w:rsidR="005E2C2E" w:rsidRPr="00103A0B">
        <w:rPr>
          <w:rFonts w:ascii="Arial" w:hAnsi="Arial" w:cs="Arial"/>
          <w:sz w:val="24"/>
          <w:szCs w:val="24"/>
        </w:rPr>
        <w:t>5</w:t>
      </w:r>
      <w:r w:rsidRPr="00103A0B">
        <w:rPr>
          <w:rFonts w:ascii="Arial" w:hAnsi="Arial" w:cs="Arial"/>
          <w:sz w:val="24"/>
          <w:szCs w:val="24"/>
        </w:rPr>
        <w:t>: Themes and sub-themes). Illustrative quotations are labelled with participant number (</w:t>
      </w:r>
      <w:r w:rsidR="000162A2" w:rsidRPr="00103A0B">
        <w:rPr>
          <w:rFonts w:ascii="Arial" w:hAnsi="Arial" w:cs="Arial"/>
          <w:sz w:val="24"/>
          <w:szCs w:val="24"/>
        </w:rPr>
        <w:t>see Appendix 2</w:t>
      </w:r>
      <w:r w:rsidR="0057544E" w:rsidRPr="00103A0B">
        <w:rPr>
          <w:rFonts w:ascii="Arial" w:hAnsi="Arial" w:cs="Arial"/>
          <w:sz w:val="24"/>
          <w:szCs w:val="24"/>
        </w:rPr>
        <w:t>6</w:t>
      </w:r>
      <w:r w:rsidR="000162A2" w:rsidRPr="00103A0B">
        <w:rPr>
          <w:rFonts w:ascii="Arial" w:hAnsi="Arial" w:cs="Arial"/>
          <w:sz w:val="24"/>
          <w:szCs w:val="24"/>
        </w:rPr>
        <w:t>: Participant details</w:t>
      </w:r>
      <w:r w:rsidRPr="00103A0B">
        <w:rPr>
          <w:rFonts w:ascii="Arial" w:hAnsi="Arial" w:cs="Arial"/>
          <w:sz w:val="24"/>
          <w:szCs w:val="24"/>
        </w:rPr>
        <w:t xml:space="preserve">). </w:t>
      </w:r>
    </w:p>
    <w:p w14:paraId="7E474A09" w14:textId="40AF8444" w:rsidR="008D109C" w:rsidRPr="00103A0B" w:rsidRDefault="00E5731D" w:rsidP="00CD5919">
      <w:pPr>
        <w:spacing w:line="360" w:lineRule="auto"/>
        <w:jc w:val="both"/>
        <w:rPr>
          <w:rFonts w:ascii="Arial" w:hAnsi="Arial" w:cs="Arial"/>
          <w:sz w:val="24"/>
          <w:szCs w:val="24"/>
        </w:rPr>
      </w:pPr>
      <w:r w:rsidRPr="00103A0B">
        <w:rPr>
          <w:rFonts w:ascii="Arial" w:hAnsi="Arial" w:cs="Arial"/>
          <w:sz w:val="24"/>
          <w:szCs w:val="24"/>
        </w:rPr>
        <w:t xml:space="preserve">Some researchers have argued the inclusion of numerical information is useful for verifying findings and conclusions, and it can help make certain statements more precise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{"citationItems":[{"id":"ITEM-1","itemData":{"DOI":"10.1177/1077800410364740","ISSN":"10778004","abstract":"The use of numerical/quantitative data in qualitative research studies and reports has been controversial. Prominent qualitative researchers such as Howard Becker and Martyn Hammersley have supported the inclusion of what Becker called quasi-statistics: simple counts of things to make statements such as some, usually, and most more precise. However, others have resisted such uses, particularly when they are requested by reviewers for journals. This paper presents both the advantages of integrating quantitative information in qualitative data collection, analysis, and reporting, and the potential problems created by such uses and how these can be dealt with. It also addresses the definition of mixed methods research, arguing that the use of numbers by itself doesn't make a study mixed methods. © 2010 The Author(s).","author":[{"dropping-particle":"","family":"Maxwell","given":"Joseph A.","non-dropping-particle":"","parse-names":false,"suffix":""}],"container-title":"Qualitative Inquiry","id":"ITEM-1","issue":"6","issued":{"date-parts":[["2010"]]},"page":"475-482","title":"Using numbers in qualitative research","type":"article-journal","volume":"16"},"uris":["http://www.mendeley.com/documents/?uuid=cd6d8409-0466-4516-a94a-1593c75e19ca"]}],"mendeley":{"formattedCitation":"(Maxwell, 2010)","plainTextFormattedCitation":"(Maxwell, 2010)","previouslyFormattedCitation":"(Maxwell,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(Maxwell, 2010)</w:t>
      </w:r>
      <w:r w:rsidRPr="00103A0B">
        <w:rPr>
          <w:rFonts w:ascii="Arial" w:hAnsi="Arial" w:cs="Arial"/>
          <w:sz w:val="24"/>
          <w:szCs w:val="24"/>
        </w:rPr>
        <w:fldChar w:fldCharType="end"/>
      </w:r>
      <w:r w:rsidRPr="00103A0B">
        <w:rPr>
          <w:rFonts w:ascii="Arial" w:hAnsi="Arial" w:cs="Arial"/>
          <w:sz w:val="24"/>
          <w:szCs w:val="24"/>
        </w:rPr>
        <w:t xml:space="preserve">. Therefore, due to having attendance data, some numerical information is presented (where appropriate), to indicate the proportion of participants that discussed a certain concept before starting the programme, and whether they went on to attend or not. </w:t>
      </w:r>
      <w:bookmarkEnd w:id="322"/>
    </w:p>
    <w:p w14:paraId="0EA4DD04" w14:textId="32FC151B" w:rsidR="008D109C" w:rsidRPr="00103A0B" w:rsidRDefault="000162A2" w:rsidP="00CD5919">
      <w:pPr>
        <w:jc w:val="both"/>
        <w:rPr>
          <w:rFonts w:ascii="Arial" w:hAnsi="Arial" w:cs="Arial"/>
          <w:b/>
          <w:bCs/>
          <w:sz w:val="24"/>
          <w:szCs w:val="24"/>
        </w:rPr>
      </w:pPr>
      <w:r w:rsidRPr="00103A0B">
        <w:rPr>
          <w:rFonts w:ascii="Arial" w:hAnsi="Arial" w:cs="Arial"/>
          <w:b/>
          <w:bCs/>
          <w:sz w:val="24"/>
          <w:szCs w:val="24"/>
        </w:rPr>
        <w:t xml:space="preserve">5.3.1 </w:t>
      </w:r>
      <w:r w:rsidR="008D109C" w:rsidRPr="00103A0B">
        <w:rPr>
          <w:rFonts w:ascii="Arial" w:hAnsi="Arial" w:cs="Arial"/>
          <w:b/>
          <w:bCs/>
          <w:sz w:val="24"/>
          <w:szCs w:val="24"/>
        </w:rPr>
        <w:t>Understanding of T2DM</w:t>
      </w:r>
    </w:p>
    <w:p w14:paraId="540ACCD7" w14:textId="77777777" w:rsidR="000162A2" w:rsidRPr="00103A0B" w:rsidRDefault="000162A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 xml:space="preserve">This theme details current participants’ T2DM knowledge and some of the difficulties they experienced with understanding. This can affect motivation to attend. </w:t>
      </w:r>
    </w:p>
    <w:p w14:paraId="3D61258E" w14:textId="1518008C" w:rsidR="000162A2" w:rsidRPr="00103A0B" w:rsidRDefault="000162A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Participants discussed aspects related to knowledge of T2DM. For example, they stated bodily parts and organs are affected, including that T2DM can “lead to blindness”</w:t>
      </w:r>
      <w:r w:rsidRPr="00103A0B">
        <w:rPr>
          <w:rFonts w:ascii="Arial" w:hAnsi="Arial" w:cs="Arial"/>
          <w:sz w:val="24"/>
          <w:szCs w:val="24"/>
          <w:vertAlign w:val="superscript"/>
        </w:rPr>
        <w:t>30</w:t>
      </w:r>
      <w:r w:rsidRPr="00103A0B">
        <w:rPr>
          <w:rFonts w:ascii="Arial" w:hAnsi="Arial" w:cs="Arial"/>
          <w:sz w:val="24"/>
          <w:szCs w:val="24"/>
        </w:rPr>
        <w:t xml:space="preserve"> or “amputation”</w:t>
      </w:r>
      <w:r w:rsidRPr="00103A0B">
        <w:rPr>
          <w:rFonts w:ascii="Arial" w:hAnsi="Arial" w:cs="Arial"/>
          <w:sz w:val="24"/>
          <w:szCs w:val="24"/>
          <w:vertAlign w:val="superscript"/>
        </w:rPr>
        <w:t>1</w:t>
      </w:r>
      <w:r w:rsidRPr="00103A0B">
        <w:rPr>
          <w:rFonts w:ascii="Arial" w:hAnsi="Arial" w:cs="Arial"/>
          <w:sz w:val="24"/>
          <w:szCs w:val="24"/>
        </w:rPr>
        <w:t>. They expressed how “you’ve got it [T2DM] for life”</w:t>
      </w:r>
      <w:r w:rsidRPr="00103A0B">
        <w:rPr>
          <w:rFonts w:ascii="Arial" w:hAnsi="Arial" w:cs="Arial"/>
          <w:sz w:val="24"/>
          <w:szCs w:val="24"/>
          <w:vertAlign w:val="superscript"/>
        </w:rPr>
        <w:t>20</w:t>
      </w:r>
      <w:r w:rsidRPr="00103A0B">
        <w:rPr>
          <w:rFonts w:ascii="Arial" w:hAnsi="Arial" w:cs="Arial"/>
          <w:sz w:val="24"/>
          <w:szCs w:val="24"/>
        </w:rPr>
        <w:t>, “it can last forever”</w:t>
      </w:r>
      <w:r w:rsidRPr="00103A0B">
        <w:rPr>
          <w:rFonts w:ascii="Arial" w:hAnsi="Arial" w:cs="Arial"/>
          <w:sz w:val="24"/>
          <w:szCs w:val="24"/>
          <w:vertAlign w:val="superscript"/>
        </w:rPr>
        <w:t>31</w:t>
      </w:r>
      <w:r w:rsidRPr="00103A0B">
        <w:rPr>
          <w:rFonts w:ascii="Arial" w:hAnsi="Arial" w:cs="Arial"/>
          <w:sz w:val="24"/>
          <w:szCs w:val="24"/>
        </w:rPr>
        <w:t>. Alternatively, some said “you can get rid of it [T2</w:t>
      </w:r>
      <w:r w:rsidR="00A40255" w:rsidRPr="00103A0B">
        <w:rPr>
          <w:rFonts w:ascii="Arial" w:hAnsi="Arial" w:cs="Arial"/>
          <w:sz w:val="24"/>
          <w:szCs w:val="24"/>
        </w:rPr>
        <w:t>DM] …</w:t>
      </w:r>
      <w:r w:rsidRPr="00103A0B">
        <w:rPr>
          <w:rFonts w:ascii="Arial" w:hAnsi="Arial" w:cs="Arial"/>
          <w:sz w:val="24"/>
          <w:szCs w:val="24"/>
        </w:rPr>
        <w:t>if you [are] willing to”</w:t>
      </w:r>
      <w:r w:rsidRPr="00103A0B">
        <w:rPr>
          <w:rFonts w:ascii="Arial" w:hAnsi="Arial" w:cs="Arial"/>
          <w:sz w:val="24"/>
          <w:szCs w:val="24"/>
          <w:vertAlign w:val="superscript"/>
        </w:rPr>
        <w:t>15</w:t>
      </w:r>
      <w:r w:rsidRPr="00103A0B">
        <w:rPr>
          <w:rFonts w:ascii="Arial" w:hAnsi="Arial" w:cs="Arial"/>
          <w:sz w:val="24"/>
          <w:szCs w:val="24"/>
        </w:rPr>
        <w:t>, “prevention is better than cure”</w:t>
      </w:r>
      <w:r w:rsidRPr="00103A0B">
        <w:rPr>
          <w:rFonts w:ascii="Arial" w:hAnsi="Arial" w:cs="Arial"/>
          <w:sz w:val="24"/>
          <w:szCs w:val="24"/>
          <w:vertAlign w:val="superscript"/>
        </w:rPr>
        <w:t>14</w:t>
      </w:r>
      <w:r w:rsidRPr="00103A0B">
        <w:rPr>
          <w:rFonts w:ascii="Arial" w:hAnsi="Arial" w:cs="Arial"/>
          <w:sz w:val="24"/>
          <w:szCs w:val="24"/>
        </w:rPr>
        <w:t xml:space="preserve">. </w:t>
      </w:r>
    </w:p>
    <w:p w14:paraId="52EA7D12" w14:textId="77777777" w:rsidR="000162A2" w:rsidRPr="00103A0B" w:rsidRDefault="000162A2" w:rsidP="00CD59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bookmarkStart w:id="324" w:name="_Hlk31032455"/>
      <w:r w:rsidRPr="00103A0B">
        <w:rPr>
          <w:rFonts w:ascii="Arial" w:hAnsi="Arial" w:cs="Arial"/>
          <w:sz w:val="24"/>
          <w:szCs w:val="24"/>
        </w:rPr>
        <w:t>Attenders expressed how their “HbA1c levels were slightly high”</w:t>
      </w:r>
      <w:r w:rsidRPr="00103A0B">
        <w:rPr>
          <w:rFonts w:ascii="Arial" w:hAnsi="Arial" w:cs="Arial"/>
          <w:sz w:val="24"/>
          <w:szCs w:val="24"/>
          <w:vertAlign w:val="superscript"/>
        </w:rPr>
        <w:t>4</w:t>
      </w:r>
      <w:r w:rsidRPr="00103A0B">
        <w:rPr>
          <w:rFonts w:ascii="Arial" w:hAnsi="Arial" w:cs="Arial"/>
          <w:sz w:val="24"/>
          <w:szCs w:val="24"/>
        </w:rPr>
        <w:t xml:space="preserve"> which encouraged them to start the programme, as they would “rather prevent it than manage it”</w:t>
      </w:r>
      <w:r w:rsidRPr="00103A0B">
        <w:rPr>
          <w:rFonts w:ascii="Arial" w:hAnsi="Arial" w:cs="Arial"/>
          <w:sz w:val="24"/>
          <w:szCs w:val="24"/>
          <w:vertAlign w:val="superscript"/>
        </w:rPr>
        <w:t>12</w:t>
      </w:r>
      <w:r w:rsidRPr="00103A0B">
        <w:rPr>
          <w:rFonts w:ascii="Arial" w:hAnsi="Arial" w:cs="Arial"/>
          <w:sz w:val="24"/>
          <w:szCs w:val="24"/>
        </w:rPr>
        <w:t xml:space="preserve"> or felt they “don’t </w:t>
      </w:r>
      <w:proofErr w:type="spellStart"/>
      <w:r w:rsidRPr="00103A0B">
        <w:rPr>
          <w:rFonts w:ascii="Arial" w:hAnsi="Arial" w:cs="Arial"/>
          <w:sz w:val="24"/>
          <w:szCs w:val="24"/>
        </w:rPr>
        <w:t>wanna</w:t>
      </w:r>
      <w:proofErr w:type="spellEnd"/>
      <w:r w:rsidRPr="00103A0B">
        <w:rPr>
          <w:rFonts w:ascii="Arial" w:hAnsi="Arial" w:cs="Arial"/>
          <w:sz w:val="24"/>
          <w:szCs w:val="24"/>
        </w:rPr>
        <w:t xml:space="preserve"> get type two [diabetes]”</w:t>
      </w:r>
      <w:r w:rsidRPr="00103A0B">
        <w:rPr>
          <w:rFonts w:ascii="Arial" w:hAnsi="Arial" w:cs="Arial"/>
          <w:sz w:val="24"/>
          <w:szCs w:val="24"/>
          <w:vertAlign w:val="superscript"/>
        </w:rPr>
        <w:t>27</w:t>
      </w:r>
      <w:r w:rsidRPr="00103A0B">
        <w:rPr>
          <w:rFonts w:ascii="Arial" w:hAnsi="Arial" w:cs="Arial"/>
          <w:sz w:val="24"/>
          <w:szCs w:val="24"/>
        </w:rPr>
        <w:t>. Non-attenders on the other hand, felt they already knew how to reduce their risk, or did not understand why they still had prediabetes if they had made the required lifestyle changes: “I know what sort of foods I can and…can’t eat”</w:t>
      </w:r>
      <w:r w:rsidRPr="00103A0B">
        <w:rPr>
          <w:rFonts w:ascii="Arial" w:hAnsi="Arial" w:cs="Arial"/>
          <w:sz w:val="24"/>
          <w:szCs w:val="24"/>
          <w:vertAlign w:val="superscript"/>
        </w:rPr>
        <w:t>20</w:t>
      </w:r>
      <w:r w:rsidRPr="00103A0B">
        <w:rPr>
          <w:rFonts w:ascii="Arial" w:hAnsi="Arial" w:cs="Arial"/>
          <w:sz w:val="24"/>
          <w:szCs w:val="24"/>
        </w:rPr>
        <w:t>, “how can I be on the borders [prediabetes] again?”</w:t>
      </w:r>
      <w:r w:rsidRPr="00103A0B">
        <w:rPr>
          <w:rFonts w:ascii="Arial" w:hAnsi="Arial" w:cs="Arial"/>
          <w:sz w:val="24"/>
          <w:szCs w:val="24"/>
          <w:vertAlign w:val="superscript"/>
        </w:rPr>
        <w:t>8</w:t>
      </w:r>
      <w:r w:rsidRPr="00103A0B">
        <w:rPr>
          <w:rFonts w:ascii="Arial" w:hAnsi="Arial" w:cs="Arial"/>
          <w:sz w:val="24"/>
          <w:szCs w:val="24"/>
        </w:rPr>
        <w:t>. Non-attenders also felt that they no longer had prediabetes, or that their prediabetes was under “control”</w:t>
      </w:r>
      <w:r w:rsidRPr="00103A0B">
        <w:rPr>
          <w:rFonts w:ascii="Arial" w:hAnsi="Arial" w:cs="Arial"/>
          <w:sz w:val="24"/>
          <w:szCs w:val="24"/>
          <w:vertAlign w:val="superscript"/>
        </w:rPr>
        <w:t>32</w:t>
      </w:r>
      <w:r w:rsidRPr="00103A0B">
        <w:rPr>
          <w:rFonts w:ascii="Arial" w:hAnsi="Arial" w:cs="Arial"/>
          <w:sz w:val="24"/>
          <w:szCs w:val="24"/>
        </w:rPr>
        <w:t xml:space="preserve"> or “blood sugars down”</w:t>
      </w:r>
      <w:r w:rsidRPr="00103A0B">
        <w:rPr>
          <w:rFonts w:ascii="Arial" w:hAnsi="Arial" w:cs="Arial"/>
          <w:sz w:val="24"/>
          <w:szCs w:val="24"/>
          <w:vertAlign w:val="superscript"/>
        </w:rPr>
        <w:t>18</w:t>
      </w:r>
      <w:r w:rsidRPr="00103A0B">
        <w:rPr>
          <w:rFonts w:ascii="Arial" w:hAnsi="Arial" w:cs="Arial"/>
          <w:sz w:val="24"/>
          <w:szCs w:val="24"/>
        </w:rPr>
        <w:t>. This had resulted in them believing “I think I’m fine now”</w:t>
      </w:r>
      <w:r w:rsidRPr="00103A0B">
        <w:rPr>
          <w:rFonts w:ascii="Arial" w:hAnsi="Arial" w:cs="Arial"/>
          <w:sz w:val="24"/>
          <w:szCs w:val="24"/>
          <w:vertAlign w:val="superscript"/>
        </w:rPr>
        <w:t>19</w:t>
      </w:r>
      <w:r w:rsidRPr="00103A0B">
        <w:rPr>
          <w:rFonts w:ascii="Arial" w:hAnsi="Arial" w:cs="Arial"/>
          <w:sz w:val="24"/>
          <w:szCs w:val="24"/>
        </w:rPr>
        <w:t>, and not feeling the need to attend: “if I was still on the prediabetic range I would consider [attending] but now that I’m below it [I won’t attend]”</w:t>
      </w:r>
      <w:r w:rsidRPr="00103A0B">
        <w:rPr>
          <w:rFonts w:ascii="Arial" w:hAnsi="Arial" w:cs="Arial"/>
          <w:sz w:val="24"/>
          <w:szCs w:val="24"/>
          <w:vertAlign w:val="superscript"/>
        </w:rPr>
        <w:t>18</w:t>
      </w:r>
      <w:r w:rsidRPr="00103A0B">
        <w:rPr>
          <w:rFonts w:ascii="Arial" w:hAnsi="Arial" w:cs="Arial"/>
          <w:sz w:val="24"/>
          <w:szCs w:val="24"/>
        </w:rPr>
        <w:t xml:space="preserve">. </w:t>
      </w:r>
      <w:bookmarkEnd w:id="324"/>
    </w:p>
    <w:p w14:paraId="5914F484" w14:textId="77777777" w:rsidR="00FC6886" w:rsidRPr="00103A0B" w:rsidRDefault="000162A2" w:rsidP="00FC6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lastRenderedPageBreak/>
        <w:t>Some participants expressed difficulties in understanding th</w:t>
      </w:r>
      <w:bookmarkStart w:id="325" w:name="_Hlk31029913"/>
      <w:r w:rsidRPr="00103A0B">
        <w:rPr>
          <w:rFonts w:ascii="Arial" w:hAnsi="Arial" w:cs="Arial"/>
          <w:sz w:val="24"/>
          <w:szCs w:val="24"/>
        </w:rPr>
        <w:t>eir T2DM risk or GP communication</w:t>
      </w:r>
      <w:bookmarkEnd w:id="325"/>
      <w:r w:rsidRPr="00103A0B">
        <w:rPr>
          <w:rFonts w:ascii="Arial" w:hAnsi="Arial" w:cs="Arial"/>
          <w:sz w:val="24"/>
          <w:szCs w:val="24"/>
        </w:rPr>
        <w:t>. Participants explained, “[I] don’t really understand [my] risk very well”</w:t>
      </w:r>
      <w:r w:rsidRPr="00103A0B">
        <w:rPr>
          <w:rFonts w:ascii="Arial" w:hAnsi="Arial" w:cs="Arial"/>
          <w:sz w:val="24"/>
          <w:szCs w:val="24"/>
          <w:vertAlign w:val="superscript"/>
        </w:rPr>
        <w:t>25</w:t>
      </w:r>
      <w:bookmarkStart w:id="326" w:name="_Hlk31032578"/>
      <w:r w:rsidRPr="00103A0B">
        <w:rPr>
          <w:rFonts w:ascii="Arial" w:hAnsi="Arial" w:cs="Arial"/>
          <w:sz w:val="24"/>
          <w:szCs w:val="24"/>
        </w:rPr>
        <w:t xml:space="preserve"> </w:t>
      </w:r>
      <w:bookmarkEnd w:id="326"/>
      <w:r w:rsidRPr="00103A0B">
        <w:rPr>
          <w:rFonts w:ascii="Arial" w:hAnsi="Arial" w:cs="Arial"/>
          <w:sz w:val="24"/>
          <w:szCs w:val="24"/>
        </w:rPr>
        <w:t>or felt their GPs did not explain about their prediabetes diagnosis: “the doctor is not telling you all [he/she] is supposed to tell you”</w:t>
      </w:r>
      <w:r w:rsidRPr="00103A0B">
        <w:rPr>
          <w:rFonts w:ascii="Arial" w:hAnsi="Arial" w:cs="Arial"/>
          <w:sz w:val="24"/>
          <w:szCs w:val="24"/>
          <w:vertAlign w:val="superscript"/>
        </w:rPr>
        <w:t>24</w:t>
      </w:r>
      <w:r w:rsidRPr="00103A0B">
        <w:rPr>
          <w:rFonts w:ascii="Arial" w:hAnsi="Arial" w:cs="Arial"/>
          <w:sz w:val="24"/>
          <w:szCs w:val="24"/>
        </w:rPr>
        <w:t xml:space="preserve">. </w:t>
      </w:r>
      <w:bookmarkStart w:id="327" w:name="_Hlk31010529"/>
      <w:r w:rsidRPr="00103A0B">
        <w:rPr>
          <w:rFonts w:ascii="Arial" w:hAnsi="Arial" w:cs="Arial"/>
          <w:sz w:val="24"/>
          <w:szCs w:val="24"/>
        </w:rPr>
        <w:t>Overall, the proportion of participants who expressed difficulties in understanding their T2DM risk or GP communication at pre-programme was higher in attend</w:t>
      </w:r>
      <w:bookmarkEnd w:id="327"/>
      <w:r w:rsidRPr="00103A0B">
        <w:rPr>
          <w:rFonts w:ascii="Arial" w:hAnsi="Arial" w:cs="Arial"/>
          <w:sz w:val="24"/>
          <w:szCs w:val="24"/>
        </w:rPr>
        <w:t xml:space="preserve">ers than non-attenders (attenders </w:t>
      </w:r>
      <w:r w:rsidRPr="00103A0B">
        <w:rPr>
          <w:rFonts w:ascii="Arial" w:hAnsi="Arial" w:cs="Arial"/>
          <w:i/>
          <w:iCs/>
          <w:sz w:val="24"/>
          <w:szCs w:val="24"/>
        </w:rPr>
        <w:t>n</w:t>
      </w:r>
      <w:r w:rsidRPr="00103A0B">
        <w:rPr>
          <w:rFonts w:ascii="Arial" w:hAnsi="Arial" w:cs="Arial"/>
          <w:sz w:val="24"/>
          <w:szCs w:val="24"/>
        </w:rPr>
        <w:t xml:space="preserve">=11 (48% of attenders) vs. non-attenders </w:t>
      </w:r>
      <w:r w:rsidRPr="00103A0B">
        <w:rPr>
          <w:rFonts w:ascii="Arial" w:hAnsi="Arial" w:cs="Arial"/>
          <w:i/>
          <w:iCs/>
          <w:sz w:val="24"/>
          <w:szCs w:val="24"/>
        </w:rPr>
        <w:t>n</w:t>
      </w:r>
      <w:r w:rsidRPr="00103A0B">
        <w:rPr>
          <w:rFonts w:ascii="Arial" w:hAnsi="Arial" w:cs="Arial"/>
          <w:sz w:val="24"/>
          <w:szCs w:val="24"/>
        </w:rPr>
        <w:t xml:space="preserve">=1 (8% of non-attenders)).  </w:t>
      </w:r>
    </w:p>
    <w:p w14:paraId="791E91AC" w14:textId="6B2A83F3" w:rsidR="008D109C" w:rsidRPr="00103A0B" w:rsidRDefault="000162A2" w:rsidP="00E0420C">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b/>
          <w:bCs/>
          <w:sz w:val="24"/>
          <w:szCs w:val="24"/>
        </w:rPr>
        <w:t xml:space="preserve">5.3.2 </w:t>
      </w:r>
      <w:r w:rsidR="008D109C" w:rsidRPr="00103A0B">
        <w:rPr>
          <w:rFonts w:ascii="Arial" w:hAnsi="Arial" w:cs="Arial"/>
          <w:b/>
          <w:bCs/>
          <w:sz w:val="24"/>
          <w:szCs w:val="24"/>
        </w:rPr>
        <w:t xml:space="preserve">Lifestyle </w:t>
      </w:r>
      <w:r w:rsidRPr="00103A0B">
        <w:rPr>
          <w:rFonts w:ascii="Arial" w:hAnsi="Arial" w:cs="Arial"/>
          <w:b/>
          <w:bCs/>
          <w:sz w:val="24"/>
          <w:szCs w:val="24"/>
        </w:rPr>
        <w:t>C</w:t>
      </w:r>
      <w:r w:rsidR="008D109C" w:rsidRPr="00103A0B">
        <w:rPr>
          <w:rFonts w:ascii="Arial" w:hAnsi="Arial" w:cs="Arial"/>
          <w:b/>
          <w:bCs/>
          <w:sz w:val="24"/>
          <w:szCs w:val="24"/>
        </w:rPr>
        <w:t>hanges (</w:t>
      </w:r>
      <w:r w:rsidRPr="00103A0B">
        <w:rPr>
          <w:rFonts w:ascii="Arial" w:hAnsi="Arial" w:cs="Arial"/>
          <w:b/>
          <w:bCs/>
          <w:sz w:val="24"/>
          <w:szCs w:val="24"/>
        </w:rPr>
        <w:t>P</w:t>
      </w:r>
      <w:r w:rsidR="008D109C" w:rsidRPr="00103A0B">
        <w:rPr>
          <w:rFonts w:ascii="Arial" w:hAnsi="Arial" w:cs="Arial"/>
          <w:b/>
          <w:bCs/>
          <w:sz w:val="24"/>
          <w:szCs w:val="24"/>
        </w:rPr>
        <w:t xml:space="preserve">ast and </w:t>
      </w:r>
      <w:r w:rsidRPr="00103A0B">
        <w:rPr>
          <w:rFonts w:ascii="Arial" w:hAnsi="Arial" w:cs="Arial"/>
          <w:b/>
          <w:bCs/>
          <w:sz w:val="24"/>
          <w:szCs w:val="24"/>
        </w:rPr>
        <w:t>P</w:t>
      </w:r>
      <w:r w:rsidR="008D109C" w:rsidRPr="00103A0B">
        <w:rPr>
          <w:rFonts w:ascii="Arial" w:hAnsi="Arial" w:cs="Arial"/>
          <w:b/>
          <w:bCs/>
          <w:sz w:val="24"/>
          <w:szCs w:val="24"/>
        </w:rPr>
        <w:t>resent)</w:t>
      </w:r>
    </w:p>
    <w:p w14:paraId="0009E514" w14:textId="77777777" w:rsidR="000162A2" w:rsidRPr="00103A0B" w:rsidRDefault="000162A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 xml:space="preserve">Participants discussed lifestyle changes they had already made or were trying to make with difficulties experienced since first hearing about their prediabetes diagnosis. This can affect their motivation to attend. </w:t>
      </w:r>
    </w:p>
    <w:p w14:paraId="16A5E1F2" w14:textId="77777777" w:rsidR="000162A2" w:rsidRPr="00103A0B" w:rsidRDefault="000162A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Participants discussed lifestyle changes associated with diet and exercise. For example, they “stopped taking sugar”</w:t>
      </w:r>
      <w:r w:rsidRPr="00103A0B">
        <w:rPr>
          <w:rFonts w:ascii="Arial" w:hAnsi="Arial" w:cs="Arial"/>
          <w:sz w:val="24"/>
          <w:szCs w:val="24"/>
          <w:vertAlign w:val="superscript"/>
        </w:rPr>
        <w:t>21</w:t>
      </w:r>
      <w:r w:rsidRPr="00103A0B">
        <w:rPr>
          <w:rFonts w:ascii="Arial" w:hAnsi="Arial" w:cs="Arial"/>
          <w:sz w:val="24"/>
          <w:szCs w:val="24"/>
        </w:rPr>
        <w:t>, or were “trying to do exercises”</w:t>
      </w:r>
      <w:r w:rsidRPr="00103A0B">
        <w:rPr>
          <w:rFonts w:ascii="Arial" w:hAnsi="Arial" w:cs="Arial"/>
          <w:sz w:val="24"/>
          <w:szCs w:val="24"/>
          <w:vertAlign w:val="superscript"/>
        </w:rPr>
        <w:t>3</w:t>
      </w:r>
      <w:r w:rsidRPr="00103A0B">
        <w:rPr>
          <w:rFonts w:ascii="Arial" w:hAnsi="Arial" w:cs="Arial"/>
          <w:sz w:val="24"/>
          <w:szCs w:val="24"/>
        </w:rPr>
        <w:t>.</w:t>
      </w:r>
      <w:bookmarkStart w:id="328" w:name="_Hlk31010660"/>
      <w:r w:rsidRPr="00103A0B">
        <w:rPr>
          <w:rFonts w:ascii="Arial" w:hAnsi="Arial" w:cs="Arial"/>
          <w:sz w:val="24"/>
          <w:szCs w:val="24"/>
        </w:rPr>
        <w:t xml:space="preserve"> Overall, the proportion of participants who had already made lifestyle changes before the programme (and after their IA), was higher in attenders than non-attenders (attenders </w:t>
      </w:r>
      <w:r w:rsidRPr="00103A0B">
        <w:rPr>
          <w:rFonts w:ascii="Arial" w:hAnsi="Arial" w:cs="Arial"/>
          <w:i/>
          <w:iCs/>
          <w:sz w:val="24"/>
          <w:szCs w:val="24"/>
        </w:rPr>
        <w:t>n</w:t>
      </w:r>
      <w:r w:rsidRPr="00103A0B">
        <w:rPr>
          <w:rFonts w:ascii="Arial" w:hAnsi="Arial" w:cs="Arial"/>
          <w:sz w:val="24"/>
          <w:szCs w:val="24"/>
        </w:rPr>
        <w:t xml:space="preserve">= 13 (57% of attenders) vs. non-attenders </w:t>
      </w:r>
      <w:r w:rsidRPr="00103A0B">
        <w:rPr>
          <w:rFonts w:ascii="Arial" w:hAnsi="Arial" w:cs="Arial"/>
          <w:i/>
          <w:iCs/>
          <w:sz w:val="24"/>
          <w:szCs w:val="24"/>
        </w:rPr>
        <w:t>n</w:t>
      </w:r>
      <w:r w:rsidRPr="00103A0B">
        <w:rPr>
          <w:rFonts w:ascii="Arial" w:hAnsi="Arial" w:cs="Arial"/>
          <w:sz w:val="24"/>
          <w:szCs w:val="24"/>
        </w:rPr>
        <w:t xml:space="preserve">= 5 (42% of non-attenders)). </w:t>
      </w:r>
    </w:p>
    <w:bookmarkEnd w:id="328"/>
    <w:p w14:paraId="29E00F15" w14:textId="13F553E2" w:rsidR="000162A2" w:rsidRPr="00103A0B" w:rsidRDefault="000162A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Participants expressed difficulties with making lifestyle improvements associated with diet, for example “trying to look after my diet but it’s not easy”</w:t>
      </w:r>
      <w:r w:rsidRPr="00103A0B">
        <w:rPr>
          <w:rFonts w:ascii="Arial" w:hAnsi="Arial" w:cs="Arial"/>
          <w:sz w:val="24"/>
          <w:szCs w:val="24"/>
          <w:vertAlign w:val="superscript"/>
        </w:rPr>
        <w:t>3</w:t>
      </w:r>
      <w:r w:rsidRPr="00103A0B">
        <w:rPr>
          <w:rFonts w:ascii="Arial" w:hAnsi="Arial" w:cs="Arial"/>
          <w:sz w:val="24"/>
          <w:szCs w:val="24"/>
        </w:rPr>
        <w:t>.  Others expressed difficulties with exercise, for example, “I don’t exercise that much”</w:t>
      </w:r>
      <w:r w:rsidRPr="00103A0B">
        <w:rPr>
          <w:rFonts w:ascii="Arial" w:hAnsi="Arial" w:cs="Arial"/>
          <w:sz w:val="24"/>
          <w:szCs w:val="24"/>
          <w:vertAlign w:val="superscript"/>
        </w:rPr>
        <w:t>15</w:t>
      </w:r>
      <w:r w:rsidRPr="00103A0B">
        <w:rPr>
          <w:rFonts w:ascii="Arial" w:hAnsi="Arial" w:cs="Arial"/>
          <w:sz w:val="24"/>
          <w:szCs w:val="24"/>
        </w:rPr>
        <w:t>, or not being “too good with physical stuff like going to the gym”</w:t>
      </w:r>
      <w:r w:rsidRPr="00103A0B">
        <w:rPr>
          <w:rFonts w:ascii="Arial" w:hAnsi="Arial" w:cs="Arial"/>
          <w:sz w:val="24"/>
          <w:szCs w:val="24"/>
          <w:vertAlign w:val="superscript"/>
        </w:rPr>
        <w:t>22</w:t>
      </w:r>
      <w:r w:rsidRPr="00103A0B">
        <w:rPr>
          <w:rFonts w:ascii="Arial" w:hAnsi="Arial" w:cs="Arial"/>
          <w:sz w:val="24"/>
          <w:szCs w:val="24"/>
        </w:rPr>
        <w:t xml:space="preserve">. </w:t>
      </w:r>
    </w:p>
    <w:p w14:paraId="19CF478A" w14:textId="4C45DD16" w:rsidR="008D109C" w:rsidRPr="00103A0B" w:rsidRDefault="000162A2" w:rsidP="00E0420C">
      <w:pPr>
        <w:keepLines/>
        <w:jc w:val="both"/>
        <w:rPr>
          <w:rFonts w:ascii="Arial" w:hAnsi="Arial" w:cs="Arial"/>
          <w:b/>
          <w:bCs/>
          <w:sz w:val="24"/>
          <w:szCs w:val="24"/>
        </w:rPr>
      </w:pPr>
      <w:r w:rsidRPr="00103A0B">
        <w:rPr>
          <w:rFonts w:ascii="Arial" w:hAnsi="Arial" w:cs="Arial"/>
          <w:b/>
          <w:bCs/>
          <w:sz w:val="24"/>
          <w:szCs w:val="24"/>
        </w:rPr>
        <w:t xml:space="preserve">5.3.3 </w:t>
      </w:r>
      <w:r w:rsidR="008D109C" w:rsidRPr="00103A0B">
        <w:rPr>
          <w:rFonts w:ascii="Arial" w:hAnsi="Arial" w:cs="Arial"/>
          <w:b/>
          <w:bCs/>
          <w:sz w:val="24"/>
          <w:szCs w:val="24"/>
        </w:rPr>
        <w:t xml:space="preserve">Comparison with </w:t>
      </w:r>
      <w:r w:rsidRPr="00103A0B">
        <w:rPr>
          <w:rFonts w:ascii="Arial" w:hAnsi="Arial" w:cs="Arial"/>
          <w:b/>
          <w:bCs/>
          <w:sz w:val="24"/>
          <w:szCs w:val="24"/>
        </w:rPr>
        <w:t>O</w:t>
      </w:r>
      <w:r w:rsidR="008D109C" w:rsidRPr="00103A0B">
        <w:rPr>
          <w:rFonts w:ascii="Arial" w:hAnsi="Arial" w:cs="Arial"/>
          <w:b/>
          <w:bCs/>
          <w:sz w:val="24"/>
          <w:szCs w:val="24"/>
        </w:rPr>
        <w:t>thers</w:t>
      </w:r>
    </w:p>
    <w:p w14:paraId="67B6DFEC" w14:textId="459FB61B" w:rsidR="008D109C" w:rsidRPr="00103A0B" w:rsidRDefault="000162A2" w:rsidP="00CD5919">
      <w:pPr>
        <w:spacing w:line="360" w:lineRule="auto"/>
        <w:jc w:val="both"/>
        <w:rPr>
          <w:rFonts w:ascii="Arial" w:hAnsi="Arial" w:cs="Arial"/>
          <w:sz w:val="24"/>
          <w:szCs w:val="24"/>
        </w:rPr>
      </w:pPr>
      <w:r w:rsidRPr="00103A0B">
        <w:rPr>
          <w:rFonts w:ascii="Arial" w:hAnsi="Arial" w:cs="Arial"/>
          <w:sz w:val="24"/>
          <w:szCs w:val="24"/>
        </w:rPr>
        <w:t xml:space="preserve">This theme involves participants making comparisons with their family, </w:t>
      </w:r>
      <w:proofErr w:type="gramStart"/>
      <w:r w:rsidRPr="00103A0B">
        <w:rPr>
          <w:rFonts w:ascii="Arial" w:hAnsi="Arial" w:cs="Arial"/>
          <w:sz w:val="24"/>
          <w:szCs w:val="24"/>
        </w:rPr>
        <w:t>friends</w:t>
      </w:r>
      <w:proofErr w:type="gramEnd"/>
      <w:r w:rsidRPr="00103A0B">
        <w:rPr>
          <w:rFonts w:ascii="Arial" w:hAnsi="Arial" w:cs="Arial"/>
          <w:sz w:val="24"/>
          <w:szCs w:val="24"/>
        </w:rPr>
        <w:t xml:space="preserve"> or other people with T2DM. This may feed into motivation and affect attendance. Participants made comparisons with family stating, “my father…was diabetic”</w:t>
      </w:r>
      <w:r w:rsidRPr="00103A0B">
        <w:rPr>
          <w:rFonts w:ascii="Arial" w:hAnsi="Arial" w:cs="Arial"/>
          <w:sz w:val="24"/>
          <w:szCs w:val="24"/>
          <w:vertAlign w:val="superscript"/>
        </w:rPr>
        <w:t>23</w:t>
      </w:r>
      <w:r w:rsidRPr="00103A0B">
        <w:rPr>
          <w:rFonts w:ascii="Arial" w:hAnsi="Arial" w:cs="Arial"/>
          <w:sz w:val="24"/>
          <w:szCs w:val="24"/>
        </w:rPr>
        <w:t>, with some mentioning how their family members have “passed away”</w:t>
      </w:r>
      <w:r w:rsidRPr="00103A0B">
        <w:rPr>
          <w:rFonts w:ascii="Arial" w:hAnsi="Arial" w:cs="Arial"/>
          <w:sz w:val="24"/>
          <w:szCs w:val="24"/>
          <w:vertAlign w:val="superscript"/>
        </w:rPr>
        <w:t>8</w:t>
      </w:r>
      <w:r w:rsidRPr="00103A0B">
        <w:rPr>
          <w:rFonts w:ascii="Arial" w:hAnsi="Arial" w:cs="Arial"/>
          <w:sz w:val="24"/>
          <w:szCs w:val="24"/>
        </w:rPr>
        <w:t xml:space="preserve"> from the effects of T2DM. </w:t>
      </w:r>
      <w:bookmarkStart w:id="329" w:name="_Hlk31032663"/>
      <w:r w:rsidRPr="00103A0B">
        <w:rPr>
          <w:rFonts w:ascii="Arial" w:hAnsi="Arial" w:cs="Arial"/>
          <w:sz w:val="24"/>
          <w:szCs w:val="24"/>
        </w:rPr>
        <w:t>Some attenders were “motivated to do something because…it’s in the family</w:t>
      </w:r>
      <w:r w:rsidRPr="00103A0B" w:rsidDel="00A91A4B">
        <w:rPr>
          <w:rFonts w:ascii="Arial" w:hAnsi="Arial" w:cs="Arial"/>
          <w:sz w:val="24"/>
          <w:szCs w:val="24"/>
        </w:rPr>
        <w:t xml:space="preserve"> </w:t>
      </w:r>
      <w:r w:rsidRPr="00103A0B">
        <w:rPr>
          <w:rFonts w:ascii="Arial" w:hAnsi="Arial" w:cs="Arial"/>
          <w:sz w:val="24"/>
          <w:szCs w:val="24"/>
        </w:rPr>
        <w:t>…I didn’t want that to happen to me”</w:t>
      </w:r>
      <w:r w:rsidRPr="00103A0B">
        <w:rPr>
          <w:rFonts w:ascii="Arial" w:hAnsi="Arial" w:cs="Arial"/>
          <w:sz w:val="24"/>
          <w:szCs w:val="24"/>
          <w:vertAlign w:val="superscript"/>
        </w:rPr>
        <w:t>5</w:t>
      </w:r>
      <w:r w:rsidRPr="00103A0B">
        <w:rPr>
          <w:rFonts w:ascii="Arial" w:hAnsi="Arial" w:cs="Arial"/>
          <w:sz w:val="24"/>
          <w:szCs w:val="24"/>
        </w:rPr>
        <w:t>.</w:t>
      </w:r>
      <w:bookmarkEnd w:id="329"/>
      <w:r w:rsidRPr="00103A0B">
        <w:rPr>
          <w:rFonts w:ascii="Arial" w:hAnsi="Arial" w:cs="Arial"/>
          <w:sz w:val="24"/>
          <w:szCs w:val="24"/>
        </w:rPr>
        <w:t xml:space="preserve"> Other participants had a better understanding of T2DM due to knowing people with it such as family and friends: “a lot of it has been communicated…from the people who I see like friends and family I know whose got it”</w:t>
      </w:r>
      <w:r w:rsidRPr="00103A0B">
        <w:rPr>
          <w:rFonts w:ascii="Arial" w:hAnsi="Arial" w:cs="Arial"/>
          <w:sz w:val="24"/>
          <w:szCs w:val="24"/>
          <w:vertAlign w:val="superscript"/>
        </w:rPr>
        <w:t>8</w:t>
      </w:r>
      <w:r w:rsidRPr="00103A0B">
        <w:rPr>
          <w:rFonts w:ascii="Arial" w:hAnsi="Arial" w:cs="Arial"/>
          <w:sz w:val="24"/>
          <w:szCs w:val="24"/>
        </w:rPr>
        <w:t xml:space="preserve">. </w:t>
      </w:r>
    </w:p>
    <w:p w14:paraId="6DB9486F" w14:textId="277C3CCE" w:rsidR="008D109C" w:rsidRPr="00103A0B" w:rsidRDefault="000162A2" w:rsidP="00E0420C">
      <w:pPr>
        <w:keepLines/>
        <w:jc w:val="both"/>
        <w:rPr>
          <w:rFonts w:ascii="Arial" w:hAnsi="Arial" w:cs="Arial"/>
          <w:b/>
          <w:bCs/>
          <w:sz w:val="24"/>
          <w:szCs w:val="24"/>
        </w:rPr>
      </w:pPr>
      <w:r w:rsidRPr="00103A0B">
        <w:rPr>
          <w:rFonts w:ascii="Arial" w:hAnsi="Arial" w:cs="Arial"/>
          <w:b/>
          <w:bCs/>
          <w:sz w:val="24"/>
          <w:szCs w:val="24"/>
        </w:rPr>
        <w:t xml:space="preserve">5.3.4 </w:t>
      </w:r>
      <w:r w:rsidR="008D109C" w:rsidRPr="00103A0B">
        <w:rPr>
          <w:rFonts w:ascii="Arial" w:hAnsi="Arial" w:cs="Arial"/>
          <w:b/>
          <w:bCs/>
          <w:sz w:val="24"/>
          <w:szCs w:val="24"/>
        </w:rPr>
        <w:t>Support</w:t>
      </w:r>
    </w:p>
    <w:p w14:paraId="5C68314D" w14:textId="77777777" w:rsidR="000162A2" w:rsidRPr="00103A0B" w:rsidRDefault="000162A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lastRenderedPageBreak/>
        <w:t>This theme involves support from family, friends, group members or those involved in programme delivery, which may affect motivation to attend. Participants discussed how family and friends provide positive support, including encouragement “my family tend to give me a kick up the backside!”</w:t>
      </w:r>
      <w:r w:rsidRPr="00103A0B">
        <w:rPr>
          <w:rFonts w:ascii="Arial" w:hAnsi="Arial" w:cs="Arial"/>
          <w:sz w:val="24"/>
          <w:szCs w:val="24"/>
          <w:vertAlign w:val="superscript"/>
        </w:rPr>
        <w:t>28</w:t>
      </w:r>
      <w:r w:rsidRPr="00103A0B">
        <w:rPr>
          <w:rFonts w:ascii="Arial" w:hAnsi="Arial" w:cs="Arial"/>
          <w:sz w:val="24"/>
          <w:szCs w:val="24"/>
        </w:rPr>
        <w:t>. In contrast, others discussed how family and friends did not provide sufficient support such as “life we [are] living…is not that easy especially with family”</w:t>
      </w:r>
      <w:r w:rsidRPr="00103A0B">
        <w:rPr>
          <w:rFonts w:ascii="Arial" w:hAnsi="Arial" w:cs="Arial"/>
          <w:sz w:val="24"/>
          <w:szCs w:val="24"/>
          <w:vertAlign w:val="superscript"/>
        </w:rPr>
        <w:t>15</w:t>
      </w:r>
      <w:r w:rsidRPr="00103A0B">
        <w:rPr>
          <w:rFonts w:ascii="Arial" w:hAnsi="Arial" w:cs="Arial"/>
          <w:sz w:val="24"/>
          <w:szCs w:val="24"/>
        </w:rPr>
        <w:t>, or they gave incorrect dietary advice, for example, if you have T2DM then “you should keep [a] sweet in your pocket [for] when you are hungry…[that’s] not the way I understand [it now]”</w:t>
      </w:r>
      <w:r w:rsidRPr="00103A0B">
        <w:rPr>
          <w:rFonts w:ascii="Arial" w:hAnsi="Arial" w:cs="Arial"/>
          <w:sz w:val="24"/>
          <w:szCs w:val="24"/>
          <w:vertAlign w:val="superscript"/>
        </w:rPr>
        <w:t>7</w:t>
      </w:r>
      <w:r w:rsidRPr="00103A0B">
        <w:rPr>
          <w:rFonts w:ascii="Arial" w:hAnsi="Arial" w:cs="Arial"/>
          <w:sz w:val="24"/>
          <w:szCs w:val="24"/>
        </w:rPr>
        <w:t xml:space="preserve">. </w:t>
      </w:r>
    </w:p>
    <w:p w14:paraId="6435637B" w14:textId="1B19FBB5" w:rsidR="000162A2" w:rsidRPr="00103A0B" w:rsidRDefault="000162A2" w:rsidP="00FC6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Some participants felt they would get support from other people on the programme “it’s good to meet new people”</w:t>
      </w:r>
      <w:r w:rsidRPr="00103A0B">
        <w:rPr>
          <w:rFonts w:ascii="Arial" w:hAnsi="Arial" w:cs="Arial"/>
          <w:sz w:val="24"/>
          <w:szCs w:val="24"/>
          <w:vertAlign w:val="superscript"/>
        </w:rPr>
        <w:t>3</w:t>
      </w:r>
      <w:r w:rsidRPr="00103A0B">
        <w:rPr>
          <w:rFonts w:ascii="Arial" w:hAnsi="Arial" w:cs="Arial"/>
          <w:sz w:val="24"/>
          <w:szCs w:val="24"/>
        </w:rPr>
        <w:t xml:space="preserve"> as “you learn from each other”</w:t>
      </w:r>
      <w:r w:rsidRPr="00103A0B">
        <w:rPr>
          <w:rFonts w:ascii="Arial" w:hAnsi="Arial" w:cs="Arial"/>
          <w:sz w:val="24"/>
          <w:szCs w:val="24"/>
          <w:vertAlign w:val="superscript"/>
        </w:rPr>
        <w:t xml:space="preserve">8 </w:t>
      </w:r>
      <w:r w:rsidRPr="00103A0B">
        <w:rPr>
          <w:rFonts w:ascii="Arial" w:hAnsi="Arial" w:cs="Arial"/>
          <w:sz w:val="24"/>
          <w:szCs w:val="24"/>
        </w:rPr>
        <w:t>and by talking to others, you get “to see what they do”</w:t>
      </w:r>
      <w:r w:rsidRPr="00103A0B">
        <w:rPr>
          <w:rFonts w:ascii="Arial" w:hAnsi="Arial" w:cs="Arial"/>
          <w:sz w:val="24"/>
          <w:szCs w:val="24"/>
          <w:vertAlign w:val="superscript"/>
        </w:rPr>
        <w:t>4</w:t>
      </w:r>
      <w:r w:rsidRPr="00103A0B">
        <w:rPr>
          <w:rFonts w:ascii="Arial" w:hAnsi="Arial" w:cs="Arial"/>
          <w:sz w:val="24"/>
          <w:szCs w:val="24"/>
        </w:rPr>
        <w:t>. This can help with “motivating each other”</w:t>
      </w:r>
      <w:r w:rsidRPr="00103A0B">
        <w:rPr>
          <w:rFonts w:ascii="Arial" w:hAnsi="Arial" w:cs="Arial"/>
          <w:sz w:val="24"/>
          <w:szCs w:val="24"/>
          <w:vertAlign w:val="superscript"/>
        </w:rPr>
        <w:t>10</w:t>
      </w:r>
      <w:r w:rsidRPr="00103A0B">
        <w:rPr>
          <w:rFonts w:ascii="Arial" w:hAnsi="Arial" w:cs="Arial"/>
          <w:sz w:val="24"/>
          <w:szCs w:val="24"/>
        </w:rPr>
        <w:t xml:space="preserve"> leading to “better understanding”</w:t>
      </w:r>
      <w:r w:rsidRPr="00103A0B">
        <w:rPr>
          <w:rFonts w:ascii="Arial" w:hAnsi="Arial" w:cs="Arial"/>
          <w:sz w:val="24"/>
          <w:szCs w:val="24"/>
          <w:vertAlign w:val="superscript"/>
        </w:rPr>
        <w:t>7</w:t>
      </w:r>
      <w:r w:rsidRPr="00103A0B">
        <w:rPr>
          <w:rFonts w:ascii="Arial" w:hAnsi="Arial" w:cs="Arial"/>
          <w:sz w:val="24"/>
          <w:szCs w:val="24"/>
        </w:rPr>
        <w:t>.</w:t>
      </w:r>
      <w:bookmarkStart w:id="330" w:name="_Hlk31027822"/>
      <w:r w:rsidRPr="00103A0B">
        <w:rPr>
          <w:rFonts w:ascii="Arial" w:hAnsi="Arial" w:cs="Arial"/>
          <w:sz w:val="24"/>
          <w:szCs w:val="24"/>
        </w:rPr>
        <w:t xml:space="preserve"> Participants felt “reassured”</w:t>
      </w:r>
      <w:r w:rsidRPr="00103A0B">
        <w:rPr>
          <w:rFonts w:ascii="Arial" w:hAnsi="Arial" w:cs="Arial"/>
          <w:sz w:val="24"/>
          <w:szCs w:val="24"/>
          <w:vertAlign w:val="superscript"/>
        </w:rPr>
        <w:t>28</w:t>
      </w:r>
      <w:r w:rsidRPr="00103A0B">
        <w:rPr>
          <w:rFonts w:ascii="Arial" w:hAnsi="Arial" w:cs="Arial"/>
          <w:sz w:val="24"/>
          <w:szCs w:val="24"/>
        </w:rPr>
        <w:t>, “appreciate…there are others concerned about us”</w:t>
      </w:r>
      <w:r w:rsidRPr="00103A0B">
        <w:rPr>
          <w:rFonts w:ascii="Arial" w:hAnsi="Arial" w:cs="Arial"/>
          <w:sz w:val="24"/>
          <w:szCs w:val="24"/>
          <w:vertAlign w:val="superscript"/>
        </w:rPr>
        <w:t>8</w:t>
      </w:r>
      <w:r w:rsidRPr="00103A0B">
        <w:rPr>
          <w:rFonts w:ascii="Arial" w:hAnsi="Arial" w:cs="Arial"/>
          <w:sz w:val="24"/>
          <w:szCs w:val="24"/>
        </w:rPr>
        <w:t>, it will be “good to have other people around supporting me”</w:t>
      </w:r>
      <w:r w:rsidRPr="00103A0B">
        <w:rPr>
          <w:rFonts w:ascii="Arial" w:hAnsi="Arial" w:cs="Arial"/>
          <w:sz w:val="24"/>
          <w:szCs w:val="24"/>
          <w:vertAlign w:val="superscript"/>
        </w:rPr>
        <w:t>18</w:t>
      </w:r>
      <w:r w:rsidRPr="00103A0B">
        <w:rPr>
          <w:rFonts w:ascii="Arial" w:hAnsi="Arial" w:cs="Arial"/>
          <w:sz w:val="24"/>
          <w:szCs w:val="24"/>
        </w:rPr>
        <w:t xml:space="preserve"> so are “looking forward to…getting help”</w:t>
      </w:r>
      <w:r w:rsidRPr="00103A0B">
        <w:rPr>
          <w:rFonts w:ascii="Arial" w:hAnsi="Arial" w:cs="Arial"/>
          <w:sz w:val="24"/>
          <w:szCs w:val="24"/>
          <w:vertAlign w:val="superscript"/>
        </w:rPr>
        <w:t>8</w:t>
      </w:r>
      <w:r w:rsidRPr="00103A0B">
        <w:rPr>
          <w:rFonts w:ascii="Arial" w:hAnsi="Arial" w:cs="Arial"/>
          <w:sz w:val="24"/>
          <w:szCs w:val="24"/>
        </w:rPr>
        <w:t xml:space="preserve">. </w:t>
      </w:r>
      <w:bookmarkEnd w:id="330"/>
    </w:p>
    <w:p w14:paraId="578332BC" w14:textId="18579280" w:rsidR="008D109C" w:rsidRPr="00103A0B" w:rsidRDefault="000162A2" w:rsidP="00E0420C">
      <w:pPr>
        <w:keepLines/>
        <w:jc w:val="both"/>
        <w:rPr>
          <w:rFonts w:ascii="Arial" w:hAnsi="Arial" w:cs="Arial"/>
          <w:b/>
          <w:bCs/>
          <w:sz w:val="24"/>
          <w:szCs w:val="24"/>
        </w:rPr>
      </w:pPr>
      <w:r w:rsidRPr="00103A0B">
        <w:rPr>
          <w:rFonts w:ascii="Arial" w:hAnsi="Arial" w:cs="Arial"/>
          <w:b/>
          <w:bCs/>
          <w:sz w:val="24"/>
          <w:szCs w:val="24"/>
        </w:rPr>
        <w:t xml:space="preserve">5.3.5 </w:t>
      </w:r>
      <w:r w:rsidR="008D109C" w:rsidRPr="00103A0B">
        <w:rPr>
          <w:rFonts w:ascii="Arial" w:hAnsi="Arial" w:cs="Arial"/>
          <w:b/>
          <w:bCs/>
          <w:sz w:val="24"/>
          <w:szCs w:val="24"/>
        </w:rPr>
        <w:t>Self-</w:t>
      </w:r>
      <w:r w:rsidRPr="00103A0B">
        <w:rPr>
          <w:rFonts w:ascii="Arial" w:hAnsi="Arial" w:cs="Arial"/>
          <w:b/>
          <w:bCs/>
          <w:sz w:val="24"/>
          <w:szCs w:val="24"/>
        </w:rPr>
        <w:t>P</w:t>
      </w:r>
      <w:r w:rsidR="008D109C" w:rsidRPr="00103A0B">
        <w:rPr>
          <w:rFonts w:ascii="Arial" w:hAnsi="Arial" w:cs="Arial"/>
          <w:b/>
          <w:bCs/>
          <w:sz w:val="24"/>
          <w:szCs w:val="24"/>
        </w:rPr>
        <w:t>erceptions</w:t>
      </w:r>
    </w:p>
    <w:p w14:paraId="7685C479" w14:textId="77777777" w:rsidR="000162A2" w:rsidRPr="00103A0B" w:rsidRDefault="000162A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This theme only applied to participants that became attenders. They commented how “you think you are healthy [before prediabetes diagnosis], then your [diagnosis] proves you’re not healthy”</w:t>
      </w:r>
      <w:r w:rsidRPr="00103A0B">
        <w:rPr>
          <w:rFonts w:ascii="Arial" w:hAnsi="Arial" w:cs="Arial"/>
          <w:sz w:val="24"/>
          <w:szCs w:val="24"/>
          <w:vertAlign w:val="superscript"/>
        </w:rPr>
        <w:t>24</w:t>
      </w:r>
      <w:r w:rsidRPr="00103A0B">
        <w:rPr>
          <w:rFonts w:ascii="Arial" w:hAnsi="Arial" w:cs="Arial"/>
          <w:sz w:val="24"/>
          <w:szCs w:val="24"/>
        </w:rPr>
        <w:t>. They felt like “[their current] lifestyle what you’re doing at the moment is right [although it is] wrong [as proven by their diagnosis]</w:t>
      </w:r>
      <w:r w:rsidRPr="00103A0B">
        <w:rPr>
          <w:rFonts w:ascii="Arial" w:hAnsi="Arial" w:cs="Arial"/>
          <w:sz w:val="24"/>
          <w:szCs w:val="24"/>
          <w:vertAlign w:val="superscript"/>
        </w:rPr>
        <w:t>15</w:t>
      </w:r>
      <w:r w:rsidRPr="00103A0B">
        <w:rPr>
          <w:rFonts w:ascii="Arial" w:hAnsi="Arial" w:cs="Arial"/>
          <w:sz w:val="24"/>
          <w:szCs w:val="24"/>
        </w:rPr>
        <w:t xml:space="preserve">”.  </w:t>
      </w:r>
    </w:p>
    <w:p w14:paraId="4B1FB19D" w14:textId="4EDA16AF" w:rsidR="008D109C" w:rsidRPr="00103A0B" w:rsidRDefault="000162A2" w:rsidP="00FC6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Participants also discussed their body image in relation to perceptions about their weight, from others or their own perceptions.  Some expressed how they “used to be very slim”</w:t>
      </w:r>
      <w:r w:rsidRPr="00103A0B">
        <w:rPr>
          <w:rFonts w:ascii="Arial" w:hAnsi="Arial" w:cs="Arial"/>
          <w:sz w:val="24"/>
          <w:szCs w:val="24"/>
          <w:vertAlign w:val="superscript"/>
        </w:rPr>
        <w:t>3</w:t>
      </w:r>
      <w:r w:rsidRPr="00103A0B">
        <w:rPr>
          <w:rFonts w:ascii="Arial" w:hAnsi="Arial" w:cs="Arial"/>
          <w:sz w:val="24"/>
          <w:szCs w:val="24"/>
        </w:rPr>
        <w:t xml:space="preserve"> and have “now put on weight”</w:t>
      </w:r>
      <w:r w:rsidRPr="00103A0B">
        <w:rPr>
          <w:rFonts w:ascii="Arial" w:hAnsi="Arial" w:cs="Arial"/>
          <w:sz w:val="24"/>
          <w:szCs w:val="24"/>
          <w:vertAlign w:val="superscript"/>
        </w:rPr>
        <w:t>3</w:t>
      </w:r>
      <w:r w:rsidRPr="00103A0B">
        <w:rPr>
          <w:rFonts w:ascii="Arial" w:hAnsi="Arial" w:cs="Arial"/>
          <w:sz w:val="24"/>
          <w:szCs w:val="24"/>
        </w:rPr>
        <w:t xml:space="preserve"> or how they perceived themselves as being “overweight”</w:t>
      </w:r>
      <w:r w:rsidRPr="00103A0B">
        <w:rPr>
          <w:rFonts w:ascii="Arial" w:hAnsi="Arial" w:cs="Arial"/>
          <w:sz w:val="24"/>
          <w:szCs w:val="24"/>
          <w:vertAlign w:val="superscript"/>
        </w:rPr>
        <w:t>13</w:t>
      </w:r>
      <w:r w:rsidRPr="00103A0B">
        <w:rPr>
          <w:rFonts w:ascii="Arial" w:hAnsi="Arial" w:cs="Arial"/>
          <w:sz w:val="24"/>
          <w:szCs w:val="24"/>
        </w:rPr>
        <w:t xml:space="preserve">. Others expressed cultural expectations of weight before and after marriage: “this is [a] culture when you’re young and single you like to have that body because you’re </w:t>
      </w:r>
      <w:proofErr w:type="spellStart"/>
      <w:r w:rsidRPr="00103A0B">
        <w:rPr>
          <w:rFonts w:ascii="Arial" w:hAnsi="Arial" w:cs="Arial"/>
          <w:sz w:val="24"/>
          <w:szCs w:val="24"/>
        </w:rPr>
        <w:t>gonna</w:t>
      </w:r>
      <w:proofErr w:type="spellEnd"/>
      <w:r w:rsidRPr="00103A0B">
        <w:rPr>
          <w:rFonts w:ascii="Arial" w:hAnsi="Arial" w:cs="Arial"/>
          <w:sz w:val="24"/>
          <w:szCs w:val="24"/>
        </w:rPr>
        <w:t xml:space="preserve"> find a nice girl get married…you need someone to look at you [being] in…good shape [but] now I’m happy I got wife…kids I can’t be bothered [about weight]”</w:t>
      </w:r>
      <w:r w:rsidRPr="00103A0B">
        <w:rPr>
          <w:rFonts w:ascii="Arial" w:hAnsi="Arial" w:cs="Arial"/>
          <w:sz w:val="24"/>
          <w:szCs w:val="24"/>
          <w:vertAlign w:val="superscript"/>
        </w:rPr>
        <w:t>15</w:t>
      </w:r>
      <w:r w:rsidRPr="00103A0B">
        <w:rPr>
          <w:rFonts w:ascii="Arial" w:hAnsi="Arial" w:cs="Arial"/>
          <w:sz w:val="24"/>
          <w:szCs w:val="24"/>
        </w:rPr>
        <w:t xml:space="preserve">. </w:t>
      </w:r>
    </w:p>
    <w:p w14:paraId="19EDBB84" w14:textId="3A8F8D0E" w:rsidR="008D109C" w:rsidRPr="00103A0B" w:rsidRDefault="000162A2" w:rsidP="00E0420C">
      <w:pPr>
        <w:keepLines/>
        <w:jc w:val="both"/>
        <w:rPr>
          <w:rFonts w:ascii="Arial" w:hAnsi="Arial" w:cs="Arial"/>
          <w:b/>
          <w:bCs/>
          <w:sz w:val="24"/>
          <w:szCs w:val="24"/>
        </w:rPr>
      </w:pPr>
      <w:r w:rsidRPr="00103A0B">
        <w:rPr>
          <w:rFonts w:ascii="Arial" w:hAnsi="Arial" w:cs="Arial"/>
          <w:b/>
          <w:bCs/>
          <w:sz w:val="24"/>
          <w:szCs w:val="24"/>
        </w:rPr>
        <w:t xml:space="preserve">5.3.6 </w:t>
      </w:r>
      <w:r w:rsidR="008D109C" w:rsidRPr="00103A0B">
        <w:rPr>
          <w:rFonts w:ascii="Arial" w:hAnsi="Arial" w:cs="Arial"/>
          <w:b/>
          <w:bCs/>
          <w:sz w:val="24"/>
          <w:szCs w:val="24"/>
        </w:rPr>
        <w:t xml:space="preserve">Accessibility and </w:t>
      </w:r>
      <w:r w:rsidRPr="00103A0B">
        <w:rPr>
          <w:rFonts w:ascii="Arial" w:hAnsi="Arial" w:cs="Arial"/>
          <w:b/>
          <w:bCs/>
          <w:sz w:val="24"/>
          <w:szCs w:val="24"/>
        </w:rPr>
        <w:t>P</w:t>
      </w:r>
      <w:r w:rsidR="008D109C" w:rsidRPr="00103A0B">
        <w:rPr>
          <w:rFonts w:ascii="Arial" w:hAnsi="Arial" w:cs="Arial"/>
          <w:b/>
          <w:bCs/>
          <w:sz w:val="24"/>
          <w:szCs w:val="24"/>
        </w:rPr>
        <w:t>racticalities</w:t>
      </w:r>
    </w:p>
    <w:p w14:paraId="10EB5682" w14:textId="77777777" w:rsidR="000162A2" w:rsidRPr="00103A0B" w:rsidRDefault="000162A2" w:rsidP="00CD5919">
      <w:pPr>
        <w:spacing w:line="360" w:lineRule="auto"/>
        <w:jc w:val="both"/>
        <w:rPr>
          <w:rFonts w:ascii="Arial" w:hAnsi="Arial" w:cs="Arial"/>
          <w:sz w:val="24"/>
          <w:szCs w:val="24"/>
        </w:rPr>
      </w:pPr>
      <w:r w:rsidRPr="00103A0B">
        <w:rPr>
          <w:rFonts w:ascii="Arial" w:hAnsi="Arial" w:cs="Arial"/>
          <w:sz w:val="24"/>
          <w:szCs w:val="24"/>
        </w:rPr>
        <w:t>This theme gives insight into participants’ experiences of programme access. Some described difficulties when booking their IA: “they wouldn’t pick up for weeks, I kept ringing”</w:t>
      </w:r>
      <w:r w:rsidRPr="00103A0B">
        <w:rPr>
          <w:rFonts w:ascii="Arial" w:hAnsi="Arial" w:cs="Arial"/>
          <w:sz w:val="24"/>
          <w:szCs w:val="24"/>
          <w:vertAlign w:val="superscript"/>
        </w:rPr>
        <w:t>2</w:t>
      </w:r>
      <w:r w:rsidRPr="00103A0B">
        <w:rPr>
          <w:rFonts w:ascii="Arial" w:hAnsi="Arial" w:cs="Arial"/>
          <w:sz w:val="24"/>
          <w:szCs w:val="24"/>
        </w:rPr>
        <w:t xml:space="preserve"> or “it was going straight to voicemail”</w:t>
      </w:r>
      <w:r w:rsidRPr="00103A0B">
        <w:rPr>
          <w:rFonts w:ascii="Arial" w:hAnsi="Arial" w:cs="Arial"/>
          <w:sz w:val="24"/>
          <w:szCs w:val="24"/>
          <w:vertAlign w:val="superscript"/>
        </w:rPr>
        <w:t>3</w:t>
      </w:r>
      <w:r w:rsidRPr="00103A0B">
        <w:rPr>
          <w:rFonts w:ascii="Arial" w:hAnsi="Arial" w:cs="Arial"/>
          <w:sz w:val="24"/>
          <w:szCs w:val="24"/>
        </w:rPr>
        <w:t xml:space="preserve"> with some “never [getting a] reply”</w:t>
      </w:r>
      <w:r w:rsidRPr="00103A0B">
        <w:rPr>
          <w:rFonts w:ascii="Arial" w:hAnsi="Arial" w:cs="Arial"/>
          <w:sz w:val="24"/>
          <w:szCs w:val="24"/>
          <w:vertAlign w:val="superscript"/>
        </w:rPr>
        <w:t>3</w:t>
      </w:r>
      <w:r w:rsidRPr="00103A0B">
        <w:rPr>
          <w:rFonts w:ascii="Arial" w:hAnsi="Arial" w:cs="Arial"/>
          <w:sz w:val="24"/>
          <w:szCs w:val="24"/>
        </w:rPr>
        <w:t>. Some experienced problems with leaving messages being told “it’s full”</w:t>
      </w:r>
      <w:r w:rsidRPr="00103A0B">
        <w:rPr>
          <w:rFonts w:ascii="Arial" w:hAnsi="Arial" w:cs="Arial"/>
          <w:sz w:val="24"/>
          <w:szCs w:val="24"/>
          <w:vertAlign w:val="superscript"/>
        </w:rPr>
        <w:t>4</w:t>
      </w:r>
      <w:r w:rsidRPr="00103A0B">
        <w:rPr>
          <w:rFonts w:ascii="Arial" w:hAnsi="Arial" w:cs="Arial"/>
          <w:sz w:val="24"/>
          <w:szCs w:val="24"/>
        </w:rPr>
        <w:t xml:space="preserve">. </w:t>
      </w:r>
      <w:proofErr w:type="gramStart"/>
      <w:r w:rsidRPr="00103A0B">
        <w:rPr>
          <w:rFonts w:ascii="Arial" w:hAnsi="Arial" w:cs="Arial"/>
          <w:sz w:val="24"/>
          <w:szCs w:val="24"/>
        </w:rPr>
        <w:t xml:space="preserve">This left </w:t>
      </w:r>
      <w:r w:rsidRPr="00103A0B">
        <w:rPr>
          <w:rFonts w:ascii="Arial" w:hAnsi="Arial" w:cs="Arial"/>
          <w:sz w:val="24"/>
          <w:szCs w:val="24"/>
        </w:rPr>
        <w:lastRenderedPageBreak/>
        <w:t>participants</w:t>
      </w:r>
      <w:proofErr w:type="gramEnd"/>
      <w:r w:rsidRPr="00103A0B">
        <w:rPr>
          <w:rFonts w:ascii="Arial" w:hAnsi="Arial" w:cs="Arial"/>
          <w:sz w:val="24"/>
          <w:szCs w:val="24"/>
        </w:rPr>
        <w:t xml:space="preserve"> feeling “concerned it was taking too long”</w:t>
      </w:r>
      <w:r w:rsidRPr="00103A0B">
        <w:rPr>
          <w:rFonts w:ascii="Arial" w:hAnsi="Arial" w:cs="Arial"/>
          <w:sz w:val="24"/>
          <w:szCs w:val="24"/>
          <w:vertAlign w:val="superscript"/>
        </w:rPr>
        <w:t>5</w:t>
      </w:r>
      <w:r w:rsidRPr="00103A0B">
        <w:rPr>
          <w:rFonts w:ascii="Arial" w:hAnsi="Arial" w:cs="Arial"/>
          <w:sz w:val="24"/>
          <w:szCs w:val="24"/>
        </w:rPr>
        <w:t>,</w:t>
      </w:r>
      <w:r w:rsidRPr="00103A0B">
        <w:rPr>
          <w:rFonts w:ascii="Arial" w:hAnsi="Arial" w:cs="Arial"/>
          <w:sz w:val="24"/>
          <w:szCs w:val="24"/>
          <w:vertAlign w:val="superscript"/>
        </w:rPr>
        <w:t xml:space="preserve"> </w:t>
      </w:r>
      <w:r w:rsidRPr="00103A0B">
        <w:rPr>
          <w:rFonts w:ascii="Arial" w:hAnsi="Arial" w:cs="Arial"/>
          <w:sz w:val="24"/>
          <w:szCs w:val="24"/>
        </w:rPr>
        <w:t>“it was very hard to get a place”</w:t>
      </w:r>
      <w:r w:rsidRPr="00103A0B">
        <w:rPr>
          <w:rFonts w:ascii="Arial" w:hAnsi="Arial" w:cs="Arial"/>
          <w:sz w:val="24"/>
          <w:szCs w:val="24"/>
          <w:vertAlign w:val="superscript"/>
        </w:rPr>
        <w:t>2</w:t>
      </w:r>
      <w:r w:rsidRPr="00103A0B">
        <w:rPr>
          <w:rFonts w:ascii="Arial" w:hAnsi="Arial" w:cs="Arial"/>
          <w:sz w:val="24"/>
          <w:szCs w:val="24"/>
        </w:rPr>
        <w:t>, “it wasn’t a positive start”</w:t>
      </w:r>
      <w:r w:rsidRPr="00103A0B">
        <w:rPr>
          <w:rFonts w:ascii="Arial" w:hAnsi="Arial" w:cs="Arial"/>
          <w:sz w:val="24"/>
          <w:szCs w:val="24"/>
          <w:vertAlign w:val="superscript"/>
        </w:rPr>
        <w:t>6</w:t>
      </w:r>
      <w:r w:rsidRPr="00103A0B">
        <w:rPr>
          <w:rFonts w:ascii="Arial" w:hAnsi="Arial" w:cs="Arial"/>
          <w:sz w:val="24"/>
          <w:szCs w:val="24"/>
        </w:rPr>
        <w:t>.</w:t>
      </w:r>
      <w:bookmarkStart w:id="331" w:name="_Hlk31028449"/>
      <w:r w:rsidRPr="00103A0B">
        <w:rPr>
          <w:rFonts w:ascii="Arial" w:hAnsi="Arial" w:cs="Arial"/>
          <w:sz w:val="24"/>
          <w:szCs w:val="24"/>
        </w:rPr>
        <w:t xml:space="preserve"> Two participants described problems with their IA: “they [IA instructors] didn’t show up”</w:t>
      </w:r>
      <w:r w:rsidRPr="00103A0B">
        <w:rPr>
          <w:rFonts w:ascii="Arial" w:hAnsi="Arial" w:cs="Arial"/>
          <w:sz w:val="24"/>
          <w:szCs w:val="24"/>
          <w:vertAlign w:val="superscript"/>
        </w:rPr>
        <w:t>11</w:t>
      </w:r>
      <w:r w:rsidRPr="00103A0B">
        <w:rPr>
          <w:rFonts w:ascii="Arial" w:hAnsi="Arial" w:cs="Arial"/>
          <w:sz w:val="24"/>
          <w:szCs w:val="24"/>
        </w:rPr>
        <w:t xml:space="preserve"> which led them needing to rearrange and take “a whole day off work to come</w:t>
      </w:r>
      <w:r w:rsidRPr="00103A0B">
        <w:rPr>
          <w:rFonts w:ascii="Arial" w:hAnsi="Arial" w:cs="Arial"/>
          <w:sz w:val="24"/>
          <w:szCs w:val="24"/>
          <w:vertAlign w:val="superscript"/>
        </w:rPr>
        <w:t>34</w:t>
      </w:r>
      <w:r w:rsidRPr="00103A0B">
        <w:rPr>
          <w:rFonts w:ascii="Arial" w:hAnsi="Arial" w:cs="Arial"/>
          <w:sz w:val="24"/>
          <w:szCs w:val="24"/>
        </w:rPr>
        <w:t>”, making them feel “pissed off”</w:t>
      </w:r>
      <w:r w:rsidRPr="00103A0B">
        <w:rPr>
          <w:rFonts w:ascii="Arial" w:hAnsi="Arial" w:cs="Arial"/>
          <w:sz w:val="24"/>
          <w:szCs w:val="24"/>
          <w:vertAlign w:val="superscript"/>
        </w:rPr>
        <w:t>11</w:t>
      </w:r>
      <w:r w:rsidRPr="00103A0B">
        <w:rPr>
          <w:rFonts w:ascii="Arial" w:hAnsi="Arial" w:cs="Arial"/>
          <w:sz w:val="24"/>
          <w:szCs w:val="24"/>
        </w:rPr>
        <w:t>, although they attended another IA</w:t>
      </w:r>
      <w:r w:rsidRPr="00103A0B" w:rsidDel="009A0C67">
        <w:rPr>
          <w:rFonts w:ascii="Arial" w:hAnsi="Arial" w:cs="Arial"/>
          <w:sz w:val="24"/>
          <w:szCs w:val="24"/>
        </w:rPr>
        <w:t xml:space="preserve"> </w:t>
      </w:r>
      <w:r w:rsidRPr="00103A0B">
        <w:rPr>
          <w:rFonts w:ascii="Arial" w:hAnsi="Arial" w:cs="Arial"/>
          <w:sz w:val="24"/>
          <w:szCs w:val="24"/>
        </w:rPr>
        <w:t>later</w:t>
      </w:r>
      <w:bookmarkEnd w:id="331"/>
      <w:r w:rsidRPr="00103A0B">
        <w:rPr>
          <w:rFonts w:ascii="Arial" w:hAnsi="Arial" w:cs="Arial"/>
          <w:sz w:val="24"/>
          <w:szCs w:val="24"/>
        </w:rPr>
        <w:t>, but then became non-attenders of the programme.</w:t>
      </w:r>
    </w:p>
    <w:p w14:paraId="2F627F5C" w14:textId="77777777" w:rsidR="000162A2" w:rsidRPr="00103A0B" w:rsidRDefault="000162A2" w:rsidP="00CD5919">
      <w:pPr>
        <w:spacing w:line="360" w:lineRule="auto"/>
        <w:jc w:val="both"/>
        <w:rPr>
          <w:rFonts w:ascii="Arial" w:hAnsi="Arial" w:cs="Arial"/>
          <w:sz w:val="24"/>
          <w:szCs w:val="24"/>
        </w:rPr>
      </w:pPr>
      <w:bookmarkStart w:id="332" w:name="_Hlk31032756"/>
      <w:r w:rsidRPr="00103A0B">
        <w:rPr>
          <w:rFonts w:ascii="Arial" w:hAnsi="Arial" w:cs="Arial"/>
          <w:sz w:val="24"/>
          <w:szCs w:val="24"/>
        </w:rPr>
        <w:t xml:space="preserve">After the IA, the negative experience of booking continued with some attenders and non-attenders: “you </w:t>
      </w:r>
      <w:proofErr w:type="spellStart"/>
      <w:r w:rsidRPr="00103A0B">
        <w:rPr>
          <w:rFonts w:ascii="Arial" w:hAnsi="Arial" w:cs="Arial"/>
          <w:sz w:val="24"/>
          <w:szCs w:val="24"/>
        </w:rPr>
        <w:t>gotta</w:t>
      </w:r>
      <w:proofErr w:type="spellEnd"/>
      <w:r w:rsidRPr="00103A0B">
        <w:rPr>
          <w:rFonts w:ascii="Arial" w:hAnsi="Arial" w:cs="Arial"/>
          <w:sz w:val="24"/>
          <w:szCs w:val="24"/>
        </w:rPr>
        <w:t xml:space="preserve"> keep leaving them a message”</w:t>
      </w:r>
      <w:r w:rsidRPr="00103A0B">
        <w:rPr>
          <w:rFonts w:ascii="Arial" w:hAnsi="Arial" w:cs="Arial"/>
          <w:sz w:val="24"/>
          <w:szCs w:val="24"/>
          <w:vertAlign w:val="superscript"/>
        </w:rPr>
        <w:t xml:space="preserve">8 </w:t>
      </w:r>
      <w:r w:rsidRPr="00103A0B">
        <w:rPr>
          <w:rFonts w:ascii="Arial" w:hAnsi="Arial" w:cs="Arial"/>
          <w:sz w:val="24"/>
          <w:szCs w:val="24"/>
        </w:rPr>
        <w:t>“no-one answers”</w:t>
      </w:r>
      <w:r w:rsidRPr="00103A0B">
        <w:rPr>
          <w:rFonts w:ascii="Arial" w:hAnsi="Arial" w:cs="Arial"/>
          <w:sz w:val="24"/>
          <w:szCs w:val="24"/>
          <w:vertAlign w:val="superscript"/>
        </w:rPr>
        <w:t>12</w:t>
      </w:r>
      <w:r w:rsidRPr="00103A0B">
        <w:rPr>
          <w:rFonts w:ascii="Arial" w:hAnsi="Arial" w:cs="Arial"/>
          <w:sz w:val="24"/>
          <w:szCs w:val="24"/>
        </w:rPr>
        <w:t>.  This resulted in participants feeling “stressed</w:t>
      </w:r>
      <w:r w:rsidRPr="00103A0B">
        <w:rPr>
          <w:rFonts w:ascii="Arial" w:hAnsi="Arial" w:cs="Arial"/>
          <w:sz w:val="24"/>
          <w:szCs w:val="24"/>
          <w:vertAlign w:val="superscript"/>
        </w:rPr>
        <w:t>7</w:t>
      </w:r>
      <w:r w:rsidRPr="00103A0B">
        <w:rPr>
          <w:rFonts w:ascii="Arial" w:hAnsi="Arial" w:cs="Arial"/>
          <w:sz w:val="24"/>
          <w:szCs w:val="24"/>
        </w:rPr>
        <w:t>”, “fed up”</w:t>
      </w:r>
      <w:r w:rsidRPr="00103A0B">
        <w:rPr>
          <w:rFonts w:ascii="Arial" w:hAnsi="Arial" w:cs="Arial"/>
          <w:sz w:val="24"/>
          <w:szCs w:val="24"/>
          <w:vertAlign w:val="superscript"/>
        </w:rPr>
        <w:t>9</w:t>
      </w:r>
      <w:r w:rsidRPr="00103A0B">
        <w:rPr>
          <w:rFonts w:ascii="Arial" w:hAnsi="Arial" w:cs="Arial"/>
          <w:sz w:val="24"/>
          <w:szCs w:val="24"/>
        </w:rPr>
        <w:t>, “it drives me mad”</w:t>
      </w:r>
      <w:r w:rsidRPr="00103A0B">
        <w:rPr>
          <w:rFonts w:ascii="Arial" w:hAnsi="Arial" w:cs="Arial"/>
          <w:sz w:val="24"/>
          <w:szCs w:val="24"/>
          <w:vertAlign w:val="superscript"/>
        </w:rPr>
        <w:t>8</w:t>
      </w:r>
      <w:r w:rsidRPr="00103A0B">
        <w:rPr>
          <w:rFonts w:ascii="Arial" w:hAnsi="Arial" w:cs="Arial"/>
          <w:sz w:val="24"/>
          <w:szCs w:val="24"/>
        </w:rPr>
        <w:t xml:space="preserve"> or feeling that it was “badly organised”</w:t>
      </w:r>
      <w:r w:rsidRPr="00103A0B">
        <w:rPr>
          <w:rFonts w:ascii="Arial" w:hAnsi="Arial" w:cs="Arial"/>
          <w:sz w:val="24"/>
          <w:szCs w:val="24"/>
          <w:vertAlign w:val="superscript"/>
        </w:rPr>
        <w:t>9</w:t>
      </w:r>
      <w:r w:rsidRPr="00103A0B">
        <w:rPr>
          <w:rFonts w:ascii="Arial" w:hAnsi="Arial" w:cs="Arial"/>
          <w:sz w:val="24"/>
          <w:szCs w:val="24"/>
        </w:rPr>
        <w:t xml:space="preserve"> and best to “give up</w:t>
      </w:r>
      <w:r w:rsidRPr="00103A0B">
        <w:rPr>
          <w:rFonts w:ascii="Arial" w:hAnsi="Arial" w:cs="Arial"/>
          <w:sz w:val="24"/>
          <w:szCs w:val="24"/>
          <w:vertAlign w:val="superscript"/>
        </w:rPr>
        <w:t>7</w:t>
      </w:r>
      <w:r w:rsidRPr="00103A0B">
        <w:rPr>
          <w:rFonts w:ascii="Arial" w:hAnsi="Arial" w:cs="Arial"/>
          <w:sz w:val="24"/>
          <w:szCs w:val="24"/>
        </w:rPr>
        <w:t>” and did not attempt again to book their first session. One non-attender felt “if I managed to get in contact with them, I would definitely like to go on the programme”</w:t>
      </w:r>
      <w:r w:rsidRPr="00103A0B">
        <w:rPr>
          <w:rFonts w:ascii="Arial" w:hAnsi="Arial" w:cs="Arial"/>
          <w:sz w:val="24"/>
          <w:szCs w:val="24"/>
          <w:vertAlign w:val="superscript"/>
        </w:rPr>
        <w:t>10</w:t>
      </w:r>
      <w:r w:rsidRPr="00103A0B">
        <w:rPr>
          <w:rFonts w:ascii="Arial" w:hAnsi="Arial" w:cs="Arial"/>
          <w:sz w:val="24"/>
          <w:szCs w:val="24"/>
        </w:rPr>
        <w:t xml:space="preserve">. </w:t>
      </w:r>
      <w:bookmarkStart w:id="333" w:name="_Hlk31028710"/>
      <w:r w:rsidRPr="00103A0B">
        <w:rPr>
          <w:rFonts w:ascii="Arial" w:hAnsi="Arial" w:cs="Arial"/>
          <w:sz w:val="24"/>
          <w:szCs w:val="24"/>
        </w:rPr>
        <w:t xml:space="preserve">It seems like attenders kept </w:t>
      </w:r>
      <w:bookmarkEnd w:id="333"/>
      <w:r w:rsidRPr="00103A0B">
        <w:rPr>
          <w:rFonts w:ascii="Arial" w:hAnsi="Arial" w:cs="Arial"/>
          <w:sz w:val="24"/>
          <w:szCs w:val="24"/>
        </w:rPr>
        <w:t>“persevering”</w:t>
      </w:r>
      <w:r w:rsidRPr="00103A0B">
        <w:rPr>
          <w:rFonts w:ascii="Arial" w:hAnsi="Arial" w:cs="Arial"/>
          <w:sz w:val="24"/>
          <w:szCs w:val="24"/>
          <w:vertAlign w:val="superscript"/>
        </w:rPr>
        <w:t xml:space="preserve">6 </w:t>
      </w:r>
      <w:r w:rsidRPr="00103A0B">
        <w:rPr>
          <w:rFonts w:ascii="Arial" w:hAnsi="Arial" w:cs="Arial"/>
          <w:sz w:val="24"/>
          <w:szCs w:val="24"/>
        </w:rPr>
        <w:t>and managed to start.</w:t>
      </w:r>
      <w:bookmarkStart w:id="334" w:name="_Hlk31032775"/>
      <w:bookmarkEnd w:id="332"/>
      <w:r w:rsidRPr="00103A0B">
        <w:rPr>
          <w:rFonts w:ascii="Arial" w:hAnsi="Arial" w:cs="Arial"/>
          <w:sz w:val="24"/>
          <w:szCs w:val="24"/>
        </w:rPr>
        <w:t xml:space="preserve"> </w:t>
      </w:r>
    </w:p>
    <w:bookmarkEnd w:id="334"/>
    <w:p w14:paraId="70BCC6DC" w14:textId="77777777" w:rsidR="000162A2" w:rsidRPr="00103A0B" w:rsidRDefault="000162A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A few participants were “very flexible”</w:t>
      </w:r>
      <w:r w:rsidRPr="00103A0B">
        <w:rPr>
          <w:rFonts w:ascii="Arial" w:hAnsi="Arial" w:cs="Arial"/>
          <w:sz w:val="24"/>
          <w:szCs w:val="24"/>
          <w:vertAlign w:val="superscript"/>
        </w:rPr>
        <w:t>14</w:t>
      </w:r>
      <w:r w:rsidRPr="00103A0B">
        <w:rPr>
          <w:rFonts w:ascii="Arial" w:hAnsi="Arial" w:cs="Arial"/>
          <w:sz w:val="24"/>
          <w:szCs w:val="24"/>
        </w:rPr>
        <w:t xml:space="preserve"> with session times, but for some it “depended on…[work] schedule”</w:t>
      </w:r>
      <w:r w:rsidRPr="00103A0B">
        <w:rPr>
          <w:rFonts w:ascii="Arial" w:hAnsi="Arial" w:cs="Arial"/>
          <w:sz w:val="24"/>
          <w:szCs w:val="24"/>
          <w:vertAlign w:val="superscript"/>
        </w:rPr>
        <w:t>15</w:t>
      </w:r>
      <w:r w:rsidRPr="00103A0B">
        <w:rPr>
          <w:rFonts w:ascii="Arial" w:hAnsi="Arial" w:cs="Arial"/>
          <w:sz w:val="24"/>
          <w:szCs w:val="24"/>
        </w:rPr>
        <w:t>.</w:t>
      </w:r>
      <w:bookmarkStart w:id="335" w:name="_Hlk31032803"/>
      <w:r w:rsidRPr="00103A0B">
        <w:rPr>
          <w:rFonts w:ascii="Arial" w:hAnsi="Arial" w:cs="Arial"/>
          <w:sz w:val="24"/>
          <w:szCs w:val="24"/>
        </w:rPr>
        <w:t xml:space="preserve"> Some non-attenders were not able to attend session times due to “work”</w:t>
      </w:r>
      <w:r w:rsidRPr="00103A0B">
        <w:rPr>
          <w:rFonts w:ascii="Arial" w:hAnsi="Arial" w:cs="Arial"/>
          <w:sz w:val="24"/>
          <w:szCs w:val="24"/>
          <w:vertAlign w:val="superscript"/>
        </w:rPr>
        <w:t>16</w:t>
      </w:r>
      <w:r w:rsidRPr="00103A0B">
        <w:rPr>
          <w:rFonts w:ascii="Arial" w:hAnsi="Arial" w:cs="Arial"/>
          <w:sz w:val="24"/>
          <w:szCs w:val="24"/>
        </w:rPr>
        <w:t>. Others could not start as “they didn’t have the times I wanted”</w:t>
      </w:r>
      <w:r w:rsidRPr="00103A0B">
        <w:rPr>
          <w:rFonts w:ascii="Arial" w:hAnsi="Arial" w:cs="Arial"/>
          <w:sz w:val="24"/>
          <w:szCs w:val="24"/>
          <w:vertAlign w:val="superscript"/>
        </w:rPr>
        <w:t>17</w:t>
      </w:r>
      <w:r w:rsidRPr="00103A0B">
        <w:rPr>
          <w:rFonts w:ascii="Arial" w:hAnsi="Arial" w:cs="Arial"/>
          <w:sz w:val="24"/>
          <w:szCs w:val="24"/>
        </w:rPr>
        <w:t xml:space="preserve">. </w:t>
      </w:r>
      <w:bookmarkStart w:id="336" w:name="_Hlk31032829"/>
      <w:bookmarkEnd w:id="335"/>
      <w:r w:rsidRPr="00103A0B">
        <w:rPr>
          <w:rFonts w:ascii="Arial" w:hAnsi="Arial" w:cs="Arial"/>
          <w:sz w:val="24"/>
          <w:szCs w:val="24"/>
        </w:rPr>
        <w:t>Some felt they were given at “short notice”</w:t>
      </w:r>
      <w:r w:rsidRPr="00103A0B">
        <w:rPr>
          <w:rFonts w:ascii="Arial" w:hAnsi="Arial" w:cs="Arial"/>
          <w:sz w:val="24"/>
          <w:szCs w:val="24"/>
          <w:vertAlign w:val="superscript"/>
        </w:rPr>
        <w:t>19</w:t>
      </w:r>
      <w:r w:rsidRPr="00103A0B">
        <w:rPr>
          <w:rFonts w:ascii="Arial" w:hAnsi="Arial" w:cs="Arial"/>
          <w:sz w:val="24"/>
          <w:szCs w:val="24"/>
        </w:rPr>
        <w:t xml:space="preserve"> and “they expect you to go the next day…life does not work like that”</w:t>
      </w:r>
      <w:r w:rsidRPr="00103A0B">
        <w:rPr>
          <w:rFonts w:ascii="Arial" w:hAnsi="Arial" w:cs="Arial"/>
          <w:sz w:val="24"/>
          <w:szCs w:val="24"/>
          <w:vertAlign w:val="superscript"/>
        </w:rPr>
        <w:t>9</w:t>
      </w:r>
      <w:r w:rsidRPr="00103A0B">
        <w:rPr>
          <w:rFonts w:ascii="Arial" w:hAnsi="Arial" w:cs="Arial"/>
          <w:sz w:val="24"/>
          <w:szCs w:val="24"/>
        </w:rPr>
        <w:t>.</w:t>
      </w:r>
    </w:p>
    <w:bookmarkEnd w:id="336"/>
    <w:p w14:paraId="7109FE59" w14:textId="74D54FF0" w:rsidR="008D109C" w:rsidRPr="00103A0B" w:rsidRDefault="000162A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Some participants stated it would be better to have sessions “closer to home”</w:t>
      </w:r>
      <w:r w:rsidRPr="00103A0B">
        <w:rPr>
          <w:rFonts w:ascii="Arial" w:hAnsi="Arial" w:cs="Arial"/>
          <w:sz w:val="24"/>
          <w:szCs w:val="24"/>
          <w:vertAlign w:val="superscript"/>
        </w:rPr>
        <w:t>4</w:t>
      </w:r>
      <w:r w:rsidRPr="00103A0B">
        <w:rPr>
          <w:rFonts w:ascii="Arial" w:hAnsi="Arial" w:cs="Arial"/>
          <w:sz w:val="24"/>
          <w:szCs w:val="24"/>
        </w:rPr>
        <w:t xml:space="preserve">. </w:t>
      </w:r>
      <w:bookmarkStart w:id="337" w:name="_Hlk31102681"/>
      <w:bookmarkStart w:id="338" w:name="_Hlk31032902"/>
      <w:r w:rsidRPr="00103A0B">
        <w:rPr>
          <w:rFonts w:ascii="Arial" w:hAnsi="Arial" w:cs="Arial"/>
          <w:sz w:val="24"/>
          <w:szCs w:val="24"/>
        </w:rPr>
        <w:t>A few who expressed before the programme they need “to make time to come”</w:t>
      </w:r>
      <w:r w:rsidRPr="00103A0B">
        <w:rPr>
          <w:rFonts w:ascii="Arial" w:hAnsi="Arial" w:cs="Arial"/>
          <w:sz w:val="24"/>
          <w:szCs w:val="24"/>
          <w:vertAlign w:val="superscript"/>
        </w:rPr>
        <w:t>21</w:t>
      </w:r>
      <w:r w:rsidRPr="00103A0B">
        <w:rPr>
          <w:rFonts w:ascii="Arial" w:hAnsi="Arial" w:cs="Arial"/>
          <w:sz w:val="24"/>
          <w:szCs w:val="24"/>
        </w:rPr>
        <w:t xml:space="preserve"> became</w:t>
      </w:r>
      <w:r w:rsidRPr="00103A0B">
        <w:rPr>
          <w:rFonts w:ascii="Arial" w:hAnsi="Arial" w:cs="Arial"/>
          <w:sz w:val="24"/>
          <w:szCs w:val="24"/>
          <w:vertAlign w:val="superscript"/>
        </w:rPr>
        <w:t xml:space="preserve"> </w:t>
      </w:r>
      <w:r w:rsidRPr="00103A0B">
        <w:rPr>
          <w:rFonts w:ascii="Arial" w:hAnsi="Arial" w:cs="Arial"/>
          <w:sz w:val="24"/>
          <w:szCs w:val="24"/>
        </w:rPr>
        <w:t xml:space="preserve">attenders as they prioritised time which </w:t>
      </w:r>
      <w:proofErr w:type="gramStart"/>
      <w:r w:rsidRPr="00103A0B">
        <w:rPr>
          <w:rFonts w:ascii="Arial" w:hAnsi="Arial" w:cs="Arial"/>
          <w:sz w:val="24"/>
          <w:szCs w:val="24"/>
        </w:rPr>
        <w:t>is in contrast to</w:t>
      </w:r>
      <w:proofErr w:type="gramEnd"/>
      <w:r w:rsidRPr="00103A0B">
        <w:rPr>
          <w:rFonts w:ascii="Arial" w:hAnsi="Arial" w:cs="Arial"/>
          <w:sz w:val="24"/>
          <w:szCs w:val="24"/>
        </w:rPr>
        <w:t xml:space="preserve"> non-attenders who discussed they have “a lot less time”</w:t>
      </w:r>
      <w:bookmarkEnd w:id="337"/>
      <w:r w:rsidRPr="00103A0B">
        <w:rPr>
          <w:rFonts w:ascii="Arial" w:hAnsi="Arial" w:cs="Arial"/>
          <w:sz w:val="24"/>
          <w:szCs w:val="24"/>
          <w:vertAlign w:val="superscript"/>
        </w:rPr>
        <w:t>18</w:t>
      </w:r>
      <w:r w:rsidRPr="00103A0B">
        <w:rPr>
          <w:rFonts w:ascii="Arial" w:hAnsi="Arial" w:cs="Arial"/>
          <w:sz w:val="24"/>
          <w:szCs w:val="24"/>
        </w:rPr>
        <w:t xml:space="preserve">. </w:t>
      </w:r>
      <w:bookmarkStart w:id="339" w:name="_Hlk31028898"/>
      <w:bookmarkEnd w:id="338"/>
      <w:r w:rsidRPr="00103A0B">
        <w:rPr>
          <w:rFonts w:ascii="Arial" w:hAnsi="Arial" w:cs="Arial"/>
          <w:sz w:val="24"/>
          <w:szCs w:val="24"/>
        </w:rPr>
        <w:t>The proportion of participants who stated they accessed the programme through “GP referral”</w:t>
      </w:r>
      <w:r w:rsidRPr="00103A0B">
        <w:rPr>
          <w:rFonts w:ascii="Arial" w:hAnsi="Arial" w:cs="Arial"/>
          <w:sz w:val="24"/>
          <w:szCs w:val="24"/>
          <w:vertAlign w:val="superscript"/>
        </w:rPr>
        <w:t xml:space="preserve">22 </w:t>
      </w:r>
      <w:r w:rsidRPr="00103A0B">
        <w:rPr>
          <w:rFonts w:ascii="Arial" w:hAnsi="Arial" w:cs="Arial"/>
          <w:sz w:val="24"/>
          <w:szCs w:val="24"/>
        </w:rPr>
        <w:t>or “GP [recommendation]”</w:t>
      </w:r>
      <w:r w:rsidRPr="00103A0B">
        <w:rPr>
          <w:rFonts w:ascii="Arial" w:hAnsi="Arial" w:cs="Arial"/>
          <w:sz w:val="24"/>
          <w:szCs w:val="24"/>
          <w:vertAlign w:val="superscript"/>
        </w:rPr>
        <w:t>26</w:t>
      </w:r>
      <w:r w:rsidRPr="00103A0B">
        <w:rPr>
          <w:rFonts w:ascii="Arial" w:hAnsi="Arial" w:cs="Arial"/>
          <w:sz w:val="24"/>
          <w:szCs w:val="24"/>
        </w:rPr>
        <w:t xml:space="preserve"> was higher in attenders than non-attenders (attenders </w:t>
      </w:r>
      <w:r w:rsidRPr="00103A0B">
        <w:rPr>
          <w:rFonts w:ascii="Arial" w:hAnsi="Arial" w:cs="Arial"/>
          <w:i/>
          <w:iCs/>
          <w:sz w:val="24"/>
          <w:szCs w:val="24"/>
        </w:rPr>
        <w:t>n</w:t>
      </w:r>
      <w:r w:rsidRPr="00103A0B">
        <w:rPr>
          <w:rFonts w:ascii="Arial" w:hAnsi="Arial" w:cs="Arial"/>
          <w:sz w:val="24"/>
          <w:szCs w:val="24"/>
        </w:rPr>
        <w:t xml:space="preserve">= 9 (39% of attenders) vs. non-attenders </w:t>
      </w:r>
      <w:r w:rsidRPr="00103A0B">
        <w:rPr>
          <w:rFonts w:ascii="Arial" w:hAnsi="Arial" w:cs="Arial"/>
          <w:i/>
          <w:iCs/>
          <w:sz w:val="24"/>
          <w:szCs w:val="24"/>
        </w:rPr>
        <w:t>n</w:t>
      </w:r>
      <w:r w:rsidRPr="00103A0B">
        <w:rPr>
          <w:rFonts w:ascii="Arial" w:hAnsi="Arial" w:cs="Arial"/>
          <w:sz w:val="24"/>
          <w:szCs w:val="24"/>
        </w:rPr>
        <w:t>= 1 (8% of non-attenders)).</w:t>
      </w:r>
      <w:bookmarkEnd w:id="339"/>
      <w:r w:rsidRPr="00103A0B">
        <w:rPr>
          <w:rFonts w:ascii="Arial" w:hAnsi="Arial" w:cs="Arial"/>
          <w:sz w:val="24"/>
          <w:szCs w:val="24"/>
        </w:rPr>
        <w:t xml:space="preserve"> Some </w:t>
      </w:r>
      <w:bookmarkStart w:id="340" w:name="_Hlk31032920"/>
      <w:r w:rsidRPr="00103A0B">
        <w:rPr>
          <w:rFonts w:ascii="Arial" w:hAnsi="Arial" w:cs="Arial"/>
          <w:sz w:val="24"/>
          <w:szCs w:val="24"/>
        </w:rPr>
        <w:t>attenders also said “the letter from the GP”</w:t>
      </w:r>
      <w:r w:rsidRPr="00103A0B">
        <w:rPr>
          <w:rFonts w:ascii="Arial" w:hAnsi="Arial" w:cs="Arial"/>
          <w:sz w:val="24"/>
          <w:szCs w:val="24"/>
          <w:vertAlign w:val="superscript"/>
        </w:rPr>
        <w:t>27</w:t>
      </w:r>
      <w:r w:rsidRPr="00103A0B">
        <w:rPr>
          <w:rFonts w:ascii="Arial" w:hAnsi="Arial" w:cs="Arial"/>
          <w:sz w:val="24"/>
          <w:szCs w:val="24"/>
        </w:rPr>
        <w:t xml:space="preserve"> made them think “I must do it”</w:t>
      </w:r>
      <w:r w:rsidRPr="00103A0B">
        <w:rPr>
          <w:rFonts w:ascii="Arial" w:hAnsi="Arial" w:cs="Arial"/>
          <w:sz w:val="24"/>
          <w:szCs w:val="24"/>
          <w:vertAlign w:val="superscript"/>
        </w:rPr>
        <w:t>2</w:t>
      </w:r>
      <w:r w:rsidRPr="00103A0B">
        <w:rPr>
          <w:rFonts w:ascii="Arial" w:hAnsi="Arial" w:cs="Arial"/>
          <w:sz w:val="24"/>
          <w:szCs w:val="24"/>
        </w:rPr>
        <w:t xml:space="preserve"> motivating them to start. </w:t>
      </w:r>
      <w:bookmarkEnd w:id="340"/>
      <w:r w:rsidRPr="00103A0B">
        <w:rPr>
          <w:rFonts w:ascii="Arial" w:hAnsi="Arial" w:cs="Arial"/>
          <w:sz w:val="24"/>
          <w:szCs w:val="24"/>
        </w:rPr>
        <w:t>Overall, non-attenders commonly discussed organisational issues and inconvenience as reasons for their non-attendance when attempts were made to book onto the NHSDPP (Appendix 2</w:t>
      </w:r>
      <w:r w:rsidR="005E2C2E" w:rsidRPr="00103A0B">
        <w:rPr>
          <w:rFonts w:ascii="Arial" w:hAnsi="Arial" w:cs="Arial"/>
          <w:sz w:val="24"/>
          <w:szCs w:val="24"/>
        </w:rPr>
        <w:t>4</w:t>
      </w:r>
      <w:r w:rsidRPr="00103A0B">
        <w:rPr>
          <w:rFonts w:ascii="Arial" w:hAnsi="Arial" w:cs="Arial"/>
          <w:sz w:val="24"/>
          <w:szCs w:val="24"/>
        </w:rPr>
        <w:t>).</w:t>
      </w:r>
    </w:p>
    <w:p w14:paraId="276F9F3C" w14:textId="155A9354" w:rsidR="008D109C" w:rsidRPr="00103A0B" w:rsidRDefault="000162A2" w:rsidP="00E0420C">
      <w:pPr>
        <w:keepLines/>
        <w:jc w:val="both"/>
        <w:rPr>
          <w:rFonts w:ascii="Arial" w:hAnsi="Arial" w:cs="Arial"/>
          <w:b/>
          <w:bCs/>
          <w:sz w:val="24"/>
          <w:szCs w:val="24"/>
        </w:rPr>
      </w:pPr>
      <w:r w:rsidRPr="00103A0B">
        <w:rPr>
          <w:rFonts w:ascii="Arial" w:hAnsi="Arial" w:cs="Arial"/>
          <w:b/>
          <w:bCs/>
          <w:sz w:val="24"/>
          <w:szCs w:val="24"/>
        </w:rPr>
        <w:t xml:space="preserve">5.3.7 </w:t>
      </w:r>
      <w:r w:rsidR="008D109C" w:rsidRPr="00103A0B">
        <w:rPr>
          <w:rFonts w:ascii="Arial" w:hAnsi="Arial" w:cs="Arial"/>
          <w:b/>
          <w:bCs/>
          <w:sz w:val="24"/>
          <w:szCs w:val="24"/>
        </w:rPr>
        <w:t>Motivation</w:t>
      </w:r>
    </w:p>
    <w:p w14:paraId="5FB55E8E" w14:textId="5B194834" w:rsidR="00E974CC" w:rsidRPr="00103A0B" w:rsidRDefault="00E974CC"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bookmarkStart w:id="341" w:name="_Hlk13927966"/>
      <w:r w:rsidRPr="00103A0B">
        <w:rPr>
          <w:rFonts w:ascii="Arial" w:hAnsi="Arial" w:cs="Arial"/>
          <w:sz w:val="24"/>
          <w:szCs w:val="24"/>
        </w:rPr>
        <w:t xml:space="preserve">This theme links to all other themes and involves participants expressing their desire to self-care, how family play a role in motivation, and how committed they are to start. Many participants </w:t>
      </w:r>
      <w:bookmarkStart w:id="342" w:name="_Hlk31028967"/>
      <w:r w:rsidRPr="00103A0B">
        <w:rPr>
          <w:rFonts w:ascii="Arial" w:hAnsi="Arial" w:cs="Arial"/>
          <w:sz w:val="24"/>
          <w:szCs w:val="24"/>
        </w:rPr>
        <w:t>discussed the importance of self-care: “it’s my health I’m here to look after myself”</w:t>
      </w:r>
      <w:r w:rsidRPr="00103A0B">
        <w:rPr>
          <w:rFonts w:ascii="Arial" w:hAnsi="Arial" w:cs="Arial"/>
          <w:sz w:val="24"/>
          <w:szCs w:val="24"/>
          <w:vertAlign w:val="superscript"/>
        </w:rPr>
        <w:t>29</w:t>
      </w:r>
      <w:r w:rsidRPr="00103A0B">
        <w:rPr>
          <w:rFonts w:ascii="Arial" w:hAnsi="Arial" w:cs="Arial"/>
          <w:sz w:val="24"/>
          <w:szCs w:val="24"/>
        </w:rPr>
        <w:t xml:space="preserve">. </w:t>
      </w:r>
      <w:bookmarkEnd w:id="342"/>
      <w:r w:rsidRPr="00103A0B">
        <w:rPr>
          <w:rFonts w:ascii="Arial" w:hAnsi="Arial" w:cs="Arial"/>
          <w:sz w:val="24"/>
          <w:szCs w:val="24"/>
        </w:rPr>
        <w:t xml:space="preserve">Many discussed their desire to make positive lifestyle changes </w:t>
      </w:r>
      <w:r w:rsidRPr="00103A0B">
        <w:rPr>
          <w:rFonts w:ascii="Arial" w:hAnsi="Arial" w:cs="Arial"/>
          <w:sz w:val="24"/>
          <w:szCs w:val="24"/>
        </w:rPr>
        <w:lastRenderedPageBreak/>
        <w:t>and improve health. For example, they wanted “good health”</w:t>
      </w:r>
      <w:r w:rsidRPr="00103A0B">
        <w:rPr>
          <w:rFonts w:ascii="Arial" w:hAnsi="Arial" w:cs="Arial"/>
          <w:sz w:val="24"/>
          <w:szCs w:val="24"/>
          <w:vertAlign w:val="superscript"/>
        </w:rPr>
        <w:t>4</w:t>
      </w:r>
      <w:r w:rsidRPr="00103A0B">
        <w:rPr>
          <w:rFonts w:ascii="Arial" w:hAnsi="Arial" w:cs="Arial"/>
          <w:sz w:val="24"/>
          <w:szCs w:val="24"/>
        </w:rPr>
        <w:t xml:space="preserve"> as “[they] don’t </w:t>
      </w:r>
      <w:proofErr w:type="spellStart"/>
      <w:r w:rsidRPr="00103A0B">
        <w:rPr>
          <w:rFonts w:ascii="Arial" w:hAnsi="Arial" w:cs="Arial"/>
          <w:sz w:val="24"/>
          <w:szCs w:val="24"/>
        </w:rPr>
        <w:t>wanna</w:t>
      </w:r>
      <w:proofErr w:type="spellEnd"/>
      <w:r w:rsidRPr="00103A0B">
        <w:rPr>
          <w:rFonts w:ascii="Arial" w:hAnsi="Arial" w:cs="Arial"/>
          <w:sz w:val="24"/>
          <w:szCs w:val="24"/>
        </w:rPr>
        <w:t xml:space="preserve"> be diabetic”</w:t>
      </w:r>
      <w:r w:rsidRPr="00103A0B">
        <w:rPr>
          <w:rFonts w:ascii="Arial" w:hAnsi="Arial" w:cs="Arial"/>
          <w:sz w:val="24"/>
          <w:szCs w:val="24"/>
          <w:vertAlign w:val="superscript"/>
        </w:rPr>
        <w:t>34</w:t>
      </w:r>
      <w:r w:rsidRPr="00103A0B">
        <w:rPr>
          <w:rFonts w:ascii="Arial" w:hAnsi="Arial" w:cs="Arial"/>
          <w:sz w:val="24"/>
          <w:szCs w:val="24"/>
        </w:rPr>
        <w:t xml:space="preserve"> or engaged in self-talk: “you have to tell yourself </w:t>
      </w:r>
      <w:proofErr w:type="gramStart"/>
      <w:r w:rsidRPr="00103A0B">
        <w:rPr>
          <w:rFonts w:ascii="Arial" w:hAnsi="Arial" w:cs="Arial"/>
          <w:sz w:val="24"/>
          <w:szCs w:val="24"/>
        </w:rPr>
        <w:t>‘</w:t>
      </w:r>
      <w:r w:rsidRPr="00103A0B">
        <w:rPr>
          <w:rFonts w:ascii="Arial" w:hAnsi="Arial" w:cs="Arial"/>
          <w:i/>
          <w:iCs/>
          <w:sz w:val="24"/>
          <w:szCs w:val="24"/>
        </w:rPr>
        <w:t>no</w:t>
      </w:r>
      <w:proofErr w:type="gramEnd"/>
      <w:r w:rsidRPr="00103A0B">
        <w:rPr>
          <w:rFonts w:ascii="Arial" w:hAnsi="Arial" w:cs="Arial"/>
          <w:i/>
          <w:iCs/>
          <w:sz w:val="24"/>
          <w:szCs w:val="24"/>
        </w:rPr>
        <w:t xml:space="preserve"> this is not good for my health’</w:t>
      </w:r>
      <w:r w:rsidRPr="00103A0B">
        <w:rPr>
          <w:rFonts w:ascii="Arial" w:hAnsi="Arial" w:cs="Arial"/>
          <w:sz w:val="24"/>
          <w:szCs w:val="24"/>
        </w:rPr>
        <w:t>”</w:t>
      </w:r>
      <w:r w:rsidRPr="00103A0B">
        <w:rPr>
          <w:rFonts w:ascii="Arial" w:hAnsi="Arial" w:cs="Arial"/>
          <w:sz w:val="24"/>
          <w:szCs w:val="24"/>
          <w:vertAlign w:val="superscript"/>
        </w:rPr>
        <w:t>21</w:t>
      </w:r>
      <w:r w:rsidRPr="00103A0B">
        <w:rPr>
          <w:rFonts w:ascii="Arial" w:hAnsi="Arial" w:cs="Arial"/>
          <w:sz w:val="24"/>
          <w:szCs w:val="24"/>
        </w:rPr>
        <w:t xml:space="preserve"> when faced with unhealthy choices. </w:t>
      </w:r>
      <w:bookmarkStart w:id="343" w:name="_Hlk121342965"/>
      <w:bookmarkStart w:id="344" w:name="_Hlk31029019"/>
      <w:r w:rsidRPr="00103A0B">
        <w:rPr>
          <w:rFonts w:ascii="Arial" w:hAnsi="Arial" w:cs="Arial"/>
          <w:sz w:val="24"/>
          <w:szCs w:val="24"/>
        </w:rPr>
        <w:t xml:space="preserve">The proportion of participants who expressed </w:t>
      </w:r>
      <w:r w:rsidR="00184957" w:rsidRPr="00103A0B">
        <w:rPr>
          <w:rFonts w:ascii="Arial" w:hAnsi="Arial" w:cs="Arial"/>
          <w:sz w:val="24"/>
          <w:szCs w:val="24"/>
        </w:rPr>
        <w:t xml:space="preserve">a </w:t>
      </w:r>
      <w:r w:rsidRPr="00103A0B">
        <w:rPr>
          <w:rFonts w:ascii="Arial" w:hAnsi="Arial" w:cs="Arial"/>
          <w:sz w:val="24"/>
          <w:szCs w:val="24"/>
        </w:rPr>
        <w:t>desire to improve their health</w:t>
      </w:r>
      <w:bookmarkEnd w:id="343"/>
      <w:r w:rsidRPr="00103A0B">
        <w:rPr>
          <w:rFonts w:ascii="Arial" w:hAnsi="Arial" w:cs="Arial"/>
          <w:sz w:val="24"/>
          <w:szCs w:val="24"/>
        </w:rPr>
        <w:t xml:space="preserve"> was higher in attenders than non-attenders (attenders </w:t>
      </w:r>
      <w:r w:rsidRPr="00103A0B">
        <w:rPr>
          <w:rFonts w:ascii="Arial" w:hAnsi="Arial" w:cs="Arial"/>
          <w:i/>
          <w:iCs/>
          <w:sz w:val="24"/>
          <w:szCs w:val="24"/>
        </w:rPr>
        <w:t>n</w:t>
      </w:r>
      <w:r w:rsidRPr="00103A0B">
        <w:rPr>
          <w:rFonts w:ascii="Arial" w:hAnsi="Arial" w:cs="Arial"/>
          <w:sz w:val="24"/>
          <w:szCs w:val="24"/>
        </w:rPr>
        <w:t xml:space="preserve">= 12 (52% of attenders) vs. non-attenders </w:t>
      </w:r>
      <w:r w:rsidRPr="00103A0B">
        <w:rPr>
          <w:rFonts w:ascii="Arial" w:hAnsi="Arial" w:cs="Arial"/>
          <w:i/>
          <w:iCs/>
          <w:sz w:val="24"/>
          <w:szCs w:val="24"/>
        </w:rPr>
        <w:t>n</w:t>
      </w:r>
      <w:r w:rsidRPr="00103A0B">
        <w:rPr>
          <w:rFonts w:ascii="Arial" w:hAnsi="Arial" w:cs="Arial"/>
          <w:sz w:val="24"/>
          <w:szCs w:val="24"/>
        </w:rPr>
        <w:t xml:space="preserve">= 4 (33% of non-attenders)). </w:t>
      </w:r>
      <w:bookmarkEnd w:id="344"/>
    </w:p>
    <w:p w14:paraId="4BF95835" w14:textId="77777777" w:rsidR="00E974CC" w:rsidRPr="00103A0B" w:rsidRDefault="00E974CC"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Generally, participants expressed their desire to “learn new [knowledge]”</w:t>
      </w:r>
      <w:r w:rsidRPr="00103A0B">
        <w:rPr>
          <w:rFonts w:ascii="Arial" w:hAnsi="Arial" w:cs="Arial"/>
          <w:sz w:val="24"/>
          <w:szCs w:val="24"/>
          <w:vertAlign w:val="superscript"/>
        </w:rPr>
        <w:t>3</w:t>
      </w:r>
      <w:r w:rsidRPr="00103A0B">
        <w:rPr>
          <w:rFonts w:ascii="Arial" w:hAnsi="Arial" w:cs="Arial"/>
          <w:sz w:val="24"/>
          <w:szCs w:val="24"/>
        </w:rPr>
        <w:t xml:space="preserve"> including “what to do to reduce [blood sugar]”</w:t>
      </w:r>
      <w:r w:rsidRPr="00103A0B">
        <w:rPr>
          <w:rFonts w:ascii="Arial" w:hAnsi="Arial" w:cs="Arial"/>
          <w:sz w:val="24"/>
          <w:szCs w:val="24"/>
          <w:vertAlign w:val="superscript"/>
        </w:rPr>
        <w:t>14</w:t>
      </w:r>
      <w:r w:rsidRPr="00103A0B">
        <w:rPr>
          <w:rFonts w:ascii="Arial" w:hAnsi="Arial" w:cs="Arial"/>
          <w:sz w:val="24"/>
          <w:szCs w:val="24"/>
        </w:rPr>
        <w:t xml:space="preserve"> or “find out what have I been eating wrong”</w:t>
      </w:r>
      <w:r w:rsidRPr="00103A0B">
        <w:rPr>
          <w:rFonts w:ascii="Arial" w:hAnsi="Arial" w:cs="Arial"/>
          <w:sz w:val="24"/>
          <w:szCs w:val="24"/>
          <w:vertAlign w:val="superscript"/>
        </w:rPr>
        <w:t>8</w:t>
      </w:r>
      <w:r w:rsidRPr="00103A0B">
        <w:rPr>
          <w:rFonts w:ascii="Arial" w:hAnsi="Arial" w:cs="Arial"/>
          <w:sz w:val="24"/>
          <w:szCs w:val="24"/>
        </w:rPr>
        <w:t xml:space="preserve">. Attenders explained the idea of </w:t>
      </w:r>
      <w:bookmarkStart w:id="345" w:name="_Hlk31103088"/>
      <w:bookmarkStart w:id="346" w:name="_Hlk31029071"/>
      <w:r w:rsidRPr="00103A0B">
        <w:rPr>
          <w:rFonts w:ascii="Arial" w:hAnsi="Arial" w:cs="Arial"/>
          <w:sz w:val="24"/>
          <w:szCs w:val="24"/>
        </w:rPr>
        <w:t>having: “mind over matter”</w:t>
      </w:r>
      <w:r w:rsidRPr="00103A0B">
        <w:rPr>
          <w:rFonts w:ascii="Arial" w:hAnsi="Arial" w:cs="Arial"/>
          <w:sz w:val="24"/>
          <w:szCs w:val="24"/>
          <w:vertAlign w:val="superscript"/>
        </w:rPr>
        <w:t>28</w:t>
      </w:r>
      <w:r w:rsidRPr="00103A0B">
        <w:rPr>
          <w:rFonts w:ascii="Arial" w:hAnsi="Arial" w:cs="Arial"/>
          <w:sz w:val="24"/>
          <w:szCs w:val="24"/>
        </w:rPr>
        <w:t xml:space="preserve"> and thinking positively </w:t>
      </w:r>
      <w:proofErr w:type="gramStart"/>
      <w:r w:rsidRPr="00103A0B">
        <w:rPr>
          <w:rFonts w:ascii="Arial" w:hAnsi="Arial" w:cs="Arial"/>
          <w:sz w:val="24"/>
          <w:szCs w:val="24"/>
        </w:rPr>
        <w:t>in order to</w:t>
      </w:r>
      <w:proofErr w:type="gramEnd"/>
      <w:r w:rsidRPr="00103A0B">
        <w:rPr>
          <w:rFonts w:ascii="Arial" w:hAnsi="Arial" w:cs="Arial"/>
          <w:sz w:val="24"/>
          <w:szCs w:val="24"/>
        </w:rPr>
        <w:t xml:space="preserve"> make relevant lifestyle changes</w:t>
      </w:r>
      <w:bookmarkEnd w:id="345"/>
      <w:r w:rsidRPr="00103A0B">
        <w:rPr>
          <w:rFonts w:ascii="Arial" w:hAnsi="Arial" w:cs="Arial"/>
          <w:sz w:val="24"/>
          <w:szCs w:val="24"/>
        </w:rPr>
        <w:t xml:space="preserve">. Also, attenders </w:t>
      </w:r>
      <w:bookmarkEnd w:id="346"/>
      <w:r w:rsidRPr="00103A0B">
        <w:rPr>
          <w:rFonts w:ascii="Arial" w:hAnsi="Arial" w:cs="Arial"/>
          <w:sz w:val="24"/>
          <w:szCs w:val="24"/>
        </w:rPr>
        <w:t xml:space="preserve">discussed </w:t>
      </w:r>
      <w:bookmarkStart w:id="347" w:name="_Hlk31029168"/>
      <w:r w:rsidRPr="00103A0B">
        <w:rPr>
          <w:rFonts w:ascii="Arial" w:hAnsi="Arial" w:cs="Arial"/>
          <w:sz w:val="24"/>
          <w:szCs w:val="24"/>
        </w:rPr>
        <w:t>how their family was a motivator to attend: “I have to be fit for my children”</w:t>
      </w:r>
      <w:r w:rsidRPr="00103A0B">
        <w:rPr>
          <w:rFonts w:ascii="Arial" w:hAnsi="Arial" w:cs="Arial"/>
          <w:sz w:val="24"/>
          <w:szCs w:val="24"/>
          <w:vertAlign w:val="superscript"/>
        </w:rPr>
        <w:t>35</w:t>
      </w:r>
      <w:r w:rsidRPr="00103A0B">
        <w:rPr>
          <w:rFonts w:ascii="Arial" w:hAnsi="Arial" w:cs="Arial"/>
          <w:sz w:val="24"/>
          <w:szCs w:val="24"/>
        </w:rPr>
        <w:t>, or “my family…[are] having a hard time with it [T2DM]”</w:t>
      </w:r>
      <w:r w:rsidRPr="00103A0B">
        <w:rPr>
          <w:rFonts w:ascii="Arial" w:hAnsi="Arial" w:cs="Arial"/>
          <w:sz w:val="24"/>
          <w:szCs w:val="24"/>
          <w:vertAlign w:val="superscript"/>
        </w:rPr>
        <w:t>5</w:t>
      </w:r>
      <w:r w:rsidRPr="00103A0B">
        <w:rPr>
          <w:rFonts w:ascii="Arial" w:hAnsi="Arial" w:cs="Arial"/>
          <w:sz w:val="24"/>
          <w:szCs w:val="24"/>
        </w:rPr>
        <w:t xml:space="preserve">. </w:t>
      </w:r>
      <w:bookmarkStart w:id="348" w:name="_Hlk31033029"/>
      <w:bookmarkEnd w:id="347"/>
      <w:r w:rsidRPr="00103A0B">
        <w:rPr>
          <w:rFonts w:ascii="Arial" w:hAnsi="Arial" w:cs="Arial"/>
          <w:sz w:val="24"/>
          <w:szCs w:val="24"/>
        </w:rPr>
        <w:t>Neither of these were discussed by non-attenders.</w:t>
      </w:r>
    </w:p>
    <w:bookmarkEnd w:id="348"/>
    <w:p w14:paraId="3BECA302" w14:textId="2549A6EF" w:rsidR="008D109C" w:rsidRPr="00103A0B" w:rsidRDefault="00E974CC"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iCs/>
          <w:sz w:val="24"/>
          <w:szCs w:val="24"/>
        </w:rPr>
        <w:t>Partici</w:t>
      </w:r>
      <w:r w:rsidRPr="00103A0B">
        <w:rPr>
          <w:rFonts w:ascii="Arial" w:hAnsi="Arial" w:cs="Arial"/>
          <w:sz w:val="24"/>
          <w:szCs w:val="24"/>
        </w:rPr>
        <w:t>pants discussed their level of commitment to start which “depends on…programme [content like] learning things…to improve lifestyle…which is motivating me to come”</w:t>
      </w:r>
      <w:r w:rsidRPr="00103A0B">
        <w:rPr>
          <w:rFonts w:ascii="Arial" w:hAnsi="Arial" w:cs="Arial"/>
          <w:sz w:val="24"/>
          <w:szCs w:val="24"/>
          <w:vertAlign w:val="superscript"/>
        </w:rPr>
        <w:t>3</w:t>
      </w:r>
      <w:r w:rsidRPr="00103A0B">
        <w:rPr>
          <w:rFonts w:ascii="Arial" w:hAnsi="Arial" w:cs="Arial"/>
          <w:sz w:val="24"/>
          <w:szCs w:val="24"/>
        </w:rPr>
        <w:t xml:space="preserve">, </w:t>
      </w:r>
      <w:bookmarkStart w:id="349" w:name="_Hlk31029220"/>
      <w:r w:rsidRPr="00103A0B">
        <w:rPr>
          <w:rFonts w:ascii="Arial" w:hAnsi="Arial" w:cs="Arial"/>
          <w:sz w:val="24"/>
          <w:szCs w:val="24"/>
        </w:rPr>
        <w:t>and some said “it depends how useful”</w:t>
      </w:r>
      <w:r w:rsidRPr="00103A0B">
        <w:rPr>
          <w:rFonts w:ascii="Arial" w:hAnsi="Arial" w:cs="Arial"/>
          <w:sz w:val="24"/>
          <w:szCs w:val="24"/>
          <w:vertAlign w:val="superscript"/>
        </w:rPr>
        <w:t>4</w:t>
      </w:r>
      <w:r w:rsidRPr="00103A0B">
        <w:rPr>
          <w:rFonts w:ascii="Arial" w:hAnsi="Arial" w:cs="Arial"/>
          <w:sz w:val="24"/>
          <w:szCs w:val="24"/>
        </w:rPr>
        <w:t xml:space="preserve"> the programme is. </w:t>
      </w:r>
      <w:bookmarkStart w:id="350" w:name="_Hlk31029246"/>
      <w:bookmarkEnd w:id="349"/>
      <w:r w:rsidRPr="00103A0B">
        <w:rPr>
          <w:rFonts w:ascii="Arial" w:hAnsi="Arial" w:cs="Arial"/>
          <w:sz w:val="24"/>
          <w:szCs w:val="24"/>
        </w:rPr>
        <w:t xml:space="preserve">Participants expressed how they were </w:t>
      </w:r>
      <w:bookmarkStart w:id="351" w:name="_Hlk32133540"/>
      <w:r w:rsidRPr="00103A0B">
        <w:rPr>
          <w:rFonts w:ascii="Arial" w:hAnsi="Arial" w:cs="Arial"/>
          <w:sz w:val="24"/>
          <w:szCs w:val="24"/>
        </w:rPr>
        <w:t xml:space="preserve">motivated to </w:t>
      </w:r>
      <w:bookmarkEnd w:id="351"/>
      <w:r w:rsidRPr="00103A0B">
        <w:rPr>
          <w:rFonts w:ascii="Arial" w:hAnsi="Arial" w:cs="Arial"/>
          <w:sz w:val="24"/>
          <w:szCs w:val="24"/>
        </w:rPr>
        <w:t>start: “absolutely committed to this…want to come”</w:t>
      </w:r>
      <w:r w:rsidRPr="00103A0B">
        <w:rPr>
          <w:rFonts w:ascii="Arial" w:hAnsi="Arial" w:cs="Arial"/>
          <w:sz w:val="24"/>
          <w:szCs w:val="24"/>
          <w:vertAlign w:val="superscript"/>
        </w:rPr>
        <w:t>22</w:t>
      </w:r>
      <w:r w:rsidRPr="00103A0B">
        <w:rPr>
          <w:rFonts w:ascii="Arial" w:hAnsi="Arial" w:cs="Arial"/>
          <w:sz w:val="24"/>
          <w:szCs w:val="24"/>
        </w:rPr>
        <w:t xml:space="preserve">. </w:t>
      </w:r>
      <w:bookmarkStart w:id="352" w:name="_Hlk31029266"/>
      <w:bookmarkEnd w:id="350"/>
      <w:r w:rsidRPr="00103A0B">
        <w:rPr>
          <w:rFonts w:ascii="Arial" w:hAnsi="Arial" w:cs="Arial"/>
          <w:sz w:val="24"/>
          <w:szCs w:val="24"/>
        </w:rPr>
        <w:t>Attenders also expressed wanting “to get rid of [being] prediabetic”</w:t>
      </w:r>
      <w:r w:rsidRPr="00103A0B">
        <w:rPr>
          <w:rFonts w:ascii="Arial" w:hAnsi="Arial" w:cs="Arial"/>
          <w:sz w:val="24"/>
          <w:szCs w:val="24"/>
          <w:vertAlign w:val="superscript"/>
        </w:rPr>
        <w:t>3</w:t>
      </w:r>
      <w:r w:rsidRPr="00103A0B">
        <w:rPr>
          <w:rFonts w:ascii="Arial" w:hAnsi="Arial" w:cs="Arial"/>
          <w:sz w:val="24"/>
          <w:szCs w:val="24"/>
        </w:rPr>
        <w:t xml:space="preserve"> or “desperate to get off that red zone”</w:t>
      </w:r>
      <w:r w:rsidRPr="00103A0B">
        <w:rPr>
          <w:rFonts w:ascii="Arial" w:hAnsi="Arial" w:cs="Arial"/>
          <w:sz w:val="24"/>
          <w:szCs w:val="24"/>
          <w:vertAlign w:val="superscript"/>
        </w:rPr>
        <w:t>22</w:t>
      </w:r>
      <w:r w:rsidRPr="00103A0B">
        <w:rPr>
          <w:rFonts w:ascii="Arial" w:hAnsi="Arial" w:cs="Arial"/>
          <w:sz w:val="24"/>
          <w:szCs w:val="24"/>
        </w:rPr>
        <w:t xml:space="preserve">.  </w:t>
      </w:r>
      <w:bookmarkEnd w:id="352"/>
      <w:r w:rsidRPr="00103A0B">
        <w:rPr>
          <w:rFonts w:ascii="Arial" w:hAnsi="Arial" w:cs="Arial"/>
          <w:sz w:val="24"/>
          <w:szCs w:val="24"/>
        </w:rPr>
        <w:t>Some participants said they wanted to “start soon”</w:t>
      </w:r>
      <w:r w:rsidRPr="00103A0B">
        <w:rPr>
          <w:rFonts w:ascii="Arial" w:hAnsi="Arial" w:cs="Arial"/>
          <w:sz w:val="24"/>
          <w:szCs w:val="24"/>
          <w:vertAlign w:val="superscript"/>
        </w:rPr>
        <w:t>5</w:t>
      </w:r>
      <w:r w:rsidRPr="00103A0B">
        <w:rPr>
          <w:rFonts w:ascii="Arial" w:hAnsi="Arial" w:cs="Arial"/>
          <w:sz w:val="24"/>
          <w:szCs w:val="24"/>
        </w:rPr>
        <w:t xml:space="preserve"> as they were “curious to start”</w:t>
      </w:r>
      <w:r w:rsidRPr="00103A0B">
        <w:rPr>
          <w:rFonts w:ascii="Arial" w:hAnsi="Arial" w:cs="Arial"/>
          <w:sz w:val="24"/>
          <w:szCs w:val="24"/>
          <w:vertAlign w:val="superscript"/>
        </w:rPr>
        <w:t>33</w:t>
      </w:r>
      <w:r w:rsidRPr="00103A0B">
        <w:rPr>
          <w:rFonts w:ascii="Arial" w:hAnsi="Arial" w:cs="Arial"/>
          <w:sz w:val="24"/>
          <w:szCs w:val="24"/>
        </w:rPr>
        <w:t xml:space="preserve">, and </w:t>
      </w:r>
      <w:bookmarkStart w:id="353" w:name="_Hlk31033065"/>
      <w:r w:rsidRPr="00103A0B">
        <w:rPr>
          <w:rFonts w:ascii="Arial" w:hAnsi="Arial" w:cs="Arial"/>
          <w:sz w:val="24"/>
          <w:szCs w:val="24"/>
        </w:rPr>
        <w:t>some “attended out of curiosity”</w:t>
      </w:r>
      <w:r w:rsidRPr="00103A0B">
        <w:rPr>
          <w:rFonts w:ascii="Arial" w:hAnsi="Arial" w:cs="Arial"/>
          <w:sz w:val="24"/>
          <w:szCs w:val="24"/>
          <w:vertAlign w:val="superscript"/>
        </w:rPr>
        <w:t>25</w:t>
      </w:r>
      <w:r w:rsidRPr="00103A0B">
        <w:rPr>
          <w:rFonts w:ascii="Arial" w:hAnsi="Arial" w:cs="Arial"/>
          <w:sz w:val="24"/>
          <w:szCs w:val="24"/>
        </w:rPr>
        <w:t xml:space="preserve">.  </w:t>
      </w:r>
      <w:bookmarkEnd w:id="353"/>
    </w:p>
    <w:p w14:paraId="1595EAE1" w14:textId="33607B3A" w:rsidR="00FC6886" w:rsidRPr="00103A0B" w:rsidRDefault="00FC6886"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p>
    <w:p w14:paraId="17643079" w14:textId="52ED344C" w:rsidR="00FC6886" w:rsidRPr="00103A0B" w:rsidRDefault="00FC6886"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p>
    <w:p w14:paraId="70FC2963" w14:textId="3E1A0FB3" w:rsidR="00FC6886" w:rsidRPr="00103A0B" w:rsidRDefault="00FC6886"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p>
    <w:p w14:paraId="08D9148E" w14:textId="074A9C3A" w:rsidR="00FC6886" w:rsidRPr="00103A0B" w:rsidRDefault="00FC6886"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p>
    <w:p w14:paraId="545806A8" w14:textId="77731849" w:rsidR="00FC6886" w:rsidRPr="00103A0B" w:rsidRDefault="00FC6886"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p>
    <w:p w14:paraId="157796F7" w14:textId="7B38BAC2" w:rsidR="00FC6886" w:rsidRPr="00103A0B" w:rsidRDefault="00FC6886"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p>
    <w:p w14:paraId="2978AB96" w14:textId="77777777" w:rsidR="00FC6886" w:rsidRPr="00103A0B" w:rsidRDefault="00FC6886"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p>
    <w:p w14:paraId="12E96146" w14:textId="77777777" w:rsidR="00523956" w:rsidRPr="00103A0B" w:rsidRDefault="00523956">
      <w:pPr>
        <w:rPr>
          <w:rFonts w:ascii="Arial" w:hAnsi="Arial" w:cs="Arial"/>
          <w:i/>
          <w:sz w:val="24"/>
          <w:szCs w:val="24"/>
        </w:rPr>
      </w:pPr>
      <w:bookmarkStart w:id="354" w:name="_Hlk75195326"/>
      <w:r w:rsidRPr="00103A0B">
        <w:rPr>
          <w:rFonts w:ascii="Arial" w:hAnsi="Arial" w:cs="Arial"/>
          <w:i/>
          <w:sz w:val="24"/>
          <w:szCs w:val="24"/>
        </w:rPr>
        <w:br w:type="page"/>
      </w:r>
    </w:p>
    <w:p w14:paraId="18416957" w14:textId="6197AD8A" w:rsidR="00DE65CD" w:rsidRPr="00103A0B" w:rsidRDefault="00C84E3F" w:rsidP="00CD5919">
      <w:pPr>
        <w:spacing w:line="360" w:lineRule="auto"/>
        <w:jc w:val="both"/>
        <w:rPr>
          <w:rFonts w:ascii="Arial" w:hAnsi="Arial" w:cs="Arial"/>
          <w:i/>
          <w:sz w:val="24"/>
          <w:szCs w:val="24"/>
        </w:rPr>
      </w:pPr>
      <w:r w:rsidRPr="00103A0B">
        <w:rPr>
          <w:noProof/>
        </w:rPr>
        <w:lastRenderedPageBreak/>
        <mc:AlternateContent>
          <mc:Choice Requires="wpg">
            <w:drawing>
              <wp:anchor distT="0" distB="0" distL="114300" distR="114300" simplePos="0" relativeHeight="251681792" behindDoc="0" locked="0" layoutInCell="1" allowOverlap="1" wp14:anchorId="1BD33F24" wp14:editId="55DF6CF7">
                <wp:simplePos x="0" y="0"/>
                <wp:positionH relativeFrom="margin">
                  <wp:posOffset>-314325</wp:posOffset>
                </wp:positionH>
                <wp:positionV relativeFrom="paragraph">
                  <wp:posOffset>402590</wp:posOffset>
                </wp:positionV>
                <wp:extent cx="5819775" cy="4838700"/>
                <wp:effectExtent l="9525" t="12700" r="9525" b="6350"/>
                <wp:wrapNone/>
                <wp:docPr id="15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4838700"/>
                          <a:chOff x="0" y="0"/>
                          <a:chExt cx="58197" cy="48387"/>
                        </a:xfrm>
                      </wpg:grpSpPr>
                      <wpg:grpSp>
                        <wpg:cNvPr id="154" name="Group 2"/>
                        <wpg:cNvGrpSpPr>
                          <a:grpSpLocks/>
                        </wpg:cNvGrpSpPr>
                        <wpg:grpSpPr bwMode="auto">
                          <a:xfrm>
                            <a:off x="12763" y="2476"/>
                            <a:ext cx="11525" cy="43053"/>
                            <a:chOff x="0" y="0"/>
                            <a:chExt cx="11525" cy="43053"/>
                          </a:xfrm>
                        </wpg:grpSpPr>
                        <wps:wsp>
                          <wps:cNvPr id="155" name="Straight Connector 4"/>
                          <wps:cNvCnPr>
                            <a:cxnSpLocks noChangeShapeType="1"/>
                          </wps:cNvCnPr>
                          <wps:spPr bwMode="auto">
                            <a:xfrm>
                              <a:off x="95" y="0"/>
                              <a:ext cx="11239" cy="2038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6" name="Straight Connector 5"/>
                          <wps:cNvCnPr>
                            <a:cxnSpLocks noChangeShapeType="1"/>
                          </wps:cNvCnPr>
                          <wps:spPr bwMode="auto">
                            <a:xfrm>
                              <a:off x="190" y="8667"/>
                              <a:ext cx="11049" cy="1190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5" name="Straight Connector 74"/>
                          <wps:cNvCnPr>
                            <a:cxnSpLocks noChangeShapeType="1"/>
                          </wps:cNvCnPr>
                          <wps:spPr bwMode="auto">
                            <a:xfrm>
                              <a:off x="0" y="16383"/>
                              <a:ext cx="11144" cy="428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6" name="Straight Connector 75"/>
                          <wps:cNvCnPr>
                            <a:cxnSpLocks noChangeShapeType="1"/>
                          </wps:cNvCnPr>
                          <wps:spPr bwMode="auto">
                            <a:xfrm flipV="1">
                              <a:off x="190" y="20669"/>
                              <a:ext cx="11335" cy="419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7" name="Straight Connector 76"/>
                          <wps:cNvCnPr>
                            <a:cxnSpLocks noChangeShapeType="1"/>
                          </wps:cNvCnPr>
                          <wps:spPr bwMode="auto">
                            <a:xfrm flipV="1">
                              <a:off x="285" y="20669"/>
                              <a:ext cx="10954" cy="1257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8" name="Straight Connector 77"/>
                          <wps:cNvCnPr>
                            <a:cxnSpLocks noChangeShapeType="1"/>
                          </wps:cNvCnPr>
                          <wps:spPr bwMode="auto">
                            <a:xfrm flipV="1">
                              <a:off x="190" y="21240"/>
                              <a:ext cx="11144" cy="2181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170" name="Group 78"/>
                        <wpg:cNvGrpSpPr>
                          <a:grpSpLocks/>
                        </wpg:cNvGrpSpPr>
                        <wpg:grpSpPr bwMode="auto">
                          <a:xfrm>
                            <a:off x="0" y="0"/>
                            <a:ext cx="58197" cy="48387"/>
                            <a:chOff x="0" y="0"/>
                            <a:chExt cx="58197" cy="48387"/>
                          </a:xfrm>
                        </wpg:grpSpPr>
                        <wpg:grpSp>
                          <wpg:cNvPr id="171" name="Group 79"/>
                          <wpg:cNvGrpSpPr>
                            <a:grpSpLocks/>
                          </wpg:cNvGrpSpPr>
                          <wpg:grpSpPr bwMode="auto">
                            <a:xfrm>
                              <a:off x="0" y="0"/>
                              <a:ext cx="58197" cy="48387"/>
                              <a:chOff x="0" y="0"/>
                              <a:chExt cx="58197" cy="48387"/>
                            </a:xfrm>
                          </wpg:grpSpPr>
                          <wpg:grpSp>
                            <wpg:cNvPr id="172" name="Group 80"/>
                            <wpg:cNvGrpSpPr>
                              <a:grpSpLocks/>
                            </wpg:cNvGrpSpPr>
                            <wpg:grpSpPr bwMode="auto">
                              <a:xfrm>
                                <a:off x="0" y="0"/>
                                <a:ext cx="58197" cy="48387"/>
                                <a:chOff x="0" y="0"/>
                                <a:chExt cx="58197" cy="48387"/>
                              </a:xfrm>
                            </wpg:grpSpPr>
                            <wps:wsp>
                              <wps:cNvPr id="177" name="Text Box 2"/>
                              <wps:cNvSpPr txBox="1">
                                <a:spLocks noChangeArrowheads="1"/>
                              </wps:cNvSpPr>
                              <wps:spPr bwMode="auto">
                                <a:xfrm>
                                  <a:off x="190" y="8000"/>
                                  <a:ext cx="12668" cy="6478"/>
                                </a:xfrm>
                                <a:prstGeom prst="rect">
                                  <a:avLst/>
                                </a:prstGeom>
                                <a:solidFill>
                                  <a:srgbClr val="FFFFFF"/>
                                </a:solidFill>
                                <a:ln w="9525">
                                  <a:solidFill>
                                    <a:srgbClr val="000000"/>
                                  </a:solidFill>
                                  <a:miter lim="800000"/>
                                  <a:headEnd/>
                                  <a:tailEnd/>
                                </a:ln>
                              </wps:spPr>
                              <wps:txbx>
                                <w:txbxContent>
                                  <w:p w14:paraId="521C0933" w14:textId="77777777" w:rsidR="00F47203" w:rsidRPr="002B401B" w:rsidRDefault="00F47203" w:rsidP="00E974CC">
                                    <w:pPr>
                                      <w:jc w:val="center"/>
                                      <w:rPr>
                                        <w:rFonts w:ascii="Arial" w:hAnsi="Arial" w:cs="Arial"/>
                                      </w:rPr>
                                    </w:pPr>
                                    <w:r w:rsidRPr="002B401B">
                                      <w:rPr>
                                        <w:rFonts w:ascii="Arial" w:hAnsi="Arial" w:cs="Arial"/>
                                      </w:rPr>
                                      <w:t xml:space="preserve">Lifestyle </w:t>
                                    </w:r>
                                    <w:r>
                                      <w:rPr>
                                        <w:rFonts w:ascii="Arial" w:hAnsi="Arial" w:cs="Arial"/>
                                      </w:rPr>
                                      <w:t>c</w:t>
                                    </w:r>
                                    <w:r w:rsidRPr="002B401B">
                                      <w:rPr>
                                        <w:rFonts w:ascii="Arial" w:hAnsi="Arial" w:cs="Arial"/>
                                      </w:rPr>
                                      <w:t>hanges (</w:t>
                                    </w:r>
                                    <w:r>
                                      <w:rPr>
                                        <w:rFonts w:ascii="Arial" w:hAnsi="Arial" w:cs="Arial"/>
                                      </w:rPr>
                                      <w:t>p</w:t>
                                    </w:r>
                                    <w:r w:rsidRPr="002B401B">
                                      <w:rPr>
                                        <w:rFonts w:ascii="Arial" w:hAnsi="Arial" w:cs="Arial"/>
                                      </w:rPr>
                                      <w:t xml:space="preserve">ast and </w:t>
                                    </w:r>
                                    <w:r>
                                      <w:rPr>
                                        <w:rFonts w:ascii="Arial" w:hAnsi="Arial" w:cs="Arial"/>
                                      </w:rPr>
                                      <w:t>p</w:t>
                                    </w:r>
                                    <w:r w:rsidRPr="002B401B">
                                      <w:rPr>
                                        <w:rFonts w:ascii="Arial" w:hAnsi="Arial" w:cs="Arial"/>
                                      </w:rPr>
                                      <w:t>resent)</w:t>
                                    </w:r>
                                  </w:p>
                                </w:txbxContent>
                              </wps:txbx>
                              <wps:bodyPr rot="0" vert="horz" wrap="square" lIns="91440" tIns="45720" rIns="91440" bIns="45720" anchor="ctr" anchorCtr="0" upright="1">
                                <a:noAutofit/>
                              </wps:bodyPr>
                            </wps:wsp>
                            <wps:wsp>
                              <wps:cNvPr id="178" name="Text Box 82"/>
                              <wps:cNvSpPr txBox="1">
                                <a:spLocks noChangeArrowheads="1"/>
                              </wps:cNvSpPr>
                              <wps:spPr bwMode="auto">
                                <a:xfrm>
                                  <a:off x="24098" y="20955"/>
                                  <a:ext cx="12668" cy="5524"/>
                                </a:xfrm>
                                <a:prstGeom prst="rect">
                                  <a:avLst/>
                                </a:prstGeom>
                                <a:solidFill>
                                  <a:srgbClr val="FFFFFF"/>
                                </a:solidFill>
                                <a:ln w="9525">
                                  <a:solidFill>
                                    <a:srgbClr val="000000"/>
                                  </a:solidFill>
                                  <a:miter lim="800000"/>
                                  <a:headEnd/>
                                  <a:tailEnd/>
                                </a:ln>
                              </wps:spPr>
                              <wps:txbx>
                                <w:txbxContent>
                                  <w:p w14:paraId="1899B954" w14:textId="77777777" w:rsidR="00F47203" w:rsidRPr="002B401B" w:rsidRDefault="00F47203" w:rsidP="00E974CC">
                                    <w:pPr>
                                      <w:jc w:val="center"/>
                                      <w:rPr>
                                        <w:rFonts w:ascii="Arial" w:hAnsi="Arial" w:cs="Arial"/>
                                      </w:rPr>
                                    </w:pPr>
                                    <w:r w:rsidRPr="002B401B">
                                      <w:rPr>
                                        <w:rFonts w:ascii="Arial" w:hAnsi="Arial" w:cs="Arial"/>
                                      </w:rPr>
                                      <w:t>Motivation</w:t>
                                    </w:r>
                                  </w:p>
                                </w:txbxContent>
                              </wps:txbx>
                              <wps:bodyPr rot="0" vert="horz" wrap="square" lIns="91440" tIns="45720" rIns="91440" bIns="45720" anchor="ctr" anchorCtr="0" upright="1">
                                <a:noAutofit/>
                              </wps:bodyPr>
                            </wps:wsp>
                            <wps:wsp>
                              <wps:cNvPr id="193" name="Text Box 2"/>
                              <wps:cNvSpPr txBox="1">
                                <a:spLocks noChangeArrowheads="1"/>
                              </wps:cNvSpPr>
                              <wps:spPr bwMode="auto">
                                <a:xfrm>
                                  <a:off x="0" y="16287"/>
                                  <a:ext cx="12668" cy="5525"/>
                                </a:xfrm>
                                <a:prstGeom prst="rect">
                                  <a:avLst/>
                                </a:prstGeom>
                                <a:solidFill>
                                  <a:srgbClr val="FFFFFF"/>
                                </a:solidFill>
                                <a:ln w="9525">
                                  <a:solidFill>
                                    <a:srgbClr val="000000"/>
                                  </a:solidFill>
                                  <a:miter lim="800000"/>
                                  <a:headEnd/>
                                  <a:tailEnd/>
                                </a:ln>
                              </wps:spPr>
                              <wps:txbx>
                                <w:txbxContent>
                                  <w:p w14:paraId="5C679026" w14:textId="77777777" w:rsidR="00F47203" w:rsidRPr="002B401B" w:rsidRDefault="00F47203" w:rsidP="00E974CC">
                                    <w:pPr>
                                      <w:jc w:val="center"/>
                                      <w:rPr>
                                        <w:rFonts w:ascii="Arial" w:hAnsi="Arial" w:cs="Arial"/>
                                      </w:rPr>
                                    </w:pPr>
                                    <w:r w:rsidRPr="002B401B">
                                      <w:rPr>
                                        <w:rFonts w:ascii="Arial" w:hAnsi="Arial" w:cs="Arial"/>
                                      </w:rPr>
                                      <w:t>Comparison with others</w:t>
                                    </w:r>
                                  </w:p>
                                </w:txbxContent>
                              </wps:txbx>
                              <wps:bodyPr rot="0" vert="horz" wrap="square" lIns="91440" tIns="45720" rIns="91440" bIns="45720" anchor="ctr" anchorCtr="0" upright="1">
                                <a:noAutofit/>
                              </wps:bodyPr>
                            </wps:wsp>
                            <wps:wsp>
                              <wps:cNvPr id="194" name="Text Box 2"/>
                              <wps:cNvSpPr txBox="1">
                                <a:spLocks noChangeArrowheads="1"/>
                              </wps:cNvSpPr>
                              <wps:spPr bwMode="auto">
                                <a:xfrm>
                                  <a:off x="190" y="0"/>
                                  <a:ext cx="12668" cy="5524"/>
                                </a:xfrm>
                                <a:prstGeom prst="rect">
                                  <a:avLst/>
                                </a:prstGeom>
                                <a:solidFill>
                                  <a:srgbClr val="FFFFFF"/>
                                </a:solidFill>
                                <a:ln w="9525">
                                  <a:solidFill>
                                    <a:srgbClr val="000000"/>
                                  </a:solidFill>
                                  <a:miter lim="800000"/>
                                  <a:headEnd/>
                                  <a:tailEnd/>
                                </a:ln>
                              </wps:spPr>
                              <wps:txbx>
                                <w:txbxContent>
                                  <w:p w14:paraId="0C11EA55" w14:textId="77777777" w:rsidR="00F47203" w:rsidRPr="002B401B" w:rsidRDefault="00F47203" w:rsidP="00E974CC">
                                    <w:pPr>
                                      <w:jc w:val="center"/>
                                      <w:rPr>
                                        <w:rFonts w:ascii="Arial" w:hAnsi="Arial" w:cs="Arial"/>
                                      </w:rPr>
                                    </w:pPr>
                                    <w:r w:rsidRPr="002B401B">
                                      <w:rPr>
                                        <w:rFonts w:ascii="Arial" w:hAnsi="Arial" w:cs="Arial"/>
                                      </w:rPr>
                                      <w:t>Understanding of T2DM</w:t>
                                    </w:r>
                                  </w:p>
                                </w:txbxContent>
                              </wps:txbx>
                              <wps:bodyPr rot="0" vert="horz" wrap="square" lIns="91440" tIns="45720" rIns="91440" bIns="45720" anchor="ctr" anchorCtr="0" upright="1">
                                <a:noAutofit/>
                              </wps:bodyPr>
                            </wps:wsp>
                            <wps:wsp>
                              <wps:cNvPr id="195" name="Text Box 2"/>
                              <wps:cNvSpPr txBox="1">
                                <a:spLocks noChangeArrowheads="1"/>
                              </wps:cNvSpPr>
                              <wps:spPr bwMode="auto">
                                <a:xfrm>
                                  <a:off x="190" y="24669"/>
                                  <a:ext cx="12668" cy="5525"/>
                                </a:xfrm>
                                <a:prstGeom prst="rect">
                                  <a:avLst/>
                                </a:prstGeom>
                                <a:solidFill>
                                  <a:srgbClr val="FFFFFF"/>
                                </a:solidFill>
                                <a:ln w="9525">
                                  <a:solidFill>
                                    <a:srgbClr val="000000"/>
                                  </a:solidFill>
                                  <a:miter lim="800000"/>
                                  <a:headEnd/>
                                  <a:tailEnd/>
                                </a:ln>
                              </wps:spPr>
                              <wps:txbx>
                                <w:txbxContent>
                                  <w:p w14:paraId="26578144" w14:textId="77777777" w:rsidR="00F47203" w:rsidRPr="002B401B" w:rsidRDefault="00F47203" w:rsidP="00E974CC">
                                    <w:pPr>
                                      <w:jc w:val="center"/>
                                      <w:rPr>
                                        <w:rFonts w:ascii="Arial" w:hAnsi="Arial" w:cs="Arial"/>
                                      </w:rPr>
                                    </w:pPr>
                                    <w:r w:rsidRPr="002B401B">
                                      <w:rPr>
                                        <w:rFonts w:ascii="Arial" w:hAnsi="Arial" w:cs="Arial"/>
                                      </w:rPr>
                                      <w:t>Support</w:t>
                                    </w:r>
                                  </w:p>
                                </w:txbxContent>
                              </wps:txbx>
                              <wps:bodyPr rot="0" vert="horz" wrap="square" lIns="91440" tIns="45720" rIns="91440" bIns="45720" anchor="ctr" anchorCtr="0" upright="1">
                                <a:noAutofit/>
                              </wps:bodyPr>
                            </wps:wsp>
                            <wps:wsp>
                              <wps:cNvPr id="196" name="Text Box 2"/>
                              <wps:cNvSpPr txBox="1">
                                <a:spLocks noChangeArrowheads="1"/>
                              </wps:cNvSpPr>
                              <wps:spPr bwMode="auto">
                                <a:xfrm>
                                  <a:off x="190" y="33051"/>
                                  <a:ext cx="12668" cy="5525"/>
                                </a:xfrm>
                                <a:prstGeom prst="rect">
                                  <a:avLst/>
                                </a:prstGeom>
                                <a:solidFill>
                                  <a:srgbClr val="FFFFFF"/>
                                </a:solidFill>
                                <a:ln w="9525">
                                  <a:solidFill>
                                    <a:srgbClr val="000000"/>
                                  </a:solidFill>
                                  <a:miter lim="800000"/>
                                  <a:headEnd/>
                                  <a:tailEnd/>
                                </a:ln>
                              </wps:spPr>
                              <wps:txbx>
                                <w:txbxContent>
                                  <w:p w14:paraId="0606E500" w14:textId="77777777" w:rsidR="00F47203" w:rsidRPr="00EF2128" w:rsidRDefault="00F47203" w:rsidP="00E974CC">
                                    <w:pPr>
                                      <w:jc w:val="center"/>
                                      <w:rPr>
                                        <w:rFonts w:ascii="Arial" w:hAnsi="Arial" w:cs="Arial"/>
                                        <w:vertAlign w:val="superscript"/>
                                      </w:rPr>
                                    </w:pPr>
                                    <w:r w:rsidRPr="00EF2128">
                                      <w:rPr>
                                        <w:rFonts w:ascii="Arial" w:hAnsi="Arial" w:cs="Arial"/>
                                      </w:rPr>
                                      <w:t>Self-perceptions</w:t>
                                    </w:r>
                                    <w:r>
                                      <w:rPr>
                                        <w:rFonts w:ascii="Arial" w:hAnsi="Arial" w:cs="Arial"/>
                                        <w:vertAlign w:val="superscript"/>
                                      </w:rPr>
                                      <w:t>1</w:t>
                                    </w:r>
                                  </w:p>
                                </w:txbxContent>
                              </wps:txbx>
                              <wps:bodyPr rot="0" vert="horz" wrap="square" lIns="91440" tIns="45720" rIns="91440" bIns="45720" anchor="ctr" anchorCtr="0" upright="1">
                                <a:noAutofit/>
                              </wps:bodyPr>
                            </wps:wsp>
                            <wps:wsp>
                              <wps:cNvPr id="197" name="Text Box 2"/>
                              <wps:cNvSpPr txBox="1">
                                <a:spLocks noChangeArrowheads="1"/>
                              </wps:cNvSpPr>
                              <wps:spPr bwMode="auto">
                                <a:xfrm>
                                  <a:off x="45529" y="21240"/>
                                  <a:ext cx="12668" cy="5525"/>
                                </a:xfrm>
                                <a:prstGeom prst="rect">
                                  <a:avLst/>
                                </a:prstGeom>
                                <a:solidFill>
                                  <a:srgbClr val="FFFFFF"/>
                                </a:solidFill>
                                <a:ln w="9525">
                                  <a:solidFill>
                                    <a:srgbClr val="000000"/>
                                  </a:solidFill>
                                  <a:miter lim="800000"/>
                                  <a:headEnd/>
                                  <a:tailEnd/>
                                </a:ln>
                              </wps:spPr>
                              <wps:txbx>
                                <w:txbxContent>
                                  <w:p w14:paraId="518BD590" w14:textId="77777777" w:rsidR="00F47203" w:rsidRPr="002B401B" w:rsidRDefault="00F47203" w:rsidP="00E974CC">
                                    <w:pPr>
                                      <w:jc w:val="center"/>
                                      <w:rPr>
                                        <w:rFonts w:ascii="Arial" w:hAnsi="Arial" w:cs="Arial"/>
                                      </w:rPr>
                                    </w:pPr>
                                    <w:r w:rsidRPr="002B401B">
                                      <w:rPr>
                                        <w:rFonts w:ascii="Arial" w:hAnsi="Arial" w:cs="Arial"/>
                                      </w:rPr>
                                      <w:t xml:space="preserve">Attendance or </w:t>
                                    </w:r>
                                    <w:r>
                                      <w:rPr>
                                        <w:rFonts w:ascii="Arial" w:hAnsi="Arial" w:cs="Arial"/>
                                      </w:rPr>
                                      <w:t>n</w:t>
                                    </w:r>
                                    <w:r w:rsidRPr="002B401B">
                                      <w:rPr>
                                        <w:rFonts w:ascii="Arial" w:hAnsi="Arial" w:cs="Arial"/>
                                      </w:rPr>
                                      <w:t>on-attendance</w:t>
                                    </w:r>
                                  </w:p>
                                </w:txbxContent>
                              </wps:txbx>
                              <wps:bodyPr rot="0" vert="horz" wrap="square" lIns="91440" tIns="45720" rIns="91440" bIns="45720" anchor="ctr" anchorCtr="0" upright="1">
                                <a:noAutofit/>
                              </wps:bodyPr>
                            </wps:wsp>
                            <wps:wsp>
                              <wps:cNvPr id="198" name="Text Box 2"/>
                              <wps:cNvSpPr txBox="1">
                                <a:spLocks noChangeArrowheads="1"/>
                              </wps:cNvSpPr>
                              <wps:spPr bwMode="auto">
                                <a:xfrm>
                                  <a:off x="190" y="42862"/>
                                  <a:ext cx="12668" cy="5525"/>
                                </a:xfrm>
                                <a:prstGeom prst="rect">
                                  <a:avLst/>
                                </a:prstGeom>
                                <a:solidFill>
                                  <a:srgbClr val="FFFFFF"/>
                                </a:solidFill>
                                <a:ln w="9525">
                                  <a:solidFill>
                                    <a:srgbClr val="000000"/>
                                  </a:solidFill>
                                  <a:miter lim="800000"/>
                                  <a:headEnd/>
                                  <a:tailEnd/>
                                </a:ln>
                              </wps:spPr>
                              <wps:txbx>
                                <w:txbxContent>
                                  <w:p w14:paraId="7C8CE7BA" w14:textId="77777777" w:rsidR="00F47203" w:rsidRPr="002B401B" w:rsidRDefault="00F47203" w:rsidP="00E974CC">
                                    <w:pPr>
                                      <w:jc w:val="center"/>
                                      <w:rPr>
                                        <w:rFonts w:ascii="Arial" w:hAnsi="Arial" w:cs="Arial"/>
                                      </w:rPr>
                                    </w:pPr>
                                    <w:r w:rsidRPr="002B401B">
                                      <w:rPr>
                                        <w:rFonts w:ascii="Arial" w:hAnsi="Arial" w:cs="Arial"/>
                                      </w:rPr>
                                      <w:t>Accessibility and practicalities</w:t>
                                    </w:r>
                                  </w:p>
                                </w:txbxContent>
                              </wps:txbx>
                              <wps:bodyPr rot="0" vert="horz" wrap="square" lIns="91440" tIns="45720" rIns="91440" bIns="45720" anchor="ctr" anchorCtr="0" upright="1">
                                <a:noAutofit/>
                              </wps:bodyPr>
                            </wps:wsp>
                          </wpg:grpSp>
                          <wps:wsp>
                            <wps:cNvPr id="199" name="Straight Connector 110"/>
                            <wps:cNvCnPr>
                              <a:cxnSpLocks noChangeShapeType="1"/>
                            </wps:cNvCnPr>
                            <wps:spPr bwMode="auto">
                              <a:xfrm>
                                <a:off x="36861" y="24003"/>
                                <a:ext cx="867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200" name="Straight Connector 111"/>
                          <wps:cNvCnPr>
                            <a:cxnSpLocks noChangeShapeType="1"/>
                          </wps:cNvCnPr>
                          <wps:spPr bwMode="auto">
                            <a:xfrm flipV="1">
                              <a:off x="13049" y="23812"/>
                              <a:ext cx="28194" cy="2143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BD33F24" id="Group 1" o:spid="_x0000_s1043" style="position:absolute;left:0;text-align:left;margin-left:-24.75pt;margin-top:31.7pt;width:458.25pt;height:381pt;z-index:251681792;mso-position-horizontal-relative:margin" coordsize="58197,4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WxtAUAAD4vAAAOAAAAZHJzL2Uyb0RvYy54bWzsWt9zozYQfu9M/wcN742RwPyaODfX3OWm&#10;M9c2M0n7LgO2mQKiQo6d/vVdrQBjHOc618ROe+QhAxKspdXH7refdPluW+TkIZV1JsqZRS9si6Rl&#10;LJKsXM6s3+5vfggsUiteJjwXZTqzHtPaenf1/XeXmypKmViJPEklASNlHW2qmbVSqoomkzpepQWv&#10;L0SVltC5ELLgCm7lcpJIvgHrRT5htu1NNkImlRRxWtfQ+sF0Wldof7FIY/XrYlGniuQzC8am8L/E&#10;/3P9f3J1yaOl5NUqi5th8K8YRcGzEn60M/WBK07WMjswVWSxFLVYqItYFBOxWGRxinOA2VB7MJtP&#10;UqwrnMsy2iyrzk3g2oGfvtps/MvDJ1ndVbfSjB4uP4v4jxr8MtlUy6jfr++X5mEy3/wsElhPvlYC&#10;J75dyEKbgCmRLfr3sfNvulUkhsZpQEPfn1okhj43cALfblYgXsEyHbwXrz723+y9p9dtwiPzozjQ&#10;ZmB64ZtRmkuYwK0kWQLgnLoWKXkBo0bHEqatDCepl/ClnECZ7zkWgcky1/cM1lpfUDplrScce+qY&#10;3i/54am3jvoBvqh6B5r634HmbsWrFLFYa1B0PoU5GJ/eKcmz5UqRa1GW8N0JSVzjYHzhujQQi7dl&#10;AzFSiusVL5cpmr5/rGBhqH4D1rP3ir6pAZ9fhFwIQznEHKXMCQ1ymO0E6OfOYzyqZK0+paIg+mJm&#10;5VmpJ8kj/vC5VgZk7SO6uRQ3WZ5DO4/ykmxmludMbXyhFnmW6E7dh+Ervc4leeAQeNSW4jP5uoCv&#10;xrRRW/+ZVYd2DX98FptggJ0JBPqe9SJTEDPzrJhZQc/KKuXJxzLBwSme5eYaTOVl41PtRo34OpqL&#10;5PFWtr4GmJjmE+DFewYv05PihYaQEAAwgef5Zh1236btNpih8BT2jpg5G2a852KMf9ogYyBDvSaS&#10;8GiHGepCfsHMxgIM9iNkzgeZ58IMMBCIfHtJhkcvnJfIIs+q33VC0/mgIUVtxGG254XDkOM4LR2g&#10;oUmDLb8ZsxQyghNmKUgIx1mNYXJngA8LDMN5Cj52qNmtjj6UTf2R5ZyX5XhQ9R5lxT7yiTPgpws/&#10;lLkN83wiezEa0BE/x/CzqzVN6YjFornsVUU+0IR+pekHJuPs19MvWWoaXjJYVay3B1UzZLpT1No+&#10;HXgA891rFttvzgNs3wMBLs7/0QOn0BkgaDZf1L2OWT+KbSvfoFSgBSyittDcUq7a6FidyPBeSrHR&#10;JTLoIHsqg9G+dDj+RypDG0R15T2gcMzTcV/nYM81X/zxCkCCQoLU8IjQsFfw13I578SEG/zTPw3W&#10;9x4zikSodSUUIfYUib4JFA1w9EMTLyAtqO18i3pbE/NasYFIYdRXUIvhYiXkXxbZgPI6s+o/11ym&#10;Fsl/KmF1Qiik4GNWeONOfQY3st8z7/fwMgZTMytW0iLm5loZgXddSS1ItYgoxXsQKxcZyjp6vU11&#10;0mgjJ2SXgI0hloNGizwxmIEHhDAYQCwDAollUa+i3eF5OmVYZn/TeG4yWIubEc+tBhyCxm3Yzplj&#10;s6EA1GPBUNDbgzLi/JuGMm24yIjlVgbqsNztEZ0Zyy3POE4yxqCcQGpHLrfL5mNU7pDcqeZvBMnM&#10;PVQ9x7isodtRZtrRQMNNRzR3aO4E/TeCZgc27TH2HCPMI8swMuIYm6Ea107o6YPhW1EzXCARsNOt&#10;C8AnROExOu9H526reYzOAzwfKhpdJgPYn16dc2ELHkcwRmfcO9XSpolCO67R7YL/d9C8v/tyCt05&#10;hOh4dCeP7upoQPnrn3BzvMCDfRUdrV3bbo4Mtlt4gQdHYVB9bpXd9khme4BtPON2cvzAEeVn8dNV&#10;r6+Hn6dPojh4wk0jyQlM1bGLlAyO6TZQYtR1zG7JeBjl8MhkH054DYe0cVumOVCuT4H373GrYXfs&#10;/epvAAAA//8DAFBLAwQUAAYACAAAACEA8CgrN+IAAAAKAQAADwAAAGRycy9kb3ducmV2LnhtbEyP&#10;wWqDQBCG74W+wzKF3pLVRG1qXUMIbU8h0KRQepvoRCXurrgbNW/f6am9zTAf/3x/tp50KwbqXWON&#10;gnAegCBT2LIxlYLP49tsBcJ5NCW21pCCGzlY5/d3GaalHc0HDQdfCQ4xLkUFtfddKqUratLo5rYj&#10;w7ez7TV6XvtKlj2OHK5buQiCRGpsDH+osaNtTcXlcNUK3kccN8vwddhdztvb9zHef+1CUurxYdq8&#10;gPA0+T8YfvVZHXJ2OtmrKZ1oFcyi55hRBckyAsHAKnniciceFnEEMs/k/wr5DwAAAP//AwBQSwEC&#10;LQAUAAYACAAAACEAtoM4kv4AAADhAQAAEwAAAAAAAAAAAAAAAAAAAAAAW0NvbnRlbnRfVHlwZXNd&#10;LnhtbFBLAQItABQABgAIAAAAIQA4/SH/1gAAAJQBAAALAAAAAAAAAAAAAAAAAC8BAABfcmVscy8u&#10;cmVsc1BLAQItABQABgAIAAAAIQBm03WxtAUAAD4vAAAOAAAAAAAAAAAAAAAAAC4CAABkcnMvZTJv&#10;RG9jLnhtbFBLAQItABQABgAIAAAAIQDwKCs34gAAAAoBAAAPAAAAAAAAAAAAAAAAAA4IAABkcnMv&#10;ZG93bnJldi54bWxQSwUGAAAAAAQABADzAAAAHQkAAAAA&#10;">
                <v:group id="Group 2" o:spid="_x0000_s1044" style="position:absolute;left:12763;top:2476;width:11525;height:43053" coordsize="11525,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Straight Connector 4" o:spid="_x0000_s1045" style="position:absolute;visibility:visible;mso-wrap-style:square" from="95,0" to="11334,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UawwAAANwAAAAPAAAAZHJzL2Rvd25yZXYueG1sRE/fa8Iw&#10;EH4X9j+EG+xNU4UO2xllCAPZHmR1gz0ezdkUm0vaRO3+ezMY+HYf389bbUbbiQsNoXWsYD7LQBDX&#10;TrfcKPg6vE2XIEJE1tg5JgW/FGCzfpissNTuyp90qWIjUgiHEhWYGH0pZagNWQwz54kTd3SDxZjg&#10;0Eg94DWF204usuxZWmw5NRj0tDVUn6qzVdC/19VH3sy//c5vzb7Hov8pCqWeHsfXFxCRxngX/7t3&#10;Os3Pc/h7Jl0g1zcAAAD//wMAUEsBAi0AFAAGAAgAAAAhANvh9svuAAAAhQEAABMAAAAAAAAAAAAA&#10;AAAAAAAAAFtDb250ZW50X1R5cGVzXS54bWxQSwECLQAUAAYACAAAACEAWvQsW78AAAAVAQAACwAA&#10;AAAAAAAAAAAAAAAfAQAAX3JlbHMvLnJlbHNQSwECLQAUAAYACAAAACEA21dFGsMAAADcAAAADwAA&#10;AAAAAAAAAAAAAAAHAgAAZHJzL2Rvd25yZXYueG1sUEsFBgAAAAADAAMAtwAAAPcCAAAAAA==&#10;" strokecolor="black [3213]" strokeweight=".5pt">
                    <v:stroke joinstyle="miter"/>
                  </v:line>
                  <v:line id="Straight Connector 5" o:spid="_x0000_s1046" style="position:absolute;visibility:visible;mso-wrap-style:square" from="190,8667" to="11239,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ttwgAAANwAAAAPAAAAZHJzL2Rvd25yZXYueG1sRE/fa8Iw&#10;EH4f7H8IN9jbTBWUtRpFBEG2B7HbYI9HczbF5pI2mdb/3gjC3u7j+3mL1WBbcaY+NI4VjEcZCOLK&#10;6YZrBd9f27d3ECEia2wdk4IrBVgtn58WWGh34QOdy1iLFMKhQAUmRl9IGSpDFsPIeeLEHV1vMSbY&#10;11L3eEnhtpWTLJtJiw2nBoOeNoaqU/lnFXQfVfk5rcc/fuc3Zt9h3v3muVKvL8N6DiLSEP/FD/dO&#10;p/nTGdyfSRfI5Q0AAP//AwBQSwECLQAUAAYACAAAACEA2+H2y+4AAACFAQAAEwAAAAAAAAAAAAAA&#10;AAAAAAAAW0NvbnRlbnRfVHlwZXNdLnhtbFBLAQItABQABgAIAAAAIQBa9CxbvwAAABUBAAALAAAA&#10;AAAAAAAAAAAAAB8BAABfcmVscy8ucmVsc1BLAQItABQABgAIAAAAIQArhdttwgAAANwAAAAPAAAA&#10;AAAAAAAAAAAAAAcCAABkcnMvZG93bnJldi54bWxQSwUGAAAAAAMAAwC3AAAA9gIAAAAA&#10;" strokecolor="black [3213]" strokeweight=".5pt">
                    <v:stroke joinstyle="miter"/>
                  </v:line>
                  <v:line id="Straight Connector 74" o:spid="_x0000_s1047" style="position:absolute;visibility:visible;mso-wrap-style:square" from="0,16383" to="11144,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nwgAAANwAAAAPAAAAZHJzL2Rvd25yZXYueG1sRE/fa8Iw&#10;EH4f7H8IN9jbTBWUtRpFBEG2B7HbYI9HczbF5pI2mdb/3gjC3u7j+3mL1WBbcaY+NI4VjEcZCOLK&#10;6YZrBd9f27d3ECEia2wdk4IrBVgtn58WWGh34QOdy1iLFMKhQAUmRl9IGSpDFsPIeeLEHV1vMSbY&#10;11L3eEnhtpWTLJtJiw2nBoOeNoaqU/lnFXQfVfk5rcc/fuc3Zt9h3v3muVKvL8N6DiLSEP/FD/dO&#10;p/mzKdyfSRfI5Q0AAP//AwBQSwECLQAUAAYACAAAACEA2+H2y+4AAACFAQAAEwAAAAAAAAAAAAAA&#10;AAAAAAAAW0NvbnRlbnRfVHlwZXNdLnhtbFBLAQItABQABgAIAAAAIQBa9CxbvwAAABUBAAALAAAA&#10;AAAAAAAAAAAAAB8BAABfcmVscy8ucmVsc1BLAQItABQABgAIAAAAIQAVO4+nwgAAANwAAAAPAAAA&#10;AAAAAAAAAAAAAAcCAABkcnMvZG93bnJldi54bWxQSwUGAAAAAAMAAwC3AAAA9gIAAAAA&#10;" strokecolor="black [3213]" strokeweight=".5pt">
                    <v:stroke joinstyle="miter"/>
                  </v:line>
                  <v:line id="Straight Connector 75" o:spid="_x0000_s1048" style="position:absolute;flip:y;visibility:visible;mso-wrap-style:square" from="190,20669" to="11525,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D0wgAAANwAAAAPAAAAZHJzL2Rvd25yZXYueG1sRE9LawIx&#10;EL4L/Q9hCr1p1h6WshpFFmx76MUHi8dhM+6uJpMlibrtrzcFwdt8fM+ZLwdrxJV86BwrmE4yEMS1&#10;0x03Cva79fgDRIjIGo1jUvBLAZaLl9EcC+1uvKHrNjYihXAoUEEbY19IGeqWLIaJ64kTd3TeYkzQ&#10;N1J7vKVwa+R7luXSYsepocWeypbq8/ZiFZSmOgxfn55jdfo7Xn5oXZ6MUertdVjNQEQa4lP8cH/r&#10;ND/P4f+ZdIFc3AEAAP//AwBQSwECLQAUAAYACAAAACEA2+H2y+4AAACFAQAAEwAAAAAAAAAAAAAA&#10;AAAAAAAAW0NvbnRlbnRfVHlwZXNdLnhtbFBLAQItABQABgAIAAAAIQBa9CxbvwAAABUBAAALAAAA&#10;AAAAAAAAAAAAAB8BAABfcmVscy8ucmVsc1BLAQItABQABgAIAAAAIQDtNDD0wgAAANwAAAAPAAAA&#10;AAAAAAAAAAAAAAcCAABkcnMvZG93bnJldi54bWxQSwUGAAAAAAMAAwC3AAAA9gIAAAAA&#10;" strokecolor="black [3213]" strokeweight=".5pt">
                    <v:stroke joinstyle="miter"/>
                  </v:line>
                  <v:line id="Straight Connector 76" o:spid="_x0000_s1049" style="position:absolute;flip:y;visibility:visible;mso-wrap-style:square" from="285,20669" to="11239,3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VvwgAAANwAAAAPAAAAZHJzL2Rvd25yZXYueG1sRE9LawIx&#10;EL4L/Q9hCr1p1h6srGZFFmx76EUtS4/DZvahyWRJom77602h0Nt8fM9Zb0ZrxJV86B0rmM8yEMS1&#10;0z23Cj6Pu+kSRIjIGo1jUvBNATbFw2SNuXY33tP1EFuRQjjkqKCLccilDHVHFsPMDcSJa5y3GBP0&#10;rdQebyncGvmcZQtpsefU0OFAZUf1+XCxCkpTfY1vr55jdfppLh+0K0/GKPX0OG5XICKN8V/8537X&#10;af7iBX6fSRfI4g4AAP//AwBQSwECLQAUAAYACAAAACEA2+H2y+4AAACFAQAAEwAAAAAAAAAAAAAA&#10;AAAAAAAAW0NvbnRlbnRfVHlwZXNdLnhtbFBLAQItABQABgAIAAAAIQBa9CxbvwAAABUBAAALAAAA&#10;AAAAAAAAAAAAAB8BAABfcmVscy8ucmVsc1BLAQItABQABgAIAAAAIQCCeJVvwgAAANwAAAAPAAAA&#10;AAAAAAAAAAAAAAcCAABkcnMvZG93bnJldi54bWxQSwUGAAAAAAMAAwC3AAAA9gIAAAAA&#10;" strokecolor="black [3213]" strokeweight=".5pt">
                    <v:stroke joinstyle="miter"/>
                  </v:line>
                  <v:line id="Straight Connector 77" o:spid="_x0000_s1050" style="position:absolute;flip:y;visibility:visible;mso-wrap-style:square" from="190,21240" to="11334,4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EdxAAAANwAAAAPAAAAZHJzL2Rvd25yZXYueG1sRI9Bb8Iw&#10;DIXvSPsPkSftBul2QKgjIFSJbYddBgjtaDWmLSROlQTo9uvxAYmbrff83uf5cvBOXSimLrCB10kB&#10;irgOtuPGwG67Hs9ApYxs0QUmA3+UYLl4Gs2xtOHKP3TZ5EZJCKcSDbQ596XWqW7JY5qEnli0Q4ge&#10;s6yx0TbiVcK9029FMdUeO5aGFnuqWqpPm7M3ULn97/D5ETnvj/+H8zetq6Nzxrw8D6t3UJmG/DDf&#10;r7+s4E+FVp6RCfTiBgAA//8DAFBLAQItABQABgAIAAAAIQDb4fbL7gAAAIUBAAATAAAAAAAAAAAA&#10;AAAAAAAAAABbQ29udGVudF9UeXBlc10ueG1sUEsBAi0AFAAGAAgAAAAhAFr0LFu/AAAAFQEAAAsA&#10;AAAAAAAAAAAAAAAAHwEAAF9yZWxzLy5yZWxzUEsBAi0AFAAGAAgAAAAhAPPnAR3EAAAA3AAAAA8A&#10;AAAAAAAAAAAAAAAABwIAAGRycy9kb3ducmV2LnhtbFBLBQYAAAAAAwADALcAAAD4AgAAAAA=&#10;" strokecolor="black [3213]" strokeweight=".5pt">
                    <v:stroke joinstyle="miter"/>
                  </v:line>
                </v:group>
                <v:group id="Group 78" o:spid="_x0000_s1051" style="position:absolute;width:58197;height:48387" coordsize="58197,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79" o:spid="_x0000_s1052" style="position:absolute;width:58197;height:48387" coordsize="58197,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Group 80" o:spid="_x0000_s1053" style="position:absolute;width:58197;height:48387" coordsize="58197,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Text Box 2" o:spid="_x0000_s1054" type="#_x0000_t202" style="position:absolute;left:190;top:8000;width:12668;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ACwAAAANwAAAAPAAAAZHJzL2Rvd25yZXYueG1sRE9NawIx&#10;EL0X/A9hhN5qVg9VtkZZFKEXC2rpeUjG3a2bSUjiuv33jSB4m8f7nOV6sJ3oKcTWsYLppABBrJ1p&#10;uVbwfdq9LUDEhGywc0wK/ijCejV6WWJp3I0P1B9TLXIIxxIVNCn5UsqoG7IYJ84TZ+7sgsWUYail&#10;CXjL4baTs6J4lxZbzg0Neto0pC/Hq1Wwr/ab4iv0tvI/598OvdZbH5V6HQ/VB4hEQ3qKH+5Pk+fP&#10;53B/Jl8gV/8AAAD//wMAUEsBAi0AFAAGAAgAAAAhANvh9svuAAAAhQEAABMAAAAAAAAAAAAAAAAA&#10;AAAAAFtDb250ZW50X1R5cGVzXS54bWxQSwECLQAUAAYACAAAACEAWvQsW78AAAAVAQAACwAAAAAA&#10;AAAAAAAAAAAfAQAAX3JlbHMvLnJlbHNQSwECLQAUAAYACAAAACEA1CtwAsAAAADcAAAADwAAAAAA&#10;AAAAAAAAAAAHAgAAZHJzL2Rvd25yZXYueG1sUEsFBgAAAAADAAMAtwAAAPQCAAAAAA==&#10;">
                        <v:textbox>
                          <w:txbxContent>
                            <w:p w14:paraId="521C0933" w14:textId="77777777" w:rsidR="00F47203" w:rsidRPr="002B401B" w:rsidRDefault="00F47203" w:rsidP="00E974CC">
                              <w:pPr>
                                <w:jc w:val="center"/>
                                <w:rPr>
                                  <w:rFonts w:ascii="Arial" w:hAnsi="Arial" w:cs="Arial"/>
                                </w:rPr>
                              </w:pPr>
                              <w:r w:rsidRPr="002B401B">
                                <w:rPr>
                                  <w:rFonts w:ascii="Arial" w:hAnsi="Arial" w:cs="Arial"/>
                                </w:rPr>
                                <w:t xml:space="preserve">Lifestyle </w:t>
                              </w:r>
                              <w:r>
                                <w:rPr>
                                  <w:rFonts w:ascii="Arial" w:hAnsi="Arial" w:cs="Arial"/>
                                </w:rPr>
                                <w:t>c</w:t>
                              </w:r>
                              <w:r w:rsidRPr="002B401B">
                                <w:rPr>
                                  <w:rFonts w:ascii="Arial" w:hAnsi="Arial" w:cs="Arial"/>
                                </w:rPr>
                                <w:t>hanges (</w:t>
                              </w:r>
                              <w:r>
                                <w:rPr>
                                  <w:rFonts w:ascii="Arial" w:hAnsi="Arial" w:cs="Arial"/>
                                </w:rPr>
                                <w:t>p</w:t>
                              </w:r>
                              <w:r w:rsidRPr="002B401B">
                                <w:rPr>
                                  <w:rFonts w:ascii="Arial" w:hAnsi="Arial" w:cs="Arial"/>
                                </w:rPr>
                                <w:t xml:space="preserve">ast and </w:t>
                              </w:r>
                              <w:r>
                                <w:rPr>
                                  <w:rFonts w:ascii="Arial" w:hAnsi="Arial" w:cs="Arial"/>
                                </w:rPr>
                                <w:t>p</w:t>
                              </w:r>
                              <w:r w:rsidRPr="002B401B">
                                <w:rPr>
                                  <w:rFonts w:ascii="Arial" w:hAnsi="Arial" w:cs="Arial"/>
                                </w:rPr>
                                <w:t>resent)</w:t>
                              </w:r>
                            </w:p>
                          </w:txbxContent>
                        </v:textbox>
                      </v:shape>
                      <v:shape id="Text Box 82" o:spid="_x0000_s1055" type="#_x0000_t202" style="position:absolute;left:24098;top:20955;width:12668;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RwwwAAANwAAAAPAAAAZHJzL2Rvd25yZXYueG1sRI9Ba8Mw&#10;DIXvg/0Ho8Fuq9Md1pLWLaFjsEsH7cbOwlaTtLFsbC/N/v10KOwm8Z7e+7TeTn5QI6XcBzYwn1Wg&#10;iG1wPbcGvj7fnpagckF2OAQmA7+UYbu5v1tj7cKVDzQeS6skhHONBrpSYq11th15zLMQiUU7heSx&#10;yJpa7RJeJdwP+rmqXrTHnqWhw0i7juzl+OMN7Jv9rvpIo2/i9+k8YLT2NWZjHh+mZgWq0FT+zbfr&#10;dyf4C6GVZ2QCvfkDAAD//wMAUEsBAi0AFAAGAAgAAAAhANvh9svuAAAAhQEAABMAAAAAAAAAAAAA&#10;AAAAAAAAAFtDb250ZW50X1R5cGVzXS54bWxQSwECLQAUAAYACAAAACEAWvQsW78AAAAVAQAACwAA&#10;AAAAAAAAAAAAAAAfAQAAX3JlbHMvLnJlbHNQSwECLQAUAAYACAAAACEApbTkcMMAAADcAAAADwAA&#10;AAAAAAAAAAAAAAAHAgAAZHJzL2Rvd25yZXYueG1sUEsFBgAAAAADAAMAtwAAAPcCAAAAAA==&#10;">
                        <v:textbox>
                          <w:txbxContent>
                            <w:p w14:paraId="1899B954" w14:textId="77777777" w:rsidR="00F47203" w:rsidRPr="002B401B" w:rsidRDefault="00F47203" w:rsidP="00E974CC">
                              <w:pPr>
                                <w:jc w:val="center"/>
                                <w:rPr>
                                  <w:rFonts w:ascii="Arial" w:hAnsi="Arial" w:cs="Arial"/>
                                </w:rPr>
                              </w:pPr>
                              <w:r w:rsidRPr="002B401B">
                                <w:rPr>
                                  <w:rFonts w:ascii="Arial" w:hAnsi="Arial" w:cs="Arial"/>
                                </w:rPr>
                                <w:t>Motivation</w:t>
                              </w:r>
                            </w:p>
                          </w:txbxContent>
                        </v:textbox>
                      </v:shape>
                      <v:shape id="Text Box 2" o:spid="_x0000_s1056" type="#_x0000_t202" style="position:absolute;top:16287;width:12668;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D7wAAAANwAAAAPAAAAZHJzL2Rvd25yZXYueG1sRE9NawIx&#10;EL0X/A9hBG81q0K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GxyQ+8AAAADcAAAADwAAAAAA&#10;AAAAAAAAAAAHAgAAZHJzL2Rvd25yZXYueG1sUEsFBgAAAAADAAMAtwAAAPQCAAAAAA==&#10;">
                        <v:textbox>
                          <w:txbxContent>
                            <w:p w14:paraId="5C679026" w14:textId="77777777" w:rsidR="00F47203" w:rsidRPr="002B401B" w:rsidRDefault="00F47203" w:rsidP="00E974CC">
                              <w:pPr>
                                <w:jc w:val="center"/>
                                <w:rPr>
                                  <w:rFonts w:ascii="Arial" w:hAnsi="Arial" w:cs="Arial"/>
                                </w:rPr>
                              </w:pPr>
                              <w:r w:rsidRPr="002B401B">
                                <w:rPr>
                                  <w:rFonts w:ascii="Arial" w:hAnsi="Arial" w:cs="Arial"/>
                                </w:rPr>
                                <w:t>Comparison with others</w:t>
                              </w:r>
                            </w:p>
                          </w:txbxContent>
                        </v:textbox>
                      </v:shape>
                      <v:shape id="Text Box 2" o:spid="_x0000_s1057" type="#_x0000_t202" style="position:absolute;left:190;width:12668;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0C11EA55" w14:textId="77777777" w:rsidR="00F47203" w:rsidRPr="002B401B" w:rsidRDefault="00F47203" w:rsidP="00E974CC">
                              <w:pPr>
                                <w:jc w:val="center"/>
                                <w:rPr>
                                  <w:rFonts w:ascii="Arial" w:hAnsi="Arial" w:cs="Arial"/>
                                </w:rPr>
                              </w:pPr>
                              <w:r w:rsidRPr="002B401B">
                                <w:rPr>
                                  <w:rFonts w:ascii="Arial" w:hAnsi="Arial" w:cs="Arial"/>
                                </w:rPr>
                                <w:t>Understanding of T2DM</w:t>
                              </w:r>
                            </w:p>
                          </w:txbxContent>
                        </v:textbox>
                      </v:shape>
                      <v:shape id="Text Box 2" o:spid="_x0000_s1058" type="#_x0000_t202" style="position:absolute;left:190;top:24669;width:12668;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26578144" w14:textId="77777777" w:rsidR="00F47203" w:rsidRPr="002B401B" w:rsidRDefault="00F47203" w:rsidP="00E974CC">
                              <w:pPr>
                                <w:jc w:val="center"/>
                                <w:rPr>
                                  <w:rFonts w:ascii="Arial" w:hAnsi="Arial" w:cs="Arial"/>
                                </w:rPr>
                              </w:pPr>
                              <w:r w:rsidRPr="002B401B">
                                <w:rPr>
                                  <w:rFonts w:ascii="Arial" w:hAnsi="Arial" w:cs="Arial"/>
                                </w:rPr>
                                <w:t>Support</w:t>
                              </w:r>
                            </w:p>
                          </w:txbxContent>
                        </v:textbox>
                      </v:shape>
                      <v:shape id="Text Box 2" o:spid="_x0000_s1059" type="#_x0000_t202" style="position:absolute;left:190;top:33051;width:12668;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0606E500" w14:textId="77777777" w:rsidR="00F47203" w:rsidRPr="00EF2128" w:rsidRDefault="00F47203" w:rsidP="00E974CC">
                              <w:pPr>
                                <w:jc w:val="center"/>
                                <w:rPr>
                                  <w:rFonts w:ascii="Arial" w:hAnsi="Arial" w:cs="Arial"/>
                                  <w:vertAlign w:val="superscript"/>
                                </w:rPr>
                              </w:pPr>
                              <w:r w:rsidRPr="00EF2128">
                                <w:rPr>
                                  <w:rFonts w:ascii="Arial" w:hAnsi="Arial" w:cs="Arial"/>
                                </w:rPr>
                                <w:t>Self-perceptions</w:t>
                              </w:r>
                              <w:r>
                                <w:rPr>
                                  <w:rFonts w:ascii="Arial" w:hAnsi="Arial" w:cs="Arial"/>
                                  <w:vertAlign w:val="superscript"/>
                                </w:rPr>
                                <w:t>1</w:t>
                              </w:r>
                            </w:p>
                          </w:txbxContent>
                        </v:textbox>
                      </v:shape>
                      <v:shape id="Text Box 2" o:spid="_x0000_s1060" type="#_x0000_t202" style="position:absolute;left:45529;top:21240;width:12668;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b4wAAAANwAAAAPAAAAZHJzL2Rvd25yZXYueG1sRE9NawIx&#10;EL0X/A9hBG81qwdbV6MsSsGLhdrieUjG3dXNJCTpuv77plDobR7vc9bbwXaipxBbxwpm0wIEsXam&#10;5VrB1+fb8yuImJANdo5JwYMibDejpzWWxt35g/pTqkUO4ViigiYlX0oZdUMW49R54sxdXLCYMgy1&#10;NAHvOdx2cl4UC2mx5dzQoKddQ/p2+rYKjtVxV7yH3lb+fLl26LXe+6jUZDxUKxCJhvQv/nMfTJ6/&#10;fIHfZ/IFcvMDAAD//wMAUEsBAi0AFAAGAAgAAAAhANvh9svuAAAAhQEAABMAAAAAAAAAAAAAAAAA&#10;AAAAAFtDb250ZW50X1R5cGVzXS54bWxQSwECLQAUAAYACAAAACEAWvQsW78AAAAVAQAACwAAAAAA&#10;AAAAAAAAAAAfAQAAX3JlbHMvLnJlbHNQSwECLQAUAAYACAAAACEAZCeW+MAAAADcAAAADwAAAAAA&#10;AAAAAAAAAAAHAgAAZHJzL2Rvd25yZXYueG1sUEsFBgAAAAADAAMAtwAAAPQCAAAAAA==&#10;">
                        <v:textbox>
                          <w:txbxContent>
                            <w:p w14:paraId="518BD590" w14:textId="77777777" w:rsidR="00F47203" w:rsidRPr="002B401B" w:rsidRDefault="00F47203" w:rsidP="00E974CC">
                              <w:pPr>
                                <w:jc w:val="center"/>
                                <w:rPr>
                                  <w:rFonts w:ascii="Arial" w:hAnsi="Arial" w:cs="Arial"/>
                                </w:rPr>
                              </w:pPr>
                              <w:r w:rsidRPr="002B401B">
                                <w:rPr>
                                  <w:rFonts w:ascii="Arial" w:hAnsi="Arial" w:cs="Arial"/>
                                </w:rPr>
                                <w:t xml:space="preserve">Attendance or </w:t>
                              </w:r>
                              <w:r>
                                <w:rPr>
                                  <w:rFonts w:ascii="Arial" w:hAnsi="Arial" w:cs="Arial"/>
                                </w:rPr>
                                <w:t>n</w:t>
                              </w:r>
                              <w:r w:rsidRPr="002B401B">
                                <w:rPr>
                                  <w:rFonts w:ascii="Arial" w:hAnsi="Arial" w:cs="Arial"/>
                                </w:rPr>
                                <w:t>on-attendance</w:t>
                              </w:r>
                            </w:p>
                          </w:txbxContent>
                        </v:textbox>
                      </v:shape>
                      <v:shape id="Text Box 2" o:spid="_x0000_s1061" type="#_x0000_t202" style="position:absolute;left:190;top:42862;width:12668;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KKwwAAANwAAAAPAAAAZHJzL2Rvd25yZXYueG1sRI9Ba8Mw&#10;DIXvg/0Ho8Fuq9MdRpvWLaFjsEsH7cbOwlaTtLFsbC/N/v10KOwm8Z7e+7TeTn5QI6XcBzYwn1Wg&#10;iG1wPbcGvj7fnhagckF2OAQmA7+UYbu5v1tj7cKVDzQeS6skhHONBrpSYq11th15zLMQiUU7heSx&#10;yJpa7RJeJdwP+rmqXrTHnqWhw0i7juzl+OMN7Jv9rvpIo2/i9+k8YLT2NWZjHh+mZgWq0FT+zbfr&#10;dyf4S6GVZ2QCvfkDAAD//wMAUEsBAi0AFAAGAAgAAAAhANvh9svuAAAAhQEAABMAAAAAAAAAAAAA&#10;AAAAAAAAAFtDb250ZW50X1R5cGVzXS54bWxQSwECLQAUAAYACAAAACEAWvQsW78AAAAVAQAACwAA&#10;AAAAAAAAAAAAAAAfAQAAX3JlbHMvLnJlbHNQSwECLQAUAAYACAAAACEAFbgCisMAAADcAAAADwAA&#10;AAAAAAAAAAAAAAAHAgAAZHJzL2Rvd25yZXYueG1sUEsFBgAAAAADAAMAtwAAAPcCAAAAAA==&#10;">
                        <v:textbox>
                          <w:txbxContent>
                            <w:p w14:paraId="7C8CE7BA" w14:textId="77777777" w:rsidR="00F47203" w:rsidRPr="002B401B" w:rsidRDefault="00F47203" w:rsidP="00E974CC">
                              <w:pPr>
                                <w:jc w:val="center"/>
                                <w:rPr>
                                  <w:rFonts w:ascii="Arial" w:hAnsi="Arial" w:cs="Arial"/>
                                </w:rPr>
                              </w:pPr>
                              <w:r w:rsidRPr="002B401B">
                                <w:rPr>
                                  <w:rFonts w:ascii="Arial" w:hAnsi="Arial" w:cs="Arial"/>
                                </w:rPr>
                                <w:t>Accessibility and practicalities</w:t>
                              </w:r>
                            </w:p>
                          </w:txbxContent>
                        </v:textbox>
                      </v:shape>
                    </v:group>
                    <v:line id="Straight Connector 110" o:spid="_x0000_s1062" style="position:absolute;visibility:visible;mso-wrap-style:square" from="36861,24003" to="45535,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FwgAAANwAAAAPAAAAZHJzL2Rvd25yZXYueG1sRE/fS8Mw&#10;EH4X/B/CCb7ZdIJj6ZYNGQhDH2RVwcejuTXF5pI2cav/vRkM9nYf389bbSbXiyONsfOsYVaUIIgb&#10;bzpuNXx+vDwsQMSEbLD3TBr+KMJmfXuzwsr4E+/pWKdW5BCOFWqwKYVKythYchgLH4gzd/Cjw5Th&#10;2Eoz4imHu14+luVcOuw4N1gMtLXU/NS/TsPw2tRvT+3sK+zC1r4PqIZvpbS+v5uelyASTekqvrh3&#10;Js9XCs7P5Avk+h8AAP//AwBQSwECLQAUAAYACAAAACEA2+H2y+4AAACFAQAAEwAAAAAAAAAAAAAA&#10;AAAAAAAAW0NvbnRlbnRfVHlwZXNdLnhtbFBLAQItABQABgAIAAAAIQBa9CxbvwAAABUBAAALAAAA&#10;AAAAAAAAAAAAAB8BAABfcmVscy8ucmVsc1BLAQItABQABgAIAAAAIQCho/WFwgAAANwAAAAPAAAA&#10;AAAAAAAAAAAAAAcCAABkcnMvZG93bnJldi54bWxQSwUGAAAAAAMAAwC3AAAA9gIAAAAA&#10;" strokecolor="black [3213]" strokeweight=".5pt">
                      <v:stroke joinstyle="miter"/>
                    </v:line>
                  </v:group>
                  <v:line id="Straight Connector 111" o:spid="_x0000_s1063" style="position:absolute;flip:y;visibility:visible;mso-wrap-style:square" from="13049,23812" to="41243,4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nHwgAAANwAAAAPAAAAZHJzL2Rvd25yZXYueG1sRI9Bi8Iw&#10;FITvgv8hPMGbpu5BpGsUKejuYS/qInt8NM+2mryUJGr11xtB2OMwM98w82VnjbiSD41jBZNxBoK4&#10;dLrhSsHvfj2agQgRWaNxTAruFGC56PfmmGt34y1dd7ESCcIhRwV1jG0uZShrshjGriVO3tF5izFJ&#10;X0nt8Zbg1siPLJtKiw2nhRpbKmoqz7uLVVCYw1/3tfEcD6fH8fJD6+JkjFLDQbf6BBGpi//hd/tb&#10;K0hEeJ1JR0AungAAAP//AwBQSwECLQAUAAYACAAAACEA2+H2y+4AAACFAQAAEwAAAAAAAAAAAAAA&#10;AAAAAAAAW0NvbnRlbnRfVHlwZXNdLnhtbFBLAQItABQABgAIAAAAIQBa9CxbvwAAABUBAAALAAAA&#10;AAAAAAAAAAAAAB8BAABfcmVscy8ucmVsc1BLAQItABQABgAIAAAAIQALa4nHwgAAANwAAAAPAAAA&#10;AAAAAAAAAAAAAAcCAABkcnMvZG93bnJldi54bWxQSwUGAAAAAAMAAwC3AAAA9gIAAAAA&#10;" strokecolor="black [3213]" strokeweight=".5pt">
                    <v:stroke joinstyle="miter"/>
                  </v:line>
                </v:group>
                <w10:wrap anchorx="margin"/>
              </v:group>
            </w:pict>
          </mc:Fallback>
        </mc:AlternateContent>
      </w:r>
      <w:r w:rsidR="00DE65CD" w:rsidRPr="00103A0B">
        <w:rPr>
          <w:rFonts w:ascii="Arial" w:hAnsi="Arial" w:cs="Arial"/>
          <w:i/>
          <w:sz w:val="24"/>
          <w:szCs w:val="24"/>
        </w:rPr>
        <w:t xml:space="preserve">Figure </w:t>
      </w:r>
      <w:r w:rsidR="00E974CC" w:rsidRPr="00103A0B">
        <w:rPr>
          <w:rFonts w:ascii="Arial" w:hAnsi="Arial" w:cs="Arial"/>
          <w:i/>
          <w:sz w:val="24"/>
          <w:szCs w:val="24"/>
        </w:rPr>
        <w:t>4</w:t>
      </w:r>
      <w:r w:rsidR="00DE65CD" w:rsidRPr="00103A0B">
        <w:rPr>
          <w:rFonts w:ascii="Arial" w:hAnsi="Arial" w:cs="Arial"/>
          <w:i/>
          <w:sz w:val="24"/>
          <w:szCs w:val="24"/>
        </w:rPr>
        <w:t xml:space="preserve">: Model overview of key influences affecting </w:t>
      </w:r>
      <w:proofErr w:type="gramStart"/>
      <w:r w:rsidR="00DE65CD" w:rsidRPr="00103A0B">
        <w:rPr>
          <w:rFonts w:ascii="Arial" w:hAnsi="Arial" w:cs="Arial"/>
          <w:i/>
          <w:sz w:val="24"/>
          <w:szCs w:val="24"/>
        </w:rPr>
        <w:t>attendance</w:t>
      </w:r>
      <w:proofErr w:type="gramEnd"/>
      <w:r w:rsidR="00DE65CD" w:rsidRPr="00103A0B">
        <w:rPr>
          <w:rFonts w:ascii="Arial" w:hAnsi="Arial" w:cs="Arial"/>
          <w:i/>
          <w:sz w:val="24"/>
          <w:szCs w:val="24"/>
        </w:rPr>
        <w:t xml:space="preserve"> </w:t>
      </w:r>
      <w:bookmarkEnd w:id="354"/>
    </w:p>
    <w:p w14:paraId="522E37B5" w14:textId="37F9A2F2" w:rsidR="00E974CC" w:rsidRPr="00103A0B" w:rsidRDefault="00E974CC" w:rsidP="00CD5919">
      <w:pPr>
        <w:spacing w:line="360" w:lineRule="auto"/>
        <w:jc w:val="both"/>
        <w:rPr>
          <w:rFonts w:ascii="Arial" w:hAnsi="Arial" w:cs="Arial"/>
          <w:b/>
          <w:sz w:val="28"/>
          <w:szCs w:val="28"/>
        </w:rPr>
      </w:pPr>
    </w:p>
    <w:p w14:paraId="2072EEF9" w14:textId="77777777" w:rsidR="00DE65CD" w:rsidRPr="00103A0B" w:rsidRDefault="00DE65CD" w:rsidP="00CD5919">
      <w:pPr>
        <w:spacing w:line="360" w:lineRule="auto"/>
        <w:jc w:val="both"/>
        <w:rPr>
          <w:rFonts w:ascii="Arial" w:hAnsi="Arial" w:cs="Arial"/>
          <w:b/>
          <w:sz w:val="28"/>
          <w:szCs w:val="28"/>
        </w:rPr>
      </w:pPr>
    </w:p>
    <w:p w14:paraId="74467B0E" w14:textId="77777777" w:rsidR="00DE65CD" w:rsidRPr="00103A0B" w:rsidRDefault="00DE65CD" w:rsidP="00CD5919">
      <w:pPr>
        <w:spacing w:line="360" w:lineRule="auto"/>
        <w:jc w:val="both"/>
        <w:rPr>
          <w:rFonts w:ascii="Arial" w:hAnsi="Arial" w:cs="Arial"/>
          <w:b/>
          <w:sz w:val="28"/>
          <w:szCs w:val="28"/>
        </w:rPr>
      </w:pPr>
    </w:p>
    <w:p w14:paraId="4EEBB58E" w14:textId="77777777" w:rsidR="00DE65CD" w:rsidRPr="00103A0B" w:rsidRDefault="00DE65CD" w:rsidP="00CD5919">
      <w:pPr>
        <w:spacing w:line="360" w:lineRule="auto"/>
        <w:jc w:val="both"/>
        <w:rPr>
          <w:rFonts w:ascii="Arial" w:hAnsi="Arial" w:cs="Arial"/>
          <w:b/>
          <w:sz w:val="28"/>
          <w:szCs w:val="28"/>
        </w:rPr>
      </w:pPr>
    </w:p>
    <w:p w14:paraId="43A0F0F6" w14:textId="77777777" w:rsidR="00DE65CD" w:rsidRPr="00103A0B" w:rsidRDefault="00DE65CD" w:rsidP="00CD5919">
      <w:pPr>
        <w:spacing w:line="360" w:lineRule="auto"/>
        <w:jc w:val="both"/>
        <w:rPr>
          <w:rFonts w:ascii="Arial" w:hAnsi="Arial" w:cs="Arial"/>
          <w:b/>
          <w:sz w:val="28"/>
          <w:szCs w:val="28"/>
        </w:rPr>
      </w:pPr>
    </w:p>
    <w:p w14:paraId="1048E82F" w14:textId="77777777" w:rsidR="00DE65CD" w:rsidRPr="00103A0B" w:rsidRDefault="00DE65CD" w:rsidP="00CD5919">
      <w:pPr>
        <w:spacing w:line="360" w:lineRule="auto"/>
        <w:jc w:val="both"/>
        <w:rPr>
          <w:rFonts w:ascii="Arial" w:hAnsi="Arial" w:cs="Arial"/>
          <w:b/>
          <w:sz w:val="28"/>
          <w:szCs w:val="28"/>
        </w:rPr>
      </w:pPr>
    </w:p>
    <w:p w14:paraId="58000C3E" w14:textId="77777777" w:rsidR="00DE65CD" w:rsidRPr="00103A0B" w:rsidRDefault="00DE65CD" w:rsidP="00CD5919">
      <w:pPr>
        <w:spacing w:line="360" w:lineRule="auto"/>
        <w:jc w:val="both"/>
        <w:rPr>
          <w:rFonts w:ascii="Arial" w:hAnsi="Arial" w:cs="Arial"/>
          <w:b/>
          <w:sz w:val="28"/>
          <w:szCs w:val="28"/>
        </w:rPr>
      </w:pPr>
    </w:p>
    <w:p w14:paraId="14E29712" w14:textId="77777777" w:rsidR="00DE65CD" w:rsidRPr="00103A0B" w:rsidRDefault="00DE65CD" w:rsidP="00CD5919">
      <w:pPr>
        <w:spacing w:line="360" w:lineRule="auto"/>
        <w:jc w:val="both"/>
        <w:rPr>
          <w:rFonts w:ascii="Arial" w:hAnsi="Arial" w:cs="Arial"/>
          <w:b/>
          <w:sz w:val="28"/>
          <w:szCs w:val="28"/>
        </w:rPr>
      </w:pPr>
    </w:p>
    <w:p w14:paraId="53CA3A45" w14:textId="77777777" w:rsidR="00DE65CD" w:rsidRPr="00103A0B" w:rsidRDefault="00DE65CD" w:rsidP="00CD5919">
      <w:pPr>
        <w:spacing w:line="360" w:lineRule="auto"/>
        <w:jc w:val="both"/>
        <w:rPr>
          <w:rFonts w:ascii="Arial" w:hAnsi="Arial" w:cs="Arial"/>
          <w:b/>
          <w:sz w:val="28"/>
          <w:szCs w:val="28"/>
        </w:rPr>
      </w:pPr>
    </w:p>
    <w:p w14:paraId="102A53C4" w14:textId="77777777" w:rsidR="00DE65CD" w:rsidRPr="00103A0B" w:rsidRDefault="00DE65CD" w:rsidP="00CD5919">
      <w:pPr>
        <w:spacing w:line="360" w:lineRule="auto"/>
        <w:jc w:val="both"/>
        <w:rPr>
          <w:rFonts w:ascii="Arial" w:hAnsi="Arial" w:cs="Arial"/>
          <w:b/>
          <w:sz w:val="28"/>
          <w:szCs w:val="28"/>
        </w:rPr>
      </w:pPr>
    </w:p>
    <w:p w14:paraId="42DC52DB" w14:textId="77777777" w:rsidR="00DE65CD" w:rsidRPr="00103A0B" w:rsidRDefault="00DE65CD" w:rsidP="00CD5919">
      <w:pPr>
        <w:spacing w:line="360" w:lineRule="auto"/>
        <w:jc w:val="both"/>
        <w:rPr>
          <w:rFonts w:ascii="Arial" w:hAnsi="Arial" w:cs="Arial"/>
          <w:b/>
          <w:sz w:val="28"/>
          <w:szCs w:val="28"/>
        </w:rPr>
      </w:pPr>
    </w:p>
    <w:p w14:paraId="635F7CB0" w14:textId="77777777" w:rsidR="00E974CC" w:rsidRPr="00103A0B" w:rsidRDefault="00E974CC" w:rsidP="00CD5919">
      <w:pPr>
        <w:spacing w:line="360" w:lineRule="auto"/>
        <w:jc w:val="both"/>
        <w:rPr>
          <w:rFonts w:ascii="Arial" w:hAnsi="Arial" w:cs="Arial"/>
          <w:bCs/>
          <w:sz w:val="20"/>
          <w:szCs w:val="20"/>
          <w:vertAlign w:val="superscript"/>
        </w:rPr>
      </w:pPr>
    </w:p>
    <w:p w14:paraId="55AC3AB6" w14:textId="77777777" w:rsidR="00E974CC" w:rsidRPr="00103A0B" w:rsidRDefault="00E974CC" w:rsidP="00CD5919">
      <w:pPr>
        <w:spacing w:line="360" w:lineRule="auto"/>
        <w:jc w:val="both"/>
        <w:rPr>
          <w:rFonts w:ascii="Arial" w:hAnsi="Arial" w:cs="Arial"/>
          <w:bCs/>
          <w:sz w:val="20"/>
          <w:szCs w:val="20"/>
          <w:vertAlign w:val="superscript"/>
        </w:rPr>
      </w:pPr>
    </w:p>
    <w:p w14:paraId="19636E6F" w14:textId="613F54FC" w:rsidR="00DE65CD" w:rsidRPr="00103A0B" w:rsidRDefault="00DE65CD" w:rsidP="00CD5919">
      <w:pPr>
        <w:spacing w:line="360" w:lineRule="auto"/>
        <w:jc w:val="both"/>
        <w:rPr>
          <w:rFonts w:ascii="Arial" w:hAnsi="Arial" w:cs="Arial"/>
          <w:bCs/>
          <w:sz w:val="20"/>
          <w:szCs w:val="20"/>
        </w:rPr>
      </w:pPr>
      <w:r w:rsidRPr="00103A0B">
        <w:rPr>
          <w:rFonts w:ascii="Arial" w:hAnsi="Arial" w:cs="Arial"/>
          <w:bCs/>
          <w:sz w:val="20"/>
          <w:szCs w:val="20"/>
          <w:vertAlign w:val="superscript"/>
        </w:rPr>
        <w:t xml:space="preserve">1 </w:t>
      </w:r>
      <w:r w:rsidRPr="00103A0B">
        <w:rPr>
          <w:rFonts w:ascii="Arial" w:hAnsi="Arial" w:cs="Arial"/>
          <w:bCs/>
          <w:sz w:val="20"/>
          <w:szCs w:val="20"/>
        </w:rPr>
        <w:t xml:space="preserve">Applies to attenders only. </w:t>
      </w:r>
    </w:p>
    <w:p w14:paraId="169047C2" w14:textId="77777777" w:rsidR="00DE65CD" w:rsidRPr="00103A0B" w:rsidRDefault="00DE65CD" w:rsidP="00CD5919">
      <w:pPr>
        <w:jc w:val="both"/>
        <w:rPr>
          <w:rFonts w:ascii="Arial" w:hAnsi="Arial" w:cs="Arial"/>
          <w:sz w:val="28"/>
          <w:szCs w:val="28"/>
          <w:u w:val="single"/>
        </w:rPr>
      </w:pPr>
    </w:p>
    <w:p w14:paraId="381D9021" w14:textId="77777777" w:rsidR="00DE65CD" w:rsidRPr="00103A0B" w:rsidRDefault="00DE65CD" w:rsidP="00CD5919">
      <w:pPr>
        <w:jc w:val="both"/>
        <w:rPr>
          <w:rFonts w:ascii="Arial" w:hAnsi="Arial" w:cs="Arial"/>
          <w:sz w:val="28"/>
          <w:szCs w:val="28"/>
          <w:u w:val="single"/>
        </w:rPr>
      </w:pPr>
    </w:p>
    <w:p w14:paraId="3F6B83F6" w14:textId="77777777" w:rsidR="008D109C" w:rsidRPr="00103A0B" w:rsidRDefault="008D109C" w:rsidP="00CD5919">
      <w:pPr>
        <w:jc w:val="both"/>
        <w:rPr>
          <w:rFonts w:ascii="Arial" w:hAnsi="Arial" w:cs="Arial"/>
          <w:i/>
          <w:sz w:val="24"/>
          <w:szCs w:val="24"/>
        </w:rPr>
      </w:pPr>
    </w:p>
    <w:p w14:paraId="1AB25315" w14:textId="77777777" w:rsidR="008D109C" w:rsidRPr="00103A0B" w:rsidRDefault="008D109C" w:rsidP="00CD5919">
      <w:pPr>
        <w:jc w:val="both"/>
        <w:rPr>
          <w:rFonts w:ascii="Arial" w:hAnsi="Arial" w:cs="Arial"/>
          <w:i/>
          <w:sz w:val="24"/>
          <w:szCs w:val="24"/>
        </w:rPr>
      </w:pPr>
      <w:r w:rsidRPr="00103A0B">
        <w:rPr>
          <w:rFonts w:ascii="Arial" w:hAnsi="Arial" w:cs="Arial"/>
          <w:i/>
          <w:sz w:val="24"/>
          <w:szCs w:val="24"/>
        </w:rPr>
        <w:br w:type="page"/>
      </w:r>
    </w:p>
    <w:p w14:paraId="4629FEE8" w14:textId="1EAD6C13" w:rsidR="008D109C" w:rsidRPr="00103A0B" w:rsidRDefault="00E974CC" w:rsidP="00CD5919">
      <w:pPr>
        <w:pStyle w:val="Heading2"/>
        <w:numPr>
          <w:ilvl w:val="0"/>
          <w:numId w:val="0"/>
        </w:numPr>
        <w:jc w:val="both"/>
        <w:rPr>
          <w:rFonts w:ascii="Arial" w:hAnsi="Arial" w:cs="Arial"/>
          <w:sz w:val="28"/>
        </w:rPr>
      </w:pPr>
      <w:bookmarkStart w:id="355" w:name="_Toc151548323"/>
      <w:r w:rsidRPr="00103A0B">
        <w:rPr>
          <w:rFonts w:ascii="Arial" w:hAnsi="Arial" w:cs="Arial"/>
          <w:sz w:val="28"/>
        </w:rPr>
        <w:lastRenderedPageBreak/>
        <w:t xml:space="preserve">5.4 </w:t>
      </w:r>
      <w:r w:rsidR="008D109C" w:rsidRPr="00103A0B">
        <w:rPr>
          <w:rFonts w:ascii="Arial" w:hAnsi="Arial" w:cs="Arial"/>
          <w:sz w:val="28"/>
        </w:rPr>
        <w:t>Discussion</w:t>
      </w:r>
      <w:bookmarkEnd w:id="355"/>
      <w:r w:rsidR="008D109C" w:rsidRPr="00103A0B">
        <w:rPr>
          <w:rFonts w:ascii="Arial" w:hAnsi="Arial" w:cs="Arial"/>
          <w:sz w:val="28"/>
        </w:rPr>
        <w:t xml:space="preserve"> </w:t>
      </w:r>
    </w:p>
    <w:p w14:paraId="729FB533" w14:textId="1917D57B" w:rsidR="00E974CC" w:rsidRPr="00103A0B" w:rsidRDefault="00E974CC" w:rsidP="00CD5919">
      <w:pPr>
        <w:spacing w:line="360" w:lineRule="auto"/>
        <w:jc w:val="both"/>
        <w:rPr>
          <w:rFonts w:ascii="Arial" w:hAnsi="Arial" w:cs="Arial"/>
          <w:sz w:val="24"/>
          <w:szCs w:val="24"/>
        </w:rPr>
      </w:pPr>
      <w:r w:rsidRPr="00103A0B">
        <w:rPr>
          <w:rFonts w:ascii="Arial" w:hAnsi="Arial" w:cs="Arial"/>
          <w:sz w:val="24"/>
          <w:szCs w:val="24"/>
        </w:rPr>
        <w:t xml:space="preserve">Exploring the views and experiences of participants deciding whether to attend the NHSDPP is important to improve uptake and programme viability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DOI":"https://doi.org/10.1186/s12913-019-4139-5","ISBN":"1291301941","author":[{"dropping-particle":"","family":"Knowles","given":"Sarah","non-dropping-particle":"","parse-names":false,"suffix":""},{"dropping-particle":"","family":"Cotterill","given":"Sarah","non-dropping-particle":"","parse-names":false,"suffix":""},{"dropping-particle":"","family":"Coupe","given":"Nia","non-dropping-particle":"","parse-names":false,"suffix":""},{"dropping-particle":"","family":"Spence","given":"Michael","non-dropping-particle":"","parse-names":false,"suffix":""}],"container-title":"BMC Health Services Research","id":"ITEM-1","issued":{"date-parts":[["2019"]]},"page":"321","publisher":"BMC Health Services Research","title":"Referral of patients to diabetes prevention programmes from community campaigns and general practices: mixed-method evaluation using the RE-AIM framework and Normalisation Process Theory","type":"article-journal","volume":"19"},"uris":["http://www.mendeley.com/documents/?uuid=662ecaea-3434-4d74-a06c-406eca0fd5e6"]},{"id":"ITEM-2","itemData":{"ISBN":"1549-1277","ISSN":"15491676","PMID":"27404094","abstract":"BACKGROUND: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Medicine","id":"ITEM-2","issue":"7","issued":{"date-parts":[["2016"]]},"page":"e1002078","title":"Engagement, retention, and progression to type 2 diabetes: a retrospective analysis of the cluster-randomised \"Let's Prevent Diabetes\" trial","type":"article-journal","volume":"13"},"uris":["http://www.mendeley.com/documents/?uuid=34e3af29-349e-4120-a3cb-a3a7408ba3b4"]}],"mendeley":{"formattedCitation":"(Gray et al., 2016; Knowles et al., 2019)","plainTextFormattedCitation":"(Gray et al., 2016; Knowles et al., 2019)","previouslyFormattedCitation":"(Gray et al., 2016; Knowles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(Gray et al., 2016; Knowles et al., 2019)</w:t>
      </w:r>
      <w:r w:rsidRPr="00103A0B">
        <w:rPr>
          <w:rFonts w:ascii="Arial" w:hAnsi="Arial" w:cs="Arial"/>
          <w:sz w:val="24"/>
          <w:szCs w:val="24"/>
        </w:rPr>
        <w:fldChar w:fldCharType="end"/>
      </w:r>
      <w:r w:rsidRPr="00103A0B">
        <w:rPr>
          <w:rFonts w:ascii="Arial" w:hAnsi="Arial" w:cs="Arial"/>
          <w:sz w:val="24"/>
          <w:szCs w:val="24"/>
        </w:rPr>
        <w:t xml:space="preserve">, especially in </w:t>
      </w:r>
      <w:bookmarkStart w:id="356" w:name="_Hlk78373714"/>
      <w:r w:rsidRPr="00103A0B">
        <w:rPr>
          <w:rFonts w:ascii="Arial" w:hAnsi="Arial" w:cs="Arial"/>
          <w:sz w:val="24"/>
          <w:szCs w:val="24"/>
        </w:rPr>
        <w:t xml:space="preserve">those from ethnically diverse backgrounds and/or from more deprived areas as they are at increased risk of developing T2DM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Open","id":"ITEM-1","issued":{"date-parts":[["2014"]]},"page":"e005002","title":"Prevalence of prediabetes in England from 2003 to 2011: population-based, cross-sectional study","type":"article-journal","volume":"4"},"uris":["http://www.mendeley.com/documents/?uuid=3d8c06b2-c467-4cfa-b523-36fc0982e568"]},{"id":"ITEM-2","itemData":{"DOI":"10.1016/j.pcd.2010.08.002","ISSN":"1751-9918","author":[{"dropping-particle":"","family":"Gholap","given":"Nitin","non-dropping-particle":"","parse-names":false,"suffix":""},{"dropping-particle":"","family":"Davies","given":"Melanie","non-dropping-particle":"","parse-names":false,"suffix":""},{"dropping-particle":"","family":"Patel","given":"Kiran","non-dropping-particle":"","parse-names":false,"suffix":""},{"dropping-particle":"","family":"Sattar","given":"Naveed","non-dropping-particle":"","parse-names":false,"suffix":""},{"dropping-particle":"","family":"Khunti","given":"Kamlesh","non-dropping-particle":"","parse-names":false,"suffix":""}],"container-title":"Primary Care Diabetes","id":"ITEM-2","issued":{"date-parts":[["2011"]]},"page":"45-56","publisher":"Primary Care Diabetes Europe","title":"Type 2 diabetes and cardiovascular disease in South Asians","type":"article-journal","volume":"5"},"uris":["http://www.mendeley.com/documents/?uuid=9d8ffa18-1c88-49ef-8e29-4ace97571aca"]}],"mendeley":{"formattedCitation":"(Gholap et al., 2011; Mainous III et al., 2014)","plainTextFormattedCitation":"(Gholap et al., 2011; Mainous III et al., 2014)","previouslyFormattedCitation":"(Gholap et al., 2011; Mainous III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(Gholap et al., 2011; Mainous III et al., 2014)</w:t>
      </w:r>
      <w:r w:rsidRPr="00103A0B">
        <w:rPr>
          <w:rFonts w:ascii="Arial" w:hAnsi="Arial" w:cs="Arial"/>
          <w:sz w:val="24"/>
          <w:szCs w:val="24"/>
        </w:rPr>
        <w:fldChar w:fldCharType="end"/>
      </w:r>
      <w:r w:rsidRPr="00103A0B">
        <w:rPr>
          <w:rFonts w:ascii="Arial" w:hAnsi="Arial" w:cs="Arial"/>
          <w:sz w:val="24"/>
          <w:szCs w:val="24"/>
        </w:rPr>
        <w:t xml:space="preserve">. </w:t>
      </w:r>
      <w:bookmarkStart w:id="357" w:name="_Hlk35446267"/>
      <w:bookmarkEnd w:id="356"/>
      <w:r w:rsidRPr="00103A0B">
        <w:rPr>
          <w:rFonts w:ascii="Arial" w:hAnsi="Arial" w:cs="Arial"/>
          <w:sz w:val="24"/>
          <w:szCs w:val="24"/>
        </w:rPr>
        <w:t>We report key influences of participants’ decisions to start the NHSDPP.</w:t>
      </w:r>
      <w:r w:rsidRPr="00103A0B">
        <w:rPr>
          <w:rFonts w:ascii="Arial" w:hAnsi="Arial" w:cs="Arial"/>
          <w:b/>
          <w:sz w:val="28"/>
          <w:szCs w:val="28"/>
        </w:rPr>
        <w:t xml:space="preserve"> </w:t>
      </w:r>
      <w:r w:rsidRPr="00103A0B">
        <w:rPr>
          <w:rFonts w:ascii="Arial" w:hAnsi="Arial" w:cs="Arial"/>
          <w:sz w:val="24"/>
          <w:szCs w:val="24"/>
        </w:rPr>
        <w:t>The results demonstrate how understanding T2DM, making lifestyle changes, comparing themselves with others, having support and certain self-perceptions can all affect motivation, influencing NHSDPP attendance.</w:t>
      </w:r>
      <w:bookmarkEnd w:id="357"/>
      <w:r w:rsidRPr="00103A0B">
        <w:rPr>
          <w:rFonts w:ascii="Arial" w:hAnsi="Arial" w:cs="Arial"/>
          <w:sz w:val="24"/>
          <w:szCs w:val="24"/>
        </w:rPr>
        <w:t xml:space="preserve"> Accessibility and practicalities were also important in influencing both motivation and attendance.</w:t>
      </w:r>
    </w:p>
    <w:p w14:paraId="73F75671" w14:textId="49EEE021" w:rsidR="00E974CC" w:rsidRPr="00103A0B" w:rsidRDefault="00E974CC" w:rsidP="00CD5919">
      <w:pPr>
        <w:spacing w:line="360" w:lineRule="auto"/>
        <w:jc w:val="both"/>
        <w:rPr>
          <w:rFonts w:ascii="Arial" w:hAnsi="Arial" w:cs="Arial"/>
          <w:sz w:val="24"/>
          <w:szCs w:val="24"/>
        </w:rPr>
      </w:pPr>
      <w:r w:rsidRPr="00103A0B">
        <w:rPr>
          <w:rFonts w:ascii="Arial" w:hAnsi="Arial" w:cs="Arial"/>
          <w:sz w:val="24"/>
          <w:szCs w:val="24"/>
        </w:rPr>
        <w:t xml:space="preserve">How individuals understand their illness plays an important role in motivation and behaviour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{"citationItems":[{"id":"ITEM-1","itemData":{"author":[{"dropping-particle":"","family":"Dickinson","given":"Jane K","non-dropping-particle":"","parse-names":false,"suffix":""},{"dropping-particle":"","family":"Guzman","given":"Susan J","non-dropping-particle":"","parse-names":false,"suffix":""},{"dropping-particle":"","family":"Maryniuk","given":"Melinda D","non-dropping-particle":"","parse-names":false,"suffix":""},{"dropping-particle":"","family":"Brian","given":"Catherine A O","non-dropping-particle":"","parse-names":false,"suffix":""},{"dropping-particle":"","family":"Kadohiro","given":"Jane K","non-dropping-particle":"","parse-names":false,"suffix":""},{"dropping-particle":"","family":"Jackson","given":"Richard A","non-dropping-particle":"","parse-names":false,"suffix":""},{"dropping-particle":"","family":"Al","given":"Et","non-dropping-particle":"","parse-names":false,"suffix":""}],"container-title":"Diabetes Care","id":"ITEM-1","issue":"12","issued":{"date-parts":[["2017"]]},"page":"1790-99","title":"The use of language in diabetes care and education","type":"article-journal","volume":"40"},"uris":["http://www.mendeley.com/documents/?uuid=5a42bfc2-c358-4d2d-bb3f-1639c2693dcf"]}],"mendeley":{"formattedCitation":"(Dickinson et al., 2017)","plainTextFormattedCitation":"(Dickinson et al., 2017)","previouslyFormattedCitation":"(Dickinson et al., 2017)"},"properties":{"noteIndex":0},"schema":"https://github.com/citation-style-language/schema/raw/master/csl-citation.json"}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(Dickinson et al., 2017)</w:t>
      </w:r>
      <w:r w:rsidRPr="00103A0B">
        <w:rPr>
          <w:rFonts w:ascii="Arial" w:hAnsi="Arial" w:cs="Arial"/>
          <w:sz w:val="24"/>
          <w:szCs w:val="24"/>
        </w:rPr>
        <w:fldChar w:fldCharType="end"/>
      </w:r>
      <w:r w:rsidRPr="00103A0B">
        <w:rPr>
          <w:rFonts w:ascii="Arial" w:hAnsi="Arial" w:cs="Arial"/>
          <w:sz w:val="24"/>
          <w:szCs w:val="24"/>
        </w:rPr>
        <w:t xml:space="preserve">. Participants discussed their T2DM knowledge, such as what bodily parts are affected or whether T2DM is irreversible. Individuals’ knowledge and understanding of their illness like T2DM prior starting a health prevention programme can influence decisions to attend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Research","id":"ITEM-1","issued":{"date-parts":[["2006"]]},"page":"757-767","title":"Illness perceptions predict attendance at cardiac rehabilitation following acute myocardial infarction: a systematic review with meta-analysis","type":"article-journal","volume":"61"},"uris":["http://www.mendeley.com/documents/?uuid=046866de-6856-4a38-87d2-91dee1be78bc"]}],"mendeley":{"formattedCitation":"(French et al., 2006)","plainTextFormattedCitation":"(French et al., 2006)","previouslyFormattedCitation":"(French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(French et al., 2006)</w:t>
      </w:r>
      <w:r w:rsidRPr="00103A0B">
        <w:rPr>
          <w:rFonts w:ascii="Arial" w:hAnsi="Arial" w:cs="Arial"/>
          <w:sz w:val="24"/>
          <w:szCs w:val="24"/>
        </w:rPr>
        <w:fldChar w:fldCharType="end"/>
      </w:r>
      <w:r w:rsidRPr="00103A0B">
        <w:rPr>
          <w:rFonts w:ascii="Arial" w:hAnsi="Arial" w:cs="Arial"/>
          <w:sz w:val="24"/>
          <w:szCs w:val="24"/>
        </w:rPr>
        <w:t xml:space="preserve">. Those who believe T2DM is preventable, may be more likely to attend. Illness perceptions such as these could be assessed at the IA to gain a deeper understanding about participants’ perceptions of prediabetes and T2DM, and specific-tailored information could be provided to ensure participants have a correct understanding about these conditions, which could affect motivation to attend. </w:t>
      </w:r>
    </w:p>
    <w:p w14:paraId="72BC230F" w14:textId="5C738A12" w:rsidR="00E974CC" w:rsidRPr="00103A0B" w:rsidRDefault="00E974CC" w:rsidP="00CD5919">
      <w:pPr>
        <w:spacing w:line="360" w:lineRule="auto"/>
        <w:jc w:val="both"/>
        <w:rPr>
          <w:rFonts w:ascii="Arial" w:hAnsi="Arial" w:cs="Arial"/>
          <w:sz w:val="24"/>
          <w:szCs w:val="24"/>
        </w:rPr>
      </w:pPr>
      <w:r w:rsidRPr="00103A0B">
        <w:rPr>
          <w:rFonts w:ascii="Arial" w:hAnsi="Arial" w:cs="Arial"/>
          <w:sz w:val="24"/>
          <w:szCs w:val="24"/>
        </w:rPr>
        <w:t xml:space="preserve">Some participants discussed difficulties they experienced with understanding their T2DM risk or GP communication. Interestingly, a higher proportion of those who expressed more difficulties in their understanding before the programme went on to attend the NHSDPP. It is possible that they were more motivated to start in order  to improve their understanding, as research has shown that providing health advice and individualised information can increase participation to a lifestyle intervention </w:t>
      </w:r>
      <w:r w:rsidRPr="00103A0B">
        <w:rPr>
          <w:rFonts w:ascii="Arial" w:hAnsi="Arial" w:cs="Arial"/>
          <w:sz w:val="24"/>
          <w:szCs w:val="24"/>
        </w:rPr>
        <w:fldChar w:fldCharType="begin" w:fldLock="1"/>
      </w:r>
      <w:r w:rsidR="00926B09" w:rsidRPr="00103A0B">
        <w:rPr>
          <w:rFonts w:ascii="Arial" w:hAnsi="Arial" w:cs="Arial"/>
          <w:sz w:val="24"/>
          <w:szCs w:val="24"/>
        </w:rPr>
        <w:instrText>ADDIN CSL_CITATION {"citationItems":[{"id":"ITEM-1","itemData":{"DOI":"10.1017/S1463423607000333","ISBN":"1463423607000","author":[{"dropping-particle":"","family":"Barter-Godfrey","given":"Sarah","non-dropping-particle":"","parse-names":false,"suffix":""},{"dropping-particle":"","family":"Taket","given":"Ann","non-dropping-particle":"","parse-names":false,"suffix":""},{"dropping-particle":"","family":"Rowlands","given":"Gillian","non-dropping-particle":"","parse-names":false,"suffix":""}],"container-title":"Primary Healthcare Research and Development","id":"ITEM-1","issued":{"date-parts":[["2007"]]},"page":"345-354","title":"Evaluating a community lifestyle intervention: adherence and the role of perceived support","type":"article-journal","volume":"8"},"uris":["http://www.mendeley.com/documents/?uuid=224a6aee-39ee-4dd5-ba7b-8ba150627672"]}],"mendeley":{"formattedCitation":"(Barter-Godfrey et al., 2007)","plainTextFormattedCitation":"(Barter-Godfrey et al., 2007)","previouslyFormattedCitation":"(Barter-Godfrey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(Barter-Godfrey et al., 2007)</w:t>
      </w:r>
      <w:r w:rsidRPr="00103A0B">
        <w:rPr>
          <w:rFonts w:ascii="Arial" w:hAnsi="Arial" w:cs="Arial"/>
          <w:sz w:val="24"/>
          <w:szCs w:val="24"/>
        </w:rPr>
        <w:fldChar w:fldCharType="end"/>
      </w:r>
      <w:r w:rsidRPr="00103A0B">
        <w:rPr>
          <w:rFonts w:ascii="Arial" w:hAnsi="Arial" w:cs="Arial"/>
          <w:sz w:val="24"/>
          <w:szCs w:val="24"/>
        </w:rPr>
        <w:t xml:space="preserve">. However, </w:t>
      </w:r>
      <w:proofErr w:type="gramStart"/>
      <w:r w:rsidRPr="00103A0B">
        <w:rPr>
          <w:rFonts w:ascii="Arial" w:hAnsi="Arial" w:cs="Arial"/>
          <w:sz w:val="24"/>
          <w:szCs w:val="24"/>
        </w:rPr>
        <w:t>this finding highlights</w:t>
      </w:r>
      <w:proofErr w:type="gramEnd"/>
      <w:r w:rsidRPr="00103A0B">
        <w:rPr>
          <w:rFonts w:ascii="Arial" w:hAnsi="Arial" w:cs="Arial"/>
          <w:sz w:val="24"/>
          <w:szCs w:val="24"/>
        </w:rPr>
        <w:t xml:space="preserve"> that understanding and good communication, particularly amongst a population where English may not be the first language, is fundamental to improving attendance.    </w:t>
      </w:r>
    </w:p>
    <w:p w14:paraId="3699F9F3" w14:textId="0848B42D" w:rsidR="00E974CC" w:rsidRPr="00103A0B" w:rsidRDefault="00E974CC" w:rsidP="00CD5919">
      <w:pPr>
        <w:spacing w:line="360" w:lineRule="auto"/>
        <w:jc w:val="both"/>
        <w:rPr>
          <w:rFonts w:ascii="Arial" w:hAnsi="Arial" w:cs="Arial"/>
          <w:sz w:val="24"/>
          <w:szCs w:val="24"/>
        </w:rPr>
      </w:pPr>
      <w:bookmarkStart w:id="358" w:name="_Hlk31106106"/>
      <w:r w:rsidRPr="00103A0B">
        <w:rPr>
          <w:rFonts w:ascii="Arial" w:hAnsi="Arial" w:cs="Arial"/>
          <w:sz w:val="24"/>
          <w:szCs w:val="24"/>
        </w:rPr>
        <w:t xml:space="preserve">Some choosing not to attend the NHSDPP felt that they were no longer at risk or were able to control their risk </w:t>
      </w:r>
      <w:bookmarkEnd w:id="358"/>
      <w:r w:rsidRPr="00103A0B">
        <w:rPr>
          <w:rFonts w:ascii="Arial" w:hAnsi="Arial" w:cs="Arial"/>
          <w:sz w:val="24"/>
          <w:szCs w:val="24"/>
        </w:rPr>
        <w:t xml:space="preserve">independently. </w:t>
      </w:r>
      <w:r w:rsidRPr="00103A0B">
        <w:rPr>
          <w:rStyle w:val="CommentReference"/>
          <w:rFonts w:ascii="Arial" w:hAnsi="Arial" w:cs="Arial"/>
          <w:sz w:val="24"/>
          <w:szCs w:val="24"/>
        </w:rPr>
        <w:t>Th</w:t>
      </w:r>
      <w:r w:rsidRPr="00103A0B">
        <w:rPr>
          <w:rFonts w:ascii="Arial" w:hAnsi="Arial" w:cs="Arial"/>
          <w:sz w:val="24"/>
          <w:szCs w:val="24"/>
        </w:rPr>
        <w:t xml:space="preserve">is suggests that some participants did not </w:t>
      </w:r>
      <w:r w:rsidRPr="00103A0B">
        <w:rPr>
          <w:rFonts w:ascii="Arial" w:hAnsi="Arial" w:cs="Arial"/>
          <w:sz w:val="24"/>
          <w:szCs w:val="24"/>
        </w:rPr>
        <w:lastRenderedPageBreak/>
        <w:t xml:space="preserve">see the need to attend as they felt able to control their prediabetes. This contradicts other research that found those who believed their condition was controllable, were </w:t>
      </w:r>
      <w:r w:rsidRPr="00103A0B">
        <w:rPr>
          <w:rFonts w:ascii="Arial" w:hAnsi="Arial" w:cs="Arial"/>
          <w:i/>
          <w:iCs/>
          <w:sz w:val="24"/>
          <w:szCs w:val="24"/>
        </w:rPr>
        <w:t>more</w:t>
      </w:r>
      <w:r w:rsidRPr="00103A0B">
        <w:rPr>
          <w:rFonts w:ascii="Arial" w:hAnsi="Arial" w:cs="Arial"/>
          <w:sz w:val="24"/>
          <w:szCs w:val="24"/>
        </w:rPr>
        <w:t xml:space="preserve"> likely to attend cardiac rehabilitation programmes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Research","id":"ITEM-1","issued":{"date-parts":[["2006"]]},"page":"757-767","title":"Illness perceptions predict attendance at cardiac rehabilitation following acute myocardial infarction: a systematic review with meta-analysis","type":"article-journal","volume":"61"},"uris":["http://www.mendeley.com/documents/?uuid=046866de-6856-4a38-87d2-91dee1be78bc"]}],"mendeley":{"formattedCitation":"(French et al., 2006)","plainTextFormattedCitation":"(French et al., 2006)","previouslyFormattedCitation":"(French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(French et al., 2006)</w:t>
      </w:r>
      <w:r w:rsidRPr="00103A0B">
        <w:rPr>
          <w:rFonts w:ascii="Arial" w:hAnsi="Arial" w:cs="Arial"/>
          <w:sz w:val="24"/>
          <w:szCs w:val="24"/>
        </w:rPr>
        <w:fldChar w:fldCharType="end"/>
      </w:r>
      <w:r w:rsidRPr="00103A0B">
        <w:rPr>
          <w:rFonts w:ascii="Arial" w:hAnsi="Arial" w:cs="Arial"/>
          <w:sz w:val="24"/>
          <w:szCs w:val="24"/>
        </w:rPr>
        <w:t xml:space="preserve">. It highlights the need for clinicians and programme organisers to ensure effective communication and understanding of prediabetes, so participants fully understand their diagnosis and risk before making an informed decision regarding attendance. </w:t>
      </w:r>
    </w:p>
    <w:p w14:paraId="4C16B0B9" w14:textId="68385498" w:rsidR="00E974CC" w:rsidRPr="00103A0B" w:rsidRDefault="00E974CC"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 xml:space="preserve">Participants discussed lifestyle changes they had already made or were attempting to make since first hearing about their prediabetes diagnosis. Those who had already made lifestyle changes prior to starting the programme were more likely to attend. Having already made lifestyle changes can sometimes act as a deterrent and discourage people from starting health promotion programmes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{"citationItems":[{"id":"ITEM-1","itemData":{"ISSN":"14752727","abstract":"Objective To investigate (i) how the SLIMMER intervention was delivered and received in Dutch primary health care and (ii) how this could explain intervention effectiveness. Design A randomised controlled trial was conducted and subjects were randomly allocated to the intervention (10-month combined dietary and physical activity intervention) or the control group. A process evaluation including quantitative and qualitative methods was conducted. Data on process indicators (recruitment, reach, dose received, acceptability, implementation integrity and applicability) were collected via semi-structured interviews with health-care professionals (n 45) and intervention participant questionnaires (n 155). Setting SLIMMER was implemented in Dutch primary health care in twenty-five general practices, eleven dietitians, nine physiotherapist practices and fifteen sports clubs. Subjects Subjects at increased risk of developing type 2 diabetes were included. Results It was possible to recruit the intended high-risk population (response rate 54 %) and the SLIMMER intervention was very well received by both participants and health-care professionals (mean acceptability rating of 82 and 80, respectively). The intervention programme was to a large extent implemented as planned and was applicable in Dutch primary health care. Higher dose received and participant acceptability were related to improved health outcomes and dietary behaviour, but not to physical activity behaviour. Conclusions The present study showed that it is feasible to implement a diabetes prevention intervention in Dutch primary health care. Higher dose received and participant acceptability were associated with improved health outcomes and dietary behaviour. Using an extensive process evaluation plan to gain insight into how an intervention is delivered and received is a valuable way of identifying intervention components that contribute to implementation integrity and effective prevention of type 2 diabetes in primary health care.","author":[{"dropping-particle":"","family":"Dongen","given":"Ellen J.I.","non-dropping-particle":"Van","parse-names":false,"suffix":""},{"dropping-particle":"","family":"Duijzer","given":"Geerke","non-dropping-particle":"","parse-names":false,"suffix":""},{"dropping-particle":"","family":"Jansen","given":"Sophia C.","non-dropping-particle":"","parse-names":false,"suffix":""},{"dropping-particle":"","family":"Beek","given":"Josien","non-dropping-particle":"Ter","parse-names":false,"suffix":""},{"dropping-particle":"","family":"Huijg","given":"Johanna M.","non-dropping-particle":"","parse-names":false,"suffix":""},{"dropping-particle":"","family":"Leerlooijer","given":"Joanne N.","non-dropping-particle":"","parse-names":false,"suffix":""},{"dropping-particle":"","family":"Hiddink","given":"Gerrit J.","non-dropping-particle":"","parse-names":false,"suffix":""},{"dropping-particle":"","family":"Feskens","given":"Edith J.M.","non-dropping-particle":"","parse-names":false,"suffix":""},{"dropping-particle":"","family":"Haveman-Nies","given":"Annemien","non-dropping-particle":"","parse-names":false,"suffix":""}],"container-title":"Public Health Nutrition","id":"ITEM-1","issue":"16","issued":{"date-parts":[["2016"]]},"page":"3027-3038","title":"Process evaluation of a randomised controlled trial of a diabetes prevention intervention in Dutch primary health care: the SLIMMER study","type":"article-journal","volume":"19"},"uris":["http://www.mendeley.com/documents/?uuid=cbc5cf3c-96b3-4339-a885-dd9d9728cafa"]}],"mendeley":{"formattedCitation":"(Van Dongen et al., 2016)","plainTextFormattedCitation":"(Van Dongen et al., 2016)","previouslyFormattedCitation":"(Van Dongen et al.,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(Van Dongen et al., 2016)</w:t>
      </w:r>
      <w:r w:rsidRPr="00103A0B">
        <w:rPr>
          <w:rFonts w:ascii="Arial" w:hAnsi="Arial" w:cs="Arial"/>
          <w:sz w:val="24"/>
          <w:szCs w:val="24"/>
        </w:rPr>
        <w:fldChar w:fldCharType="end"/>
      </w:r>
      <w:r w:rsidRPr="00103A0B">
        <w:rPr>
          <w:rFonts w:ascii="Arial" w:hAnsi="Arial" w:cs="Arial"/>
          <w:sz w:val="24"/>
          <w:szCs w:val="24"/>
        </w:rPr>
        <w:t>. However, in this study, those who had already made changes seemed to have increased motivation to attend, possibly through wanting to find out more on how to make changes, achieve their long-term goals such as weight loss, and improve health.</w:t>
      </w:r>
    </w:p>
    <w:p w14:paraId="1D86940F" w14:textId="74FA7526" w:rsidR="00E974CC" w:rsidRPr="00103A0B" w:rsidRDefault="00E974CC" w:rsidP="00CD5919">
      <w:pPr>
        <w:spacing w:line="360" w:lineRule="auto"/>
        <w:jc w:val="both"/>
        <w:rPr>
          <w:rFonts w:ascii="Arial" w:hAnsi="Arial" w:cs="Arial"/>
          <w:sz w:val="24"/>
          <w:szCs w:val="24"/>
        </w:rPr>
      </w:pPr>
      <w:bookmarkStart w:id="359" w:name="_Hlk31106248"/>
      <w:r w:rsidRPr="00103A0B">
        <w:rPr>
          <w:rFonts w:ascii="Arial" w:hAnsi="Arial" w:cs="Arial"/>
          <w:sz w:val="24"/>
          <w:szCs w:val="24"/>
        </w:rPr>
        <w:t xml:space="preserve">Having family members with T2DM can reduce confidence in preventing T2DM </w:t>
      </w:r>
      <w:r w:rsidRPr="00103A0B">
        <w:rPr>
          <w:rFonts w:ascii="Arial" w:hAnsi="Arial" w:cs="Arial"/>
          <w:sz w:val="24"/>
          <w:szCs w:val="24"/>
        </w:rPr>
        <w:fldChar w:fldCharType="begin" w:fldLock="1"/>
      </w:r>
      <w:r w:rsidR="00926B09" w:rsidRPr="00103A0B">
        <w:rPr>
          <w:rFonts w:ascii="Arial" w:hAnsi="Arial" w:cs="Arial"/>
          <w:sz w:val="24"/>
          <w:szCs w:val="24"/>
        </w:rPr>
        <w:instrText>ADDIN CSL_CITATION {"citationItems":[{"id":"ITEM-1","itemData":{"DOI":"10.1186/s12916-018-1107-6","author":[{"dropping-particle":"","family":"Barry","given":"Eleanor","non-dropping-particle":"","parse-names":false,"suffix":""},{"dropping-particle":"","family":"Greenhalgh","given":"Trisha","non-dropping-particle":"","parse-names":false,"suffix":""},{"dropping-particle":"","family":"Fahy","given":"Nicholas","non-dropping-particle":"","parse-names":false,"suffix":""}],"container-title":"BMC Medicine","id":"ITEM-1","issued":{"date-parts":[["2018"]]},"page":"121","publisher":"BMC Medicine","title":"How are health-related behaviours influenced by a diagnosis of pre-diabetes? a meta-narrative review","type":"article-journal","volume":"16"},"uris":["http://www.mendeley.com/documents/?uuid=1c07c1c0-3b9c-47d8-a0f1-a60bcff8d9cb"]}],"mendeley":{"formattedCitation":"(Barry et al., 2018)","plainTextFormattedCitation":"(Barry et al., 2018)","previouslyFormattedCitation":"(Barry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(Barry et al., 2018)</w:t>
      </w:r>
      <w:r w:rsidRPr="00103A0B">
        <w:rPr>
          <w:rFonts w:ascii="Arial" w:hAnsi="Arial" w:cs="Arial"/>
          <w:sz w:val="24"/>
          <w:szCs w:val="24"/>
        </w:rPr>
        <w:fldChar w:fldCharType="end"/>
      </w:r>
      <w:r w:rsidRPr="00103A0B">
        <w:rPr>
          <w:rFonts w:ascii="Arial" w:hAnsi="Arial" w:cs="Arial"/>
          <w:sz w:val="24"/>
          <w:szCs w:val="24"/>
        </w:rPr>
        <w:t xml:space="preserve">. Many participants discussed family, with some regarding family as a motivator and providing support. Others discussed their family as unsupportive and some made comparisons with their family members with T2DM. Research has shown individuals with prediabetes who have family history of T2DM, are more motivated to attend a DPP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{"citationItems":[{"id":"ITEM-1","itemData":{"author":[{"dropping-particle":"","family":"Laws","given":"R. A.","non-dropping-particle":"","parse-names":false,"suffix":""},{"dropping-particle":"","family":"Vita","given":"P.","non-dropping-particle":"","parse-names":false,"suffix":""},{"dropping-particle":"","family":"Venugopal","given":"K.","non-dropping-particle":"","parse-names":false,"suffix":""},{"dropping-particle":"","family":"Rissel","given":"C.","non-dropping-particle":"","parse-names":false,"suffix":""}],"container-title":"BMC Public Health","id":"ITEM-1","issued":{"date-parts":[["2012"]]},"page":"822","title":"Factors influencing participant enrolment in a diabetes prevention program in general practice: lessons from the Sydney diabetes prevention program","type":"article-journal","volume":"12"},"uris":["http://www.mendeley.com/documents/?uuid=13c7498d-639c-4e9c-aaa7-89cf6fca44f2"]}],"mendeley":{"formattedCitation":"(Laws et al., 2012)","plainTextFormattedCitation":"(Laws et al., 2012)","previouslyFormattedCitation":"(Laws et al., 2012)"},"properties":{"noteIndex":0},"schema":"https://github.com/citation-style-language/schema/raw/master/csl-citation.json"}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(Laws et al., 2012)</w:t>
      </w:r>
      <w:r w:rsidRPr="00103A0B">
        <w:rPr>
          <w:rFonts w:ascii="Arial" w:hAnsi="Arial" w:cs="Arial"/>
          <w:sz w:val="24"/>
          <w:szCs w:val="24"/>
        </w:rPr>
        <w:fldChar w:fldCharType="end"/>
      </w:r>
      <w:r w:rsidRPr="00103A0B">
        <w:rPr>
          <w:rFonts w:ascii="Arial" w:hAnsi="Arial" w:cs="Arial"/>
          <w:sz w:val="24"/>
          <w:szCs w:val="24"/>
        </w:rPr>
        <w:t xml:space="preserve">. At the IA, it would be helpful to ask questions regarding family commitments and family experience so that these can be considered when allocating suitable session times and venues, as well as signposting to appropriate support if necessary. </w:t>
      </w:r>
    </w:p>
    <w:p w14:paraId="4EEAB7AC" w14:textId="04BA2F97" w:rsidR="00E974CC" w:rsidRPr="00103A0B" w:rsidRDefault="00E974CC" w:rsidP="00CD5919">
      <w:pPr>
        <w:spacing w:line="360" w:lineRule="auto"/>
        <w:jc w:val="both"/>
        <w:rPr>
          <w:rFonts w:ascii="Arial" w:hAnsi="Arial" w:cs="Arial"/>
          <w:sz w:val="24"/>
          <w:szCs w:val="24"/>
        </w:rPr>
      </w:pPr>
      <w:r w:rsidRPr="00103A0B">
        <w:rPr>
          <w:rFonts w:ascii="Arial" w:hAnsi="Arial" w:cs="Arial"/>
          <w:sz w:val="24"/>
          <w:szCs w:val="24"/>
        </w:rPr>
        <w:t xml:space="preserve">Only attenders discussed self-perceptions, specifically their body image in terms of their own perceptions of their weight, or from others. Perhaps these negative self-perceptions and body image dissatisfaction provided motivation to start the programme to improve their body image and lose weight in line with NHSDPP core goals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hyperglycaemia","type":"report"},"uris":["http://www.mendeley.com/documents/?uuid=00fe88c7-ca9b-4ae1-8051-3f6463f5ce57"]}],"mendeley":{"formattedCitation":"(Diabetes Prevention Team, 2015)","plainTextFormattedCitation":"(Diabetes Prevention Team, 2015)","previouslyFormattedCitation":"(Diabetes Prevention Team,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w:t>
      </w:r>
      <w:r w:rsidRPr="00103A0B">
        <w:rPr>
          <w:rFonts w:ascii="Arial" w:hAnsi="Arial" w:cs="Arial"/>
          <w:sz w:val="24"/>
          <w:szCs w:val="24"/>
        </w:rPr>
        <w:fldChar w:fldCharType="end"/>
      </w:r>
      <w:r w:rsidRPr="00103A0B">
        <w:rPr>
          <w:rFonts w:ascii="Arial" w:hAnsi="Arial" w:cs="Arial"/>
          <w:sz w:val="24"/>
          <w:szCs w:val="24"/>
        </w:rPr>
        <w:t xml:space="preserve">. </w:t>
      </w:r>
    </w:p>
    <w:bookmarkEnd w:id="359"/>
    <w:p w14:paraId="1D95327B" w14:textId="6B8E7ED0" w:rsidR="00E974CC" w:rsidRPr="00103A0B" w:rsidRDefault="00E974CC" w:rsidP="00CD5919">
      <w:pPr>
        <w:spacing w:line="360" w:lineRule="auto"/>
        <w:jc w:val="both"/>
        <w:rPr>
          <w:rFonts w:ascii="Arial" w:hAnsi="Arial" w:cs="Arial"/>
          <w:sz w:val="24"/>
          <w:szCs w:val="24"/>
        </w:rPr>
      </w:pPr>
      <w:r w:rsidRPr="00103A0B">
        <w:rPr>
          <w:rFonts w:ascii="Arial" w:hAnsi="Arial" w:cs="Arial"/>
          <w:sz w:val="24"/>
          <w:szCs w:val="24"/>
        </w:rPr>
        <w:t>Issues with accessibility influenced motivation and attendance.</w:t>
      </w:r>
      <w:r w:rsidR="00E0420C" w:rsidRPr="00103A0B">
        <w:rPr>
          <w:rFonts w:ascii="Arial" w:hAnsi="Arial" w:cs="Arial"/>
          <w:sz w:val="24"/>
          <w:szCs w:val="24"/>
        </w:rPr>
        <w:t xml:space="preserve"> </w:t>
      </w:r>
      <w:r w:rsidRPr="00103A0B">
        <w:rPr>
          <w:rFonts w:ascii="Arial" w:hAnsi="Arial" w:cs="Arial"/>
          <w:sz w:val="24"/>
          <w:szCs w:val="24"/>
        </w:rPr>
        <w:t xml:space="preserve">These left participants feeling frustrated and led some to not attend, even when they were motivated. Location of the session was also identified as a barrier for both attenders and non-attenders, this may be particularly important for those living in socioeconomically </w:t>
      </w:r>
      <w:r w:rsidRPr="00103A0B">
        <w:rPr>
          <w:rFonts w:ascii="Arial" w:hAnsi="Arial" w:cs="Arial"/>
          <w:sz w:val="24"/>
          <w:szCs w:val="24"/>
        </w:rPr>
        <w:lastRenderedPageBreak/>
        <w:t xml:space="preserve">deprived areas, due to access to and cost of transport. Offering a flexible range of times and local venues, giving participants more opportunity to attend should increase accessibility. Accessibility issues could be explained partly due to the unexpectedly large number of referrals received for the NHSDPP. In 2016-18 referrals were 16% higher nationally than expected and consequently there was a higher than expected uptake </w:t>
      </w:r>
      <w:r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Medicine","id":"ITEM-1","issued":{"date-parts":[["2018"]]},"page":"513-518","title":"Progress of the healthier you: NHS diabetes prevention programme: referrals, uptake and participant characteristics","type":"article-journal","volume":"35"},"uris":["http://www.mendeley.com/documents/?uuid=1f5d47f1-f2c9-41a7-af24-e63deeae9374"]},{"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programme","type":"article-journal","volume":"43"},"uris":["http://www.mendeley.com/documents/?uuid=32a7a44a-df0b-4cde-9269-536e48e08190"]}],"mendeley":{"formattedCitation":"(Barron et al., 2018; Valabhji et al., 2020)","plainTextFormattedCitation":"(Barron et al., 2018; Valabhji et al., 2020)","previouslyFormattedCitation":"(Barron et al., 2018; 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(Barron et al., 2018; Valabhji et al., 2020)</w:t>
      </w:r>
      <w:r w:rsidRPr="00103A0B">
        <w:rPr>
          <w:rFonts w:ascii="Arial" w:hAnsi="Arial" w:cs="Arial"/>
          <w:sz w:val="24"/>
          <w:szCs w:val="24"/>
        </w:rPr>
        <w:fldChar w:fldCharType="end"/>
      </w:r>
      <w:r w:rsidRPr="00103A0B">
        <w:rPr>
          <w:rFonts w:ascii="Arial" w:hAnsi="Arial" w:cs="Arial"/>
          <w:sz w:val="24"/>
          <w:szCs w:val="24"/>
        </w:rPr>
        <w:t>.</w:t>
      </w:r>
      <w:r w:rsidRPr="00103A0B">
        <w:rPr>
          <w:rFonts w:ascii="Arial" w:eastAsia="Times New Roman" w:hAnsi="Arial" w:cs="Arial"/>
          <w:sz w:val="24"/>
          <w:szCs w:val="24"/>
          <w:lang w:eastAsia="en-GB"/>
        </w:rPr>
        <w:t xml:space="preserve"> Recently as part of England government’s COVID-19 response, attempts have been made to increase uptake to the NHSDPP by enabling self-referral to the programme </w:t>
      </w:r>
      <w:r w:rsidRPr="00103A0B">
        <w:rPr>
          <w:rFonts w:ascii="Arial" w:eastAsia="Times New Roman" w:hAnsi="Arial" w:cs="Arial"/>
          <w:sz w:val="24"/>
          <w:szCs w:val="24"/>
          <w:lang w:eastAsia="en-GB"/>
        </w:rPr>
        <w:fldChar w:fldCharType="begin" w:fldLock="1"/>
      </w:r>
      <w:r w:rsidR="00062570" w:rsidRPr="00103A0B">
        <w:rPr>
          <w:rFonts w:ascii="Arial" w:eastAsia="Times New Roman" w:hAnsi="Arial" w:cs="Arial"/>
          <w:sz w:val="24"/>
          <w:szCs w:val="24"/>
          <w:lang w:eastAsia="en-GB"/>
        </w:rPr>
        <w:instrText>ADDIN CSL_CITATION {"citationItems":[{"id":"ITEM-1","itemData":{"URL":"https://www.england.nhs.uk/2020/07/fast-online-access-to-world-leading-nhs-weight-loss-advice/","accessed":{"date-parts":[["2020","6","26"]]},"author":[{"dropping-particle":"","family":"NHS England","given":"","non-dropping-particle":"","parse-names":false,"suffix":""}],"id":"ITEM-1","issued":{"date-parts":[["2020"]]},"title":"Fast online access to world leading NHS weight loss advice","type":"webpage"},"uris":["http://www.mendeley.com/documents/?uuid=f1c25c25-bb89-4ee2-b2eb-8df1897bb933"]}],"mendeley":{"formattedCitation":"(NHS England, 2020a)","plainTextFormattedCitation":"(NHS England, 2020a)","previouslyFormattedCitation":"(NHS England, 2020a)"},"properties":{"noteIndex":0},"schema":"https://github.com/citation-style-language/schema/raw/master/csl-citation.json"}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643C08" w:rsidRPr="00103A0B">
        <w:rPr>
          <w:rFonts w:ascii="Arial" w:eastAsia="Times New Roman" w:hAnsi="Arial" w:cs="Arial"/>
          <w:noProof/>
          <w:sz w:val="24"/>
          <w:szCs w:val="24"/>
          <w:lang w:eastAsia="en-GB"/>
        </w:rPr>
        <w:t>(NHS England, 2020a)</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which could also lead to increased levels of uptake. To prevent the service being overwhelmed, </w:t>
      </w:r>
      <w:r w:rsidRPr="00103A0B">
        <w:rPr>
          <w:rFonts w:ascii="Arial" w:hAnsi="Arial" w:cs="Arial"/>
          <w:sz w:val="24"/>
          <w:szCs w:val="24"/>
        </w:rPr>
        <w:t xml:space="preserve">the LP must ensure that they have the capacity to book participants onto the programme efficiently, with good communication to participants. It is noteworthy that this study only interviewed participants and not staff. It would be helpful to interview staff to hear about their experiences </w:t>
      </w:r>
      <w:proofErr w:type="gramStart"/>
      <w:r w:rsidRPr="00103A0B">
        <w:rPr>
          <w:rFonts w:ascii="Arial" w:hAnsi="Arial" w:cs="Arial"/>
          <w:sz w:val="24"/>
          <w:szCs w:val="24"/>
        </w:rPr>
        <w:t>in order to</w:t>
      </w:r>
      <w:proofErr w:type="gramEnd"/>
      <w:r w:rsidRPr="00103A0B">
        <w:rPr>
          <w:rFonts w:ascii="Arial" w:hAnsi="Arial" w:cs="Arial"/>
          <w:sz w:val="24"/>
          <w:szCs w:val="24"/>
        </w:rPr>
        <w:t xml:space="preserve"> find out what challenges were faced from the healthcare professional perspective. </w:t>
      </w:r>
    </w:p>
    <w:p w14:paraId="7FBE48DC" w14:textId="685AF5FE" w:rsidR="00E974CC" w:rsidRPr="00103A0B" w:rsidRDefault="00E974CC" w:rsidP="00CD5919">
      <w:pPr>
        <w:spacing w:line="360" w:lineRule="auto"/>
        <w:jc w:val="both"/>
        <w:rPr>
          <w:rFonts w:ascii="Arial" w:hAnsi="Arial" w:cs="Arial"/>
          <w:sz w:val="24"/>
          <w:szCs w:val="24"/>
        </w:rPr>
      </w:pPr>
      <w:r w:rsidRPr="00103A0B">
        <w:rPr>
          <w:rFonts w:ascii="Arial" w:hAnsi="Arial" w:cs="Arial"/>
          <w:sz w:val="24"/>
          <w:szCs w:val="24"/>
        </w:rPr>
        <w:t xml:space="preserve">The referring healthcare professionals and how participants access the programme can affect motivation to attend. Those who stated that they had received GP recommendations were more likely to attend. This demonstrates the crucial role of GPs who are involved in first informing individuals of their prediabetes. Collaborative working between community and clinical services is needed to ensure programmes like the NHSDPP are effectively implemented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DOI":"https://doi.org/10.1186/s12913-019-4139-5","ISBN":"1291301941","author":[{"dropping-particle":"","family":"Knowles","given":"Sarah","non-dropping-particle":"","parse-names":false,"suffix":""},{"dropping-particle":"","family":"Cotterill","given":"Sarah","non-dropping-particle":"","parse-names":false,"suffix":""},{"dropping-particle":"","family":"Coupe","given":"Nia","non-dropping-particle":"","parse-names":false,"suffix":""},{"dropping-particle":"","family":"Spence","given":"Michael","non-dropping-particle":"","parse-names":false,"suffix":""}],"container-title":"BMC Health Services Research","id":"ITEM-1","issued":{"date-parts":[["2019"]]},"page":"321","publisher":"BMC Health Services Research","title":"Referral of patients to diabetes prevention programmes from community campaigns and general practices: mixed-method evaluation using the RE-AIM framework and Normalisation Process Theory","type":"article-journal","volume":"19"},"uris":["http://www.mendeley.com/documents/?uuid=662ecaea-3434-4d74-a06c-406eca0fd5e6"]}],"mendeley":{"formattedCitation":"(Knowles et al., 2019)","plainTextFormattedCitation":"(Knowles et al., 2019)","previouslyFormattedCitation":"(Knowles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(Knowles et al., 2019)</w:t>
      </w:r>
      <w:r w:rsidRPr="00103A0B">
        <w:rPr>
          <w:rFonts w:ascii="Arial" w:hAnsi="Arial" w:cs="Arial"/>
          <w:sz w:val="24"/>
          <w:szCs w:val="24"/>
        </w:rPr>
        <w:fldChar w:fldCharType="end"/>
      </w:r>
      <w:r w:rsidRPr="00103A0B">
        <w:rPr>
          <w:rFonts w:ascii="Arial" w:hAnsi="Arial" w:cs="Arial"/>
          <w:sz w:val="24"/>
          <w:szCs w:val="24"/>
        </w:rPr>
        <w:t xml:space="preserve">. </w:t>
      </w:r>
    </w:p>
    <w:p w14:paraId="41FE1842" w14:textId="2014BF8D" w:rsidR="00E974CC" w:rsidRPr="00103A0B" w:rsidRDefault="00E974CC"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 xml:space="preserve">One of the strengths of this study is collection of data from a high number of non-attenders, who are usually difficult to recruit </w:t>
      </w:r>
      <w:r w:rsidRPr="00103A0B">
        <w:rPr>
          <w:rFonts w:ascii="Arial" w:hAnsi="Arial" w:cs="Arial"/>
          <w:sz w:val="24"/>
          <w:szCs w:val="24"/>
        </w:rPr>
        <w:fldChar w:fldCharType="begin" w:fldLock="1"/>
      </w:r>
      <w:r w:rsidR="00643C08" w:rsidRPr="00103A0B">
        <w:rPr>
          <w:rFonts w:ascii="Arial" w:hAnsi="Arial" w:cs="Arial"/>
          <w:sz w:val="24"/>
          <w:szCs w:val="24"/>
        </w:rPr>
        <w:instrText>ADDIN CSL_CITATION {"citationItems":[{"id":"ITEM-1","itemData":{"ISSN":"14726963","PMID":"32293424","abstract":"Background: The National Health Service diabetes prevention programme in England, (NHS DPP) aims to identify people at high risk of type 2 diabetes (T2D) and offer them a face-to-face, group-based, behaviour change intervention for at least 9 months. The NHS DPP was rolled out in phases. We aimed to elicit stakeholders' perceptions and experiences of the factors influencing implementation of, and participation in, the programme during the development phase. Methods: Individual, semi-structured telephone interviews were conducted with 50 purposively sampled stakeholders: Service users (n = 20); programme commissioners (n = 7); referrers (n = 8); and intervention deliverers (n = 15). Topic guides were structured using a pragmatic, theory-informed approach. Analysis employed the framework method. Results: We identified factors that influenced participation: Risk communication at referral-stakeholders identified point of referral as a window of opportunity to offer brief advice, to provide an understanding of T2D risk and information about the programme; Perceived impact of the NHS DPP-service users highlighted the positive perceived impact on their behaviour change, the peer support provided by participating in the programme, the option to involve a relative, and the 'knock on' effect on others. Service users also voiced disappointment when blood test results still identified them at high risk after the programme; and Behavioural maintenance-participants highlighted the challenges linked to behavioural maintenance (e.g. discontinuation of active support). Factors influencing implementations were also identified: Case finding-stakeholders suggested that using community involvement to identify service users could increase reach and ensure that the workload was not solely on GP practices; Adaptability: Intervention deliverers acknowledged the need to tailor advice to service users' preferences and needs; Accountability-the need to acknowledge who was responsible for what at different stages of the NHS DPP pathway; and Fidelity-stakeholders described procedures involved in monitoring service users' satisfaction, outcome data collection and quality assurance assessments. Conclusions: The NHS DPP offers an evidence-informed behavioural intervention for T2D prevention. Better risk communication specification could ensure consistency at the referral stage and improve participation in the NHS DPP intervention. Cultural adaptations and outreach strategies could ensu…","author":[{"dropping-particle":"","family":"Rodrigues","given":"Angela M.","non-dropping-particle":"","parse-names":false,"suffix":""},{"dropping-particle":"","family":"Haste","given":"Anna","non-dropping-particle":"","parse-names":false,"suffix":""},{"dropping-particle":"","family":"Penn","given":"Linda","non-dropping-particle":"","parse-names":false,"suffix":""},{"dropping-particle":"","family":"Bell","given":"Ruth","non-dropping-particle":"","parse-names":false,"suffix":""},{"dropping-particle":"","family":"Summerbell","given":"Carolyn","non-dropping-particle":"","parse-names":false,"suffix":""},{"dropping-particle":"","family":"White","given":"Martin","non-dropping-particle":"","parse-names":false,"suffix":""},{"dropping-particle":"","family":"Adamson","given":"Ashley J.","non-dropping-particle":"","parse-names":false,"suffix":""},{"dropping-particle":"","family":"Sniehotta","given":"Falko F.","non-dropping-particle":"","parse-names":false,"suffix":""}],"container-title":"BMC Health Services Research","id":"ITEM-1","issued":{"date-parts":[["2020"]]},"page":"307","publisher":"BMC Health Services Research","title":"Stakeholders' perceptions and experiences of the National Health Service diabetes prevention programme in England: qualitative study with service users, intervention providers and deliverers, commissioners and referrers","type":"article-journal","volume":"20"},"uris":["http://www.mendeley.com/documents/?uuid=f72c730c-7abc-4ecd-b17f-09aa8f2ad088"]},{"id":"ITEM-2","itemData":{"ISBN":"1549-1277","ISSN":"15491676","PMID":"27404094","abstract":"BACKGROUND: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Medicine","id":"ITEM-2","issue":"7","issued":{"date-parts":[["2016"]]},"page":"e1002078","title":"Engagement, retention, and progression to type 2 diabetes: a retrospective analysis of the cluster-randomised \"Let's Prevent Diabetes\" trial","type":"article-journal","volume":"13"},"uris":["http://www.mendeley.com/documents/?uuid=34e3af29-349e-4120-a3cb-a3a7408ba3b4"]}],"mendeley":{"formattedCitation":"(Gray et al., 2016; Rodrigues et al., 2020)","plainTextFormattedCitation":"(Gray et al., 2016; Rodrigues et al., 2020)","previouslyFormattedCitation":"(Gray et al., 2016; Rodrigues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(Gray et al., 2016; Rodrigues et al., 2020)</w:t>
      </w:r>
      <w:r w:rsidRPr="00103A0B">
        <w:rPr>
          <w:rFonts w:ascii="Arial" w:hAnsi="Arial" w:cs="Arial"/>
          <w:sz w:val="24"/>
          <w:szCs w:val="24"/>
        </w:rPr>
        <w:fldChar w:fldCharType="end"/>
      </w:r>
      <w:r w:rsidRPr="00103A0B">
        <w:rPr>
          <w:rFonts w:ascii="Arial" w:hAnsi="Arial" w:cs="Arial"/>
          <w:sz w:val="24"/>
          <w:szCs w:val="24"/>
        </w:rPr>
        <w:t xml:space="preserve">. We also recruited a sample including individuals from ethnically diverse backgrounds and from socioeconomically deprived areas, and both of these factors (ethnicity and deprivation) are known risk factors for T2DM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DOI":"10.1016/j.pcd.2010.08.002","ISSN":"1751-9918","author":[{"dropping-particle":"","family":"Gholap","given":"Nitin","non-dropping-particle":"","parse-names":false,"suffix":""},{"dropping-particle":"","family":"Davies","given":"Melanie","non-dropping-particle":"","parse-names":false,"suffix":""},{"dropping-particle":"","family":"Patel","given":"Kiran","non-dropping-particle":"","parse-names":false,"suffix":""},{"dropping-particle":"","family":"Sattar","given":"Naveed","non-dropping-particle":"","parse-names":false,"suffix":""},{"dropping-particle":"","family":"Khunti","given":"Kamlesh","non-dropping-particle":"","parse-names":false,"suffix":""}],"container-title":"Primary Care Diabetes","id":"ITEM-1","issued":{"date-parts":[["2011"]]},"page":"45-56","publisher":"Primary Care Diabetes Europe","title":"Type 2 diabetes and cardiovascular disease in South Asians","type":"article-journal","volume":"5"},"uris":["http://www.mendeley.com/documents/?uuid=9d8ffa18-1c88-49ef-8e29-4ace97571aca"]},{"id":"ITEM-2","itemData":{"author":[{"dropping-particle":"","family":"Mainous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Open","id":"ITEM-2","issued":{"date-parts":[["2014"]]},"page":"e005002","title":"Prevalence of prediabetes in England from 2003 to 2011: population-based, cross-sectional study","type":"article-journal","volume":"4"},"uris":["http://www.mendeley.com/documents/?uuid=3d8c06b2-c467-4cfa-b523-36fc0982e568"]}],"mendeley":{"formattedCitation":"(Gholap et al., 2011; Mainous III et al., 2014)","plainTextFormattedCitation":"(Gholap et al., 2011; Mainous III et al., 2014)","previouslyFormattedCitation":"(Gholap et al., 2011; Mainous III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(Gholap et al., 2011; Mainous III et al., 2014)</w:t>
      </w:r>
      <w:r w:rsidRPr="00103A0B">
        <w:rPr>
          <w:rFonts w:ascii="Arial" w:hAnsi="Arial" w:cs="Arial"/>
          <w:sz w:val="24"/>
          <w:szCs w:val="24"/>
        </w:rPr>
        <w:fldChar w:fldCharType="end"/>
      </w:r>
      <w:r w:rsidRPr="00103A0B">
        <w:rPr>
          <w:rFonts w:ascii="Arial" w:hAnsi="Arial" w:cs="Arial"/>
          <w:sz w:val="24"/>
          <w:szCs w:val="24"/>
        </w:rPr>
        <w:t xml:space="preserve">. Consequently, limitations in English speaking were a drawback in some cases. However, the researcher piloted the interview schedule beforehand with a sub-group of participants, to ensure that questions were easily understood.  </w:t>
      </w:r>
    </w:p>
    <w:p w14:paraId="3FB4CDB3" w14:textId="4E9D756C" w:rsidR="00BF46B6" w:rsidRPr="00103A0B" w:rsidRDefault="00E974CC" w:rsidP="00CD5919">
      <w:pPr>
        <w:spacing w:line="360" w:lineRule="auto"/>
        <w:jc w:val="both"/>
        <w:rPr>
          <w:rFonts w:ascii="Arial" w:hAnsi="Arial" w:cs="Arial"/>
          <w:sz w:val="24"/>
          <w:szCs w:val="24"/>
        </w:rPr>
      </w:pPr>
      <w:r w:rsidRPr="00103A0B">
        <w:rPr>
          <w:rFonts w:ascii="Arial" w:hAnsi="Arial" w:cs="Arial"/>
          <w:sz w:val="24"/>
          <w:szCs w:val="24"/>
        </w:rPr>
        <w:t xml:space="preserve">Overall, this study provides an important insight into the views and experiences of NHSDPP attenders and non-attenders from ethnically diverse backgrounds in a socio-economically deprived area. Motivation, and accessibility and practicalities influenced participants’ decisions to attend, and motivation was influenced by a range of different </w:t>
      </w:r>
      <w:r w:rsidRPr="00103A0B">
        <w:rPr>
          <w:rFonts w:ascii="Arial" w:hAnsi="Arial" w:cs="Arial"/>
          <w:sz w:val="24"/>
          <w:szCs w:val="24"/>
        </w:rPr>
        <w:lastRenderedPageBreak/>
        <w:t xml:space="preserve">factors. Programme organisers and healthcare professionals should consider these factors when recruiting participants onto diabetes prevention programmes </w:t>
      </w:r>
      <w:proofErr w:type="gramStart"/>
      <w:r w:rsidRPr="00103A0B">
        <w:rPr>
          <w:rFonts w:ascii="Arial" w:hAnsi="Arial" w:cs="Arial"/>
          <w:sz w:val="24"/>
          <w:szCs w:val="24"/>
        </w:rPr>
        <w:t>in order to</w:t>
      </w:r>
      <w:proofErr w:type="gramEnd"/>
      <w:r w:rsidRPr="00103A0B">
        <w:rPr>
          <w:rFonts w:ascii="Arial" w:hAnsi="Arial" w:cs="Arial"/>
          <w:sz w:val="24"/>
          <w:szCs w:val="24"/>
        </w:rPr>
        <w:t xml:space="preserve"> ensure attendance at these programmes are maximised, and strategies implemented to minimise non-attendance, so that diabetes prevention programmes are both clinically effective and financially viable. Further in-depth exploration of the reasons why participants go on to complete or not complete the NHSDPP would be beneficial. This study also highlights the important role of the GP initial communication, as well as the IA, where healthcare staff </w:t>
      </w:r>
      <w:proofErr w:type="gramStart"/>
      <w:r w:rsidRPr="00103A0B">
        <w:rPr>
          <w:rFonts w:ascii="Arial" w:hAnsi="Arial" w:cs="Arial"/>
          <w:sz w:val="24"/>
          <w:szCs w:val="24"/>
        </w:rPr>
        <w:t>are able to</w:t>
      </w:r>
      <w:proofErr w:type="gramEnd"/>
      <w:r w:rsidRPr="00103A0B">
        <w:rPr>
          <w:rFonts w:ascii="Arial" w:hAnsi="Arial" w:cs="Arial"/>
          <w:sz w:val="24"/>
          <w:szCs w:val="24"/>
        </w:rPr>
        <w:t xml:space="preserve"> communicate diabetes risk and programme content to participants </w:t>
      </w:r>
      <w:r w:rsidRPr="00103A0B">
        <w:rPr>
          <w:rFonts w:ascii="Arial" w:hAnsi="Arial" w:cs="Arial"/>
          <w:i/>
          <w:iCs/>
          <w:sz w:val="24"/>
          <w:szCs w:val="24"/>
        </w:rPr>
        <w:t xml:space="preserve">before </w:t>
      </w:r>
      <w:r w:rsidRPr="00103A0B">
        <w:rPr>
          <w:rFonts w:ascii="Arial" w:hAnsi="Arial" w:cs="Arial"/>
          <w:sz w:val="24"/>
          <w:szCs w:val="24"/>
        </w:rPr>
        <w:t>they enrol on the programme.</w:t>
      </w:r>
      <w:bookmarkEnd w:id="341"/>
      <w:r w:rsidRPr="00103A0B">
        <w:rPr>
          <w:rFonts w:ascii="Arial" w:hAnsi="Arial" w:cs="Arial"/>
          <w:sz w:val="24"/>
          <w:szCs w:val="24"/>
        </w:rPr>
        <w:t xml:space="preserve"> </w:t>
      </w:r>
    </w:p>
    <w:p w14:paraId="0D1087D4" w14:textId="164417A2" w:rsidR="009E7B4C" w:rsidRPr="00103A0B" w:rsidRDefault="009E7B4C" w:rsidP="00CD5919">
      <w:pPr>
        <w:spacing w:line="360" w:lineRule="auto"/>
        <w:jc w:val="both"/>
        <w:rPr>
          <w:rFonts w:ascii="Arial" w:hAnsi="Arial" w:cs="Arial"/>
          <w:sz w:val="24"/>
          <w:szCs w:val="24"/>
        </w:rPr>
      </w:pPr>
    </w:p>
    <w:bookmarkEnd w:id="316"/>
    <w:p w14:paraId="00CB29D5" w14:textId="77777777" w:rsidR="009E7B4C" w:rsidRPr="00103A0B" w:rsidRDefault="009E7B4C" w:rsidP="00CD5919">
      <w:pPr>
        <w:tabs>
          <w:tab w:val="left" w:pos="5580"/>
        </w:tabs>
        <w:spacing w:line="360" w:lineRule="auto"/>
        <w:jc w:val="both"/>
        <w:rPr>
          <w:rFonts w:ascii="Arial" w:hAnsi="Arial" w:cs="Arial"/>
          <w:b/>
          <w:bCs/>
          <w:szCs w:val="24"/>
        </w:rPr>
      </w:pPr>
    </w:p>
    <w:p w14:paraId="6CA7DC8F" w14:textId="77777777" w:rsidR="009E7B4C" w:rsidRPr="00103A0B" w:rsidRDefault="009E7B4C" w:rsidP="00CD5919">
      <w:pPr>
        <w:spacing w:line="360" w:lineRule="auto"/>
        <w:jc w:val="both"/>
        <w:rPr>
          <w:rFonts w:ascii="Arial" w:hAnsi="Arial" w:cs="Arial"/>
          <w:szCs w:val="24"/>
        </w:rPr>
      </w:pPr>
    </w:p>
    <w:p w14:paraId="5C7829FE" w14:textId="77777777" w:rsidR="00BB4E63" w:rsidRPr="00103A0B" w:rsidRDefault="00BB4E63" w:rsidP="00CD5919">
      <w:pPr>
        <w:spacing w:line="360" w:lineRule="auto"/>
        <w:jc w:val="both"/>
        <w:rPr>
          <w:rFonts w:ascii="Arial" w:hAnsi="Arial" w:cs="Arial"/>
          <w:szCs w:val="24"/>
        </w:rPr>
      </w:pPr>
    </w:p>
    <w:p w14:paraId="182650B7" w14:textId="3069061B" w:rsidR="00B54E11" w:rsidRPr="00103A0B" w:rsidRDefault="00B54E11" w:rsidP="00CD5919">
      <w:pPr>
        <w:spacing w:line="360" w:lineRule="auto"/>
        <w:jc w:val="both"/>
        <w:rPr>
          <w:rFonts w:ascii="Arial" w:hAnsi="Arial" w:cs="Arial"/>
          <w:lang w:bidi="en-US"/>
        </w:rPr>
      </w:pPr>
    </w:p>
    <w:p w14:paraId="481BF873" w14:textId="741727EB" w:rsidR="005455C5" w:rsidRPr="00103A0B" w:rsidRDefault="005455C5" w:rsidP="00CD5919">
      <w:pPr>
        <w:spacing w:line="360" w:lineRule="auto"/>
        <w:jc w:val="both"/>
        <w:rPr>
          <w:rFonts w:ascii="Arial" w:hAnsi="Arial" w:cs="Arial"/>
          <w:lang w:bidi="en-US"/>
        </w:rPr>
      </w:pPr>
    </w:p>
    <w:p w14:paraId="376361E6" w14:textId="7AAF9462" w:rsidR="005455C5" w:rsidRPr="00103A0B" w:rsidRDefault="005455C5" w:rsidP="00CD5919">
      <w:pPr>
        <w:spacing w:line="360" w:lineRule="auto"/>
        <w:jc w:val="both"/>
        <w:rPr>
          <w:rFonts w:ascii="Arial" w:hAnsi="Arial" w:cs="Arial"/>
          <w:lang w:bidi="en-US"/>
        </w:rPr>
      </w:pPr>
    </w:p>
    <w:p w14:paraId="3CDC8005" w14:textId="72280293" w:rsidR="005455C5" w:rsidRPr="00103A0B" w:rsidRDefault="005455C5" w:rsidP="00CD5919">
      <w:pPr>
        <w:spacing w:line="360" w:lineRule="auto"/>
        <w:jc w:val="both"/>
        <w:rPr>
          <w:rFonts w:ascii="Arial" w:hAnsi="Arial" w:cs="Arial"/>
          <w:lang w:bidi="en-US"/>
        </w:rPr>
      </w:pPr>
    </w:p>
    <w:p w14:paraId="03F7BB8A" w14:textId="51E2539B" w:rsidR="005455C5" w:rsidRPr="00103A0B" w:rsidRDefault="005455C5" w:rsidP="00CD5919">
      <w:pPr>
        <w:spacing w:line="360" w:lineRule="auto"/>
        <w:jc w:val="both"/>
        <w:rPr>
          <w:rFonts w:ascii="Arial" w:hAnsi="Arial" w:cs="Arial"/>
          <w:lang w:bidi="en-US"/>
        </w:rPr>
      </w:pPr>
    </w:p>
    <w:p w14:paraId="72AE3D2B" w14:textId="216D8EFD" w:rsidR="005455C5" w:rsidRPr="00103A0B" w:rsidRDefault="005455C5" w:rsidP="00CD5919">
      <w:pPr>
        <w:spacing w:line="360" w:lineRule="auto"/>
        <w:jc w:val="both"/>
        <w:rPr>
          <w:rFonts w:ascii="Arial" w:hAnsi="Arial" w:cs="Arial"/>
          <w:lang w:bidi="en-US"/>
        </w:rPr>
      </w:pPr>
    </w:p>
    <w:p w14:paraId="031336D6" w14:textId="132B68B1" w:rsidR="005455C5" w:rsidRPr="00103A0B" w:rsidRDefault="005455C5" w:rsidP="00CD5919">
      <w:pPr>
        <w:spacing w:line="360" w:lineRule="auto"/>
        <w:jc w:val="both"/>
        <w:rPr>
          <w:rFonts w:ascii="Arial" w:hAnsi="Arial" w:cs="Arial"/>
          <w:lang w:bidi="en-US"/>
        </w:rPr>
      </w:pPr>
    </w:p>
    <w:p w14:paraId="035C0395" w14:textId="7C0214DC" w:rsidR="005455C5" w:rsidRPr="00103A0B" w:rsidRDefault="005455C5" w:rsidP="00CD5919">
      <w:pPr>
        <w:spacing w:line="360" w:lineRule="auto"/>
        <w:jc w:val="both"/>
        <w:rPr>
          <w:rFonts w:ascii="Arial" w:hAnsi="Arial" w:cs="Arial"/>
          <w:lang w:bidi="en-US"/>
        </w:rPr>
      </w:pPr>
    </w:p>
    <w:p w14:paraId="0A148C00" w14:textId="77777777" w:rsidR="009B59A9" w:rsidRPr="00103A0B" w:rsidRDefault="009B59A9">
      <w:pPr>
        <w:rPr>
          <w:rFonts w:ascii="Arial" w:eastAsiaTheme="minorEastAsia" w:hAnsi="Arial" w:cs="Arial"/>
          <w:b/>
          <w:sz w:val="32"/>
          <w:szCs w:val="32"/>
          <w:lang w:bidi="en-US"/>
        </w:rPr>
      </w:pPr>
      <w:bookmarkStart w:id="360" w:name="_Hlk71119113"/>
      <w:bookmarkStart w:id="361" w:name="_Hlk25078030"/>
      <w:r w:rsidRPr="00103A0B">
        <w:rPr>
          <w:rFonts w:ascii="Arial" w:hAnsi="Arial" w:cs="Arial"/>
        </w:rPr>
        <w:br w:type="page"/>
      </w:r>
    </w:p>
    <w:p w14:paraId="00FEE241" w14:textId="03DE8157" w:rsidR="00A54CAE" w:rsidRPr="00103A0B" w:rsidRDefault="00A54CAE" w:rsidP="00E0420C">
      <w:pPr>
        <w:pStyle w:val="Heading1"/>
        <w:keepLines/>
        <w:numPr>
          <w:ilvl w:val="0"/>
          <w:numId w:val="0"/>
        </w:numPr>
        <w:rPr>
          <w:rFonts w:ascii="Arial" w:hAnsi="Arial" w:cs="Arial"/>
        </w:rPr>
      </w:pPr>
      <w:bookmarkStart w:id="362" w:name="_Toc151548324"/>
      <w:r w:rsidRPr="00103A0B">
        <w:rPr>
          <w:rFonts w:ascii="Arial" w:hAnsi="Arial" w:cs="Arial"/>
        </w:rPr>
        <w:lastRenderedPageBreak/>
        <w:t xml:space="preserve">Chapter 6: “It’s a </w:t>
      </w:r>
      <w:r w:rsidR="004A153A" w:rsidRPr="00103A0B">
        <w:rPr>
          <w:rFonts w:ascii="Arial" w:hAnsi="Arial" w:cs="Arial"/>
        </w:rPr>
        <w:t>B</w:t>
      </w:r>
      <w:r w:rsidRPr="00103A0B">
        <w:rPr>
          <w:rFonts w:ascii="Arial" w:hAnsi="Arial" w:cs="Arial"/>
        </w:rPr>
        <w:t xml:space="preserve">ad </w:t>
      </w:r>
      <w:r w:rsidR="004A153A" w:rsidRPr="00103A0B">
        <w:rPr>
          <w:rFonts w:ascii="Arial" w:hAnsi="Arial" w:cs="Arial"/>
        </w:rPr>
        <w:t>S</w:t>
      </w:r>
      <w:r w:rsidRPr="00103A0B">
        <w:rPr>
          <w:rFonts w:ascii="Arial" w:hAnsi="Arial" w:cs="Arial"/>
        </w:rPr>
        <w:t xml:space="preserve">ickness”: A </w:t>
      </w:r>
      <w:r w:rsidR="004A153A" w:rsidRPr="00103A0B">
        <w:rPr>
          <w:rFonts w:ascii="Arial" w:hAnsi="Arial" w:cs="Arial"/>
        </w:rPr>
        <w:t>Q</w:t>
      </w:r>
      <w:r w:rsidRPr="00103A0B">
        <w:rPr>
          <w:rFonts w:ascii="Arial" w:hAnsi="Arial" w:cs="Arial"/>
        </w:rPr>
        <w:t xml:space="preserve">ualitative </w:t>
      </w:r>
      <w:r w:rsidR="004A153A" w:rsidRPr="00103A0B">
        <w:rPr>
          <w:rFonts w:ascii="Arial" w:hAnsi="Arial" w:cs="Arial"/>
        </w:rPr>
        <w:t>S</w:t>
      </w:r>
      <w:r w:rsidRPr="00103A0B">
        <w:rPr>
          <w:rFonts w:ascii="Arial" w:hAnsi="Arial" w:cs="Arial"/>
        </w:rPr>
        <w:t xml:space="preserve">tudy of </w:t>
      </w:r>
      <w:r w:rsidR="004A153A" w:rsidRPr="00103A0B">
        <w:rPr>
          <w:rFonts w:ascii="Arial" w:hAnsi="Arial" w:cs="Arial"/>
        </w:rPr>
        <w:t>C</w:t>
      </w:r>
      <w:r w:rsidRPr="00103A0B">
        <w:rPr>
          <w:rFonts w:ascii="Arial" w:hAnsi="Arial" w:cs="Arial"/>
        </w:rPr>
        <w:t xml:space="preserve">ompleters’ and </w:t>
      </w:r>
      <w:r w:rsidR="004A153A" w:rsidRPr="00103A0B">
        <w:rPr>
          <w:rFonts w:ascii="Arial" w:hAnsi="Arial" w:cs="Arial"/>
        </w:rPr>
        <w:t>N</w:t>
      </w:r>
      <w:r w:rsidRPr="00103A0B">
        <w:rPr>
          <w:rFonts w:ascii="Arial" w:hAnsi="Arial" w:cs="Arial"/>
        </w:rPr>
        <w:t>on-</w:t>
      </w:r>
      <w:r w:rsidR="004A153A" w:rsidRPr="00103A0B">
        <w:rPr>
          <w:rFonts w:ascii="Arial" w:hAnsi="Arial" w:cs="Arial"/>
        </w:rPr>
        <w:t>C</w:t>
      </w:r>
      <w:r w:rsidRPr="00103A0B">
        <w:rPr>
          <w:rFonts w:ascii="Arial" w:hAnsi="Arial" w:cs="Arial"/>
        </w:rPr>
        <w:t xml:space="preserve">ompleters’ </w:t>
      </w:r>
      <w:r w:rsidR="004A153A" w:rsidRPr="00103A0B">
        <w:rPr>
          <w:rFonts w:ascii="Arial" w:hAnsi="Arial" w:cs="Arial"/>
        </w:rPr>
        <w:t>E</w:t>
      </w:r>
      <w:r w:rsidRPr="00103A0B">
        <w:rPr>
          <w:rFonts w:ascii="Arial" w:hAnsi="Arial" w:cs="Arial"/>
        </w:rPr>
        <w:t xml:space="preserve">xperiences of a </w:t>
      </w:r>
      <w:r w:rsidR="004A153A" w:rsidRPr="00103A0B">
        <w:rPr>
          <w:rFonts w:ascii="Arial" w:hAnsi="Arial" w:cs="Arial"/>
        </w:rPr>
        <w:t>D</w:t>
      </w:r>
      <w:r w:rsidRPr="00103A0B">
        <w:rPr>
          <w:rFonts w:ascii="Arial" w:hAnsi="Arial" w:cs="Arial"/>
        </w:rPr>
        <w:t xml:space="preserve">iabetes </w:t>
      </w:r>
      <w:r w:rsidR="004A153A" w:rsidRPr="00103A0B">
        <w:rPr>
          <w:rFonts w:ascii="Arial" w:hAnsi="Arial" w:cs="Arial"/>
        </w:rPr>
        <w:t>P</w:t>
      </w:r>
      <w:r w:rsidRPr="00103A0B">
        <w:rPr>
          <w:rFonts w:ascii="Arial" w:hAnsi="Arial" w:cs="Arial"/>
        </w:rPr>
        <w:t xml:space="preserve">revention </w:t>
      </w:r>
      <w:r w:rsidR="004A153A" w:rsidRPr="00103A0B">
        <w:rPr>
          <w:rFonts w:ascii="Arial" w:hAnsi="Arial" w:cs="Arial"/>
        </w:rPr>
        <w:t>P</w:t>
      </w:r>
      <w:r w:rsidRPr="00103A0B">
        <w:rPr>
          <w:rFonts w:ascii="Arial" w:hAnsi="Arial" w:cs="Arial"/>
        </w:rPr>
        <w:t>rogramme in England</w:t>
      </w:r>
      <w:bookmarkEnd w:id="360"/>
      <w:bookmarkEnd w:id="362"/>
    </w:p>
    <w:p w14:paraId="4D3A888A" w14:textId="77777777" w:rsidR="00A54CAE" w:rsidRPr="00103A0B" w:rsidRDefault="00A54CAE" w:rsidP="00CD5919">
      <w:pPr>
        <w:jc w:val="both"/>
        <w:rPr>
          <w:rFonts w:ascii="Arial" w:hAnsi="Arial" w:cs="Arial"/>
          <w:b/>
          <w:sz w:val="28"/>
          <w:szCs w:val="28"/>
        </w:rPr>
      </w:pPr>
    </w:p>
    <w:p w14:paraId="5995076D" w14:textId="3A0F2374" w:rsidR="00A54CAE" w:rsidRPr="00103A0B" w:rsidRDefault="00022ED5" w:rsidP="00CD5919">
      <w:pPr>
        <w:pStyle w:val="Heading2"/>
        <w:numPr>
          <w:ilvl w:val="0"/>
          <w:numId w:val="0"/>
        </w:numPr>
        <w:jc w:val="both"/>
        <w:rPr>
          <w:rFonts w:ascii="Arial" w:hAnsi="Arial" w:cs="Arial"/>
          <w:sz w:val="28"/>
        </w:rPr>
      </w:pPr>
      <w:bookmarkStart w:id="363" w:name="_Toc151548325"/>
      <w:r w:rsidRPr="00103A0B">
        <w:rPr>
          <w:rFonts w:ascii="Arial" w:hAnsi="Arial" w:cs="Arial"/>
          <w:sz w:val="28"/>
        </w:rPr>
        <w:t xml:space="preserve">6.1 </w:t>
      </w:r>
      <w:r w:rsidR="00A54CAE" w:rsidRPr="00103A0B">
        <w:rPr>
          <w:rFonts w:ascii="Arial" w:hAnsi="Arial" w:cs="Arial"/>
          <w:sz w:val="28"/>
        </w:rPr>
        <w:t>Introduction</w:t>
      </w:r>
      <w:bookmarkEnd w:id="363"/>
      <w:r w:rsidR="00A54CAE" w:rsidRPr="00103A0B">
        <w:rPr>
          <w:rFonts w:ascii="Arial" w:hAnsi="Arial" w:cs="Arial"/>
          <w:sz w:val="28"/>
        </w:rPr>
        <w:t xml:space="preserve"> </w:t>
      </w:r>
    </w:p>
    <w:bookmarkEnd w:id="361"/>
    <w:p w14:paraId="2A90D805" w14:textId="7C646A4F" w:rsidR="00A73B81" w:rsidRPr="00103A0B" w:rsidRDefault="00A73B81" w:rsidP="00A73B81">
      <w:pPr>
        <w:spacing w:before="240" w:line="360" w:lineRule="auto"/>
        <w:jc w:val="both"/>
        <w:rPr>
          <w:rFonts w:ascii="Arial" w:hAnsi="Arial" w:cs="Arial"/>
          <w:sz w:val="24"/>
          <w:szCs w:val="24"/>
        </w:rPr>
      </w:pPr>
      <w:r w:rsidRPr="00103A0B">
        <w:rPr>
          <w:rFonts w:ascii="Arial" w:hAnsi="Arial" w:cs="Arial"/>
          <w:sz w:val="24"/>
          <w:szCs w:val="24"/>
        </w:rPr>
        <w:t xml:space="preserve">Prediabetes prevalence </w:t>
      </w:r>
      <w:r w:rsidRPr="00103A0B">
        <w:rPr>
          <w:rFonts w:ascii="Arial" w:eastAsia="Times New Roman" w:hAnsi="Arial" w:cs="Arial"/>
          <w:sz w:val="24"/>
          <w:szCs w:val="24"/>
          <w:lang w:eastAsia="en-GB"/>
        </w:rPr>
        <w:t>(i.e., those at high risk of Type 2 Diabetes Mellitus (T2DM))</w:t>
      </w:r>
      <w:r w:rsidRPr="00103A0B">
        <w:rPr>
          <w:rFonts w:ascii="Arial" w:hAnsi="Arial" w:cs="Arial"/>
          <w:sz w:val="24"/>
          <w:szCs w:val="24"/>
        </w:rPr>
        <w:t xml:space="preserve"> is projected to increase from 374 million to 548 million between 2019-2040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Practice","id":"ITEM-1","issued":{"date-parts":[["2019"]]},"page":"107843","publisher":"Elsevier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edition","type":"article-journal","volume":"157"},"uris":["http://www.mendeley.com/documents/?uuid=d2427967-043a-4315-9977-8c46594ef56c"]}],"mendeley":{"formattedCitation":"(Saeedi et al., 2019)","plainTextFormattedCitation":"(Saeedi et al., 2019)","previouslyFormattedCitation":"(Saeedi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(Saeedi et al., 2019)</w:t>
      </w:r>
      <w:r w:rsidRPr="00103A0B">
        <w:rPr>
          <w:rFonts w:ascii="Arial" w:hAnsi="Arial" w:cs="Arial"/>
          <w:sz w:val="24"/>
          <w:szCs w:val="24"/>
        </w:rPr>
        <w:fldChar w:fldCharType="end"/>
      </w:r>
      <w:r w:rsidRPr="00103A0B">
        <w:rPr>
          <w:rFonts w:ascii="Arial" w:hAnsi="Arial" w:cs="Arial"/>
          <w:sz w:val="24"/>
          <w:szCs w:val="24"/>
        </w:rPr>
        <w:t xml:space="preserve">, making T2DM prevention an international health care priority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Medicine","id":"ITEM-1","issue":"7","issued":{"date-parts":[["2016"]]},"page":"e1002078","title":"Engagement, retention, and progression to type 2 diabetes: a retrospective analysis of the cluster-randomised \"Let's Prevent Diabetes\" trial","type":"article-journal","volume":"13"},"uris":["http://www.mendeley.com/documents/?uuid=34e3af29-349e-4120-a3cb-a3a7408ba3b4"]}],"mendeley":{"formattedCitation":"(Gray et al., 2016)","plainTextFormattedCitation":"(Gray et al., 2016)","previouslyFormattedCitation":"(Gray et al.,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(Gray et al., 2016)</w:t>
      </w:r>
      <w:r w:rsidRPr="00103A0B">
        <w:rPr>
          <w:rFonts w:ascii="Arial" w:hAnsi="Arial" w:cs="Arial"/>
          <w:sz w:val="24"/>
          <w:szCs w:val="24"/>
        </w:rPr>
        <w:fldChar w:fldCharType="end"/>
      </w:r>
      <w:r w:rsidRPr="00103A0B">
        <w:rPr>
          <w:rFonts w:ascii="Arial" w:hAnsi="Arial" w:cs="Arial"/>
          <w:sz w:val="24"/>
          <w:szCs w:val="24"/>
        </w:rPr>
        <w:t xml:space="preserve">. In England, diagnosis of T2DM is escalating, resulting in estimated annual direct costs to the National Health Service (NHS) of approximately £8.8 billion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{"citationItems":[{"id":"ITEM-1","itemData":{"ISBN":"1464-5491","ISSN":"07423071","PMID":"22537247","abstract":"Aims To estimate the current and future economic burdens of Type 1 and Type 2 diabetes in the UK. Methods A top-down approach was used to estimate costs for 2010 ⁄ 2011 from aggregated data sets and literature. Prevalence and population data were used to project costs for 2035 ⁄ 2036. Direct health costs were estimated from data on diagnosis, lifestyle interventions, ongoing treatment and management, and complications. Indirect costs were estimated from data on mortality, sickness, presenteeism (potential loss of productivity among people who remain in work) and informal care. Results Diabetes cost approximately £23.7bn in the UK in 2010 ⁄ 2011: £9.8bn in direct costs (£1bn for Type 1 diabetes and £8.8bn for Type 2 diabetes) and £13.9bn in indirect costs (£0.9bn and £13bn). In real terms, the 2035 ⁄ 2036 cost is estimated at £39.8bn: £16.9bn in direct costs (£1.8bn for Type 1 diabetes and £15.1bn for Type 2 diabetes) and £22.9bn in indirect costs (£2.4bn and £20.5bn). Sensitivity analysis applied to the direct costs produced a range of costs: between £7.9bn and £11.7bn in 2010 ⁄ 2011 and between £13.8bn and £20bn in 2035 ⁄ 2036. Diabetes currently accounts for approximately 10% of the total health resource expenditure and is projected to account for around 17% in 2035 ⁄ 2036. Conclusions Type 1 and Type 2 diabetes are prominent diseases in the UK and are a significant economic burden. Data differentiating between the costs of Type 1 and Type 2 diabetes are sparse. Complications related to the diseases account for a substantial proportion of the direct health costs. As prevalence increases, the cost of treating complications will grow if current care regimes are maintained. Diabet. Med. 29, 855–862 (2012)","author":[{"dropping-particle":"","family":"Hex","given":"N.","non-dropping-particle":"","parse-names":false,"suffix":""},{"dropping-particle":"","family":"Bartlett","given":"C.","non-dropping-particle":"","parse-names":false,"suffix":""},{"dropping-particle":"","family":"Wright","given":"D.","non-dropping-particle":"","parse-names":false,"suffix":""},{"dropping-particle":"","family":"Taylor","given":"M.","non-dropping-particle":"","parse-names":false,"suffix":""},{"dropping-particle":"","family":"Varley","given":"D.","non-dropping-particle":"","parse-names":false,"suffix":""}],"container-title":"Diabetic Medicine","id":"ITEM-1","issue":"7","issued":{"date-parts":[["2012"]]},"page":"855-862","title":"Estimating the current and future costs of type 1 and type 2 diabetes in the UK, including direct health costs and indirect societal and productivity costs","type":"article-journal","volume":"29"},"uris":["http://www.mendeley.com/documents/?uuid=266ab552-f6e7-434c-9f87-5e02fe2490b9"]}],"mendeley":{"formattedCitation":"(Hex et al., 2012)","plainTextFormattedCitation":"(Hex et al., 2012)","previouslyFormattedCitation":"(Hex et al., 2012)"},"properties":{"noteIndex":0},"schema":"https://github.com/citation-style-language/schema/raw/master/csl-citation.json"}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(Hex et al., 2012)</w:t>
      </w:r>
      <w:r w:rsidRPr="00103A0B">
        <w:rPr>
          <w:rFonts w:ascii="Arial" w:hAnsi="Arial" w:cs="Arial"/>
          <w:sz w:val="24"/>
          <w:szCs w:val="24"/>
        </w:rPr>
        <w:fldChar w:fldCharType="end"/>
      </w:r>
      <w:r w:rsidRPr="00103A0B">
        <w:rPr>
          <w:rFonts w:ascii="Arial" w:hAnsi="Arial" w:cs="Arial"/>
          <w:sz w:val="24"/>
          <w:szCs w:val="24"/>
        </w:rPr>
        <w:t xml:space="preserve">. Following the successful implementation of diabetes prevention programmes (DPPs) in other countries such as Finland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{"citationItems":[{"id":"ITEM-1","itemData":{"ISBN":"0140-6736","ISSN":"1474-547X","PMID":"17098085","abstract":"SummaryBackground Lifestyle interventions can prevent the deterioration of impaired glucose tolerance to manifest type 2 diabetes, at least as long as the intervention continues. In the extended follow-up of the Finnish Diabetes Prevention Study, we assessed the extent to which the originally-achieved lifestyle changes and risk reduction remain after discontinuation of active counselling. Methods Overweight, middle-aged men (n=172) and women (n=350) with impaired glucose tolerance were randomly assigned to intensive lifestyle intervention or control group. After a median of 4 years of active intervention period, participants who were still free of diabetes were further followed up for a median of 3 years, with median total follow-up of 7 years. Diabetes incidence, bodyweight, physical activity, and dietary intakes of fat, saturated fat, and fibre were measured. Findings During the total follow-up, the incidence of type 2 diabetes was 4·3 and 7·4 per 100 person-years in the intervention and control group, respectively (log-rank test p=0·0001), indicating 43% reduction in relative risk. The risk reduction was related to the success in achieving the intervention goals of weight loss, reduced intake of total and saturated fat and increased intake of dietary fibre, and increased physical activity. Beneficial lifestyle changes achieved by participants in the intervention group were maintained after the discontinuation of the intervention, and the corresponding incidence rates during the post-intervention follow-up were 4·6 and 7·2 (p=0·0401), indicating 36% reduction in relative risk. Interpretation Lifestyle intervention in people at high risk for type 2 diabetes resulted in sustained lifestyle changes and a reduction in diabetes incidence, which remained after the individual lifestyle counselling was stopped.","author":[{"dropping-particle":"","family":"Lindstrom","given":"J","non-dropping-particle":"","parse-names":false,"suffix":""},{"dropping-particle":"","family":"Ilanne-Parikka","given":"Pirjo","non-dropping-particle":"","parse-names":false,"suffix":""},{"dropping-particle":"","family":"Peltonen","given":"Markku","non-dropping-particle":"","parse-names":false,"suffix":""},{"dropping-particle":"","family":"Aunola","given":"Sirkka","non-dropping-particle":"","parse-names":false,"suffix":""},{"dropping-particle":"","family":"Eriksson","given":"Johan G","non-dropping-particle":"","parse-names":false,"suffix":""},{"dropping-particle":"","family":"Hemio","given":"K","non-dropping-particle":"","parse-names":false,"suffix":""},{"dropping-particle":"","family":"Hamalainen","given":"H","non-dropping-particle":"","parse-names":false,"suffix":""},{"dropping-particle":"","family":"Harkonen","given":"P","non-dropping-particle":"","parse-names":false,"suffix":""},{"dropping-particle":"","family":"Keinanen-Kiukaanniemi","given":"S","non-dropping-particle":"","parse-names":false,"suffix":""},{"dropping-particle":"","family":"Laakso","given":"Mauri","non-dropping-particle":"","parse-names":false,"suffix":""},{"dropping-particle":"","family":"Louheranta","given":"Anne","non-dropping-particle":"","parse-names":false,"suffix":""},{"dropping-particle":"","family":"Mannelin","given":"Marjo","non-dropping-particle":"","parse-names":false,"suffix":""},{"dropping-particle":"","family":"Paturi","given":"Merja","non-dropping-particle":"","parse-names":false,"suffix":""},{"dropping-particle":"","family":"Sundvall","given":"Jouko","non-dropping-particle":"","parse-names":false,"suffix":""},{"dropping-particle":"","family":"Valle","given":"Timo T","non-dropping-particle":"","parse-names":false,"suffix":""},{"dropping-particle":"","family":"Uusitupa","given":"Matti","non-dropping-particle":"","parse-names":false,"suffix":""},{"dropping-particle":"","family":"Tuomilehto","given":"Jaakko","non-dropping-particle":"","parse-names":false,"suffix":""}],"container-title":"The Lancet","id":"ITEM-1","issued":{"date-parts":[["2006"]]},"page":"1673-1679","title":"Sustained reduction in the incidence of type 2 diabetes by lifestyle intervention: follow-up of the Finnish diabetes prevention study","type":"article-journal","volume":"368"},"uris":["http://www.mendeley.com/documents/?uuid=d27c96c5-e2fc-4ac6-8909-642dbf236daf"]}],"mendeley":{"formattedCitation":"(Lindstrom et al., 2006)","plainTextFormattedCitation":"(Lindstrom et al., 2006)","previouslyFormattedCitation":"(Lindstrom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(Lindstrom et al., 2006)</w:t>
      </w:r>
      <w:r w:rsidRPr="00103A0B">
        <w:rPr>
          <w:rFonts w:ascii="Arial" w:hAnsi="Arial" w:cs="Arial"/>
          <w:sz w:val="24"/>
          <w:szCs w:val="24"/>
        </w:rPr>
        <w:fldChar w:fldCharType="end"/>
      </w:r>
      <w:r w:rsidRPr="00103A0B">
        <w:rPr>
          <w:rFonts w:ascii="Arial" w:hAnsi="Arial" w:cs="Arial"/>
          <w:sz w:val="24"/>
          <w:szCs w:val="24"/>
        </w:rPr>
        <w:t xml:space="preserve">, the Healthier You: NHS Diabetes Prevention Programme (NHSDPP) was implemented in England in 2016 </w:t>
      </w:r>
      <w:r w:rsidRPr="00103A0B">
        <w:rPr>
          <w:rStyle w:val="FootnoteReference"/>
          <w:rFonts w:ascii="Arial" w:hAnsi="Arial" w:cs="Arial"/>
          <w:sz w:val="24"/>
          <w:szCs w:val="24"/>
        </w:rPr>
        <w:fldChar w:fldCharType="begin" w:fldLock="1"/>
      </w:r>
      <w:r w:rsidR="007C3391" w:rsidRPr="00103A0B">
        <w:rPr>
          <w:rFonts w:ascii="Arial" w:hAnsi="Arial" w:cs="Arial"/>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programme","type":"article-journal","volume":"43"},"uris":["http://www.mendeley.com/documents/?uuid=32a7a44a-df0b-4cde-9269-536e48e08190"]}],"mendeley":{"formattedCitation":"(Valabhji et al., 2020)","plainTextFormattedCitation":"(Valabhji et al., 2020)","previouslyFormattedCitation":"(Valabhji et al., 2020)"},"properties":{"noteIndex":0},"schema":"https://github.com/citation-style-language/schema/raw/master/csl-citation.json"}</w:instrText>
      </w:r>
      <w:r w:rsidRPr="00103A0B">
        <w:rPr>
          <w:rStyle w:val="FootnoteReference"/>
          <w:rFonts w:ascii="Arial" w:hAnsi="Arial" w:cs="Arial"/>
          <w:sz w:val="24"/>
          <w:szCs w:val="24"/>
        </w:rPr>
        <w:fldChar w:fldCharType="separate"/>
      </w:r>
      <w:r w:rsidRPr="00103A0B">
        <w:rPr>
          <w:rFonts w:ascii="Arial" w:hAnsi="Arial" w:cs="Arial"/>
          <w:noProof/>
          <w:sz w:val="24"/>
          <w:szCs w:val="24"/>
        </w:rPr>
        <w:t>(Valabhji et al., 2020)</w:t>
      </w:r>
      <w:r w:rsidRPr="00103A0B">
        <w:rPr>
          <w:rStyle w:val="FootnoteReference"/>
          <w:rFonts w:ascii="Arial" w:hAnsi="Arial" w:cs="Arial"/>
          <w:sz w:val="24"/>
          <w:szCs w:val="24"/>
        </w:rPr>
        <w:fldChar w:fldCharType="end"/>
      </w:r>
      <w:r w:rsidRPr="00103A0B">
        <w:rPr>
          <w:rFonts w:ascii="Arial" w:hAnsi="Arial" w:cs="Arial"/>
          <w:sz w:val="24"/>
          <w:szCs w:val="24"/>
        </w:rPr>
        <w:t>. The NHSDPP aims to delay or prevent the onset of T2DM by offering those with prediabetes</w:t>
      </w:r>
      <w:r w:rsidRPr="00103A0B">
        <w:rPr>
          <w:rFonts w:ascii="Arial" w:eastAsia="Times New Roman" w:hAnsi="Arial" w:cs="Arial"/>
          <w:sz w:val="24"/>
          <w:szCs w:val="24"/>
          <w:lang w:eastAsia="en-GB"/>
        </w:rPr>
        <w:t xml:space="preserve"> </w:t>
      </w:r>
      <w:r w:rsidRPr="00103A0B">
        <w:rPr>
          <w:rFonts w:ascii="Arial" w:hAnsi="Arial" w:cs="Arial"/>
          <w:sz w:val="24"/>
          <w:szCs w:val="24"/>
        </w:rPr>
        <w:t xml:space="preserve">a lifestyle behaviour change programme consisting of at least 13 group sessions over a 9-month period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programme","type":"article-journal","volume":"43"},"uris":["http://www.mendeley.com/documents/?uuid=32a7a44a-df0b-4cde-9269-536e48e08190"]}],"mendeley":{"formattedCitation":"(Valabhji et al., 2020)","plainTextFormattedCitation":"(Valabhji et al., 2020)","previouslyFormattedCitation":"(Valabhji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(Valabhji et al., 2020)</w:t>
      </w:r>
      <w:r w:rsidRPr="00103A0B">
        <w:rPr>
          <w:rFonts w:ascii="Arial" w:hAnsi="Arial" w:cs="Arial"/>
          <w:sz w:val="24"/>
          <w:szCs w:val="24"/>
        </w:rPr>
        <w:fldChar w:fldCharType="end"/>
      </w:r>
      <w:r w:rsidRPr="00103A0B">
        <w:rPr>
          <w:rFonts w:ascii="Arial" w:hAnsi="Arial" w:cs="Arial"/>
          <w:sz w:val="24"/>
          <w:szCs w:val="24"/>
        </w:rPr>
        <w:t xml:space="preserve">. </w:t>
      </w:r>
    </w:p>
    <w:p w14:paraId="11BC1003" w14:textId="4FC98D49" w:rsidR="00A73B81" w:rsidRPr="00103A0B" w:rsidRDefault="00A73B81" w:rsidP="00A73B81">
      <w:pPr>
        <w:spacing w:line="360" w:lineRule="auto"/>
        <w:jc w:val="both"/>
        <w:rPr>
          <w:rFonts w:ascii="Arial" w:hAnsi="Arial" w:cs="Arial"/>
          <w:color w:val="000000" w:themeColor="text1"/>
          <w:sz w:val="24"/>
          <w:szCs w:val="24"/>
        </w:rPr>
      </w:pPr>
      <w:r w:rsidRPr="00103A0B">
        <w:rPr>
          <w:rFonts w:ascii="Arial" w:eastAsia="Times New Roman" w:hAnsi="Arial" w:cs="Arial"/>
          <w:sz w:val="24"/>
          <w:szCs w:val="24"/>
          <w:lang w:eastAsia="en-GB"/>
        </w:rPr>
        <w:t xml:space="preserve">It is vital that DPPs are clinically effective and financially viable </w:t>
      </w:r>
      <w:r w:rsidRPr="00103A0B">
        <w:rPr>
          <w:rFonts w:ascii="Arial" w:eastAsia="Times New Roman" w:hAnsi="Arial" w:cs="Arial"/>
          <w:sz w:val="24"/>
          <w:szCs w:val="24"/>
          <w:lang w:eastAsia="en-GB"/>
        </w:rPr>
        <w:fldChar w:fldCharType="begin" w:fldLock="1"/>
      </w:r>
      <w:r w:rsidR="008F31AE" w:rsidRPr="00103A0B">
        <w:rPr>
          <w:rFonts w:ascii="Arial" w:eastAsia="Times New Roman" w:hAnsi="Arial" w:cs="Arial"/>
          <w:sz w:val="24"/>
          <w:szCs w:val="24"/>
          <w:lang w:eastAsia="en-GB"/>
        </w:rPr>
        <w:instrText>ADDIN CSL_CITATION {"citationItems":[{"id":"ITEM-1","itemData":{"DOI":"https://doi.org/10.1177/0890117119848985","author":[{"dropping-particle":"","family":"Alva","given":"M.L.","non-dropping-particle":"","parse-names":false,"suffix":""}],"container-title":"American Journal of Health Promotion","id":"ITEM-1","issue":"7","issued":{"date-parts":[["2019"]]},"page":"1067-72","title":"How much does attendance impact weight loss and health care spending in a diabetes prevention program serving older adults?","type":"article-journal","volume":"33"},"uris":["http://www.mendeley.com/documents/?uuid=ab27f0b0-3076-419f-87af-9f779434d81e"]}],"mendeley":{"formattedCitation":"(Alva, 2019a)","plainTextFormattedCitation":"(Alva, 2019a)","previouslyFormattedCitation":"(Alva, 2019a)"},"properties":{"noteIndex":0},"schema":"https://github.com/citation-style-language/schema/raw/master/csl-citation.json"}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8F31AE" w:rsidRPr="00103A0B">
        <w:rPr>
          <w:rFonts w:ascii="Arial" w:eastAsia="Times New Roman" w:hAnsi="Arial" w:cs="Arial"/>
          <w:noProof/>
          <w:sz w:val="24"/>
          <w:szCs w:val="24"/>
          <w:lang w:eastAsia="en-GB"/>
        </w:rPr>
        <w:t>(Alva, 2019a)</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Programme viability depends on retaining sufficient numbers of the target population; i.e., retention </w:t>
      </w:r>
      <w:r w:rsidRPr="00103A0B">
        <w:rPr>
          <w:rFonts w:ascii="Arial" w:hAnsi="Arial" w:cs="Arial"/>
        </w:rPr>
        <w:fldChar w:fldCharType="begin" w:fldLock="1"/>
      </w:r>
      <w:r w:rsidR="008F31AE" w:rsidRPr="00103A0B">
        <w:rPr>
          <w:rFonts w:ascii="Arial" w:eastAsia="Times New Roman" w:hAnsi="Arial" w:cs="Arial"/>
          <w:sz w:val="24"/>
          <w:szCs w:val="24"/>
          <w:lang w:eastAsia="en-GB"/>
        </w:rPr>
        <w:instrText>ADDIN CSL_CITATION {"citationItems":[{"id":"ITEM-1","itemData":{"DOI":"https://doi.org/10.1177/0890117119848985","author":[{"dropping-particle":"","family":"Alva","given":"M.L.","non-dropping-particle":"","parse-names":false,"suffix":""}],"container-title":"American Journal of Health Promotion","id":"ITEM-1","issue":"7","issued":{"date-parts":[["2019"]]},"page":"1067-72","title":"How much does attendance impact weight loss and health care spending in a diabetes prevention program serving older adults?","type":"article-journal","volume":"33"},"uris":["http://www.mendeley.com/documents/?uuid=ab27f0b0-3076-419f-87af-9f779434d81e"]}],"mendeley":{"formattedCitation":"(Alva, 2019a)","plainTextFormattedCitation":"(Alva, 2019a)","previouslyFormattedCitation":"(Alva, 2019a)"},"properties":{"noteIndex":0},"schema":"https://github.com/citation-style-language/schema/raw/master/csl-citation.json"}</w:instrText>
      </w:r>
      <w:r w:rsidRPr="00103A0B">
        <w:rPr>
          <w:rFonts w:ascii="Arial" w:hAnsi="Arial" w:cs="Arial"/>
        </w:rPr>
        <w:fldChar w:fldCharType="separate"/>
      </w:r>
      <w:r w:rsidR="008F31AE" w:rsidRPr="00103A0B">
        <w:rPr>
          <w:rFonts w:ascii="Arial" w:eastAsia="Times New Roman" w:hAnsi="Arial" w:cs="Arial"/>
          <w:noProof/>
          <w:sz w:val="24"/>
          <w:szCs w:val="24"/>
          <w:lang w:eastAsia="en-GB"/>
        </w:rPr>
        <w:t>(Alva, 2019a)</w:t>
      </w:r>
      <w:r w:rsidRPr="00103A0B">
        <w:rPr>
          <w:rFonts w:ascii="Arial" w:hAnsi="Arial" w:cs="Arial"/>
        </w:rPr>
        <w:fldChar w:fldCharType="end"/>
      </w:r>
      <w:r w:rsidRPr="00103A0B">
        <w:rPr>
          <w:rFonts w:ascii="Arial" w:eastAsia="Times New Roman" w:hAnsi="Arial" w:cs="Arial"/>
          <w:sz w:val="24"/>
          <w:szCs w:val="24"/>
          <w:lang w:eastAsia="en-GB"/>
        </w:rPr>
        <w:t xml:space="preserve">. Retention relates to maintaining participant involvement, preferably until programme completion </w:t>
      </w:r>
      <w:r w:rsidRPr="00103A0B">
        <w:rPr>
          <w:rFonts w:ascii="Arial" w:eastAsia="Times New Roman" w:hAnsi="Arial" w:cs="Arial"/>
          <w:sz w:val="24"/>
          <w:szCs w:val="24"/>
          <w:lang w:eastAsia="en-GB"/>
        </w:rPr>
        <w:fldChar w:fldCharType="begin" w:fldLock="1"/>
      </w:r>
      <w:r w:rsidR="007C3391" w:rsidRPr="00103A0B">
        <w:rPr>
          <w:rFonts w:ascii="Arial" w:eastAsia="Times New Roman" w:hAnsi="Arial" w:cs="Arial"/>
          <w:sz w:val="24"/>
          <w:szCs w:val="24"/>
          <w:lang w:eastAsia="en-GB"/>
        </w:rPr>
        <w:instrText>ADDIN CSL_CITATION {"citationItems":[{"id":"ITEM-1","itemData":{"author":[{"dropping-particle":"","family":"NHS England","given":"","non-dropping-particle":"","parse-names":false,"suffix":""}],"id":"ITEM-1","issued":{"date-parts":[["2016"]]},"number-of-pages":"1-51","title":"NHS england impact analysis of implementing NHS diabetes prevention programme, 2016 to 2021","type":"report"},"uris":["http://www.mendeley.com/documents/?uuid=d3e6fa3e-5322-4de6-951f-0dc992882406"]},{"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programme","type":"article-journal","volume":"43"},"uris":["http://www.mendeley.com/documents/?uuid=32a7a44a-df0b-4cde-9269-536e48e08190"]}],"mendeley":{"formattedCitation":"(NHS England, 2016b; Valabhji et al., 2020)","plainTextFormattedCitation":"(NHS England, 2016b; Valabhji et al., 2020)","previouslyFormattedCitation":"(NHS England, 2016b; Valabhji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7C3391" w:rsidRPr="00103A0B">
        <w:rPr>
          <w:rFonts w:ascii="Arial" w:eastAsia="Times New Roman" w:hAnsi="Arial" w:cs="Arial"/>
          <w:noProof/>
          <w:sz w:val="24"/>
          <w:szCs w:val="24"/>
          <w:lang w:eastAsia="en-GB"/>
        </w:rPr>
        <w:t>(NHS England, 2016b; Valabhji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r w:rsidRPr="00103A0B">
        <w:rPr>
          <w:rFonts w:ascii="Arial" w:hAnsi="Arial" w:cs="Arial"/>
          <w:sz w:val="24"/>
          <w:szCs w:val="24"/>
        </w:rPr>
        <w:t xml:space="preserve">Between </w:t>
      </w:r>
      <w:r w:rsidRPr="00103A0B">
        <w:rPr>
          <w:rFonts w:ascii="Arial" w:hAnsi="Arial" w:cs="Arial"/>
          <w:color w:val="000000" w:themeColor="text1"/>
          <w:sz w:val="24"/>
          <w:szCs w:val="24"/>
        </w:rPr>
        <w:t xml:space="preserve">2016-2018, completion rates for the NHSDPP have been reported as 19-22% </w:t>
      </w:r>
      <w:r w:rsidRPr="00103A0B">
        <w:rPr>
          <w:rFonts w:ascii="Arial" w:hAnsi="Arial" w:cs="Arial"/>
          <w:color w:val="000000" w:themeColor="text1"/>
          <w:sz w:val="24"/>
          <w:szCs w:val="24"/>
        </w:rPr>
        <w:fldChar w:fldCharType="begin" w:fldLock="1"/>
      </w:r>
      <w:r w:rsidR="007C3391" w:rsidRPr="00103A0B">
        <w:rPr>
          <w:rFonts w:ascii="Arial" w:hAnsi="Arial" w:cs="Arial"/>
          <w:color w:val="000000" w:themeColor="text1"/>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programme","type":"article-journal","volume":"43"},"uris":["http://www.mendeley.com/documents/?uuid=32a7a44a-df0b-4cde-9269-536e48e08190"]},{"id":"ITEM-2","itemData":{"ISSN":"20524897","PMID":"33303493","abstract":"Introduction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Care","id":"ITEM-2","issued":{"date-parts":[["2020"]]},"page":"e001835","title":"'Going the distance': an independent cohort study of engagement and dropout among the first 100 000 referrals into a large-scale diabetes prevention program","type":"article-journal","volume":"8"},"uris":["http://www.mendeley.com/documents/?uuid=40d46080-9604-42ba-942c-0e13d9f1562f"]}],"mendeley":{"formattedCitation":"(Howarth et al., 2020; Valabhji et al., 2020)","plainTextFormattedCitation":"(Howarth et al., 2020; Valabhji et al., 2020)","previouslyFormattedCitation":"(Howarth et al., 2020; Valabhji et al., 2020)"},"properties":{"noteIndex":0},"schema":"https://github.com/citation-style-language/schema/raw/master/csl-citation.json"}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(Howarth et al., 2020; Valabhji et al., 2020)</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w:t>
      </w:r>
      <w:r w:rsidRPr="00103A0B">
        <w:rPr>
          <w:rFonts w:ascii="Arial" w:eastAsia="Times New Roman" w:hAnsi="Arial" w:cs="Arial"/>
          <w:sz w:val="24"/>
          <w:szCs w:val="24"/>
          <w:lang w:eastAsia="en-GB"/>
        </w:rPr>
        <w:t xml:space="preserve">Challenges or issues with low retention are commonly observed in DPPs, and it has been recommended more needs to be done to optimise programme retention by exploring what influences whether participants complete DPPs </w:t>
      </w:r>
      <w:r w:rsidRPr="00103A0B">
        <w:rPr>
          <w:rFonts w:ascii="Arial" w:eastAsia="Times New Roman" w:hAnsi="Arial" w:cs="Arial"/>
          <w:sz w:val="24"/>
          <w:szCs w:val="24"/>
          <w:lang w:eastAsia="en-GB"/>
        </w:rPr>
        <w:fldChar w:fldCharType="begin" w:fldLock="1"/>
      </w:r>
      <w:r w:rsidR="007C3391" w:rsidRPr="00103A0B">
        <w:rPr>
          <w:rFonts w:ascii="Arial" w:eastAsia="Times New Roman" w:hAnsi="Arial" w:cs="Arial"/>
          <w:sz w:val="24"/>
          <w:szCs w:val="24"/>
          <w:lang w:eastAsia="en-GB"/>
        </w:rPr>
        <w:instrText>ADDIN CSL_CITATION {"citationItems":[{"id":"ITEM-1","itemData":{"ISBN":"1549-1277","ISSN":"15491676","PMID":"27404094","abstract":"BACKGROUND: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Medicine","id":"ITEM-1","issue":"7","issued":{"date-parts":[["2016"]]},"page":"e1002078","title":"Engagement, retention, and progression to type 2 diabetes: a retrospective analysis of the cluster-randomised \"Let's Prevent Diabetes\" trial","type":"article-journal","volume":"13"},"uris":["http://www.mendeley.com/documents/?uuid=34e3af29-349e-4120-a3cb-a3a7408ba3b4"]}],"mendeley":{"formattedCitation":"(Gray et al., 2016)","plainTextFormattedCitation":"(Gray et al., 2016)","previouslyFormattedCitation":"(Gray et al., 2016)"},"properties":{"noteIndex":0},"schema":"https://github.com/citation-style-language/schema/raw/master/csl-citation.json"}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(Gray et al., 2016)</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76BEEE8C" w14:textId="52119E82" w:rsidR="00A73B81" w:rsidRPr="00103A0B" w:rsidRDefault="00A73B81" w:rsidP="00A73B81">
      <w:pPr>
        <w:spacing w:before="100" w:after="100" w:line="360" w:lineRule="auto"/>
        <w:jc w:val="both"/>
        <w:rPr>
          <w:rFonts w:ascii="Arial" w:eastAsia="Times New Roman" w:hAnsi="Arial" w:cs="Arial"/>
          <w:sz w:val="24"/>
          <w:szCs w:val="24"/>
          <w:lang w:eastAsia="en-GB"/>
        </w:rPr>
      </w:pPr>
      <w:r w:rsidRPr="00103A0B">
        <w:rPr>
          <w:rFonts w:ascii="Arial" w:hAnsi="Arial" w:cs="Arial"/>
          <w:color w:val="000000" w:themeColor="text1"/>
          <w:sz w:val="24"/>
          <w:szCs w:val="24"/>
        </w:rPr>
        <w:t xml:space="preserve">Individual factors associated with non-completion include being in employment, lack of time, work commitments, family responsibilities or ill health </w:t>
      </w:r>
      <w:r w:rsidRPr="00103A0B">
        <w:rPr>
          <w:rFonts w:ascii="Arial" w:hAnsi="Arial" w:cs="Arial"/>
          <w:color w:val="000000" w:themeColor="text1"/>
          <w:sz w:val="24"/>
          <w:szCs w:val="24"/>
        </w:rPr>
        <w:fldChar w:fldCharType="begin" w:fldLock="1"/>
      </w:r>
      <w:r w:rsidR="007C3391" w:rsidRPr="00103A0B">
        <w:rPr>
          <w:rFonts w:ascii="Arial" w:hAnsi="Arial" w:cs="Arial"/>
          <w:color w:val="000000" w:themeColor="text1"/>
          <w:sz w:val="24"/>
          <w:szCs w:val="24"/>
        </w:rPr>
        <w:instrText>ADDIN CSL_CITATION {"citationItems":[{"id":"ITEM-1","itemData":{"ISSN":"0168-8227","abstract":"Aims To explore the acceptability of a telephone- or a group-delivered diabetes prevention program for women with previous gestational diabetes and to compare the characteristics associated with program engagement. Methods Postpartum women participated in a lifestyle modification program delivered by telephone (n=33) or group format (n=284). Semi-structured interviews on barriers and enablers to program engagement (defined as completing≥80% sessions) were conducted before (Group) and after (Group and Telephone) interventions. The Health Action Process Approach theory was used as the framework for inquiry. Psychological measures were compared between engagement subgroups before and after group-delivered intervention. Results In the telephone-delivered program 82% participants met the engagement criteria compared with 38% for the group-delivered program. Engaged participants (Group) had significantly higher risk perception, outcome expectancy, and activity self-efficacy at baseline (P&lt;0.05). There was a greater decrease in body weight (−1.45±3.9 vs −0.26±3.5, P=0.024) and waist circumference (−3.56±5.1 vs −1.24±5.3, P=0.002) for engaged vs non-engaged participants following group program completion. Conclusions Telephone delivery was associated with greater engagement in postpartum women. Engagement was associated with greater reduction in weight and waist circumference. Further studies are required to confirm the effectiveness of telephone-delivered program for diabetes prevention in postpartum women.","author":[{"dropping-particle":"","family":"Lim","given":"Siew","non-dropping-particle":"","parse-names":false,"suffix":""},{"dropping-particle":"","family":"Dunbar","given":"James A","non-dropping-particle":"","parse-names":false,"suffix":""},{"dropping-particle":"","family":"Versace","given":"Vincent L","non-dropping-particle":"","parse-names":false,"suffix":""},{"dropping-particle":"","family":"Janus","given":"Edward","non-dropping-particle":"","parse-names":false,"suffix":""},{"dropping-particle":"","family":"Wildey","given":"Carol","non-dropping-particle":"","parse-names":false,"suffix":""},{"dropping-particle":"","family":"Skinner","given":"Timothy","non-dropping-particle":"","parse-names":false,"suffix":""},{"dropping-particle":"","family":"O'Reilly","given":"Sharleen","non-dropping-particle":"","parse-names":false,"suffix":""}],"container-title":"Diabetes Research and Clinical Practice","id":"ITEM-1","issued":{"date-parts":[["2017"]]},"page":"254-262","title":"Comparing a telephone- and a group-delivered diabetes prevention program: characteristics of engaged and non-engaged postpartum mothers with a history of gestational diabetes","type":"article-journal","volume":"126"},"uris":["http://www.mendeley.com/documents/?uuid=1e1989aa-8480-458e-9774-bce442753e6b"]},{"id":"ITEM-2","itemData":{"abstract":"It has been shown that real-life implementation studies for the prevention of type 2 diabetes (DM2) performed in different settings and populations can be effective. However, not enough information is available on factors influencing the reach of DM2 prevention programmes. This study examines the predictors of completing an intervention programme targeted at people at high risk of DM2 in Krakow, Poland as part of the DE-PLAN project.A total of 262 middle-aged people, everyday patients of 9 general practitioners' (GP) practices, at high risk of DM2 (Finnish Diabetes Risk Score (FINDRISK) &gt;14) agreed to participate in the lifestyle intervention to prevent DM2. Intervention consisted of 11 lifestyle counseling sessions, organized physical activity sessions followed by motivational phone calls and letters. Measurements were performed at baseline and 1 year after the initiation of the intervention.Seventy percent of the study participants enrolled completed the core curriculum (n = 184), 22% were men. When compared to noncompleters, completers had a healthier baseline diabetes risk profile (P &lt;.05). People who completed the intervention were less frequently employed versus noncompleters (P = .037), less often had hypertension (P = .043), and more frequently consumed vegetables and fruit daily (P = .055).In multiple logistic regression model, employment reduced the likelihood of completing the intervention 2 times (odds ratio [OR] 0.45, 95% confidence interval [CI] 0.25-0.81). Higher glucose 2 hours after glucose load and hypertension were the independent factors decreasing the chance to participate in the intervention (OR 0.79, 95% 0.69-0.92 and OR 0.52, 95% CI 0.27-0.99, respectively). Daily consumption of vegetables and fruits increased the likelihood of completing the intervention (OR 1.86, 95% 1.01-3.41).In conclusion, people with healthier behavior and risk profile are more predisposed to complete diabetes prevention interventions. Male, those who work and those with a worse health profile, are less likely to participate and complete interventions. Targeted strategies are needed in real-life diabetes prevention interventions to improve male participation and to reach those who are working as well as people with a higher risk profile.;","author":[{"dropping-particle":"","family":"Gilis-Januszewska","given":"Aleksandra","non-dropping-particle":"","parse-names":false,"suffix":""},{"dropping-particle":"","family":"Lindström","given":"Jaana","non-dropping-particle":"","parse-names":false,"suffix":""},{"dropping-particle":"","family":"Barengo","given":"Noël C","non-dropping-particle":"","parse-names":false,"suffix":""},{"dropping-particle":"","family":"Tuomilehto","given":"Jaakko","non-dropping-particle":"","parse-names":false,"suffix":""},{"dropping-particle":"","family":"Schwarz","given":"Peter Eh","non-dropping-particle":"","parse-names":false,"suffix":""},{"dropping-particle":"","family":"Wójtowicz","given":"Ewa","non-dropping-particle":"","parse-names":false,"suffix":""},{"dropping-particle":"","family":"Piwońska-Solska","given":"Beat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Medicine","id":"ITEM-2","issue":"5","issued":{"date-parts":[["2018"]]},"note":"Accession Number: 29384876. Language: English. Date Revised: 20180221. Date Created: 20180201. Date Completed: 20180209. Update Code: 20180221. Publication Type: Journal Article. Journal ID: 2985248R. Publication Model: Print. Cited Medium: Internet. NLM ISO Abbr: Medicine (Baltimore). Comment: Cites: Prim Care Diabetes. 2015 Apr;9(2):96-104. (PMID: 25128324). Cites: BMC Med Res Methodol. 2014 Jan 24;14:13. (PMID: 24461045). Cites: Scand J Work Environ Health. 2010 May;36(3):202-15. (PMID: 20066386). Cites: Diabetes Care. 2003 Dec;26(12):3230-6. (PMID: 14633807). Cites: Diabet Med. 2010 Apr;27(4):459-65. (PMID: 20536519). Cites: Horm Metab Res. 2010 Apr;42 Suppl 1:S37-55. (PMID: 20391307). Cites: Obes Rev. 2005 Feb;6(1):43-65. (PMID: 15655038). Cites: Prim Care Diabetes. 2012 Dec;6(4):277-83. (PMID: 22868007). Cites: BMC Public Health. 2017 Feb 15;17 (1):198. (PMID: 28202029). Cites: Diabetes Care. 2007 Oct;30(10):2465-70. (PMID: 17586741). Cites: Horm Metab Res. 2010 Apr;42 Suppl 1:S3-36. (PMID: 20391306). Cites: Diabetes Care. 2014 Apr;37(4):922-33. (PMID: 24652723). Cites: Am J Prev Med. 2009 Oct;37(4):340-57. (PMID: 19765507). Cites: BMC Health Serv Res. 2013 May 31;13:201. (PMID: 23725521). Cites: Exp Clin Endocrinol Diabetes. 2008 Mar;116(3):167-72. (PMID: 18350480). Cites: Metabolism. 2013 Feb;62(2):303-14. (PMID: 22959500). Cites: J Med Internet Res. 2015 Apr 10;17(4):e92. (PMID: 25863515). Cites: Am J Prev Med. 2007 May;32(5):419-34. (PMID: 17478269). Cites: BMC Health Serv Res. 2008 Feb 04;8:33. (PMID: 18248673). Cites: J Cardiovasc Nurs. 2006 Jul-Aug;21(4):251-8; quiz 259-60. (PMID: 16823276). Cites: Diabetologia. 2012 May;55(5):1319-28. (PMID: 22322921). Cites: Diabetes. 1997 Apr;46(4):701-10. (PMID: 9075814). Cites: N Engl J Med. 2001 May 3;344(18):1343-50. (PMID: 11333990). Cites: Health Educ Res. 2009 Aug;24(4):699-720. (PMID: 19286893). Cites: BMC Public Health. 2012 Sep 24;12:822. (PMID: 23006577). Cites: BMC Public Health. 2007 Sep 19;7:249. (PMID: 17877832). Cites: N Engl J Med. 2002 Feb 7;346(6):393-403. (PMID: 11832527). Cites: Addict Behav. 1996 Jul-Aug;21(4):509-13. (PMID: 8830908). Cites: Am J Prev Med. 2009 Feb;36(2):142-9. (PMID: 19062240). Cites: Diabet Med. 2013 Jan;30(1):3-15. (PMID: 22998334). Cites: Diabetes Res Clin Pract. 2016 Feb;112:13-19. (PMID: 26724186). Linking ISSN: 00257974. Subset: AIM; IM; Date of Electronic Publication: 20180201. ; Original Imprints: Publication: Hagerstown, Md : Lippincott Williams &amp;amp; Wilkins","page":"e9790","title":"Predictors of completing a primary health care diabetes prevention intervention programme in people at high risk of type 2 diabetes: experiences of the DE-PLAN project.","type":"article-journal","volume":"97"},"uris":["http://www.mendeley.com/documents/?uuid=57445cef-4f0f-4d72-8634-76a2864ec486"]},{"id":"ITEM-3","itemData":{"ISSN":"15579891","abstract":"The National Diabetes Prevention Program (NDPP) has been effectively translated to various community and clinical settings; however, regardless of setting, enrollment among men and lower-income populations is low. This study presents participant perspectives on Power Up for Health, a novel NDPP pilot adaption for men residing in low-income communities in New York City. We conducted nine interviews and one focus group with seven participants after the program ended. Interview and focus group participants had positive perceptions of the program and described the all-male aspect of the program and its reliance on male coaches as major strengths. Men felt the all-male adaptation allowed for more open, in-depth conversations on eating habits, weight loss, body image, and masculinity. Participants also reported increased knowledge and changes to their dietary and physical activity habits. Recommendations for improving the program included making the sessions more interactive by, for example, adding exercise or healthy cooking demonstrations. Overall, findings from the pilot suggest this NDPP adaptation was acceptable to men and facilitated behavior change and unique discussions that would likely not have occurred in a mixed-gender NDPP implementation.","author":[{"dropping-particle":"","family":"Realmuto","given":"Lindsey","non-dropping-particle":"","parse-names":false,"suffix":""},{"dropping-particle":"","family":"Kamler","given":"Alexandra","non-dropping-particle":"","parse-names":false,"suffix":""},{"dropping-particle":"","family":"Weiss","given":"Linda","non-dropping-particle":"","parse-names":false,"suffix":""},{"dropping-particle":"","family":"Gary-Webb","given":"Tiffany L.","non-dropping-particle":"","parse-names":false,"suffix":""},{"dropping-particle":"","family":"Hodge","given":"Michael E.","non-dropping-particle":"","parse-names":false,"suffix":""},{"dropping-particle":"","family":"Pagán","given":"José A.","non-dropping-particle":"","parse-names":false,"suffix":""},{"dropping-particle":"","family":"Walker","given":"Elizabeth A.","non-dropping-particle":"","parse-names":false,"suffix":""}],"container-title":"American Journal of Men's Health","id":"ITEM-3","issue":"4","issued":{"date-parts":[["2018"]]},"page":"981-988","title":"Power up for health—participants’ perspectives on an adaptation of the national diabetes prevention program to engage men","type":"article-journal","volume":"12"},"uris":["http://www.mendeley.com/documents/?uuid=985144c7-f611-4358-afca-1893d0710190"]}],"mendeley":{"formattedCitation":"(Gilis-Januszewska, Lindström, et al., 2018; Lim et al., 2017; Realmuto et al., 2018)","plainTextFormattedCitation":"(Gilis-Januszewska, Lindström, et al., 2018; Lim et al., 2017; Realmuto et al., 2018)","previouslyFormattedCitation":"(Gilis-Januszewska, Lindström, et al., 2018; Lim et al., 2017; Realmuto et al., 2018)"},"properties":{"noteIndex":0},"schema":"https://github.com/citation-style-language/schema/raw/master/csl-citation.json"}</w:instrText>
      </w:r>
      <w:r w:rsidRPr="00103A0B">
        <w:rPr>
          <w:rFonts w:ascii="Arial" w:hAnsi="Arial" w:cs="Arial"/>
          <w:color w:val="000000" w:themeColor="text1"/>
          <w:sz w:val="24"/>
          <w:szCs w:val="24"/>
        </w:rPr>
        <w:fldChar w:fldCharType="separate"/>
      </w:r>
      <w:r w:rsidR="007C3391" w:rsidRPr="00103A0B">
        <w:rPr>
          <w:rFonts w:ascii="Arial" w:hAnsi="Arial" w:cs="Arial"/>
          <w:noProof/>
          <w:color w:val="000000" w:themeColor="text1"/>
          <w:sz w:val="24"/>
          <w:szCs w:val="24"/>
        </w:rPr>
        <w:t>(Gilis-Januszewska, Lindström, et al., 2018; Lim et al., 2017; Realmuto et al., 2018)</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w:t>
      </w:r>
      <w:bookmarkStart w:id="364" w:name="_Hlk49163973"/>
      <w:r w:rsidRPr="00103A0B">
        <w:rPr>
          <w:rFonts w:ascii="Arial" w:hAnsi="Arial" w:cs="Arial"/>
          <w:color w:val="000000" w:themeColor="text1"/>
          <w:sz w:val="24"/>
          <w:szCs w:val="24"/>
        </w:rPr>
        <w:t xml:space="preserve"> </w:t>
      </w:r>
      <w:r w:rsidRPr="00103A0B">
        <w:rPr>
          <w:rFonts w:ascii="Arial" w:hAnsi="Arial" w:cs="Arial"/>
          <w:sz w:val="24"/>
          <w:szCs w:val="24"/>
        </w:rPr>
        <w:t>I</w:t>
      </w:r>
      <w:r w:rsidRPr="00103A0B">
        <w:rPr>
          <w:rFonts w:ascii="Arial" w:hAnsi="Arial" w:cs="Arial"/>
          <w:color w:val="000000" w:themeColor="text1"/>
          <w:sz w:val="24"/>
          <w:szCs w:val="24"/>
        </w:rPr>
        <w:t>nfluences on completion also include positive factors such as</w:t>
      </w:r>
      <w:r w:rsidRPr="00103A0B">
        <w:rPr>
          <w:rFonts w:ascii="Arial" w:hAnsi="Arial" w:cs="Arial"/>
          <w:sz w:val="24"/>
          <w:szCs w:val="24"/>
        </w:rPr>
        <w:t xml:space="preserve">: finding the group setting beneficial </w:t>
      </w:r>
      <w:r w:rsidRPr="00103A0B">
        <w:lastRenderedPageBreak/>
        <w:fldChar w:fldCharType="begin" w:fldLock="1"/>
      </w:r>
      <w:r w:rsidR="007C3391" w:rsidRPr="00103A0B">
        <w:rPr>
          <w:rFonts w:ascii="Arial" w:hAnsi="Arial" w:cs="Arial"/>
          <w:sz w:val="24"/>
          <w:szCs w:val="24"/>
        </w:rPr>
        <w:instrText>ADDIN CSL_CITATION {"citationItems":[{"id":"ITEM-1","itemData":{"ISSN":"21665435","abstract":"Introduction: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Disease","id":"ITEM-1","issued":{"date-parts":[["2014"]]},"page":"140006","title":"Implementation and outcomes of the New York state YMCA diabetes prevention program: A multisite community-based translation, 2010-2012","type":"article-journal","volume":"11"},"uris":["http://www.mendeley.com/documents/?uuid=d5f59245-ab59-4ba0-bd1c-beec143eb24b"]}],"mendeley":{"formattedCitation":"(Bozack et al., 2014)","plainTextFormattedCitation":"(Bozack et al., 2014)","previouslyFormattedCitation":"(Bozack et al., 2014)"},"properties":{"noteIndex":0},"schema":"https://github.com/citation-style-language/schema/raw/master/csl-citation.json"}</w:instrText>
      </w:r>
      <w:r w:rsidRPr="00103A0B">
        <w:fldChar w:fldCharType="separate"/>
      </w:r>
      <w:r w:rsidRPr="00103A0B">
        <w:rPr>
          <w:rFonts w:ascii="Arial" w:hAnsi="Arial" w:cs="Arial"/>
          <w:noProof/>
          <w:sz w:val="24"/>
          <w:szCs w:val="24"/>
        </w:rPr>
        <w:t>(Bozack et al., 2014)</w:t>
      </w:r>
      <w:r w:rsidRPr="00103A0B">
        <w:fldChar w:fldCharType="end"/>
      </w:r>
      <w:r w:rsidRPr="00103A0B">
        <w:rPr>
          <w:rFonts w:ascii="Arial" w:hAnsi="Arial" w:cs="Arial"/>
          <w:sz w:val="24"/>
          <w:szCs w:val="24"/>
        </w:rPr>
        <w:t xml:space="preserve">, coaches being motivating </w:t>
      </w:r>
      <w:r w:rsidRPr="00103A0B">
        <w:fldChar w:fldCharType="begin" w:fldLock="1"/>
      </w:r>
      <w:r w:rsidR="007C3391" w:rsidRPr="00103A0B">
        <w:rPr>
          <w:rFonts w:ascii="Arial" w:hAnsi="Arial" w:cs="Arial"/>
          <w:sz w:val="24"/>
          <w:szCs w:val="24"/>
        </w:rPr>
        <w:instrText>ADDIN CSL_CITATION {"citationItems":[{"id":"ITEM-1","itemData":{"ISSN":"21665435","abstract":"Introduction: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Disease","id":"ITEM-1","issued":{"date-parts":[["2014"]]},"page":"140006","title":"Implementation and outcomes of the New York state YMCA diabetes prevention program: A multisite community-based translation, 2010-2012","type":"article-journal","volume":"11"},"uris":["http://www.mendeley.com/documents/?uuid=d5f59245-ab59-4ba0-bd1c-beec143eb24b"]}],"mendeley":{"formattedCitation":"(Bozack et al., 2014)","plainTextFormattedCitation":"(Bozack et al., 2014)","previouslyFormattedCitation":"(Bozack et al., 2014)"},"properties":{"noteIndex":0},"schema":"https://github.com/citation-style-language/schema/raw/master/csl-citation.json"}</w:instrText>
      </w:r>
      <w:r w:rsidRPr="00103A0B">
        <w:fldChar w:fldCharType="separate"/>
      </w:r>
      <w:r w:rsidRPr="00103A0B">
        <w:rPr>
          <w:rFonts w:ascii="Arial" w:hAnsi="Arial" w:cs="Arial"/>
          <w:noProof/>
          <w:sz w:val="24"/>
          <w:szCs w:val="24"/>
        </w:rPr>
        <w:t>(Bozack et al., 2014)</w:t>
      </w:r>
      <w:r w:rsidRPr="00103A0B">
        <w:fldChar w:fldCharType="end"/>
      </w:r>
      <w:r w:rsidRPr="00103A0B">
        <w:rPr>
          <w:rFonts w:ascii="Arial" w:eastAsia="Times New Roman" w:hAnsi="Arial" w:cs="Arial"/>
          <w:sz w:val="24"/>
          <w:szCs w:val="24"/>
          <w:lang w:eastAsia="en-GB"/>
        </w:rPr>
        <w:t xml:space="preserve">, </w:t>
      </w:r>
      <w:bookmarkEnd w:id="364"/>
      <w:r w:rsidRPr="00103A0B">
        <w:rPr>
          <w:rFonts w:ascii="Arial" w:hAnsi="Arial" w:cs="Arial"/>
          <w:color w:val="000000" w:themeColor="text1"/>
          <w:sz w:val="24"/>
          <w:szCs w:val="24"/>
        </w:rPr>
        <w:t xml:space="preserve">social support received from programme groups </w:t>
      </w:r>
      <w:r w:rsidRPr="00103A0B">
        <w:rPr>
          <w:rFonts w:ascii="Arial" w:hAnsi="Arial" w:cs="Arial"/>
          <w:color w:val="000000" w:themeColor="text1"/>
          <w:sz w:val="24"/>
          <w:szCs w:val="24"/>
        </w:rPr>
        <w:fldChar w:fldCharType="begin" w:fldLock="1"/>
      </w:r>
      <w:r w:rsidR="00E0420C" w:rsidRPr="00103A0B">
        <w:rPr>
          <w:rFonts w:ascii="Arial" w:hAnsi="Arial" w:cs="Arial"/>
          <w:color w:val="000000" w:themeColor="text1"/>
          <w:sz w:val="24"/>
          <w:szCs w:val="24"/>
        </w:rPr>
        <w:instrText>ADDIN CSL_CITATION {"citationItems":[{"id":"ITEM-1","itemData":{"ISSN":"14726963","PMID":"32293424","abstract":"Background: The National Health Service diabetes prevention programme in England, (NHS DPP) aims to identify people at high risk of type 2 diabetes (T2D) and offer them a face-to-face, group-based, behaviour change intervention for at least 9 months. The NHS DPP was rolled out in phases. We aimed to elicit stakeholders' perceptions and experiences of the factors influencing implementation of, and participation in, the programme during the development phase. Methods: Individual, semi-structured telephone interviews were conducted with 50 purposively sampled stakeholders: Service users (n = 20); programme commissioners (n = 7); referrers (n = 8); and intervention deliverers (n = 15). Topic guides were structured using a pragmatic, theory-informed approach. Analysis employed the framework method. Results: We identified factors that influenced participation: Risk communication at referral-stakeholders identified point of referral as a window of opportunity to offer brief advice, to provide an understanding of T2D risk and information about the programme; Perceived impact of the NHS DPP-service users highlighted the positive perceived impact on their behaviour change, the peer support provided by participating in the programme, the option to involve a relative, and the 'knock on' effect on others. Service users also voiced disappointment when blood test results still identified them at high risk after the programme; and Behavioural maintenance-participants highlighted the challenges linked to behavioural maintenance (e.g. discontinuation of active support). Factors influencing implementations were also identified: Case finding-stakeholders suggested that using community involvement to identify service users could increase reach and ensure that the workload was not solely on GP practices; Adaptability: Intervention deliverers acknowledged the need to tailor advice to service users' preferences and needs; Accountability-the need to acknowledge who was responsible for what at different stages of the NHS DPP pathway; and Fidelity-stakeholders described procedures involved in monitoring service users' satisfaction, outcome data collection and quality assurance assessments. Conclusions: The NHS DPP offers an evidence-informed behavioural intervention for T2D prevention. Better risk communication specification could ensure consistency at the referral stage and improve participation in the NHS DPP intervention. Cultural adaptations and outreach strategies could ensu…","author":[{"dropping-particle":"","family":"Rodrigues","given":"Angela M.","non-dropping-particle":"","parse-names":false,"suffix":""},{"dropping-particle":"","family":"Haste","given":"Anna","non-dropping-particle":"","parse-names":false,"suffix":""},{"dropping-particle":"","family":"Penn","given":"Linda","non-dropping-particle":"","parse-names":false,"suffix":""},{"dropping-particle":"","family":"Bell","given":"Ruth","non-dropping-particle":"","parse-names":false,"suffix":""},{"dropping-particle":"","family":"Summerbell","given":"Carolyn","non-dropping-particle":"","parse-names":false,"suffix":""},{"dropping-particle":"","family":"White","given":"Martin","non-dropping-particle":"","parse-names":false,"suffix":""},{"dropping-particle":"","family":"Adamson","given":"Ashley J.","non-dropping-particle":"","parse-names":false,"suffix":""},{"dropping-particle":"","family":"Sniehotta","given":"Falko F.","non-dropping-particle":"","parse-names":false,"suffix":""}],"container-title":"BMC Health Services Research","id":"ITEM-1","issued":{"date-parts":[["2020"]]},"page":"307","publisher":"BMC Health Services Research","title":"Stakeholders' perceptions and experiences of the National Health Service diabetes prevention programme in England: qualitative study with service users, intervention providers and deliverers, commissioners and referrers","type":"article-journal","volume":"20"},"uris":["http://www.mendeley.com/documents/?uuid=f72c730c-7abc-4ecd-b17f-09aa8f2ad088"]},{"id":"ITEM-2","itemData":{"ISSN":"2044-6055","abstract":"Objectives: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Open","id":"ITEM-2","issued":{"date-parts":[["2018"]]},"note":"Accession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implementation.","type":"article-journal","volume":"8"},"uris":["http://www.mendeley.com/documents/?uuid=0a421108-0e51-4039-8549-33e6c08f2b12"]},{"id":"ITEM-3","itemData":{"ISSN":"14726963","PMID":"33246460","abstract":"Background: The NHS Diabetes Prevention Programme (NHS-DPP) is a nine-month, group-based behavioural intervention for adults in England at risk of developing Type 2 diabetes. Four independent providers were commissioned to deliver versions of the NHS-DPP, in line with NHS England specifications. This observational study maps NHS-DPP delivery in routine practice against the NHS specification, and compares service delivery with observed patient experiences. Methods: Researchers observed service delivery across eight complete NHS-DPP courses (118 sessions, median 14 sessions per course), consenting 455 participants (36 staff, 398 patients, 21 accompanying persons). Key features of NHS-DPP delivery were described using the Template for Intervention Description and Replication (TIDieR) framework. Researchers wrote detailed field notes during each session, including observations of patient experience. Field notes were content analysed; instances of positive and negative experiences were labelled and grouped into categories. Researchers used a novel method of comparing observed patient experiences to variations in programme delivery. Results: Delivery broadly followed NHS England’s specification and the plans set out by providers. Deviations included the scheduling and larger group sizes in some sessions. There was variation in the type and format of activities delivered by providers. Positive patient experiences included engagement, satisfaction with the programme, good within-group relationships and reported behavioural changes. Negative experiences included poor scheduling, large groups, and dissatisfaction with the venue. Where more interactive and visual activities were delivered in smaller groups of 10–15 people with good rapport, there were generally more instances of positive patient experiences, and where there were structural issues such as problems with the scheduling of sessions, poor venues and inadequate resources, there tended to be more negative patient experiences. Conclusions: Addressing issues that we have identified as being linked to negative experiences with the NHS-DPP could increase uptake, reduce patient drop-out and increase the overall effectiveness of the programme. In particular, modifying structural aspects of the NHS-DPP (e.g. reliable session scheduling, reducing group sizes, enough session resources) and increasing interaction appear particularly promising for improving these outcomes.","author":[{"dropping-particle":"","family":"Hawkes","given":"R.E.","non-dropping-particle":"","parse-names":false,"suffix":""},{"dropping-particle":"","family":"Cameron","given":"Elaine","non-dropping-particle":"","parse-names":false,"suffix":""},{"dropping-particle":"","family":"Cotterill","given":"Sarah","non-dropping-particle":"","parse-names":false,"suffix":""},{"dropping-particle":"","family":"Bower","given":"Peter","non-dropping-particle":"","parse-names":false,"suffix":""},{"dropping-particle":"","family":"French","given":"David P.","non-dropping-particle":"","parse-names":false,"suffix":""}],"container-title":"BMC Health Services Research","id":"ITEM-3","issued":{"date-parts":[["2020"]]},"page":"1098","publisher":"BMC Health Services Research","title":"The NHS diabetes prevention programme: an observational study of service delivery and patient experience","type":"article-journal","volume":"20"},"uris":["http://www.mendeley.com/documents/?uuid=144b4659-423e-454d-8d8d-99a99782d903"]}],"mendeley":{"formattedCitation":"(R.E. Hawkes et al., 2020; Penn et al., 2018; Rodrigues et al., 2020)","manualFormatting":"(Hawkes et al., 2020; Penn et al., 2018; Rodrigues et al., 2020)","plainTextFormattedCitation":"(R.E. Hawkes et al., 2020; Penn et al., 2018; Rodrigues et al., 2020)","previouslyFormattedCitation":"(R.E. Hawkes et al., 2020; Penn et al., 2018; Rodrigues et al., 2020)"},"properties":{"noteIndex":0},"schema":"https://github.com/citation-style-language/schema/raw/master/csl-citation.json"}</w:instrText>
      </w:r>
      <w:r w:rsidRPr="00103A0B">
        <w:rPr>
          <w:rFonts w:ascii="Arial" w:hAnsi="Arial" w:cs="Arial"/>
          <w:color w:val="000000" w:themeColor="text1"/>
          <w:sz w:val="24"/>
          <w:szCs w:val="24"/>
        </w:rPr>
        <w:fldChar w:fldCharType="separate"/>
      </w:r>
      <w:r w:rsidR="007C66BC" w:rsidRPr="00103A0B">
        <w:rPr>
          <w:rFonts w:ascii="Arial" w:hAnsi="Arial" w:cs="Arial"/>
          <w:noProof/>
          <w:color w:val="000000" w:themeColor="text1"/>
          <w:sz w:val="24"/>
          <w:szCs w:val="24"/>
        </w:rPr>
        <w:t>(Hawkes et al., 2020; Penn et al., 2018; Rodrigues et al., 2020)</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family and friends </w:t>
      </w:r>
      <w:r w:rsidRPr="00103A0B">
        <w:rPr>
          <w:rFonts w:ascii="Arial" w:hAnsi="Arial" w:cs="Arial"/>
          <w:color w:val="000000" w:themeColor="text1"/>
          <w:sz w:val="24"/>
          <w:szCs w:val="24"/>
        </w:rPr>
        <w:fldChar w:fldCharType="begin" w:fldLock="1"/>
      </w:r>
      <w:r w:rsidR="007C3391" w:rsidRPr="00103A0B">
        <w:rPr>
          <w:rFonts w:ascii="Arial" w:hAnsi="Arial" w:cs="Arial"/>
          <w:color w:val="000000" w:themeColor="text1"/>
          <w:sz w:val="24"/>
          <w:szCs w:val="24"/>
        </w:rPr>
        <w:instrText>ADDIN CSL_CITATION {"citationItems":[{"id":"ITEM-1","itemData":{"ISSN":"2044-6055","abstract":"Objectives: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Open","id":"ITEM-1","issued":{"date-parts":[["2018"]]},"note":"Accession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implementation.","type":"article-journal","volume":"8"},"uris":["http://www.mendeley.com/documents/?uuid=0a421108-0e51-4039-8549-33e6c08f2b12"]}],"mendeley":{"formattedCitation":"(Penn et al., 2018)","plainTextFormattedCitation":"(Penn et al., 2018)","previouslyFormattedCitation":"(Penn et al., 2018)"},"properties":{"noteIndex":0},"schema":"https://github.com/citation-style-language/schema/raw/master/csl-citation.json"}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(Penn et al., 2018)</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and in contrast negative experiences relating to structural issues like session scheduling and venue </w:t>
      </w:r>
      <w:r w:rsidRPr="00103A0B">
        <w:rPr>
          <w:rFonts w:ascii="Arial" w:hAnsi="Arial" w:cs="Arial"/>
          <w:color w:val="000000" w:themeColor="text1"/>
          <w:sz w:val="24"/>
          <w:szCs w:val="24"/>
        </w:rPr>
        <w:fldChar w:fldCharType="begin" w:fldLock="1"/>
      </w:r>
      <w:r w:rsidR="00E0420C" w:rsidRPr="00103A0B">
        <w:rPr>
          <w:rFonts w:ascii="Arial" w:hAnsi="Arial" w:cs="Arial"/>
          <w:color w:val="000000" w:themeColor="text1"/>
          <w:sz w:val="24"/>
          <w:szCs w:val="24"/>
        </w:rPr>
        <w:instrText>ADDIN CSL_CITATION {"citationItems":[{"id":"ITEM-1","itemData":{"ISSN":"14726963","PMID":"33246460","abstract":"Background: The NHS Diabetes Prevention Programme (NHS-DPP) is a nine-month, group-based behavioural intervention for adults in England at risk of developing Type 2 diabetes. Four independent providers were commissioned to deliver versions of the NHS-DPP, in line with NHS England specifications. This observational study maps NHS-DPP delivery in routine practice against the NHS specification, and compares service delivery with observed patient experiences. Methods: Researchers observed service delivery across eight complete NHS-DPP courses (118 sessions, median 14 sessions per course), consenting 455 participants (36 staff, 398 patients, 21 accompanying persons). Key features of NHS-DPP delivery were described using the Template for Intervention Description and Replication (TIDieR) framework. Researchers wrote detailed field notes during each session, including observations of patient experience. Field notes were content analysed; instances of positive and negative experiences were labelled and grouped into categories. Researchers used a novel method of comparing observed patient experiences to variations in programme delivery. Results: Delivery broadly followed NHS England’s specification and the plans set out by providers. Deviations included the scheduling and larger group sizes in some sessions. There was variation in the type and format of activities delivered by providers. Positive patient experiences included engagement, satisfaction with the programme, good within-group relationships and reported behavioural changes. Negative experiences included poor scheduling, large groups, and dissatisfaction with the venue. Where more interactive and visual activities were delivered in smaller groups of 10–15 people with good rapport, there were generally more instances of positive patient experiences, and where there were structural issues such as problems with the scheduling of sessions, poor venues and inadequate resources, there tended to be more negative patient experiences. Conclusions: Addressing issues that we have identified as being linked to negative experiences with the NHS-DPP could increase uptake, reduce patient drop-out and increase the overall effectiveness of the programme. In particular, modifying structural aspects of the NHS-DPP (e.g. reliable session scheduling, reducing group sizes, enough session resources) and increasing interaction appear particularly promising for improving these outcomes.","author":[{"dropping-particle":"","family":"Hawkes","given":"R.E.","non-dropping-particle":"","parse-names":false,"suffix":""},{"dropping-particle":"","family":"Cameron","given":"Elaine","non-dropping-particle":"","parse-names":false,"suffix":""},{"dropping-particle":"","family":"Cotterill","given":"Sarah","non-dropping-particle":"","parse-names":false,"suffix":""},{"dropping-particle":"","family":"Bower","given":"Peter","non-dropping-particle":"","parse-names":false,"suffix":""},{"dropping-particle":"","family":"French","given":"David P.","non-dropping-particle":"","parse-names":false,"suffix":""}],"container-title":"BMC Health Services Research","id":"ITEM-1","issued":{"date-parts":[["2020"]]},"page":"1098","publisher":"BMC Health Services Research","title":"The NHS diabetes prevention programme: an observational study of service delivery and patient experience","type":"article-journal","volume":"20"},"uris":["http://www.mendeley.com/documents/?uuid=144b4659-423e-454d-8d8d-99a99782d903"]}],"mendeley":{"formattedCitation":"(R.E. Hawkes et al., 2020)","manualFormatting":"(Hawkes et al., 2020)","plainTextFormattedCitation":"(R.E. Hawkes et al., 2020)","previouslyFormattedCitation":"(R.E. Hawkes et al., 2020)"},"properties":{"noteIndex":0},"schema":"https://github.com/citation-style-language/schema/raw/master/csl-citation.json"}</w:instrText>
      </w:r>
      <w:r w:rsidRPr="00103A0B">
        <w:rPr>
          <w:rFonts w:ascii="Arial" w:hAnsi="Arial" w:cs="Arial"/>
          <w:color w:val="000000" w:themeColor="text1"/>
          <w:sz w:val="24"/>
          <w:szCs w:val="24"/>
        </w:rPr>
        <w:fldChar w:fldCharType="separate"/>
      </w:r>
      <w:r w:rsidR="007C66BC" w:rsidRPr="00103A0B">
        <w:rPr>
          <w:rFonts w:ascii="Arial" w:hAnsi="Arial" w:cs="Arial"/>
          <w:noProof/>
          <w:color w:val="000000" w:themeColor="text1"/>
          <w:sz w:val="24"/>
          <w:szCs w:val="24"/>
        </w:rPr>
        <w:t>(Hawkes et al., 2020)</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Completers of DPPs are more likely to be older, female, from white ethnic backgrounds or from less socioeconomically deprived areas than non-completers </w:t>
      </w:r>
      <w:r w:rsidRPr="00103A0B">
        <w:rPr>
          <w:rFonts w:ascii="Arial" w:hAnsi="Arial" w:cs="Arial"/>
          <w:color w:val="000000" w:themeColor="text1"/>
          <w:sz w:val="24"/>
          <w:szCs w:val="24"/>
        </w:rPr>
        <w:fldChar w:fldCharType="begin" w:fldLock="1"/>
      </w:r>
      <w:r w:rsidR="007C3391" w:rsidRPr="00103A0B">
        <w:rPr>
          <w:rFonts w:ascii="Arial" w:hAnsi="Arial" w:cs="Arial"/>
          <w:color w:val="000000" w:themeColor="text1"/>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programme","type":"article-journal","volume":"43"},"uris":["http://www.mendeley.com/documents/?uuid=32a7a44a-df0b-4cde-9269-536e48e08190"]},{"id":"ITEM-2","itemData":{"ISSN":"21665435","abstract":"Introduction: Weight loss and physical activity achieved through the Diabetes Prevention Program (DPP) have been shown to reduce type 2 diabetes risk among individuals with prediabetes. The New York State Young Men's Christian Association (YMCA) delivered the 16-week evidence-based model at 14 YMCAs. A mixed methods process and outcomes evaluation was conducted. Methods: Most participants were referred by clinicians and were encouraged to achieve 5% to 7% weight loss. Participants were weighed weekly additional data were gathered from participant surveys and focus groups and staffsurveys and interviews. Results: Participants (N = 254) lost a mean of 9 pounds (P &lt;.001), or 4.2% of body weight, by program completion; 40% achieved 5% or more weight loss and 25% achieved 7% or more weight loss. Ten months after baseline, 61% of participants reported 5% or more weight loss and 48% reported 7% or more weight loss. In multivariate models, weight loss was negatively associated with black race (16 weeks: adjusted odds ratio [AOR], 0.190, P =.002; 10 months: AOR, 0.244, P =.005) and positively associated with attendance (16 weeks: AOR, 18.699, P &lt;.001; 10 months: AOR, 2.808, P =.024). Participants reported improvements in health and lifestyle changes after program completion. Factors contributing to program success included coaches who motivated participants, the group setting, curriculum, and program duration. However, sociodemographic diversity was limited. Conclusion: Outcomes demonstrate the potential for effectively implementing the DPP in community-based settings. Findings also suggest the need for replications among a broader population.","author":[{"dropping-particle":"","family":"Bozack","given":"Anne","non-dropping-particle":"","parse-names":false,"suffix":""},{"dropping-particle":"","family":"Millstein","given":"Susan","non-dropping-particle":"","parse-names":false,"suffix":""},{"dropping-particle":"","family":"Garcel","given":"Jacqueline Martinez","non-dropping-particle":"","parse-names":false,"suffix":""},{"dropping-particle":"","family":"Kelly","given":"Kim","non-dropping-particle":"","parse-names":false,"suffix":""},{"dropping-particle":"","family":"Ruberto","given":"Rachael","non-dropping-particle":"","parse-names":false,"suffix":""},{"dropping-particle":"","family":"Weiss","given":"Linda","non-dropping-particle":"","parse-names":false,"suffix":""}],"container-title":"Preventing Chronic Disease","id":"ITEM-2","issued":{"date-parts":[["2014"]]},"page":"140006","title":"Implementation and outcomes of the New York state YMCA diabetes prevention program: A multisite community-based translation, 2010-2012","type":"article-journal","volume":"11"},"uris":["http://www.mendeley.com/documents/?uuid=d5f59245-ab59-4ba0-bd1c-beec143eb24b"]},{"id":"ITEM-3","itemData":{"abstract":"It has been shown that real-life implementation studies for the prevention of type 2 diabetes (DM2) performed in different settings and populations can be effective. However, not enough information is available on factors influencing the reach of DM2 prevention programmes. This study examines the predictors of completing an intervention programme targeted at people at high risk of DM2 in Krakow, Poland as part of the DE-PLAN project.A total of 262 middle-aged people, everyday patients of 9 general practitioners' (GP) practices, at high risk of DM2 (Finnish Diabetes Risk Score (FINDRISK) &gt;14) agreed to participate in the lifestyle intervention to prevent DM2. Intervention consisted of 11 lifestyle counseling sessions, organized physical activity sessions followed by motivational phone calls and letters. Measurements were performed at baseline and 1 year after the initiation of the intervention.Seventy percent of the study participants enrolled completed the core curriculum (n = 184), 22% were men. When compared to noncompleters, completers had a healthier baseline diabetes risk profile (P &lt;.05). People who completed the intervention were less frequently employed versus noncompleters (P = .037), less often had hypertension (P = .043), and more frequently consumed vegetables and fruit daily (P = .055).In multiple logistic regression model, employment reduced the likelihood of completing the intervention 2 times (odds ratio [OR] 0.45, 95% confidence interval [CI] 0.25-0.81). Higher glucose 2 hours after glucose load and hypertension were the independent factors decreasing the chance to participate in the intervention (OR 0.79, 95% 0.69-0.92 and OR 0.52, 95% CI 0.27-0.99, respectively). Daily consumption of vegetables and fruits increased the likelihood of completing the intervention (OR 1.86, 95% 1.01-3.41).In conclusion, people with healthier behavior and risk profile are more predisposed to complete diabetes prevention interventions. Male, those who work and those with a worse health profile, are less likely to participate and complete interventions. Targeted strategies are needed in real-life diabetes prevention interventions to improve male participation and to reach those who are working as well as people with a higher risk profile.;","author":[{"dropping-particle":"","family":"Gilis-Januszewska","given":"Aleksandra","non-dropping-particle":"","parse-names":false,"suffix":""},{"dropping-particle":"","family":"Lindström","given":"Jaana","non-dropping-particle":"","parse-names":false,"suffix":""},{"dropping-particle":"","family":"Barengo","given":"Noël C","non-dropping-particle":"","parse-names":false,"suffix":""},{"dropping-particle":"","family":"Tuomilehto","given":"Jaakko","non-dropping-particle":"","parse-names":false,"suffix":""},{"dropping-particle":"","family":"Schwarz","given":"Peter Eh","non-dropping-particle":"","parse-names":false,"suffix":""},{"dropping-particle":"","family":"Wójtowicz","given":"Ewa","non-dropping-particle":"","parse-names":false,"suffix":""},{"dropping-particle":"","family":"Piwońska-Solska","given":"Beat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Medicine","id":"ITEM-3","issue":"5","issued":{"date-parts":[["2018"]]},"note":"Accession Number: 29384876. Language: English. Date Revised: 20180221. Date Created: 20180201. Date Completed: 20180209. Update Code: 20180221. Publication Type: Journal Article. Journal ID: 2985248R. Publication Model: Print. Cited Medium: Internet. NLM ISO Abbr: Medicine (Baltimore). Comment: Cites: Prim Care Diabetes. 2015 Apr;9(2):96-104. (PMID: 25128324). Cites: BMC Med Res Methodol. 2014 Jan 24;14:13. (PMID: 24461045). Cites: Scand J Work Environ Health. 2010 May;36(3):202-15. (PMID: 20066386). Cites: Diabetes Care. 2003 Dec;26(12):3230-6. (PMID: 14633807). Cites: Diabet Med. 2010 Apr;27(4):459-65. (PMID: 20536519). Cites: Horm Metab Res. 2010 Apr;42 Suppl 1:S37-55. (PMID: 20391307). Cites: Obes Rev. 2005 Feb;6(1):43-65. (PMID: 15655038). Cites: Prim Care Diabetes. 2012 Dec;6(4):277-83. (PMID: 22868007). Cites: BMC Public Health. 2017 Feb 15;17 (1):198. (PMID: 28202029). Cites: Diabetes Care. 2007 Oct;30(10):2465-70. (PMID: 17586741). Cites: Horm Metab Res. 2010 Apr;42 Suppl 1:S3-36. (PMID: 20391306). Cites: Diabetes Care. 2014 Apr;37(4):922-33. (PMID: 24652723). Cites: Am J Prev Med. 2009 Oct;37(4):340-57. (PMID: 19765507). Cites: BMC Health Serv Res. 2013 May 31;13:201. (PMID: 23725521). Cites: Exp Clin Endocrinol Diabetes. 2008 Mar;116(3):167-72. (PMID: 18350480). Cites: Metabolism. 2013 Feb;62(2):303-14. (PMID: 22959500). Cites: J Med Internet Res. 2015 Apr 10;17(4):e92. (PMID: 25863515). Cites: Am J Prev Med. 2007 May;32(5):419-34. (PMID: 17478269). Cites: BMC Health Serv Res. 2008 Feb 04;8:33. (PMID: 18248673). Cites: J Cardiovasc Nurs. 2006 Jul-Aug;21(4):251-8; quiz 259-60. (PMID: 16823276). Cites: Diabetologia. 2012 May;55(5):1319-28. (PMID: 22322921). Cites: Diabetes. 1997 Apr;46(4):701-10. (PMID: 9075814). Cites: N Engl J Med. 2001 May 3;344(18):1343-50. (PMID: 11333990). Cites: Health Educ Res. 2009 Aug;24(4):699-720. (PMID: 19286893). Cites: BMC Public Health. 2012 Sep 24;12:822. (PMID: 23006577). Cites: BMC Public Health. 2007 Sep 19;7:249. (PMID: 17877832). Cites: N Engl J Med. 2002 Feb 7;346(6):393-403. (PMID: 11832527). Cites: Addict Behav. 1996 Jul-Aug;21(4):509-13. (PMID: 8830908). Cites: Am J Prev Med. 2009 Feb;36(2):142-9. (PMID: 19062240). Cites: Diabet Med. 2013 Jan;30(1):3-15. (PMID: 22998334). Cites: Diabetes Res Clin Pract. 2016 Feb;112:13-19. (PMID: 26724186). Linking ISSN: 00257974. Subset: AIM; IM; Date of Electronic Publication: 20180201. ; Original Imprints: Publication: Hagerstown, Md : Lippincott Williams &amp;amp; Wilkins","page":"e9790","title":"Predictors of completing a primary health care diabetes prevention intervention programme in people at high risk of type 2 diabetes: experiences of the DE-PLAN project.","type":"article-journal","volume":"97"},"uris":["http://www.mendeley.com/documents/?uuid=57445cef-4f0f-4d72-8634-76a2864ec486"]},{"id":"ITEM-4","itemData":{"ISSN":"20524897","PMID":"33303493","abstract":"Introduction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Care","id":"ITEM-4","issued":{"date-parts":[["2020"]]},"page":"e001835","title":"'Going the distance': an independent cohort study of engagement and dropout among the first 100 000 referrals into a large-scale diabetes prevention program","type":"article-journal","volume":"8"},"uris":["http://www.mendeley.com/documents/?uuid=40d46080-9604-42ba-942c-0e13d9f1562f"]}],"mendeley":{"formattedCitation":"(Bozack et al., 2014; Gilis-Januszewska, Lindström, et al., 2018; Howarth et al., 2020; Valabhji et al., 2020)","plainTextFormattedCitation":"(Bozack et al., 2014; Gilis-Januszewska, Lindström, et al., 2018; Howarth et al., 2020; Valabhji et al., 2020)","previouslyFormattedCitation":"(Bozack et al., 2014; Gilis-Januszewska, Lindström, et al., 2018; Howarth et al., 2020; Valabhji et al., 2020)"},"properties":{"noteIndex":0},"schema":"https://github.com/citation-style-language/schema/raw/master/csl-citation.json"}</w:instrText>
      </w:r>
      <w:r w:rsidRPr="00103A0B">
        <w:rPr>
          <w:rFonts w:ascii="Arial" w:hAnsi="Arial" w:cs="Arial"/>
          <w:color w:val="000000" w:themeColor="text1"/>
          <w:sz w:val="24"/>
          <w:szCs w:val="24"/>
        </w:rPr>
        <w:fldChar w:fldCharType="separate"/>
      </w:r>
      <w:r w:rsidR="007C3391" w:rsidRPr="00103A0B">
        <w:rPr>
          <w:rFonts w:ascii="Arial" w:hAnsi="Arial" w:cs="Arial"/>
          <w:noProof/>
          <w:color w:val="000000" w:themeColor="text1"/>
          <w:sz w:val="24"/>
          <w:szCs w:val="24"/>
        </w:rPr>
        <w:t>(Bozack et al., 2014; Gilis-Januszewska, Lindström, et al., 2018; Howarth et al., 2020; Valabhji et al., 2020)</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It is therefore important to explore perceptions from people with ethnically diverse backgrounds, living in more socioeconomically deprived areas who are shown to be less likely to complete the NHSDPP </w:t>
      </w:r>
      <w:r w:rsidRPr="00103A0B">
        <w:rPr>
          <w:rFonts w:ascii="Arial" w:hAnsi="Arial" w:cs="Arial"/>
          <w:color w:val="000000" w:themeColor="text1"/>
          <w:sz w:val="24"/>
          <w:szCs w:val="24"/>
        </w:rPr>
        <w:fldChar w:fldCharType="begin" w:fldLock="1"/>
      </w:r>
      <w:r w:rsidR="007C3391" w:rsidRPr="00103A0B">
        <w:rPr>
          <w:rFonts w:ascii="Arial" w:hAnsi="Arial" w:cs="Arial"/>
          <w:color w:val="000000" w:themeColor="text1"/>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programme","type":"article-journal","volume":"43"},"uris":["http://www.mendeley.com/documents/?uuid=32a7a44a-df0b-4cde-9269-536e48e08190"]}],"mendeley":{"formattedCitation":"(Valabhji et al., 2020)","plainTextFormattedCitation":"(Valabhji et al., 2020)","previouslyFormattedCitation":"(Valabhji et al., 2020)"},"properties":{"noteIndex":0},"schema":"https://github.com/citation-style-language/schema/raw/master/csl-citation.json"}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(Valabhji et al., 2020)</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w:t>
      </w:r>
    </w:p>
    <w:p w14:paraId="15D25830" w14:textId="3B7C7275" w:rsidR="00A73B81" w:rsidRPr="00103A0B" w:rsidRDefault="00A73B81" w:rsidP="00A73B81">
      <w:pPr>
        <w:spacing w:before="100" w:after="100" w:line="360" w:lineRule="auto"/>
        <w:jc w:val="both"/>
        <w:rPr>
          <w:rFonts w:ascii="Arial" w:hAnsi="Arial" w:cs="Arial"/>
          <w:sz w:val="24"/>
          <w:szCs w:val="24"/>
        </w:rPr>
      </w:pPr>
      <w:r w:rsidRPr="00103A0B">
        <w:rPr>
          <w:rFonts w:ascii="Arial" w:hAnsi="Arial" w:cs="Arial"/>
          <w:color w:val="000000" w:themeColor="text1"/>
          <w:sz w:val="24"/>
          <w:szCs w:val="24"/>
        </w:rPr>
        <w:t>Factors that have influenced completion in other health programmes include illness perceptions (IPs). Illness perceptions</w:t>
      </w:r>
      <w:r w:rsidRPr="00103A0B">
        <w:rPr>
          <w:rFonts w:ascii="Arial" w:hAnsi="Arial" w:cs="Arial"/>
          <w:sz w:val="24"/>
          <w:szCs w:val="24"/>
        </w:rPr>
        <w:t xml:space="preserve"> are beliefs or cognitive perceptions that individuals have about their illness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conditions","type":"article-journal","volume":"20"},"uris":["http://www.mendeley.com/documents/?uuid=6ab2e4be-fe8b-472d-9f8b-4708fd8304e7"]}],"mendeley":{"formattedCitation":"(Petrie et al., 2007)","plainTextFormattedCitation":"(Petrie et al., 2007)","previouslyFormattedCitation":"(Petrie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et al., 2007)</w:t>
      </w:r>
      <w:r w:rsidRPr="00103A0B">
        <w:rPr>
          <w:rFonts w:ascii="Arial" w:hAnsi="Arial" w:cs="Arial"/>
          <w:sz w:val="24"/>
          <w:szCs w:val="24"/>
        </w:rPr>
        <w:fldChar w:fldCharType="end"/>
      </w:r>
      <w:r w:rsidRPr="00103A0B">
        <w:rPr>
          <w:rFonts w:ascii="Arial" w:hAnsi="Arial" w:cs="Arial"/>
          <w:sz w:val="24"/>
          <w:szCs w:val="24"/>
        </w:rPr>
        <w:t xml:space="preserve">. They comprise beliefs concerning illness: identity, causes, timeline, consequences, and cure/control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{"citationItems":[{"id":"ITEM-1","itemData":{"ISSN":"08870446","abstract":"The Illness Perception Questionnaire (IPQ) is a new method for assessing cognitive representations of illness. The IPQ is a theoretically derived measure comprising five scales that provides information about the five components that have been found to underlie the cognitive representation of illness. The five scales assess identity - the symptoms the patient associates with the illness, cause - personal ideas about aetiology, time-line - the perceived duration of the illness, consequences - expected effects and outcome and cure control - how one controls or recovers from the illness. The IPQ has a specific number of core items but allows the user to add items for particular patient groups or health threats. Data is presented supporting the reliability and validity of the IPQ scales in different chronic illness populations.","author":[{"dropping-particle":"","family":"Weinman","given":"John.","non-dropping-particle":"","parse-names":false,"suffix":""},{"dropping-particle":"","family":"Petrie","given":"Keith J.","non-dropping-particle":"","parse-names":false,"suffix":""},{"dropping-particle":"","family":"Moss-Morris","given":"Rona","non-dropping-particle":"","parse-names":false,"suffix":""},{"dropping-particle":"","family":"Horne","given":"Rob","non-dropping-particle":"","parse-names":false,"suffix":""}],"container-title":"Psychology and Health","id":"ITEM-1","issue":"3","issued":{"date-parts":[["1996"]]},"page":"431-445","title":"The illness perception questionnaire: a new method for assessing the cognitive representation of illness","type":"article-journal","volume":"11"},"uris":["http://www.mendeley.com/documents/?uuid=042696dd-59b4-42f9-be46-893b4e2489bb"]}],"mendeley":{"formattedCitation":"(Weinman et al., 1996)","plainTextFormattedCitation":"(Weinman et al., 1996)","previouslyFormattedCitation":"(Weinman et al., 1996)"},"properties":{"noteIndex":0},"schema":"https://github.com/citation-style-language/schema/raw/master/csl-citation.json"}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(Weinman et al., 1996)</w:t>
      </w:r>
      <w:r w:rsidRPr="00103A0B">
        <w:rPr>
          <w:rFonts w:ascii="Arial" w:hAnsi="Arial" w:cs="Arial"/>
          <w:sz w:val="24"/>
          <w:szCs w:val="24"/>
        </w:rPr>
        <w:fldChar w:fldCharType="end"/>
      </w:r>
      <w:r w:rsidRPr="00103A0B">
        <w:rPr>
          <w:rFonts w:ascii="Arial" w:hAnsi="Arial" w:cs="Arial"/>
          <w:sz w:val="24"/>
          <w:szCs w:val="24"/>
        </w:rPr>
        <w:t xml:space="preserve">. Illness perceptions are vital determinants of behaviour in individuals with various medical conditions such as T2DM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conditions","type":"article-journal","volume":"20"},"uris":["http://www.mendeley.com/documents/?uuid=6ab2e4be-fe8b-472d-9f8b-4708fd8304e7"]}],"mendeley":{"formattedCitation":"(Petrie et al., 2007)","plainTextFormattedCitation":"(Petrie et al., 2007)","previouslyFormattedCitation":"(Petrie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et al., 2007)</w:t>
      </w:r>
      <w:r w:rsidRPr="00103A0B">
        <w:rPr>
          <w:rFonts w:ascii="Arial" w:hAnsi="Arial" w:cs="Arial"/>
          <w:sz w:val="24"/>
          <w:szCs w:val="24"/>
        </w:rPr>
        <w:fldChar w:fldCharType="end"/>
      </w:r>
      <w:r w:rsidRPr="00103A0B">
        <w:rPr>
          <w:rFonts w:ascii="Arial" w:hAnsi="Arial" w:cs="Arial"/>
          <w:sz w:val="24"/>
          <w:szCs w:val="24"/>
        </w:rPr>
        <w:t xml:space="preserve">.  Research to support the influence of IPs on completion for other health prevention programmes, reported that non-completion was associated with a lower number of illness consequences, low perceptions of controllability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Psychology","id":"ITEM-1","issue":"2","issued":{"date-parts":[["2003"]]},"page":"209-221","title":"Illness perceptions, mood and coping in predicting attendance at cardiac rehabilitation","type":"article-journal","volume":"8"},"uris":["http://www.mendeley.com/documents/?uuid=2b23aeed-ebf4-4ab9-8528-f2beb3776198"]},{"id":"ITEM-2","itemData":{"ISBN":"0269215506","ISSN":"02692155","PMID":"17329279","abstract":"Objective: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Rehabilitation","id":"ITEM-2","issued":{"date-parts":[["2007"]]},"page":"222-229","title":"Predictors of drop-out from an outpatient cardiac rehabilitation programme","type":"article-journal","volume":"21"},"uris":["http://www.mendeley.com/documents/?uuid=1c9fcf5a-0df3-4220-a7bb-617e9a88b582"]}],"mendeley":{"formattedCitation":"(Whitmarsh et al., 2003; Yohannes et al., 2007)","plainTextFormattedCitation":"(Whitmarsh et al., 2003; Yohannes et al., 2007)","previouslyFormattedCitation":"(Whitmarsh et al., 2003; Yohannes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(Whitmarsh et al., 2003; Yohannes et al., 2007)</w:t>
      </w:r>
      <w:r w:rsidRPr="00103A0B">
        <w:rPr>
          <w:rFonts w:ascii="Arial" w:hAnsi="Arial" w:cs="Arial"/>
          <w:sz w:val="24"/>
          <w:szCs w:val="24"/>
        </w:rPr>
        <w:fldChar w:fldCharType="end"/>
      </w:r>
      <w:r w:rsidRPr="00103A0B">
        <w:rPr>
          <w:rFonts w:ascii="Arial" w:hAnsi="Arial" w:cs="Arial"/>
          <w:sz w:val="24"/>
          <w:szCs w:val="24"/>
        </w:rPr>
        <w:t xml:space="preserve"> and high levels of personal control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Rehabilitation","id":"ITEM-1","issued":{"date-parts":[["2007"]]},"page":"222-229","title":"Predictors of drop-out from an outpatient cardiac rehabilitation programme","type":"article-journal","volume":"21"},"uris":["http://www.mendeley.com/documents/?uuid=1c9fcf5a-0df3-4220-a7bb-617e9a88b582"]}],"mendeley":{"formattedCitation":"(Yohannes et al., 2007)","plainTextFormattedCitation":"(Yohannes et al., 2007)","previouslyFormattedCitation":"(Yohannes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(Yohannes et al., 2007)</w:t>
      </w:r>
      <w:r w:rsidRPr="00103A0B">
        <w:rPr>
          <w:rFonts w:ascii="Arial" w:hAnsi="Arial" w:cs="Arial"/>
          <w:sz w:val="24"/>
          <w:szCs w:val="24"/>
        </w:rPr>
        <w:fldChar w:fldCharType="end"/>
      </w:r>
      <w:r w:rsidRPr="00103A0B">
        <w:rPr>
          <w:rFonts w:ascii="Arial" w:hAnsi="Arial" w:cs="Arial"/>
          <w:sz w:val="24"/>
          <w:szCs w:val="24"/>
        </w:rPr>
        <w:t xml:space="preserve">. However, whether IPs have a role in influencing completion in diabetes prevention programmes is not yet known. </w:t>
      </w:r>
    </w:p>
    <w:p w14:paraId="167CF540" w14:textId="08FABAEB" w:rsidR="00022ED5" w:rsidRPr="00103A0B" w:rsidRDefault="00A73B81" w:rsidP="00CD5919">
      <w:pPr>
        <w:spacing w:before="100" w:after="100" w:line="360" w:lineRule="auto"/>
        <w:jc w:val="both"/>
        <w:rPr>
          <w:rFonts w:ascii="Arial" w:hAnsi="Arial" w:cs="Arial"/>
          <w:sz w:val="24"/>
          <w:szCs w:val="24"/>
        </w:rPr>
      </w:pPr>
      <w:r w:rsidRPr="00103A0B">
        <w:rPr>
          <w:rFonts w:ascii="Arial" w:hAnsi="Arial" w:cs="Arial"/>
          <w:color w:val="000000" w:themeColor="text1"/>
          <w:sz w:val="24"/>
          <w:szCs w:val="24"/>
        </w:rPr>
        <w:t xml:space="preserve">This present study is based in an area of South London, England where 46% of the population identify themselves as belonging to the Black, Asian and Minority Ethnic (BAME) group </w:t>
      </w:r>
      <w:r w:rsidRPr="00103A0B">
        <w:rPr>
          <w:rFonts w:ascii="Arial" w:hAnsi="Arial" w:cs="Arial"/>
          <w:color w:val="000000" w:themeColor="text1"/>
          <w:sz w:val="24"/>
          <w:szCs w:val="24"/>
        </w:rPr>
        <w:fldChar w:fldCharType="begin" w:fldLock="1"/>
      </w:r>
      <w:r w:rsidR="007C3391" w:rsidRPr="00103A0B">
        <w:rPr>
          <w:rFonts w:ascii="Arial" w:hAnsi="Arial" w:cs="Arial"/>
          <w:color w:val="000000" w:themeColor="text1"/>
          <w:sz w:val="24"/>
          <w:szCs w:val="24"/>
        </w:rPr>
        <w:instrText>ADDIN CSL_CITATION {"citationItems":[{"id":"ITEM-1","itemData":{"author":[{"dropping-particle":"","family":"Southwark Council","given":"","non-dropping-particle":"","parse-names":false,"suffix":""}],"id":"ITEM-1","issued":{"date-parts":[["2018"]]},"number-of-pages":"1-16","title":"Overview of Southwark ’ s population","type":"report"},"uris":["http://www.mendeley.com/documents/?uuid=8112468d-9641-44c5-86b6-21a1686fdb70"]}],"mendeley":{"formattedCitation":"(Southwark Council, 2018)","plainTextFormattedCitation":"(Southwark Council, 2018)","previouslyFormattedCitation":"(Southwark Council, 2018)"},"properties":{"noteIndex":0},"schema":"https://github.com/citation-style-language/schema/raw/master/csl-citation.json"}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(Southwark Council, 2018)</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known to be at a higher T2DM risk than White groups</w:t>
      </w:r>
      <w:bookmarkStart w:id="365" w:name="_Hlk49209570"/>
      <w:r w:rsidRPr="00103A0B">
        <w:rPr>
          <w:rFonts w:ascii="Arial" w:hAnsi="Arial" w:cs="Arial"/>
          <w:color w:val="000000" w:themeColor="text1"/>
          <w:sz w:val="24"/>
          <w:szCs w:val="24"/>
        </w:rPr>
        <w:t xml:space="preserve"> </w:t>
      </w:r>
      <w:r w:rsidRPr="00103A0B">
        <w:fldChar w:fldCharType="begin" w:fldLock="1"/>
      </w:r>
      <w:r w:rsidR="007C3391" w:rsidRPr="00103A0B">
        <w:rPr>
          <w:rFonts w:ascii="Arial" w:hAnsi="Arial" w:cs="Arial"/>
          <w:color w:val="000000" w:themeColor="text1"/>
          <w:sz w:val="24"/>
          <w:szCs w:val="24"/>
        </w:rPr>
        <w:instrText>ADDIN CSL_CITATION {"citationItems":[{"id":"ITEM-1","itemData":{"DOI":"10.1016/j.pcd.2010.08.002","ISSN":"1751-9918","author":[{"dropping-particle":"","family":"Gholap","given":"Nitin","non-dropping-particle":"","parse-names":false,"suffix":""},{"dropping-particle":"","family":"Davies","given":"Melanie","non-dropping-particle":"","parse-names":false,"suffix":""},{"dropping-particle":"","family":"Patel","given":"Kiran","non-dropping-particle":"","parse-names":false,"suffix":""},{"dropping-particle":"","family":"Sattar","given":"Naveed","non-dropping-particle":"","parse-names":false,"suffix":""},{"dropping-particle":"","family":"Khunti","given":"Kamlesh","non-dropping-particle":"","parse-names":false,"suffix":""}],"container-title":"Primary Care Diabetes","id":"ITEM-1","issued":{"date-parts":[["2011"]]},"page":"45-56","publisher":"Primary Care Diabetes Europe","title":"Type 2 diabetes and cardiovascular disease in South Asians","type":"article-journal","volume":"5"},"uris":["http://www.mendeley.com/documents/?uuid=9d8ffa18-1c88-49ef-8e29-4ace97571aca"]}],"mendeley":{"formattedCitation":"(Gholap et al., 2011)","plainTextFormattedCitation":"(Gholap et al., 2011)","previouslyFormattedCitation":"(Gholap et al., 2011)"},"properties":{"noteIndex":0},"schema":"https://github.com/citation-style-language/schema/raw/master/csl-citation.json"}</w:instrText>
      </w:r>
      <w:r w:rsidRPr="00103A0B">
        <w:fldChar w:fldCharType="separate"/>
      </w:r>
      <w:r w:rsidRPr="00103A0B">
        <w:rPr>
          <w:rFonts w:ascii="Arial" w:hAnsi="Arial" w:cs="Arial"/>
          <w:noProof/>
          <w:color w:val="000000" w:themeColor="text1"/>
          <w:sz w:val="24"/>
          <w:szCs w:val="24"/>
        </w:rPr>
        <w:t>(Gholap et al., 2011)</w:t>
      </w:r>
      <w:r w:rsidRPr="00103A0B">
        <w:fldChar w:fldCharType="end"/>
      </w:r>
      <w:bookmarkEnd w:id="365"/>
      <w:r w:rsidRPr="00103A0B">
        <w:rPr>
          <w:rFonts w:ascii="Arial" w:hAnsi="Arial" w:cs="Arial"/>
          <w:color w:val="000000" w:themeColor="text1"/>
          <w:sz w:val="24"/>
          <w:szCs w:val="24"/>
        </w:rPr>
        <w:t xml:space="preserve">. Compared to the national average, this area of South London is more </w:t>
      </w:r>
      <w:r w:rsidRPr="00103A0B">
        <w:rPr>
          <w:rFonts w:ascii="Arial" w:eastAsia="Calibri" w:hAnsi="Arial" w:cs="Arial"/>
          <w:color w:val="000000"/>
          <w:sz w:val="24"/>
          <w:szCs w:val="24"/>
        </w:rPr>
        <w:t xml:space="preserve">socio-economically deprived </w:t>
      </w:r>
      <w:r w:rsidRPr="00103A0B">
        <w:rPr>
          <w:rFonts w:ascii="Arial" w:hAnsi="Arial" w:cs="Arial"/>
          <w:color w:val="000000" w:themeColor="text1"/>
          <w:sz w:val="24"/>
          <w:szCs w:val="24"/>
        </w:rPr>
        <w:fldChar w:fldCharType="begin" w:fldLock="1"/>
      </w:r>
      <w:r w:rsidR="007C3391" w:rsidRPr="00103A0B">
        <w:rPr>
          <w:rFonts w:ascii="Arial" w:hAnsi="Arial" w:cs="Arial"/>
          <w:color w:val="000000" w:themeColor="text1"/>
          <w:sz w:val="24"/>
          <w:szCs w:val="24"/>
        </w:rPr>
        <w:instrText>ADDIN CSL_CITATION {"citationItems":[{"id":"ITEM-1","itemData":{"author":[{"dropping-particle":"","family":"New Policy Institute","given":"","non-dropping-particle":"","parse-names":false,"suffix":""}],"id":"ITEM-1","issued":{"date-parts":[["2016"]]},"number-of-pages":"1-41","title":"Demography and deprivation in Southwark and Tower Hamlets","type":"report"},"uris":["http://www.mendeley.com/documents/?uuid=99d93356-8ea6-45e8-b861-56b0f78d2dc2"]}],"mendeley":{"formattedCitation":"(New Policy Institute, 2016)","plainTextFormattedCitation":"(New Policy Institute, 2016)","previouslyFormattedCitation":"(New Policy Institute, 2016)"},"properties":{"noteIndex":0},"schema":"https://github.com/citation-style-language/schema/raw/master/csl-citation.json"}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(New Policy Institute, 2016)</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and high deprivation has also been associated with increased T2DM risk </w:t>
      </w:r>
      <w:r w:rsidRPr="00103A0B">
        <w:rPr>
          <w:rFonts w:ascii="Arial" w:hAnsi="Arial" w:cs="Arial"/>
          <w:color w:val="000000" w:themeColor="text1"/>
          <w:sz w:val="24"/>
          <w:szCs w:val="24"/>
        </w:rPr>
        <w:fldChar w:fldCharType="begin" w:fldLock="1"/>
      </w:r>
      <w:r w:rsidR="007C3391" w:rsidRPr="00103A0B">
        <w:rPr>
          <w:rFonts w:ascii="Arial" w:hAnsi="Arial" w:cs="Arial"/>
          <w:color w:val="000000" w:themeColor="text1"/>
          <w:sz w:val="24"/>
          <w:szCs w:val="24"/>
        </w:rPr>
        <w:instrText>ADDIN CSL_CITATION {"citationItems":[{"id":"ITEM-1","itemData":{"author":[{"dropping-particle":"","family":"Mainous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Open","id":"ITEM-1","issued":{"date-parts":[["2014"]]},"page":"e005002","title":"Prevalence of prediabetes in England from 2003 to 2011: population-based, cross-sectional study","type":"article-journal","volume":"4"},"uris":["http://www.mendeley.com/documents/?uuid=3d8c06b2-c467-4cfa-b523-36fc0982e568"]}],"mendeley":{"formattedCitation":"(Mainous III et al., 2014)","plainTextFormattedCitation":"(Mainous III et al., 2014)","previouslyFormattedCitation":"(Mainous III et al., 2014)"},"properties":{"noteIndex":0},"schema":"https://github.com/citation-style-language/schema/raw/master/csl-citation.json"}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(Mainous III et al., 2014)</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Exploring facilitators and barriers to completion, particularly with this at-risk population, could better inform programme delivery and retention strategies. </w:t>
      </w:r>
      <w:r w:rsidRPr="00103A0B">
        <w:rPr>
          <w:rFonts w:ascii="Arial" w:hAnsi="Arial" w:cs="Arial"/>
          <w:sz w:val="24"/>
          <w:szCs w:val="24"/>
        </w:rPr>
        <w:t>This study aimed to explore key influences on whether participants living in an ethnically diverse, socioeconomically deprived area complete the NHS Diabetes Prevention Programme.</w:t>
      </w:r>
    </w:p>
    <w:p w14:paraId="15E18D1C" w14:textId="77777777" w:rsidR="00E0420C" w:rsidRPr="00103A0B" w:rsidRDefault="00E0420C" w:rsidP="00CD5919">
      <w:pPr>
        <w:spacing w:before="100" w:after="100" w:line="360" w:lineRule="auto"/>
        <w:jc w:val="both"/>
        <w:rPr>
          <w:rFonts w:ascii="Arial" w:hAnsi="Arial" w:cs="Arial"/>
          <w:sz w:val="24"/>
          <w:szCs w:val="24"/>
        </w:rPr>
      </w:pPr>
    </w:p>
    <w:p w14:paraId="39738522" w14:textId="45C90696" w:rsidR="00A54CAE" w:rsidRPr="00103A0B" w:rsidRDefault="00022ED5" w:rsidP="00CD5919">
      <w:pPr>
        <w:pStyle w:val="Heading2"/>
        <w:numPr>
          <w:ilvl w:val="0"/>
          <w:numId w:val="0"/>
        </w:numPr>
        <w:jc w:val="both"/>
        <w:rPr>
          <w:rFonts w:ascii="Arial" w:eastAsia="Times New Roman" w:hAnsi="Arial" w:cs="Arial"/>
          <w:sz w:val="28"/>
        </w:rPr>
      </w:pPr>
      <w:bookmarkStart w:id="366" w:name="_Toc151548326"/>
      <w:r w:rsidRPr="00103A0B">
        <w:rPr>
          <w:rFonts w:ascii="Arial" w:hAnsi="Arial" w:cs="Arial"/>
          <w:sz w:val="28"/>
        </w:rPr>
        <w:t xml:space="preserve">6.2 </w:t>
      </w:r>
      <w:r w:rsidR="00A54CAE" w:rsidRPr="00103A0B">
        <w:rPr>
          <w:rFonts w:ascii="Arial" w:hAnsi="Arial" w:cs="Arial"/>
          <w:sz w:val="28"/>
        </w:rPr>
        <w:t xml:space="preserve">Material and </w:t>
      </w:r>
      <w:r w:rsidRPr="00103A0B">
        <w:rPr>
          <w:rFonts w:ascii="Arial" w:hAnsi="Arial" w:cs="Arial"/>
          <w:sz w:val="28"/>
        </w:rPr>
        <w:t>M</w:t>
      </w:r>
      <w:r w:rsidR="00A54CAE" w:rsidRPr="00103A0B">
        <w:rPr>
          <w:rFonts w:ascii="Arial" w:hAnsi="Arial" w:cs="Arial"/>
          <w:sz w:val="28"/>
        </w:rPr>
        <w:t>ethods</w:t>
      </w:r>
      <w:bookmarkEnd w:id="366"/>
      <w:r w:rsidR="00A54CAE" w:rsidRPr="00103A0B">
        <w:rPr>
          <w:rFonts w:ascii="Arial" w:hAnsi="Arial" w:cs="Arial"/>
          <w:sz w:val="28"/>
        </w:rPr>
        <w:t xml:space="preserve"> </w:t>
      </w:r>
    </w:p>
    <w:p w14:paraId="3B49B663" w14:textId="58EE0A72" w:rsidR="00A54CAE" w:rsidRPr="00103A0B" w:rsidRDefault="00022ED5" w:rsidP="00F8219C">
      <w:pPr>
        <w:keepLines/>
        <w:jc w:val="both"/>
        <w:rPr>
          <w:rFonts w:ascii="Arial" w:hAnsi="Arial" w:cs="Arial"/>
          <w:b/>
          <w:bCs/>
          <w:sz w:val="24"/>
          <w:szCs w:val="24"/>
        </w:rPr>
      </w:pPr>
      <w:r w:rsidRPr="00103A0B">
        <w:rPr>
          <w:rFonts w:ascii="Arial" w:hAnsi="Arial" w:cs="Arial"/>
          <w:b/>
          <w:bCs/>
          <w:sz w:val="24"/>
          <w:szCs w:val="24"/>
        </w:rPr>
        <w:t xml:space="preserve">6.2.1 </w:t>
      </w:r>
      <w:r w:rsidR="00A54CAE" w:rsidRPr="00103A0B">
        <w:rPr>
          <w:rFonts w:ascii="Arial" w:hAnsi="Arial" w:cs="Arial"/>
          <w:b/>
          <w:bCs/>
          <w:sz w:val="24"/>
          <w:szCs w:val="24"/>
        </w:rPr>
        <w:t xml:space="preserve">Sampling and </w:t>
      </w:r>
      <w:r w:rsidRPr="00103A0B">
        <w:rPr>
          <w:rFonts w:ascii="Arial" w:hAnsi="Arial" w:cs="Arial"/>
          <w:b/>
          <w:bCs/>
          <w:sz w:val="24"/>
          <w:szCs w:val="24"/>
        </w:rPr>
        <w:t>R</w:t>
      </w:r>
      <w:r w:rsidR="00A54CAE" w:rsidRPr="00103A0B">
        <w:rPr>
          <w:rFonts w:ascii="Arial" w:hAnsi="Arial" w:cs="Arial"/>
          <w:b/>
          <w:bCs/>
          <w:sz w:val="24"/>
          <w:szCs w:val="24"/>
        </w:rPr>
        <w:t xml:space="preserve">ecruitment </w:t>
      </w:r>
    </w:p>
    <w:p w14:paraId="5033435F" w14:textId="11AA57A1" w:rsidR="00A54CAE" w:rsidRPr="00103A0B" w:rsidRDefault="00A73B81" w:rsidP="00CD5919">
      <w:pPr>
        <w:spacing w:line="360" w:lineRule="auto"/>
        <w:jc w:val="both"/>
        <w:rPr>
          <w:rFonts w:ascii="Arial" w:hAnsi="Arial" w:cs="Arial"/>
          <w:sz w:val="24"/>
          <w:szCs w:val="24"/>
        </w:rPr>
      </w:pPr>
      <w:r w:rsidRPr="00103A0B">
        <w:rPr>
          <w:rFonts w:ascii="Arial" w:hAnsi="Arial" w:cs="Arial"/>
          <w:sz w:val="24"/>
          <w:szCs w:val="24"/>
        </w:rPr>
        <w:t xml:space="preserve">This study was </w:t>
      </w:r>
      <w:r w:rsidR="003E7A80" w:rsidRPr="00103A0B">
        <w:rPr>
          <w:rFonts w:ascii="Arial" w:hAnsi="Arial" w:cs="Arial"/>
          <w:sz w:val="24"/>
          <w:szCs w:val="24"/>
        </w:rPr>
        <w:t xml:space="preserve">ethically </w:t>
      </w:r>
      <w:r w:rsidRPr="00103A0B">
        <w:rPr>
          <w:rFonts w:ascii="Arial" w:hAnsi="Arial" w:cs="Arial"/>
          <w:sz w:val="24"/>
          <w:szCs w:val="24"/>
        </w:rPr>
        <w:t xml:space="preserve">approved by </w:t>
      </w:r>
      <w:r w:rsidR="00C220D1" w:rsidRPr="00103A0B">
        <w:rPr>
          <w:rFonts w:ascii="Arial" w:hAnsi="Arial" w:cs="Arial"/>
          <w:sz w:val="24"/>
          <w:szCs w:val="24"/>
        </w:rPr>
        <w:t>Staffordshire University</w:t>
      </w:r>
      <w:r w:rsidRPr="00103A0B">
        <w:rPr>
          <w:rFonts w:ascii="Arial" w:hAnsi="Arial" w:cs="Arial"/>
          <w:sz w:val="24"/>
          <w:szCs w:val="24"/>
        </w:rPr>
        <w:t>. The researcher emailed invitation letters to those participants who had taken part in a previous study where they were interviewed by the researcher (SB) as those attending a diabetes prevention programme</w:t>
      </w:r>
      <w:r w:rsidR="00591FE2" w:rsidRPr="00103A0B">
        <w:rPr>
          <w:rFonts w:ascii="Arial" w:hAnsi="Arial" w:cs="Arial"/>
          <w:sz w:val="24"/>
          <w:szCs w:val="24"/>
        </w:rPr>
        <w:t xml:space="preserve"> </w:t>
      </w:r>
      <w:r w:rsidR="00591FE2"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{"citationItems":[{"id":"ITEM-1","itemData":{"DOI":"10.1111/dme.14804","ISSN":"14645491","PMID":"35122316","abstract":"Aims: To explore key influences of decisions in participants from a socioeconomically deprived area to attend the Healthier You: NHS Diabetes Prevention Programme (NHSDPP). The NHSDPP is a lifestyle behaviour change programme for adults with prediabetes living in England. Methods: Semi-structured interviews were conducted with 35 participants who had attended the initial assessment, but not yet started the NHSDPP; 23 were classified as “attenders,” 12 as “non-attenders” after they were interviewed based on whether they had attended the first NHSDPP session or not. Transcribed interviews were analysed using inductive thematic analysis. Results: Seven themes were derived from the data. The results demonstrate how understanding type 2 diabetes, making lifestyle changes, comparing themselves with others, having support and certain self-perceptions can all affect individuals’ motivation to attend a diabetes prevention programme. Accessibility and practicalities also influenced both motivation and attendance. Conclusions: This study identified a range of different influences on decisions to attend a diabetes prevention programme, which programme organisers and healthcare professionals should consider to maximise attendance. Initial communication from general practitioners (GPs) and initial assessments are key points where people's beliefs and understanding could be explored.","author":[{"dropping-particle":"","family":"Begum","given":"Sonia","non-dropping-particle":"","parse-names":false,"suffix":""},{"dropping-particle":"","family":"Povey","given":"Rachel","non-dropping-particle":"","parse-names":false,"suffix":""},{"dropping-particle":"","family":"Ellis","given":"Naomi","non-dropping-particle":"","parse-names":false,"suffix":""},{"dropping-particle":"","family":"Gidlow","given":"Christopher","non-dropping-particle":"","parse-names":false,"suffix":""},{"dropping-particle":"","family":"Chadwick","given":"Paul","non-dropping-particle":"","parse-names":false,"suffix":""}],"container-title":"Diabetic Medicine","id":"ITEM-1","issue":"7","issued":{"date-parts":[["2022"]]},"page":"1-9","title":"Influences of decisions to attend a national diabetes prevention programme from people living in a socioeconomically deprived area","type":"article-journal","volume":"39"},"uris":["http://www.mendeley.com/documents/?uuid=a72f672d-521b-45ab-97d0-e5531aac5863"]}],"mendeley":{"formattedCitation":"(Sonia Begum et al., 2022)","manualFormatting":"(Begum et al., 2022)","plainTextFormattedCitation":"(Sonia Begum et al., 2022)"},"properties":{"noteIndex":0},"schema":"https://github.com/citation-style-language/schema/raw/master/csl-citation.json"}</w:instrText>
      </w:r>
      <w:r w:rsidR="00591FE2" w:rsidRPr="00103A0B">
        <w:rPr>
          <w:rFonts w:ascii="Arial" w:hAnsi="Arial" w:cs="Arial"/>
          <w:sz w:val="24"/>
          <w:szCs w:val="24"/>
        </w:rPr>
        <w:fldChar w:fldCharType="separate"/>
      </w:r>
      <w:r w:rsidR="00591FE2" w:rsidRPr="00103A0B">
        <w:rPr>
          <w:rFonts w:ascii="Arial" w:hAnsi="Arial" w:cs="Arial"/>
          <w:noProof/>
          <w:sz w:val="24"/>
          <w:szCs w:val="24"/>
        </w:rPr>
        <w:t>(Begum et al., 2022)</w:t>
      </w:r>
      <w:r w:rsidR="00591FE2" w:rsidRPr="00103A0B">
        <w:rPr>
          <w:rFonts w:ascii="Arial" w:hAnsi="Arial" w:cs="Arial"/>
          <w:sz w:val="24"/>
          <w:szCs w:val="24"/>
        </w:rPr>
        <w:fldChar w:fldCharType="end"/>
      </w:r>
      <w:r w:rsidRPr="00103A0B">
        <w:rPr>
          <w:rFonts w:ascii="Arial" w:hAnsi="Arial" w:cs="Arial"/>
          <w:sz w:val="24"/>
          <w:szCs w:val="24"/>
        </w:rPr>
        <w:t xml:space="preserve">. The aim was to recruit 10-20 completers and non-completers as recommended for thematic analysis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{"citationItems":[{"id":"ITEM-1","itemData":{"author":[{"dropping-particle":"","family":"Braun, V.","given":"","non-dropping-particle":"","parse-names":false,"suffix":""},{"dropping-particle":"","family":"Clarke, V.","given":"","non-dropping-particle":"","parse-names":false,"suffix":""}],"id":"ITEM-1","issued":{"date-parts":[["2013"]]},"number-of-pages":"1-382","publisher":"SAGE Publications Ltd","publisher-place":"London","title":"Successful qualitative research: a practical guide for beginners","type":"book"},"uris":["http://www.mendeley.com/documents/?uuid=1f74fd6b-a2c1-442f-8c32-d5103d7531c6"]}],"mendeley":{"formattedCitation":"(Braun, V. &amp; Clarke, V., 2013)","manualFormatting":"(Braun &amp; Clarke, 2013)","plainTextFormattedCitation":"(Braun, V. &amp; Clarke, V., 2013)","previouslyFormattedCitation":"(Braun, V. &amp; Clarke, V., 2013)"},"properties":{"noteIndex":0},"schema":"https://github.com/citation-style-language/schema/raw/master/csl-citation.json"}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(Braun &amp; Clarke, 2013)</w:t>
      </w:r>
      <w:r w:rsidRPr="00103A0B">
        <w:rPr>
          <w:rFonts w:ascii="Arial" w:hAnsi="Arial" w:cs="Arial"/>
          <w:sz w:val="24"/>
          <w:szCs w:val="24"/>
        </w:rPr>
        <w:fldChar w:fldCharType="end"/>
      </w:r>
      <w:r w:rsidRPr="00103A0B">
        <w:rPr>
          <w:rFonts w:ascii="Arial" w:hAnsi="Arial" w:cs="Arial"/>
          <w:sz w:val="24"/>
          <w:szCs w:val="24"/>
        </w:rPr>
        <w:t>. The researcher received monthly updates from the local provider (LP) as to when the attenders became completers or non-completers. Those who attended at least 7</w:t>
      </w:r>
      <w:r w:rsidRPr="00103A0B">
        <w:rPr>
          <w:rFonts w:ascii="Arial" w:eastAsia="Times New Roman" w:hAnsi="Arial" w:cs="Arial"/>
          <w:sz w:val="24"/>
          <w:szCs w:val="24"/>
          <w:lang w:eastAsia="en-GB"/>
        </w:rPr>
        <w:t xml:space="preserve">5% of sessions (14/18) were classified as completers; this was in line with the definition used by NHS England for payment by completion </w:t>
      </w:r>
      <w:r w:rsidRPr="00103A0B">
        <w:rPr>
          <w:rFonts w:ascii="Arial" w:eastAsia="Times New Roman" w:hAnsi="Arial" w:cs="Arial"/>
          <w:sz w:val="24"/>
          <w:szCs w:val="24"/>
          <w:lang w:eastAsia="en-GB"/>
        </w:rPr>
        <w:fldChar w:fldCharType="begin" w:fldLock="1"/>
      </w:r>
      <w:r w:rsidR="007C3391" w:rsidRPr="00103A0B">
        <w:rPr>
          <w:rFonts w:ascii="Arial" w:eastAsia="Times New Roman" w:hAnsi="Arial" w:cs="Arial"/>
          <w:sz w:val="24"/>
          <w:szCs w:val="24"/>
          <w:lang w:eastAsia="en-GB"/>
        </w:rPr>
        <w:instrText>ADDIN CSL_CITATION {"citationItems":[{"id":"ITEM-1","itemData":{"author":[{"dropping-particle":"","family":"NHS England","given":"","non-dropping-particle":"","parse-names":false,"suffix":""}],"id":"ITEM-1","issued":{"date-parts":[["2016"]]},"number-of-pages":"1-51","title":"NHS england impact analysis of implementing NHS diabetes prevention programme, 2016 to 2021","type":"report"},"uris":["http://www.mendeley.com/documents/?uuid=d3e6fa3e-5322-4de6-951f-0dc992882406"]}],"mendeley":{"formattedCitation":"(NHS England, 2016b)","plainTextFormattedCitation":"(NHS England, 2016b)","previouslyFormattedCitation":"(NHS England, 2016b)"},"properties":{"noteIndex":0},"schema":"https://github.com/citation-style-language/schema/raw/master/csl-citation.json"}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7C3391" w:rsidRPr="00103A0B">
        <w:rPr>
          <w:rFonts w:ascii="Arial" w:eastAsia="Times New Roman" w:hAnsi="Arial" w:cs="Arial"/>
          <w:noProof/>
          <w:sz w:val="24"/>
          <w:szCs w:val="24"/>
          <w:lang w:eastAsia="en-GB"/>
        </w:rPr>
        <w:t>(NHS England, 2016b)</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r w:rsidRPr="00103A0B">
        <w:rPr>
          <w:rFonts w:ascii="Arial" w:hAnsi="Arial" w:cs="Arial"/>
          <w:sz w:val="24"/>
          <w:szCs w:val="24"/>
        </w:rPr>
        <w:t xml:space="preserve"> The researcher contacted 22 individuals in total (eight completers; 14 non-completers) and 17 responded (seven completers; 10 non-completers). Telephone interviews were then conducted with these participants after obtaining their informed consent. </w:t>
      </w:r>
    </w:p>
    <w:p w14:paraId="59AC7F7B" w14:textId="30E285FA" w:rsidR="00A54CAE" w:rsidRPr="00103A0B" w:rsidRDefault="00022ED5" w:rsidP="00CD5919">
      <w:pPr>
        <w:jc w:val="both"/>
        <w:rPr>
          <w:rFonts w:ascii="Arial" w:hAnsi="Arial" w:cs="Arial"/>
          <w:b/>
          <w:bCs/>
          <w:sz w:val="24"/>
          <w:szCs w:val="24"/>
        </w:rPr>
      </w:pPr>
      <w:r w:rsidRPr="00103A0B">
        <w:rPr>
          <w:rFonts w:ascii="Arial" w:hAnsi="Arial" w:cs="Arial"/>
          <w:b/>
          <w:bCs/>
          <w:sz w:val="24"/>
          <w:szCs w:val="24"/>
        </w:rPr>
        <w:t xml:space="preserve">6.2.2 </w:t>
      </w:r>
      <w:r w:rsidR="00A54CAE" w:rsidRPr="00103A0B">
        <w:rPr>
          <w:rFonts w:ascii="Arial" w:hAnsi="Arial" w:cs="Arial"/>
          <w:b/>
          <w:bCs/>
          <w:sz w:val="24"/>
          <w:szCs w:val="24"/>
        </w:rPr>
        <w:t xml:space="preserve">Data </w:t>
      </w:r>
      <w:r w:rsidRPr="00103A0B">
        <w:rPr>
          <w:rFonts w:ascii="Arial" w:hAnsi="Arial" w:cs="Arial"/>
          <w:b/>
          <w:bCs/>
          <w:sz w:val="24"/>
          <w:szCs w:val="24"/>
        </w:rPr>
        <w:t>C</w:t>
      </w:r>
      <w:r w:rsidR="00A54CAE" w:rsidRPr="00103A0B">
        <w:rPr>
          <w:rFonts w:ascii="Arial" w:hAnsi="Arial" w:cs="Arial"/>
          <w:b/>
          <w:bCs/>
          <w:sz w:val="24"/>
          <w:szCs w:val="24"/>
        </w:rPr>
        <w:t xml:space="preserve">ollection and </w:t>
      </w:r>
      <w:r w:rsidRPr="00103A0B">
        <w:rPr>
          <w:rFonts w:ascii="Arial" w:hAnsi="Arial" w:cs="Arial"/>
          <w:b/>
          <w:bCs/>
          <w:sz w:val="24"/>
          <w:szCs w:val="24"/>
        </w:rPr>
        <w:t>A</w:t>
      </w:r>
      <w:r w:rsidR="00A54CAE" w:rsidRPr="00103A0B">
        <w:rPr>
          <w:rFonts w:ascii="Arial" w:hAnsi="Arial" w:cs="Arial"/>
          <w:b/>
          <w:bCs/>
          <w:sz w:val="24"/>
          <w:szCs w:val="24"/>
        </w:rPr>
        <w:t xml:space="preserve">nalysis </w:t>
      </w:r>
    </w:p>
    <w:p w14:paraId="7F29EFEE" w14:textId="36DE31C3" w:rsidR="00A73B81" w:rsidRPr="00103A0B" w:rsidRDefault="00A73B81" w:rsidP="00A73B81">
      <w:pPr>
        <w:spacing w:before="240" w:line="360" w:lineRule="auto"/>
        <w:jc w:val="both"/>
        <w:rPr>
          <w:rFonts w:ascii="Arial" w:hAnsi="Arial" w:cs="Arial"/>
          <w:sz w:val="24"/>
          <w:szCs w:val="24"/>
        </w:rPr>
      </w:pPr>
      <w:r w:rsidRPr="00103A0B">
        <w:rPr>
          <w:rFonts w:ascii="Arial" w:hAnsi="Arial" w:cs="Arial"/>
          <w:sz w:val="24"/>
          <w:szCs w:val="24"/>
        </w:rPr>
        <w:t xml:space="preserve">Seventeen individual semi-structured telephone interviews were conducted. Participants were interviewed, (their demographic information was obtained when they were initially interviewed as attenders, and information was clarified for accuracy). Questions in the interview schedule were based around illness perceptions and explored participants’ understanding of T2DM, T2DM risk, and the NHSDPP (see </w:t>
      </w:r>
      <w:r w:rsidR="00103F20" w:rsidRPr="00103A0B">
        <w:rPr>
          <w:rFonts w:ascii="Arial" w:hAnsi="Arial" w:cs="Arial"/>
          <w:sz w:val="24"/>
          <w:szCs w:val="24"/>
        </w:rPr>
        <w:t>Appendix</w:t>
      </w:r>
      <w:r w:rsidR="00F8219C" w:rsidRPr="00103A0B">
        <w:rPr>
          <w:rFonts w:ascii="Arial" w:hAnsi="Arial" w:cs="Arial"/>
          <w:sz w:val="24"/>
          <w:szCs w:val="24"/>
        </w:rPr>
        <w:t xml:space="preserve"> </w:t>
      </w:r>
      <w:r w:rsidR="00BE157E" w:rsidRPr="00103A0B">
        <w:rPr>
          <w:rFonts w:ascii="Arial" w:hAnsi="Arial" w:cs="Arial"/>
          <w:sz w:val="24"/>
          <w:szCs w:val="24"/>
        </w:rPr>
        <w:t>7</w:t>
      </w:r>
      <w:r w:rsidRPr="00103A0B">
        <w:rPr>
          <w:rFonts w:ascii="Arial" w:hAnsi="Arial" w:cs="Arial"/>
          <w:sz w:val="24"/>
          <w:szCs w:val="24"/>
        </w:rPr>
        <w:t>). Open-ended questions were used, and non-directive prompts to follow up from participants` responses. A financial incentive was offered to individuals to thank them for their time.</w:t>
      </w:r>
    </w:p>
    <w:p w14:paraId="1050AF38" w14:textId="1735DEAB" w:rsidR="00BA7C6A" w:rsidRPr="00103A0B" w:rsidRDefault="00A73B81" w:rsidP="00CD5919">
      <w:pPr>
        <w:spacing w:before="240" w:line="360" w:lineRule="auto"/>
        <w:jc w:val="both"/>
        <w:rPr>
          <w:rFonts w:ascii="Arial" w:hAnsi="Arial" w:cs="Arial"/>
          <w:i/>
          <w:iCs/>
          <w:sz w:val="24"/>
          <w:szCs w:val="24"/>
        </w:rPr>
      </w:pPr>
      <w:r w:rsidRPr="00103A0B">
        <w:rPr>
          <w:rFonts w:ascii="Arial" w:hAnsi="Arial" w:cs="Arial"/>
          <w:sz w:val="24"/>
          <w:szCs w:val="24"/>
        </w:rPr>
        <w:t xml:space="preserve">All interviews were conducted by the </w:t>
      </w:r>
      <w:r w:rsidR="00103F20" w:rsidRPr="00103A0B">
        <w:rPr>
          <w:rFonts w:ascii="Arial" w:hAnsi="Arial" w:cs="Arial"/>
          <w:sz w:val="24"/>
          <w:szCs w:val="24"/>
        </w:rPr>
        <w:t>researcher</w:t>
      </w:r>
      <w:r w:rsidRPr="00103A0B">
        <w:rPr>
          <w:rFonts w:ascii="Arial" w:hAnsi="Arial" w:cs="Arial"/>
          <w:sz w:val="24"/>
          <w:szCs w:val="24"/>
        </w:rPr>
        <w:t xml:space="preserve"> (SB), a female, British Asian PhD researcher in her 20`s, with a background in qualitative research. Participants were aware of the reasons for conducting this research. Field notes were made after each interview. All interviews were audio recorded, transcribed verbatim and analysed </w:t>
      </w:r>
      <w:bookmarkStart w:id="367" w:name="_Hlk121343162"/>
      <w:r w:rsidRPr="00103A0B">
        <w:rPr>
          <w:rFonts w:ascii="Arial" w:hAnsi="Arial" w:cs="Arial"/>
          <w:sz w:val="24"/>
          <w:szCs w:val="24"/>
        </w:rPr>
        <w:t>using inductive thematic analysis with a</w:t>
      </w:r>
      <w:r w:rsidR="00184957" w:rsidRPr="00103A0B">
        <w:rPr>
          <w:rFonts w:ascii="Arial" w:hAnsi="Arial" w:cs="Arial"/>
          <w:sz w:val="24"/>
          <w:szCs w:val="24"/>
        </w:rPr>
        <w:t>n</w:t>
      </w:r>
      <w:r w:rsidRPr="00103A0B">
        <w:rPr>
          <w:rFonts w:ascii="Arial" w:hAnsi="Arial" w:cs="Arial"/>
          <w:sz w:val="24"/>
          <w:szCs w:val="24"/>
        </w:rPr>
        <w:t xml:space="preserve"> essentialist epistemological approach</w:t>
      </w:r>
      <w:r w:rsidR="00103F20" w:rsidRPr="00103A0B">
        <w:rPr>
          <w:rFonts w:ascii="Arial" w:hAnsi="Arial" w:cs="Arial"/>
          <w:sz w:val="24"/>
          <w:szCs w:val="24"/>
        </w:rPr>
        <w:t xml:space="preserve"> </w:t>
      </w:r>
      <w:bookmarkEnd w:id="367"/>
      <w:r w:rsidRPr="00103A0B">
        <w:fldChar w:fldCharType="begin" w:fldLock="1"/>
      </w:r>
      <w:r w:rsidR="007C3391" w:rsidRPr="00103A0B">
        <w:rPr>
          <w:rFonts w:ascii="Arial" w:hAnsi="Arial" w:cs="Arial"/>
          <w:sz w:val="24"/>
          <w:szCs w:val="24"/>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psychology","type":"article-journal","volume":"3"},"uris":["http://www.mendeley.com/documents/?uuid=1366554b-d0d7-43f1-9a4f-92c3d9825f2e"]}],"mendeley":{"formattedCitation":"(Braun &amp; Clarke, 2006)","plainTextFormattedCitation":"(Braun &amp; Clarke, 2006)","previouslyFormattedCitation":"(Braun &amp; Clarke, 2006)"},"properties":{"noteIndex":0},"schema":"https://github.com/citation-style-language/schema/raw/master/csl-citation.json"}</w:instrText>
      </w:r>
      <w:r w:rsidRPr="00103A0B">
        <w:fldChar w:fldCharType="separate"/>
      </w:r>
      <w:r w:rsidRPr="00103A0B">
        <w:rPr>
          <w:rFonts w:ascii="Arial" w:hAnsi="Arial" w:cs="Arial"/>
          <w:noProof/>
          <w:sz w:val="24"/>
          <w:szCs w:val="24"/>
        </w:rPr>
        <w:t>(Braun &amp; Clarke, 2006)</w:t>
      </w:r>
      <w:r w:rsidRPr="00103A0B">
        <w:fldChar w:fldCharType="end"/>
      </w:r>
      <w:r w:rsidRPr="00103A0B">
        <w:rPr>
          <w:rFonts w:ascii="Arial" w:hAnsi="Arial" w:cs="Arial"/>
          <w:sz w:val="24"/>
          <w:szCs w:val="24"/>
        </w:rPr>
        <w:t xml:space="preserve">. Interview transcripts were anonymised, and pseudonyms were assigned to participants for reporting. Transcripts were coded using NVivo software </w:t>
      </w:r>
      <w:r w:rsidRPr="00103A0B">
        <w:rPr>
          <w:rFonts w:ascii="Arial" w:hAnsi="Arial" w:cs="Arial"/>
          <w:sz w:val="24"/>
          <w:szCs w:val="24"/>
        </w:rPr>
        <w:lastRenderedPageBreak/>
        <w:t xml:space="preserve">and relevant themes and sub-themes were formulated from </w:t>
      </w:r>
      <w:bookmarkStart w:id="368" w:name="_Hlk151461784"/>
      <w:r w:rsidRPr="00103A0B">
        <w:rPr>
          <w:rFonts w:ascii="Arial" w:hAnsi="Arial" w:cs="Arial"/>
          <w:sz w:val="24"/>
          <w:szCs w:val="24"/>
        </w:rPr>
        <w:t xml:space="preserve">the data. </w:t>
      </w:r>
      <w:r w:rsidR="00650AB3" w:rsidRPr="00103A0B">
        <w:rPr>
          <w:rFonts w:ascii="Arial" w:hAnsi="Arial" w:cs="Arial"/>
          <w:sz w:val="24"/>
          <w:szCs w:val="24"/>
        </w:rPr>
        <w:t>Interview</w:t>
      </w:r>
      <w:r w:rsidR="000517FC" w:rsidRPr="00103A0B">
        <w:rPr>
          <w:rFonts w:ascii="Arial" w:hAnsi="Arial" w:cs="Arial"/>
          <w:sz w:val="24"/>
          <w:szCs w:val="24"/>
        </w:rPr>
        <w:t>s</w:t>
      </w:r>
      <w:r w:rsidR="00650AB3" w:rsidRPr="00103A0B">
        <w:rPr>
          <w:rFonts w:ascii="Arial" w:hAnsi="Arial" w:cs="Arial"/>
          <w:sz w:val="24"/>
          <w:szCs w:val="24"/>
        </w:rPr>
        <w:t xml:space="preserve"> were spilt into two groups, </w:t>
      </w:r>
      <w:proofErr w:type="gramStart"/>
      <w:r w:rsidR="00650AB3" w:rsidRPr="00103A0B">
        <w:rPr>
          <w:rFonts w:ascii="Arial" w:hAnsi="Arial" w:cs="Arial"/>
          <w:sz w:val="24"/>
          <w:szCs w:val="24"/>
        </w:rPr>
        <w:t>completers</w:t>
      </w:r>
      <w:proofErr w:type="gramEnd"/>
      <w:r w:rsidR="00650AB3" w:rsidRPr="00103A0B">
        <w:rPr>
          <w:rFonts w:ascii="Arial" w:hAnsi="Arial" w:cs="Arial"/>
          <w:sz w:val="24"/>
          <w:szCs w:val="24"/>
        </w:rPr>
        <w:t xml:space="preserve"> and non-completers, and then analysed. Comparisons were made between the two groups where any differences and similarities between the two groups were explored.</w:t>
      </w:r>
      <w:bookmarkEnd w:id="368"/>
      <w:r w:rsidR="000517FC" w:rsidRPr="00103A0B">
        <w:rPr>
          <w:rFonts w:ascii="Arial" w:hAnsi="Arial" w:cs="Arial"/>
          <w:sz w:val="24"/>
          <w:szCs w:val="24"/>
        </w:rPr>
        <w:t xml:space="preserve"> </w:t>
      </w:r>
      <w:r w:rsidRPr="00103A0B">
        <w:rPr>
          <w:rFonts w:ascii="Arial" w:hAnsi="Arial" w:cs="Arial"/>
          <w:sz w:val="24"/>
          <w:szCs w:val="24"/>
        </w:rPr>
        <w:t>Braun and Clarke’s (2006) six phases of thematic analysis were followed where data familiarisation was undertaken, initial codes were developed, and potential sub-themes and themes were generated, reviewed, discussed, refined and defined, resulting in the final themes and sub-themes</w:t>
      </w:r>
      <w:r w:rsidR="00103F20" w:rsidRPr="00103A0B">
        <w:rPr>
          <w:rFonts w:ascii="Arial" w:hAnsi="Arial" w:cs="Arial"/>
          <w:sz w:val="24"/>
          <w:szCs w:val="24"/>
        </w:rPr>
        <w:t xml:space="preserve"> </w:t>
      </w:r>
      <w:r w:rsidRPr="00103A0B">
        <w:fldChar w:fldCharType="begin" w:fldLock="1"/>
      </w:r>
      <w:r w:rsidR="007C3391" w:rsidRPr="00103A0B">
        <w:rPr>
          <w:rFonts w:ascii="Arial" w:hAnsi="Arial" w:cs="Arial"/>
          <w:sz w:val="24"/>
          <w:szCs w:val="24"/>
        </w:rPr>
        <w:instrText>ADDIN CSL_CITATION {"citationItems":[{"id":"ITEM-1","itemData":{"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psychology","type":"article-journal","volume":"3"},"uris":["http://www.mendeley.com/documents/?uuid=1366554b-d0d7-43f1-9a4f-92c3d9825f2e"]}],"mendeley":{"formattedCitation":"(Braun &amp; Clarke, 2006)","plainTextFormattedCitation":"(Braun &amp; Clarke, 2006)","previouslyFormattedCitation":"(Braun &amp; Clarke, 2006)"},"properties":{"noteIndex":0},"schema":"https://github.com/citation-style-language/schema/raw/master/csl-citation.json"}</w:instrText>
      </w:r>
      <w:r w:rsidRPr="00103A0B">
        <w:fldChar w:fldCharType="separate"/>
      </w:r>
      <w:r w:rsidRPr="00103A0B">
        <w:rPr>
          <w:rFonts w:ascii="Arial" w:hAnsi="Arial" w:cs="Arial"/>
          <w:noProof/>
          <w:sz w:val="24"/>
          <w:szCs w:val="24"/>
        </w:rPr>
        <w:t>(Braun &amp; Clarke, 2006)</w:t>
      </w:r>
      <w:r w:rsidRPr="00103A0B">
        <w:fldChar w:fldCharType="end"/>
      </w:r>
      <w:r w:rsidRPr="00103A0B">
        <w:rPr>
          <w:rFonts w:ascii="Arial" w:hAnsi="Arial" w:cs="Arial"/>
          <w:sz w:val="24"/>
          <w:szCs w:val="24"/>
        </w:rPr>
        <w:t xml:space="preserve">. Data coding and initial theme development were undertaken by the </w:t>
      </w:r>
      <w:r w:rsidR="00103F20" w:rsidRPr="00103A0B">
        <w:rPr>
          <w:rFonts w:ascii="Arial" w:hAnsi="Arial" w:cs="Arial"/>
          <w:sz w:val="24"/>
          <w:szCs w:val="24"/>
        </w:rPr>
        <w:t>researcher</w:t>
      </w:r>
      <w:r w:rsidRPr="00103A0B">
        <w:rPr>
          <w:rFonts w:ascii="Arial" w:hAnsi="Arial" w:cs="Arial"/>
          <w:sz w:val="24"/>
          <w:szCs w:val="24"/>
        </w:rPr>
        <w:t xml:space="preserve"> (SB) and reviewed and discussed together with the</w:t>
      </w:r>
      <w:r w:rsidRPr="00103A0B">
        <w:rPr>
          <w:rStyle w:val="CommentReference"/>
          <w:rFonts w:ascii="Arial" w:hAnsi="Arial" w:cs="Arial"/>
          <w:sz w:val="24"/>
          <w:szCs w:val="24"/>
        </w:rPr>
        <w:t xml:space="preserve"> s</w:t>
      </w:r>
      <w:r w:rsidR="00103F20" w:rsidRPr="00103A0B">
        <w:rPr>
          <w:rStyle w:val="CommentReference"/>
          <w:rFonts w:ascii="Arial" w:hAnsi="Arial" w:cs="Arial"/>
          <w:sz w:val="24"/>
          <w:szCs w:val="24"/>
        </w:rPr>
        <w:t>upervisor</w:t>
      </w:r>
      <w:r w:rsidRPr="00103A0B">
        <w:rPr>
          <w:rFonts w:ascii="Arial" w:hAnsi="Arial" w:cs="Arial"/>
          <w:sz w:val="24"/>
          <w:szCs w:val="24"/>
        </w:rPr>
        <w:t xml:space="preserve"> (RP). A meeting took place where final key themes and sub-themes were agreed. The two researchers took a reflexive approach where they acknowledged how their own beliefs, background</w:t>
      </w:r>
      <w:r w:rsidR="00103F20" w:rsidRPr="00103A0B">
        <w:rPr>
          <w:rFonts w:ascii="Arial" w:hAnsi="Arial" w:cs="Arial"/>
          <w:sz w:val="24"/>
          <w:szCs w:val="24"/>
        </w:rPr>
        <w:t>s</w:t>
      </w:r>
      <w:r w:rsidRPr="00103A0B">
        <w:rPr>
          <w:rFonts w:ascii="Arial" w:hAnsi="Arial" w:cs="Arial"/>
          <w:sz w:val="24"/>
          <w:szCs w:val="24"/>
        </w:rPr>
        <w:t xml:space="preserve"> and past experiences could influence the interpretation of the data, so they engaged in a reflexive way during the process of data analysis</w:t>
      </w:r>
      <w:r w:rsidR="00BA7C6A" w:rsidRPr="00103A0B">
        <w:rPr>
          <w:rFonts w:ascii="Arial" w:hAnsi="Arial" w:cs="Arial"/>
          <w:sz w:val="24"/>
          <w:szCs w:val="24"/>
        </w:rPr>
        <w:t xml:space="preserve">. </w:t>
      </w:r>
    </w:p>
    <w:p w14:paraId="393AAC8C" w14:textId="77777777" w:rsidR="00BA7C6A" w:rsidRPr="00103A0B" w:rsidRDefault="00BA7C6A" w:rsidP="00CD5919">
      <w:pPr>
        <w:spacing w:before="240" w:line="360" w:lineRule="auto"/>
        <w:jc w:val="both"/>
        <w:rPr>
          <w:rFonts w:ascii="Arial" w:hAnsi="Arial" w:cs="Arial"/>
          <w:sz w:val="24"/>
          <w:szCs w:val="24"/>
        </w:rPr>
      </w:pPr>
    </w:p>
    <w:p w14:paraId="025EAC3F" w14:textId="77777777" w:rsidR="00BA7C6A" w:rsidRPr="00103A0B" w:rsidRDefault="00BA7C6A" w:rsidP="00BA7C6A">
      <w:pPr>
        <w:pStyle w:val="Heading2"/>
        <w:numPr>
          <w:ilvl w:val="0"/>
          <w:numId w:val="0"/>
        </w:numPr>
        <w:jc w:val="both"/>
        <w:rPr>
          <w:rFonts w:ascii="Arial" w:hAnsi="Arial" w:cs="Arial"/>
          <w:sz w:val="28"/>
        </w:rPr>
      </w:pPr>
      <w:bookmarkStart w:id="369" w:name="_Toc151548327"/>
      <w:r w:rsidRPr="00103A0B">
        <w:rPr>
          <w:rFonts w:ascii="Arial" w:hAnsi="Arial" w:cs="Arial"/>
          <w:sz w:val="28"/>
        </w:rPr>
        <w:t>6.3 Results</w:t>
      </w:r>
      <w:bookmarkEnd w:id="369"/>
    </w:p>
    <w:p w14:paraId="0502A982" w14:textId="77777777" w:rsidR="00BA7C6A" w:rsidRPr="00103A0B" w:rsidRDefault="00BA7C6A" w:rsidP="00BA7C6A">
      <w:pPr>
        <w:spacing w:before="240" w:line="360" w:lineRule="auto"/>
        <w:jc w:val="both"/>
        <w:rPr>
          <w:rFonts w:ascii="Arial" w:hAnsi="Arial" w:cs="Arial"/>
          <w:sz w:val="24"/>
          <w:szCs w:val="24"/>
        </w:rPr>
      </w:pPr>
      <w:r w:rsidRPr="00103A0B">
        <w:rPr>
          <w:rFonts w:ascii="Arial" w:hAnsi="Arial" w:cs="Arial"/>
          <w:sz w:val="24"/>
          <w:szCs w:val="24"/>
        </w:rPr>
        <w:t xml:space="preserve">Seven completers (mean age 55.7 years, range 42-66) and 10 non-completers (mean age 54.3 years, range 44-62) were recruited (Table 6). Across both groups, most were aged 50-59 years, from a black/black British ethnic group, in employment and from deprived areas (most deprived 40% based on national rankings). Interview duration ranged from 19.10 to 71.24 minutes (mean= 36.16 minutes). </w:t>
      </w:r>
    </w:p>
    <w:p w14:paraId="434B7F6D" w14:textId="07778C5E" w:rsidR="00A73B81" w:rsidRPr="00103A0B" w:rsidRDefault="00F8219C" w:rsidP="00CD5919">
      <w:pPr>
        <w:spacing w:before="240" w:line="360" w:lineRule="auto"/>
        <w:jc w:val="both"/>
        <w:rPr>
          <w:rFonts w:ascii="Arial" w:hAnsi="Arial" w:cs="Arial"/>
          <w:sz w:val="24"/>
          <w:szCs w:val="24"/>
        </w:rPr>
        <w:sectPr w:rsidR="00A73B81" w:rsidRPr="00103A0B" w:rsidSect="00884F28">
          <w:pgSz w:w="11906" w:h="16838" w:code="9"/>
          <w:pgMar w:top="1440" w:right="1440" w:bottom="1440" w:left="1440" w:header="709" w:footer="709" w:gutter="0"/>
          <w:cols w:space="708"/>
          <w:docGrid w:linePitch="360"/>
        </w:sectPr>
      </w:pPr>
      <w:r w:rsidRPr="00103A0B">
        <w:rPr>
          <w:rFonts w:ascii="Arial" w:hAnsi="Arial" w:cs="Arial"/>
          <w:sz w:val="24"/>
          <w:szCs w:val="24"/>
        </w:rPr>
        <w:t xml:space="preserve"> </w:t>
      </w:r>
    </w:p>
    <w:p w14:paraId="7E5E9659" w14:textId="08074B51" w:rsidR="00AC6A7B" w:rsidRPr="00103A0B" w:rsidRDefault="00DE65CD" w:rsidP="00CD5919">
      <w:pPr>
        <w:spacing w:line="360" w:lineRule="auto"/>
        <w:jc w:val="both"/>
        <w:rPr>
          <w:rFonts w:ascii="Arial" w:hAnsi="Arial" w:cs="Arial"/>
          <w:i/>
          <w:sz w:val="24"/>
          <w:szCs w:val="24"/>
        </w:rPr>
      </w:pPr>
      <w:bookmarkStart w:id="370" w:name="_Hlk75195585"/>
      <w:r w:rsidRPr="00103A0B">
        <w:rPr>
          <w:rFonts w:ascii="Arial" w:hAnsi="Arial" w:cs="Arial"/>
          <w:i/>
          <w:sz w:val="24"/>
          <w:szCs w:val="24"/>
        </w:rPr>
        <w:lastRenderedPageBreak/>
        <w:t xml:space="preserve">Table 6: Sample characteristics </w:t>
      </w:r>
      <w:bookmarkEnd w:id="370"/>
    </w:p>
    <w:tbl>
      <w:tblPr>
        <w:tblStyle w:val="TableGrid"/>
        <w:tblW w:w="10004" w:type="dxa"/>
        <w:tblLook w:val="04A0" w:firstRow="1" w:lastRow="0" w:firstColumn="1" w:lastColumn="0" w:noHBand="0" w:noVBand="1"/>
      </w:tblPr>
      <w:tblGrid>
        <w:gridCol w:w="3334"/>
        <w:gridCol w:w="3334"/>
        <w:gridCol w:w="3336"/>
      </w:tblGrid>
      <w:tr w:rsidR="00AC6A7B" w:rsidRPr="00103A0B" w14:paraId="33B2C59B" w14:textId="77777777" w:rsidTr="00F8219C">
        <w:trPr>
          <w:trHeight w:val="352"/>
        </w:trPr>
        <w:tc>
          <w:tcPr>
            <w:tcW w:w="3334" w:type="dxa"/>
          </w:tcPr>
          <w:p w14:paraId="0DBADAFB" w14:textId="77777777" w:rsidR="00AC6A7B" w:rsidRPr="00103A0B" w:rsidRDefault="00AC6A7B" w:rsidP="00CD5919">
            <w:pPr>
              <w:spacing w:line="360" w:lineRule="auto"/>
              <w:jc w:val="both"/>
              <w:rPr>
                <w:rFonts w:ascii="Arial" w:hAnsi="Arial" w:cs="Arial"/>
                <w:sz w:val="24"/>
                <w:szCs w:val="24"/>
              </w:rPr>
            </w:pPr>
          </w:p>
        </w:tc>
        <w:tc>
          <w:tcPr>
            <w:tcW w:w="3334" w:type="dxa"/>
          </w:tcPr>
          <w:p w14:paraId="546F9265"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b/>
                <w:bCs/>
                <w:sz w:val="24"/>
                <w:szCs w:val="24"/>
              </w:rPr>
              <w:t xml:space="preserve">Completers </w:t>
            </w:r>
            <w:r w:rsidRPr="00103A0B">
              <w:rPr>
                <w:rFonts w:ascii="Arial" w:hAnsi="Arial" w:cs="Arial"/>
                <w:sz w:val="24"/>
                <w:szCs w:val="24"/>
              </w:rPr>
              <w:t>(</w:t>
            </w:r>
            <w:r w:rsidRPr="00103A0B">
              <w:rPr>
                <w:rFonts w:ascii="Arial" w:hAnsi="Arial" w:cs="Arial"/>
                <w:i/>
                <w:sz w:val="24"/>
                <w:szCs w:val="24"/>
              </w:rPr>
              <w:t>n</w:t>
            </w:r>
            <w:r w:rsidRPr="00103A0B">
              <w:rPr>
                <w:rFonts w:ascii="Arial" w:hAnsi="Arial" w:cs="Arial"/>
                <w:sz w:val="24"/>
                <w:szCs w:val="24"/>
              </w:rPr>
              <w:t>=7) (%)</w:t>
            </w:r>
          </w:p>
        </w:tc>
        <w:tc>
          <w:tcPr>
            <w:tcW w:w="3336" w:type="dxa"/>
          </w:tcPr>
          <w:p w14:paraId="575003E8"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b/>
                <w:bCs/>
                <w:sz w:val="24"/>
                <w:szCs w:val="24"/>
              </w:rPr>
              <w:t>Non-completers</w:t>
            </w:r>
            <w:r w:rsidRPr="00103A0B">
              <w:rPr>
                <w:rFonts w:ascii="Arial" w:hAnsi="Arial" w:cs="Arial"/>
                <w:sz w:val="24"/>
                <w:szCs w:val="24"/>
              </w:rPr>
              <w:t xml:space="preserve"> (</w:t>
            </w:r>
            <w:r w:rsidRPr="00103A0B">
              <w:rPr>
                <w:rFonts w:ascii="Arial" w:hAnsi="Arial" w:cs="Arial"/>
                <w:i/>
                <w:sz w:val="24"/>
                <w:szCs w:val="24"/>
              </w:rPr>
              <w:t>n</w:t>
            </w:r>
            <w:r w:rsidRPr="00103A0B">
              <w:rPr>
                <w:rFonts w:ascii="Arial" w:hAnsi="Arial" w:cs="Arial"/>
                <w:sz w:val="24"/>
                <w:szCs w:val="24"/>
              </w:rPr>
              <w:t>=10) (%)</w:t>
            </w:r>
          </w:p>
        </w:tc>
      </w:tr>
      <w:tr w:rsidR="00AC6A7B" w:rsidRPr="00103A0B" w14:paraId="09B59B0F" w14:textId="77777777" w:rsidTr="00103F20">
        <w:trPr>
          <w:trHeight w:val="409"/>
        </w:trPr>
        <w:tc>
          <w:tcPr>
            <w:tcW w:w="3334" w:type="dxa"/>
            <w:shd w:val="clear" w:color="auto" w:fill="auto"/>
          </w:tcPr>
          <w:p w14:paraId="6C539B7B" w14:textId="77777777" w:rsidR="00AC6A7B" w:rsidRPr="00103A0B" w:rsidRDefault="00AC6A7B" w:rsidP="00CD5919">
            <w:pPr>
              <w:spacing w:line="360" w:lineRule="auto"/>
              <w:jc w:val="both"/>
              <w:rPr>
                <w:rFonts w:ascii="Arial" w:hAnsi="Arial" w:cs="Arial"/>
                <w:b/>
                <w:bCs/>
                <w:sz w:val="24"/>
                <w:szCs w:val="24"/>
              </w:rPr>
            </w:pPr>
            <w:r w:rsidRPr="00103A0B">
              <w:rPr>
                <w:rFonts w:ascii="Arial" w:hAnsi="Arial" w:cs="Arial"/>
                <w:b/>
                <w:bCs/>
                <w:sz w:val="24"/>
                <w:szCs w:val="24"/>
              </w:rPr>
              <w:t>Gender</w:t>
            </w:r>
          </w:p>
        </w:tc>
        <w:tc>
          <w:tcPr>
            <w:tcW w:w="3334" w:type="dxa"/>
            <w:shd w:val="clear" w:color="auto" w:fill="auto"/>
          </w:tcPr>
          <w:p w14:paraId="5E80A528" w14:textId="77777777" w:rsidR="00AC6A7B" w:rsidRPr="00103A0B" w:rsidRDefault="00AC6A7B" w:rsidP="00CD5919">
            <w:pPr>
              <w:spacing w:line="360" w:lineRule="auto"/>
              <w:jc w:val="both"/>
              <w:rPr>
                <w:rFonts w:ascii="Arial" w:hAnsi="Arial" w:cs="Arial"/>
                <w:sz w:val="24"/>
                <w:szCs w:val="24"/>
              </w:rPr>
            </w:pPr>
          </w:p>
        </w:tc>
        <w:tc>
          <w:tcPr>
            <w:tcW w:w="3336" w:type="dxa"/>
            <w:shd w:val="clear" w:color="auto" w:fill="auto"/>
          </w:tcPr>
          <w:p w14:paraId="084CE9E5" w14:textId="77777777" w:rsidR="00AC6A7B" w:rsidRPr="00103A0B" w:rsidRDefault="00AC6A7B" w:rsidP="00CD5919">
            <w:pPr>
              <w:spacing w:line="360" w:lineRule="auto"/>
              <w:jc w:val="both"/>
              <w:rPr>
                <w:rFonts w:ascii="Arial" w:hAnsi="Arial" w:cs="Arial"/>
                <w:sz w:val="24"/>
                <w:szCs w:val="24"/>
              </w:rPr>
            </w:pPr>
          </w:p>
        </w:tc>
      </w:tr>
      <w:tr w:rsidR="00AC6A7B" w:rsidRPr="00103A0B" w14:paraId="2B43935A" w14:textId="77777777" w:rsidTr="00103F20">
        <w:trPr>
          <w:trHeight w:val="409"/>
        </w:trPr>
        <w:tc>
          <w:tcPr>
            <w:tcW w:w="3334" w:type="dxa"/>
          </w:tcPr>
          <w:p w14:paraId="170A5004"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Women</w:t>
            </w:r>
          </w:p>
        </w:tc>
        <w:tc>
          <w:tcPr>
            <w:tcW w:w="3334" w:type="dxa"/>
          </w:tcPr>
          <w:p w14:paraId="01AC5A76"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4 (57.1)</w:t>
            </w:r>
          </w:p>
        </w:tc>
        <w:tc>
          <w:tcPr>
            <w:tcW w:w="3336" w:type="dxa"/>
          </w:tcPr>
          <w:p w14:paraId="4C170C66"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7 (70.0)</w:t>
            </w:r>
          </w:p>
        </w:tc>
      </w:tr>
      <w:tr w:rsidR="00AC6A7B" w:rsidRPr="00103A0B" w14:paraId="67A6E4A3" w14:textId="77777777" w:rsidTr="00103F20">
        <w:trPr>
          <w:trHeight w:val="424"/>
        </w:trPr>
        <w:tc>
          <w:tcPr>
            <w:tcW w:w="3334" w:type="dxa"/>
          </w:tcPr>
          <w:p w14:paraId="5A78BC8F"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Men</w:t>
            </w:r>
          </w:p>
        </w:tc>
        <w:tc>
          <w:tcPr>
            <w:tcW w:w="3334" w:type="dxa"/>
          </w:tcPr>
          <w:p w14:paraId="64E6A41F"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3 (42.9)</w:t>
            </w:r>
          </w:p>
        </w:tc>
        <w:tc>
          <w:tcPr>
            <w:tcW w:w="3336" w:type="dxa"/>
          </w:tcPr>
          <w:p w14:paraId="7F3321DC"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3 (30.0)</w:t>
            </w:r>
          </w:p>
        </w:tc>
      </w:tr>
      <w:tr w:rsidR="00AC6A7B" w:rsidRPr="00103A0B" w14:paraId="715588D8" w14:textId="77777777" w:rsidTr="00103F20">
        <w:trPr>
          <w:trHeight w:val="409"/>
        </w:trPr>
        <w:tc>
          <w:tcPr>
            <w:tcW w:w="3334" w:type="dxa"/>
            <w:shd w:val="clear" w:color="auto" w:fill="auto"/>
          </w:tcPr>
          <w:p w14:paraId="089E3AD4" w14:textId="77777777" w:rsidR="00AC6A7B" w:rsidRPr="00103A0B" w:rsidRDefault="00AC6A7B" w:rsidP="00CD5919">
            <w:pPr>
              <w:spacing w:line="360" w:lineRule="auto"/>
              <w:jc w:val="both"/>
              <w:rPr>
                <w:rFonts w:ascii="Arial" w:hAnsi="Arial" w:cs="Arial"/>
                <w:b/>
                <w:bCs/>
                <w:sz w:val="24"/>
                <w:szCs w:val="24"/>
              </w:rPr>
            </w:pPr>
            <w:r w:rsidRPr="00103A0B">
              <w:rPr>
                <w:rFonts w:ascii="Arial" w:hAnsi="Arial" w:cs="Arial"/>
                <w:b/>
                <w:bCs/>
                <w:sz w:val="24"/>
                <w:szCs w:val="24"/>
              </w:rPr>
              <w:t>Age</w:t>
            </w:r>
          </w:p>
        </w:tc>
        <w:tc>
          <w:tcPr>
            <w:tcW w:w="3334" w:type="dxa"/>
            <w:shd w:val="clear" w:color="auto" w:fill="auto"/>
          </w:tcPr>
          <w:p w14:paraId="394382ED" w14:textId="77777777" w:rsidR="00AC6A7B" w:rsidRPr="00103A0B" w:rsidRDefault="00AC6A7B" w:rsidP="00CD5919">
            <w:pPr>
              <w:spacing w:line="360" w:lineRule="auto"/>
              <w:jc w:val="both"/>
              <w:rPr>
                <w:rFonts w:ascii="Arial" w:hAnsi="Arial" w:cs="Arial"/>
                <w:sz w:val="24"/>
                <w:szCs w:val="24"/>
              </w:rPr>
            </w:pPr>
          </w:p>
        </w:tc>
        <w:tc>
          <w:tcPr>
            <w:tcW w:w="3336" w:type="dxa"/>
            <w:shd w:val="clear" w:color="auto" w:fill="auto"/>
          </w:tcPr>
          <w:p w14:paraId="6E028281" w14:textId="77777777" w:rsidR="00AC6A7B" w:rsidRPr="00103A0B" w:rsidRDefault="00AC6A7B" w:rsidP="00CD5919">
            <w:pPr>
              <w:spacing w:line="360" w:lineRule="auto"/>
              <w:jc w:val="both"/>
              <w:rPr>
                <w:rFonts w:ascii="Arial" w:hAnsi="Arial" w:cs="Arial"/>
                <w:sz w:val="24"/>
                <w:szCs w:val="24"/>
              </w:rPr>
            </w:pPr>
          </w:p>
        </w:tc>
      </w:tr>
      <w:tr w:rsidR="00AC6A7B" w:rsidRPr="00103A0B" w14:paraId="5E8168B6" w14:textId="77777777" w:rsidTr="00103F20">
        <w:trPr>
          <w:trHeight w:val="409"/>
        </w:trPr>
        <w:tc>
          <w:tcPr>
            <w:tcW w:w="3334" w:type="dxa"/>
          </w:tcPr>
          <w:p w14:paraId="796FBB94"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40-49</w:t>
            </w:r>
          </w:p>
        </w:tc>
        <w:tc>
          <w:tcPr>
            <w:tcW w:w="3334" w:type="dxa"/>
          </w:tcPr>
          <w:p w14:paraId="4E7C195F"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(14.3)</w:t>
            </w:r>
          </w:p>
        </w:tc>
        <w:tc>
          <w:tcPr>
            <w:tcW w:w="3336" w:type="dxa"/>
          </w:tcPr>
          <w:p w14:paraId="09E62E0D"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2 (20.0)</w:t>
            </w:r>
          </w:p>
        </w:tc>
      </w:tr>
      <w:tr w:rsidR="00AC6A7B" w:rsidRPr="00103A0B" w14:paraId="0ED597F6" w14:textId="77777777" w:rsidTr="00103F20">
        <w:trPr>
          <w:trHeight w:val="409"/>
        </w:trPr>
        <w:tc>
          <w:tcPr>
            <w:tcW w:w="3334" w:type="dxa"/>
          </w:tcPr>
          <w:p w14:paraId="259AEC9B"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50-59</w:t>
            </w:r>
          </w:p>
        </w:tc>
        <w:tc>
          <w:tcPr>
            <w:tcW w:w="3334" w:type="dxa"/>
          </w:tcPr>
          <w:p w14:paraId="4373ABA8"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5 (71.4)</w:t>
            </w:r>
          </w:p>
        </w:tc>
        <w:tc>
          <w:tcPr>
            <w:tcW w:w="3336" w:type="dxa"/>
          </w:tcPr>
          <w:p w14:paraId="478D3275"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6 (60.0)</w:t>
            </w:r>
          </w:p>
        </w:tc>
      </w:tr>
      <w:tr w:rsidR="00AC6A7B" w:rsidRPr="00103A0B" w14:paraId="2285B0BD" w14:textId="77777777" w:rsidTr="00103F20">
        <w:trPr>
          <w:trHeight w:val="424"/>
        </w:trPr>
        <w:tc>
          <w:tcPr>
            <w:tcW w:w="3334" w:type="dxa"/>
          </w:tcPr>
          <w:p w14:paraId="33336999"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60-69</w:t>
            </w:r>
          </w:p>
        </w:tc>
        <w:tc>
          <w:tcPr>
            <w:tcW w:w="3334" w:type="dxa"/>
          </w:tcPr>
          <w:p w14:paraId="5666D305"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(14.3)</w:t>
            </w:r>
          </w:p>
        </w:tc>
        <w:tc>
          <w:tcPr>
            <w:tcW w:w="3336" w:type="dxa"/>
          </w:tcPr>
          <w:p w14:paraId="41BA48BF"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2 (20.0)</w:t>
            </w:r>
          </w:p>
        </w:tc>
      </w:tr>
      <w:tr w:rsidR="00AC6A7B" w:rsidRPr="00103A0B" w14:paraId="23996A6F" w14:textId="77777777" w:rsidTr="00103F20">
        <w:trPr>
          <w:trHeight w:val="409"/>
        </w:trPr>
        <w:tc>
          <w:tcPr>
            <w:tcW w:w="3334" w:type="dxa"/>
            <w:shd w:val="clear" w:color="auto" w:fill="auto"/>
          </w:tcPr>
          <w:p w14:paraId="7DDA04F8" w14:textId="77777777" w:rsidR="00AC6A7B" w:rsidRPr="00103A0B" w:rsidRDefault="00AC6A7B" w:rsidP="00CD5919">
            <w:pPr>
              <w:spacing w:line="360" w:lineRule="auto"/>
              <w:jc w:val="both"/>
              <w:rPr>
                <w:rFonts w:ascii="Arial" w:hAnsi="Arial" w:cs="Arial"/>
                <w:b/>
                <w:bCs/>
                <w:sz w:val="24"/>
                <w:szCs w:val="24"/>
              </w:rPr>
            </w:pPr>
            <w:r w:rsidRPr="00103A0B">
              <w:rPr>
                <w:rFonts w:ascii="Arial" w:hAnsi="Arial" w:cs="Arial"/>
                <w:b/>
                <w:bCs/>
                <w:sz w:val="24"/>
                <w:szCs w:val="24"/>
              </w:rPr>
              <w:t xml:space="preserve">Ethnicity </w:t>
            </w:r>
          </w:p>
        </w:tc>
        <w:tc>
          <w:tcPr>
            <w:tcW w:w="3334" w:type="dxa"/>
            <w:shd w:val="clear" w:color="auto" w:fill="auto"/>
          </w:tcPr>
          <w:p w14:paraId="2FFD94C8" w14:textId="77777777" w:rsidR="00AC6A7B" w:rsidRPr="00103A0B" w:rsidRDefault="00AC6A7B" w:rsidP="00CD5919">
            <w:pPr>
              <w:spacing w:line="360" w:lineRule="auto"/>
              <w:jc w:val="both"/>
              <w:rPr>
                <w:rFonts w:ascii="Arial" w:hAnsi="Arial" w:cs="Arial"/>
                <w:sz w:val="24"/>
                <w:szCs w:val="24"/>
              </w:rPr>
            </w:pPr>
          </w:p>
        </w:tc>
        <w:tc>
          <w:tcPr>
            <w:tcW w:w="3336" w:type="dxa"/>
            <w:shd w:val="clear" w:color="auto" w:fill="auto"/>
          </w:tcPr>
          <w:p w14:paraId="2E418BB5" w14:textId="77777777" w:rsidR="00AC6A7B" w:rsidRPr="00103A0B" w:rsidRDefault="00AC6A7B" w:rsidP="00CD5919">
            <w:pPr>
              <w:spacing w:line="360" w:lineRule="auto"/>
              <w:jc w:val="both"/>
              <w:rPr>
                <w:rFonts w:ascii="Arial" w:hAnsi="Arial" w:cs="Arial"/>
                <w:sz w:val="24"/>
                <w:szCs w:val="24"/>
              </w:rPr>
            </w:pPr>
          </w:p>
        </w:tc>
      </w:tr>
      <w:tr w:rsidR="00AC6A7B" w:rsidRPr="00103A0B" w14:paraId="2A65EA0E" w14:textId="77777777" w:rsidTr="00103F20">
        <w:trPr>
          <w:trHeight w:val="409"/>
        </w:trPr>
        <w:tc>
          <w:tcPr>
            <w:tcW w:w="3334" w:type="dxa"/>
          </w:tcPr>
          <w:p w14:paraId="4F94E955"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White British </w:t>
            </w:r>
          </w:p>
        </w:tc>
        <w:tc>
          <w:tcPr>
            <w:tcW w:w="3334" w:type="dxa"/>
          </w:tcPr>
          <w:p w14:paraId="1EC846E2"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(14.3)</w:t>
            </w:r>
          </w:p>
        </w:tc>
        <w:tc>
          <w:tcPr>
            <w:tcW w:w="3336" w:type="dxa"/>
          </w:tcPr>
          <w:p w14:paraId="04542040"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3 (30.0)</w:t>
            </w:r>
          </w:p>
        </w:tc>
      </w:tr>
      <w:tr w:rsidR="00AC6A7B" w:rsidRPr="00103A0B" w14:paraId="2792343B" w14:textId="77777777" w:rsidTr="00103F20">
        <w:trPr>
          <w:trHeight w:val="424"/>
        </w:trPr>
        <w:tc>
          <w:tcPr>
            <w:tcW w:w="3334" w:type="dxa"/>
          </w:tcPr>
          <w:p w14:paraId="22D0D468"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Black/Black British </w:t>
            </w:r>
          </w:p>
        </w:tc>
        <w:tc>
          <w:tcPr>
            <w:tcW w:w="3334" w:type="dxa"/>
          </w:tcPr>
          <w:p w14:paraId="407171E6"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4 (57.1)</w:t>
            </w:r>
          </w:p>
        </w:tc>
        <w:tc>
          <w:tcPr>
            <w:tcW w:w="3336" w:type="dxa"/>
          </w:tcPr>
          <w:p w14:paraId="5B2B4F68"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4 (40.0)</w:t>
            </w:r>
          </w:p>
        </w:tc>
      </w:tr>
      <w:tr w:rsidR="00AC6A7B" w:rsidRPr="00103A0B" w14:paraId="5B963F4B" w14:textId="77777777" w:rsidTr="00103F20">
        <w:trPr>
          <w:trHeight w:val="409"/>
        </w:trPr>
        <w:tc>
          <w:tcPr>
            <w:tcW w:w="3334" w:type="dxa"/>
          </w:tcPr>
          <w:p w14:paraId="2EEA810B"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Asian/Asian British </w:t>
            </w:r>
          </w:p>
        </w:tc>
        <w:tc>
          <w:tcPr>
            <w:tcW w:w="3334" w:type="dxa"/>
          </w:tcPr>
          <w:p w14:paraId="75655304"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(14.3)</w:t>
            </w:r>
          </w:p>
        </w:tc>
        <w:tc>
          <w:tcPr>
            <w:tcW w:w="3336" w:type="dxa"/>
          </w:tcPr>
          <w:p w14:paraId="4B2EC05B"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0 </w:t>
            </w:r>
          </w:p>
        </w:tc>
      </w:tr>
      <w:tr w:rsidR="00AC6A7B" w:rsidRPr="00103A0B" w14:paraId="4C577C47" w14:textId="77777777" w:rsidTr="00103F20">
        <w:trPr>
          <w:trHeight w:val="409"/>
        </w:trPr>
        <w:tc>
          <w:tcPr>
            <w:tcW w:w="3334" w:type="dxa"/>
          </w:tcPr>
          <w:p w14:paraId="2E071117"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Mixed</w:t>
            </w:r>
          </w:p>
        </w:tc>
        <w:tc>
          <w:tcPr>
            <w:tcW w:w="3334" w:type="dxa"/>
          </w:tcPr>
          <w:p w14:paraId="602767F6"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0 </w:t>
            </w:r>
          </w:p>
        </w:tc>
        <w:tc>
          <w:tcPr>
            <w:tcW w:w="3336" w:type="dxa"/>
          </w:tcPr>
          <w:p w14:paraId="62CC2294"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(10.0)</w:t>
            </w:r>
          </w:p>
        </w:tc>
      </w:tr>
      <w:tr w:rsidR="00AC6A7B" w:rsidRPr="00103A0B" w14:paraId="5C7BDA9A" w14:textId="77777777" w:rsidTr="00103F20">
        <w:trPr>
          <w:trHeight w:val="409"/>
        </w:trPr>
        <w:tc>
          <w:tcPr>
            <w:tcW w:w="3334" w:type="dxa"/>
          </w:tcPr>
          <w:p w14:paraId="53479AF1"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Other</w:t>
            </w:r>
          </w:p>
        </w:tc>
        <w:tc>
          <w:tcPr>
            <w:tcW w:w="3334" w:type="dxa"/>
          </w:tcPr>
          <w:p w14:paraId="7D0FDFA5"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(14.3)</w:t>
            </w:r>
          </w:p>
        </w:tc>
        <w:tc>
          <w:tcPr>
            <w:tcW w:w="3336" w:type="dxa"/>
          </w:tcPr>
          <w:p w14:paraId="6503C3CF"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2 (20.0)</w:t>
            </w:r>
          </w:p>
        </w:tc>
      </w:tr>
      <w:tr w:rsidR="00AC6A7B" w:rsidRPr="00103A0B" w14:paraId="406C7EEF" w14:textId="77777777" w:rsidTr="00103F20">
        <w:trPr>
          <w:trHeight w:val="487"/>
        </w:trPr>
        <w:tc>
          <w:tcPr>
            <w:tcW w:w="3334" w:type="dxa"/>
            <w:shd w:val="clear" w:color="auto" w:fill="auto"/>
          </w:tcPr>
          <w:p w14:paraId="167E3032" w14:textId="77777777" w:rsidR="00AC6A7B" w:rsidRPr="00103A0B" w:rsidRDefault="00AC6A7B" w:rsidP="00CD5919">
            <w:pPr>
              <w:spacing w:line="360" w:lineRule="auto"/>
              <w:jc w:val="both"/>
              <w:rPr>
                <w:rFonts w:ascii="Arial" w:hAnsi="Arial" w:cs="Arial"/>
                <w:b/>
                <w:bCs/>
                <w:sz w:val="24"/>
                <w:szCs w:val="24"/>
              </w:rPr>
            </w:pPr>
            <w:r w:rsidRPr="00103A0B">
              <w:rPr>
                <w:rFonts w:ascii="Arial" w:hAnsi="Arial" w:cs="Arial"/>
                <w:b/>
                <w:bCs/>
                <w:sz w:val="24"/>
                <w:szCs w:val="24"/>
              </w:rPr>
              <w:t>Deprivation quintile (1-5) *</w:t>
            </w:r>
          </w:p>
        </w:tc>
        <w:tc>
          <w:tcPr>
            <w:tcW w:w="3334" w:type="dxa"/>
            <w:shd w:val="clear" w:color="auto" w:fill="auto"/>
          </w:tcPr>
          <w:p w14:paraId="020BB760" w14:textId="77777777" w:rsidR="00AC6A7B" w:rsidRPr="00103A0B" w:rsidRDefault="00AC6A7B" w:rsidP="00CD5919">
            <w:pPr>
              <w:spacing w:line="360" w:lineRule="auto"/>
              <w:jc w:val="both"/>
              <w:rPr>
                <w:rFonts w:ascii="Arial" w:hAnsi="Arial" w:cs="Arial"/>
                <w:sz w:val="24"/>
                <w:szCs w:val="24"/>
              </w:rPr>
            </w:pPr>
          </w:p>
        </w:tc>
        <w:tc>
          <w:tcPr>
            <w:tcW w:w="3336" w:type="dxa"/>
            <w:shd w:val="clear" w:color="auto" w:fill="auto"/>
          </w:tcPr>
          <w:p w14:paraId="16867CC0" w14:textId="77777777" w:rsidR="00AC6A7B" w:rsidRPr="00103A0B" w:rsidRDefault="00AC6A7B" w:rsidP="00CD5919">
            <w:pPr>
              <w:spacing w:line="360" w:lineRule="auto"/>
              <w:jc w:val="both"/>
              <w:rPr>
                <w:rFonts w:ascii="Arial" w:hAnsi="Arial" w:cs="Arial"/>
                <w:sz w:val="24"/>
                <w:szCs w:val="24"/>
              </w:rPr>
            </w:pPr>
          </w:p>
        </w:tc>
      </w:tr>
      <w:tr w:rsidR="00AC6A7B" w:rsidRPr="00103A0B" w14:paraId="5E84EC4D" w14:textId="77777777" w:rsidTr="00103F20">
        <w:trPr>
          <w:trHeight w:val="409"/>
        </w:trPr>
        <w:tc>
          <w:tcPr>
            <w:tcW w:w="3334" w:type="dxa"/>
          </w:tcPr>
          <w:p w14:paraId="1D4E759C"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Quintile 1 (most deprived)</w:t>
            </w:r>
          </w:p>
        </w:tc>
        <w:tc>
          <w:tcPr>
            <w:tcW w:w="3334" w:type="dxa"/>
          </w:tcPr>
          <w:p w14:paraId="6602B2E4"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0 </w:t>
            </w:r>
          </w:p>
        </w:tc>
        <w:tc>
          <w:tcPr>
            <w:tcW w:w="3336" w:type="dxa"/>
          </w:tcPr>
          <w:p w14:paraId="1095D123"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(10.0)</w:t>
            </w:r>
          </w:p>
        </w:tc>
      </w:tr>
      <w:tr w:rsidR="00AC6A7B" w:rsidRPr="00103A0B" w14:paraId="5F2E7647" w14:textId="77777777" w:rsidTr="00103F20">
        <w:trPr>
          <w:trHeight w:val="424"/>
        </w:trPr>
        <w:tc>
          <w:tcPr>
            <w:tcW w:w="3334" w:type="dxa"/>
          </w:tcPr>
          <w:p w14:paraId="2C6A35D8"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Quintile 2</w:t>
            </w:r>
          </w:p>
        </w:tc>
        <w:tc>
          <w:tcPr>
            <w:tcW w:w="3334" w:type="dxa"/>
          </w:tcPr>
          <w:p w14:paraId="01A05A37"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3 (42.9)</w:t>
            </w:r>
          </w:p>
        </w:tc>
        <w:tc>
          <w:tcPr>
            <w:tcW w:w="3336" w:type="dxa"/>
          </w:tcPr>
          <w:p w14:paraId="7FB1B30A"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8 (80.0)</w:t>
            </w:r>
          </w:p>
        </w:tc>
      </w:tr>
      <w:tr w:rsidR="00AC6A7B" w:rsidRPr="00103A0B" w14:paraId="265ED017" w14:textId="77777777" w:rsidTr="00103F20">
        <w:trPr>
          <w:trHeight w:val="409"/>
        </w:trPr>
        <w:tc>
          <w:tcPr>
            <w:tcW w:w="3334" w:type="dxa"/>
          </w:tcPr>
          <w:p w14:paraId="147C5989"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Quintile 3</w:t>
            </w:r>
          </w:p>
        </w:tc>
        <w:tc>
          <w:tcPr>
            <w:tcW w:w="3334" w:type="dxa"/>
          </w:tcPr>
          <w:p w14:paraId="0183AB26"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0</w:t>
            </w:r>
          </w:p>
        </w:tc>
        <w:tc>
          <w:tcPr>
            <w:tcW w:w="3336" w:type="dxa"/>
          </w:tcPr>
          <w:p w14:paraId="33498422"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0 </w:t>
            </w:r>
          </w:p>
        </w:tc>
      </w:tr>
      <w:tr w:rsidR="00AC6A7B" w:rsidRPr="00103A0B" w14:paraId="2FF5DCF9" w14:textId="77777777" w:rsidTr="00103F20">
        <w:trPr>
          <w:trHeight w:val="409"/>
        </w:trPr>
        <w:tc>
          <w:tcPr>
            <w:tcW w:w="3334" w:type="dxa"/>
          </w:tcPr>
          <w:p w14:paraId="1E61C921"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Quintile 4 </w:t>
            </w:r>
          </w:p>
        </w:tc>
        <w:tc>
          <w:tcPr>
            <w:tcW w:w="3334" w:type="dxa"/>
          </w:tcPr>
          <w:p w14:paraId="286DACC0"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(14.3)</w:t>
            </w:r>
          </w:p>
        </w:tc>
        <w:tc>
          <w:tcPr>
            <w:tcW w:w="3336" w:type="dxa"/>
          </w:tcPr>
          <w:p w14:paraId="128914F6"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0 </w:t>
            </w:r>
          </w:p>
        </w:tc>
      </w:tr>
      <w:tr w:rsidR="00AC6A7B" w:rsidRPr="00103A0B" w14:paraId="46D5429D" w14:textId="77777777" w:rsidTr="00103F20">
        <w:trPr>
          <w:trHeight w:val="409"/>
        </w:trPr>
        <w:tc>
          <w:tcPr>
            <w:tcW w:w="3334" w:type="dxa"/>
          </w:tcPr>
          <w:p w14:paraId="062B161D"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Quintile 5 (least deprived)</w:t>
            </w:r>
          </w:p>
        </w:tc>
        <w:tc>
          <w:tcPr>
            <w:tcW w:w="3334" w:type="dxa"/>
          </w:tcPr>
          <w:p w14:paraId="3DFC039B"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0</w:t>
            </w:r>
          </w:p>
        </w:tc>
        <w:tc>
          <w:tcPr>
            <w:tcW w:w="3336" w:type="dxa"/>
          </w:tcPr>
          <w:p w14:paraId="082321D3"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0</w:t>
            </w:r>
          </w:p>
        </w:tc>
      </w:tr>
      <w:tr w:rsidR="00AC6A7B" w:rsidRPr="00103A0B" w14:paraId="010970C3" w14:textId="77777777" w:rsidTr="00103F20">
        <w:trPr>
          <w:trHeight w:val="424"/>
        </w:trPr>
        <w:tc>
          <w:tcPr>
            <w:tcW w:w="3334" w:type="dxa"/>
          </w:tcPr>
          <w:p w14:paraId="7E696C41"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Unable to calculate</w:t>
            </w:r>
          </w:p>
        </w:tc>
        <w:tc>
          <w:tcPr>
            <w:tcW w:w="3334" w:type="dxa"/>
          </w:tcPr>
          <w:p w14:paraId="2D6AF70B"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3 (42.9)</w:t>
            </w:r>
          </w:p>
        </w:tc>
        <w:tc>
          <w:tcPr>
            <w:tcW w:w="3336" w:type="dxa"/>
          </w:tcPr>
          <w:p w14:paraId="7B943D87"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(10.0)</w:t>
            </w:r>
          </w:p>
        </w:tc>
      </w:tr>
      <w:tr w:rsidR="00AC6A7B" w:rsidRPr="00103A0B" w14:paraId="2AF16A60" w14:textId="77777777" w:rsidTr="00103F20">
        <w:trPr>
          <w:trHeight w:val="409"/>
        </w:trPr>
        <w:tc>
          <w:tcPr>
            <w:tcW w:w="3334" w:type="dxa"/>
          </w:tcPr>
          <w:p w14:paraId="6237A11C"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b/>
                <w:bCs/>
                <w:sz w:val="24"/>
                <w:szCs w:val="24"/>
              </w:rPr>
              <w:t xml:space="preserve">Employment status </w:t>
            </w:r>
          </w:p>
        </w:tc>
        <w:tc>
          <w:tcPr>
            <w:tcW w:w="3334" w:type="dxa"/>
          </w:tcPr>
          <w:p w14:paraId="0B2C98D3" w14:textId="77777777" w:rsidR="00AC6A7B" w:rsidRPr="00103A0B" w:rsidRDefault="00AC6A7B" w:rsidP="00CD5919">
            <w:pPr>
              <w:spacing w:line="360" w:lineRule="auto"/>
              <w:jc w:val="both"/>
              <w:rPr>
                <w:rFonts w:ascii="Arial" w:hAnsi="Arial" w:cs="Arial"/>
                <w:sz w:val="24"/>
                <w:szCs w:val="24"/>
              </w:rPr>
            </w:pPr>
          </w:p>
        </w:tc>
        <w:tc>
          <w:tcPr>
            <w:tcW w:w="3336" w:type="dxa"/>
          </w:tcPr>
          <w:p w14:paraId="48EF99F0" w14:textId="77777777" w:rsidR="00AC6A7B" w:rsidRPr="00103A0B" w:rsidRDefault="00AC6A7B" w:rsidP="00CD5919">
            <w:pPr>
              <w:spacing w:line="360" w:lineRule="auto"/>
              <w:jc w:val="both"/>
              <w:rPr>
                <w:rFonts w:ascii="Arial" w:hAnsi="Arial" w:cs="Arial"/>
                <w:sz w:val="24"/>
                <w:szCs w:val="24"/>
              </w:rPr>
            </w:pPr>
          </w:p>
        </w:tc>
      </w:tr>
      <w:tr w:rsidR="00AC6A7B" w:rsidRPr="00103A0B" w14:paraId="3C4636D1" w14:textId="77777777" w:rsidTr="00103F20">
        <w:trPr>
          <w:trHeight w:val="409"/>
        </w:trPr>
        <w:tc>
          <w:tcPr>
            <w:tcW w:w="3334" w:type="dxa"/>
          </w:tcPr>
          <w:p w14:paraId="0A8AA4B8" w14:textId="77777777" w:rsidR="00AC6A7B" w:rsidRPr="00103A0B" w:rsidRDefault="00AC6A7B" w:rsidP="00CD5919">
            <w:pPr>
              <w:spacing w:line="360" w:lineRule="auto"/>
              <w:jc w:val="both"/>
              <w:rPr>
                <w:rFonts w:ascii="Arial" w:hAnsi="Arial" w:cs="Arial"/>
                <w:b/>
                <w:bCs/>
                <w:sz w:val="24"/>
                <w:szCs w:val="24"/>
              </w:rPr>
            </w:pPr>
            <w:r w:rsidRPr="00103A0B">
              <w:rPr>
                <w:rFonts w:ascii="Arial" w:hAnsi="Arial" w:cs="Arial"/>
                <w:sz w:val="24"/>
                <w:szCs w:val="24"/>
              </w:rPr>
              <w:t>Fulltime</w:t>
            </w:r>
          </w:p>
        </w:tc>
        <w:tc>
          <w:tcPr>
            <w:tcW w:w="3334" w:type="dxa"/>
          </w:tcPr>
          <w:p w14:paraId="03DDD108"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4 (57.1)</w:t>
            </w:r>
          </w:p>
        </w:tc>
        <w:tc>
          <w:tcPr>
            <w:tcW w:w="3336" w:type="dxa"/>
          </w:tcPr>
          <w:p w14:paraId="6FA8DD7F"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5 (50.0)</w:t>
            </w:r>
          </w:p>
        </w:tc>
      </w:tr>
      <w:tr w:rsidR="00AC6A7B" w:rsidRPr="00103A0B" w14:paraId="77B93760" w14:textId="77777777" w:rsidTr="00103F20">
        <w:trPr>
          <w:trHeight w:val="424"/>
        </w:trPr>
        <w:tc>
          <w:tcPr>
            <w:tcW w:w="3334" w:type="dxa"/>
          </w:tcPr>
          <w:p w14:paraId="6CB1B622"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Part-time</w:t>
            </w:r>
          </w:p>
        </w:tc>
        <w:tc>
          <w:tcPr>
            <w:tcW w:w="3334" w:type="dxa"/>
          </w:tcPr>
          <w:p w14:paraId="78A517C1"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0 </w:t>
            </w:r>
          </w:p>
        </w:tc>
        <w:tc>
          <w:tcPr>
            <w:tcW w:w="3336" w:type="dxa"/>
          </w:tcPr>
          <w:p w14:paraId="708D4C68"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2 (20.0)</w:t>
            </w:r>
          </w:p>
        </w:tc>
      </w:tr>
      <w:tr w:rsidR="00AC6A7B" w:rsidRPr="00103A0B" w14:paraId="0DF1CE19" w14:textId="77777777" w:rsidTr="00103F20">
        <w:trPr>
          <w:trHeight w:val="409"/>
        </w:trPr>
        <w:tc>
          <w:tcPr>
            <w:tcW w:w="3334" w:type="dxa"/>
          </w:tcPr>
          <w:p w14:paraId="178E58FC"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Look after home/family </w:t>
            </w:r>
          </w:p>
        </w:tc>
        <w:tc>
          <w:tcPr>
            <w:tcW w:w="3334" w:type="dxa"/>
          </w:tcPr>
          <w:p w14:paraId="4AF87FCE"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(14.3)</w:t>
            </w:r>
          </w:p>
        </w:tc>
        <w:tc>
          <w:tcPr>
            <w:tcW w:w="3336" w:type="dxa"/>
          </w:tcPr>
          <w:p w14:paraId="3A4BEDE2"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 xml:space="preserve">0 </w:t>
            </w:r>
          </w:p>
        </w:tc>
      </w:tr>
      <w:tr w:rsidR="00AC6A7B" w:rsidRPr="00103A0B" w14:paraId="0090E26F" w14:textId="77777777" w:rsidTr="00103F20">
        <w:trPr>
          <w:trHeight w:val="833"/>
        </w:trPr>
        <w:tc>
          <w:tcPr>
            <w:tcW w:w="3334" w:type="dxa"/>
          </w:tcPr>
          <w:p w14:paraId="107C4424"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Unemployed/Long-term sickness</w:t>
            </w:r>
          </w:p>
        </w:tc>
        <w:tc>
          <w:tcPr>
            <w:tcW w:w="3334" w:type="dxa"/>
          </w:tcPr>
          <w:p w14:paraId="0A4ECF41"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(14.3)</w:t>
            </w:r>
          </w:p>
        </w:tc>
        <w:tc>
          <w:tcPr>
            <w:tcW w:w="3336" w:type="dxa"/>
          </w:tcPr>
          <w:p w14:paraId="0C71B09B"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3 (30.0)</w:t>
            </w:r>
          </w:p>
        </w:tc>
      </w:tr>
      <w:tr w:rsidR="00AC6A7B" w:rsidRPr="00103A0B" w14:paraId="722133E2" w14:textId="77777777" w:rsidTr="00103F20">
        <w:trPr>
          <w:trHeight w:val="409"/>
        </w:trPr>
        <w:tc>
          <w:tcPr>
            <w:tcW w:w="3334" w:type="dxa"/>
          </w:tcPr>
          <w:p w14:paraId="514B71AC"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Retired</w:t>
            </w:r>
          </w:p>
        </w:tc>
        <w:tc>
          <w:tcPr>
            <w:tcW w:w="3334" w:type="dxa"/>
          </w:tcPr>
          <w:p w14:paraId="5654B9E9"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1 (14.3)</w:t>
            </w:r>
          </w:p>
        </w:tc>
        <w:tc>
          <w:tcPr>
            <w:tcW w:w="3336" w:type="dxa"/>
          </w:tcPr>
          <w:p w14:paraId="0B6D1091" w14:textId="77777777" w:rsidR="00AC6A7B" w:rsidRPr="00103A0B" w:rsidRDefault="00AC6A7B" w:rsidP="00CD5919">
            <w:pPr>
              <w:spacing w:line="360" w:lineRule="auto"/>
              <w:jc w:val="both"/>
              <w:rPr>
                <w:rFonts w:ascii="Arial" w:hAnsi="Arial" w:cs="Arial"/>
                <w:sz w:val="24"/>
                <w:szCs w:val="24"/>
              </w:rPr>
            </w:pPr>
            <w:r w:rsidRPr="00103A0B">
              <w:rPr>
                <w:rFonts w:ascii="Arial" w:hAnsi="Arial" w:cs="Arial"/>
                <w:sz w:val="24"/>
                <w:szCs w:val="24"/>
              </w:rPr>
              <w:t>0</w:t>
            </w:r>
          </w:p>
        </w:tc>
      </w:tr>
    </w:tbl>
    <w:p w14:paraId="7ED0618E" w14:textId="766A7198" w:rsidR="00AC6A7B" w:rsidRPr="00103A0B" w:rsidRDefault="00AC6A7B" w:rsidP="00C220D1">
      <w:pPr>
        <w:spacing w:line="360" w:lineRule="auto"/>
        <w:jc w:val="both"/>
        <w:rPr>
          <w:rFonts w:ascii="Arial" w:hAnsi="Arial" w:cs="Arial"/>
        </w:rPr>
      </w:pPr>
      <w:r w:rsidRPr="00103A0B">
        <w:rPr>
          <w:rFonts w:ascii="Arial" w:hAnsi="Arial" w:cs="Arial"/>
        </w:rPr>
        <w:t xml:space="preserve">*The index of multiple deprivation was calculated (measure of socioeconomic status based on residential postcodes) where possible </w:t>
      </w:r>
      <w:r w:rsidRPr="00103A0B">
        <w:rPr>
          <w:rFonts w:ascii="Arial" w:hAnsi="Arial" w:cs="Arial"/>
        </w:rPr>
        <w:fldChar w:fldCharType="begin" w:fldLock="1"/>
      </w:r>
      <w:r w:rsidR="00643C08" w:rsidRPr="00103A0B">
        <w:rPr>
          <w:rFonts w:ascii="Arial" w:hAnsi="Arial" w:cs="Arial"/>
        </w:rPr>
        <w:instrText>ADDIN CSL_CITATION {"citationItems":[{"id":"ITEM-1","itemData":{"author":[{"dropping-particle":"","family":"New Policy Institute","given":"","non-dropping-particle":"","parse-names":false,"suffix":""}],"id":"ITEM-1","issued":{"date-parts":[["2016"]]},"number-of-pages":"1-41","title":"Demography and deprivation in Southwark and Tower Hamlets","type":"report"},"uris":["http://www.mendeley.com/documents/?uuid=99d93356-8ea6-45e8-b861-56b0f78d2dc2"]},{"id":"ITEM-2","itemData":{"URL":"http://imd-by-postcode.opendatacommunities.org/","accessed":{"date-parts":[["2021","6","26"]]},"author":[{"dropping-particle":"","family":"Ministry of Housing","given":"Communities and Local Government","non-dropping-particle":"","parse-names":false,"suffix":""}],"id":"ITEM-2","issued":{"date-parts":[["2019"]]},"title":"English indices of deprivation 2019","type":"webpage"},"uris":["http://www.mendeley.com/documents/?uuid=0e83ec0f-2444-4b57-a412-734aa09afa96"]}],"mendeley":{"formattedCitation":"(Ministry of Housing, 2019; New Policy Institute, 2016)","plainTextFormattedCitation":"(Ministry of Housing, 2019; New Policy Institute, 2016)","previouslyFormattedCitation":"(Ministry of Housing, 2019; New Policy Institute, 2016)"},"properties":{"noteIndex":0},"schema":"https://github.com/citation-style-language/schema/raw/master/csl-citation.json"}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(Ministry of Housing, 2019; New Policy Institute, 2016)</w:t>
      </w:r>
      <w:r w:rsidRPr="00103A0B">
        <w:rPr>
          <w:rFonts w:ascii="Arial" w:hAnsi="Arial" w:cs="Arial"/>
        </w:rPr>
        <w:fldChar w:fldCharType="end"/>
      </w:r>
      <w:r w:rsidRPr="00103A0B">
        <w:rPr>
          <w:rFonts w:ascii="Arial" w:hAnsi="Arial" w:cs="Arial"/>
        </w:rPr>
        <w:t xml:space="preserve">. </w:t>
      </w:r>
    </w:p>
    <w:p w14:paraId="0C646600" w14:textId="13A83314" w:rsidR="00DE65CD" w:rsidRPr="00103A0B" w:rsidRDefault="00DE65CD" w:rsidP="00CD5919">
      <w:pPr>
        <w:spacing w:line="240" w:lineRule="auto"/>
        <w:jc w:val="both"/>
        <w:rPr>
          <w:rFonts w:ascii="Arial" w:hAnsi="Arial" w:cs="Arial"/>
        </w:rPr>
      </w:pPr>
    </w:p>
    <w:p w14:paraId="61D42EDE" w14:textId="77777777" w:rsidR="0048036B" w:rsidRPr="00103A0B" w:rsidRDefault="0048036B" w:rsidP="00103F20">
      <w:pPr>
        <w:spacing w:line="360" w:lineRule="auto"/>
        <w:jc w:val="both"/>
        <w:rPr>
          <w:rFonts w:ascii="Arial" w:hAnsi="Arial" w:cs="Arial"/>
          <w:sz w:val="24"/>
          <w:szCs w:val="24"/>
        </w:rPr>
      </w:pPr>
    </w:p>
    <w:p w14:paraId="72D04372" w14:textId="0AA11CA2"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Seven main themes were derived from the data (see Figure 5).</w:t>
      </w:r>
    </w:p>
    <w:p w14:paraId="3AB87070" w14:textId="77777777" w:rsidR="00103F20" w:rsidRPr="00103A0B" w:rsidRDefault="00103F20" w:rsidP="00C220D1">
      <w:pPr>
        <w:pStyle w:val="ListParagraph"/>
        <w:numPr>
          <w:ilvl w:val="0"/>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 xml:space="preserve">Motivation </w:t>
      </w:r>
    </w:p>
    <w:p w14:paraId="3D0413F4" w14:textId="61D81A0E" w:rsidR="00CD5159" w:rsidRPr="00103A0B" w:rsidRDefault="001D3598" w:rsidP="00C220D1">
      <w:pPr>
        <w:spacing w:line="360" w:lineRule="auto"/>
        <w:jc w:val="both"/>
        <w:rPr>
          <w:rFonts w:ascii="Arial" w:hAnsi="Arial" w:cs="Arial"/>
          <w:sz w:val="24"/>
          <w:szCs w:val="24"/>
        </w:rPr>
      </w:pPr>
      <w:r w:rsidRPr="00103A0B">
        <w:rPr>
          <w:rFonts w:ascii="Arial" w:hAnsi="Arial" w:cs="Arial"/>
          <w:sz w:val="24"/>
          <w:szCs w:val="24"/>
        </w:rPr>
        <w:t xml:space="preserve">This </w:t>
      </w:r>
      <w:r w:rsidR="00103F20" w:rsidRPr="00103A0B">
        <w:rPr>
          <w:rFonts w:ascii="Arial" w:hAnsi="Arial" w:cs="Arial"/>
          <w:sz w:val="24"/>
          <w:szCs w:val="24"/>
        </w:rPr>
        <w:t>theme only applied to completers</w:t>
      </w:r>
      <w:r w:rsidR="007C511D" w:rsidRPr="00103A0B">
        <w:rPr>
          <w:rFonts w:ascii="Arial" w:hAnsi="Arial" w:cs="Arial"/>
          <w:sz w:val="24"/>
          <w:szCs w:val="24"/>
        </w:rPr>
        <w:t>.</w:t>
      </w:r>
      <w:r w:rsidR="0048036B" w:rsidRPr="00103A0B">
        <w:rPr>
          <w:rFonts w:ascii="Arial" w:hAnsi="Arial" w:cs="Arial"/>
          <w:sz w:val="24"/>
          <w:szCs w:val="24"/>
        </w:rPr>
        <w:t xml:space="preserve"> </w:t>
      </w:r>
      <w:r w:rsidR="008020B8" w:rsidRPr="00103A0B">
        <w:rPr>
          <w:rFonts w:ascii="Arial" w:hAnsi="Arial" w:cs="Arial"/>
          <w:sz w:val="24"/>
          <w:szCs w:val="24"/>
        </w:rPr>
        <w:t>Here</w:t>
      </w:r>
      <w:r w:rsidR="00D0463A" w:rsidRPr="00103A0B">
        <w:rPr>
          <w:rFonts w:ascii="Arial" w:hAnsi="Arial" w:cs="Arial"/>
          <w:sz w:val="24"/>
          <w:szCs w:val="24"/>
        </w:rPr>
        <w:t xml:space="preserve"> </w:t>
      </w:r>
      <w:r w:rsidR="00103F20" w:rsidRPr="00103A0B">
        <w:rPr>
          <w:rFonts w:ascii="Arial" w:hAnsi="Arial" w:cs="Arial"/>
          <w:sz w:val="24"/>
          <w:szCs w:val="24"/>
        </w:rPr>
        <w:t xml:space="preserve">they discussed </w:t>
      </w:r>
      <w:r w:rsidR="00CD5159" w:rsidRPr="00103A0B">
        <w:rPr>
          <w:rFonts w:ascii="Arial" w:hAnsi="Arial" w:cs="Arial"/>
          <w:sz w:val="24"/>
          <w:szCs w:val="24"/>
        </w:rPr>
        <w:t xml:space="preserve">their level of motivation and explained reasons behind </w:t>
      </w:r>
      <w:r w:rsidR="00103F20" w:rsidRPr="00103A0B">
        <w:rPr>
          <w:rFonts w:ascii="Arial" w:hAnsi="Arial" w:cs="Arial"/>
          <w:sz w:val="24"/>
          <w:szCs w:val="24"/>
        </w:rPr>
        <w:t xml:space="preserve">their motivation </w:t>
      </w:r>
      <w:r w:rsidR="008020B8" w:rsidRPr="00103A0B">
        <w:rPr>
          <w:rFonts w:ascii="Arial" w:hAnsi="Arial" w:cs="Arial"/>
          <w:sz w:val="24"/>
          <w:szCs w:val="24"/>
        </w:rPr>
        <w:t xml:space="preserve">for </w:t>
      </w:r>
      <w:r w:rsidR="00103F20" w:rsidRPr="00103A0B">
        <w:rPr>
          <w:rFonts w:ascii="Arial" w:hAnsi="Arial" w:cs="Arial"/>
          <w:sz w:val="24"/>
          <w:szCs w:val="24"/>
        </w:rPr>
        <w:t xml:space="preserve">attending the NHSDPP. </w:t>
      </w:r>
      <w:r w:rsidR="00CD5159" w:rsidRPr="00103A0B">
        <w:rPr>
          <w:rFonts w:ascii="Arial" w:hAnsi="Arial" w:cs="Arial"/>
          <w:sz w:val="24"/>
          <w:szCs w:val="24"/>
        </w:rPr>
        <w:t xml:space="preserve">Some of the motivation for completers may have come from their fear of and perceived severity of T2DM (see </w:t>
      </w:r>
      <w:r w:rsidR="008645EB" w:rsidRPr="00103A0B">
        <w:rPr>
          <w:rFonts w:ascii="Arial" w:hAnsi="Arial" w:cs="Arial"/>
          <w:sz w:val="24"/>
          <w:szCs w:val="24"/>
        </w:rPr>
        <w:t xml:space="preserve">theme </w:t>
      </w:r>
      <w:r w:rsidR="00CD5159" w:rsidRPr="00103A0B">
        <w:rPr>
          <w:rFonts w:ascii="Arial" w:hAnsi="Arial" w:cs="Arial"/>
          <w:sz w:val="24"/>
          <w:szCs w:val="24"/>
        </w:rPr>
        <w:t xml:space="preserve">2. Illness threat). </w:t>
      </w:r>
      <w:r w:rsidR="00103F20" w:rsidRPr="00103A0B">
        <w:rPr>
          <w:rFonts w:ascii="Arial" w:hAnsi="Arial" w:cs="Arial"/>
          <w:sz w:val="24"/>
          <w:szCs w:val="24"/>
        </w:rPr>
        <w:t>Many discussed how they do not want prediabetes/T2DM which influenced motivation to continue attending</w:t>
      </w:r>
      <w:r w:rsidR="004526E9" w:rsidRPr="00103A0B">
        <w:rPr>
          <w:rFonts w:ascii="Arial" w:hAnsi="Arial" w:cs="Arial"/>
          <w:sz w:val="24"/>
          <w:szCs w:val="24"/>
        </w:rPr>
        <w:t xml:space="preserve"> </w:t>
      </w:r>
      <w:r w:rsidR="00CD5159" w:rsidRPr="00103A0B">
        <w:rPr>
          <w:rFonts w:ascii="Arial" w:hAnsi="Arial" w:cs="Arial"/>
          <w:sz w:val="24"/>
          <w:szCs w:val="24"/>
        </w:rPr>
        <w:t xml:space="preserve">as they had increased concern about their diagnosis:   </w:t>
      </w:r>
    </w:p>
    <w:p w14:paraId="30C15318" w14:textId="56F2BD9F"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w:t>
      </w:r>
      <w:proofErr w:type="gramStart"/>
      <w:r w:rsidRPr="00103A0B">
        <w:rPr>
          <w:rFonts w:ascii="Arial" w:hAnsi="Arial" w:cs="Arial"/>
          <w:sz w:val="24"/>
          <w:szCs w:val="24"/>
        </w:rPr>
        <w:t>my</w:t>
      </w:r>
      <w:proofErr w:type="gramEnd"/>
      <w:r w:rsidRPr="00103A0B">
        <w:rPr>
          <w:rFonts w:ascii="Arial" w:hAnsi="Arial" w:cs="Arial"/>
          <w:sz w:val="24"/>
          <w:szCs w:val="24"/>
        </w:rPr>
        <w:t xml:space="preserve"> aim is to make sure I gain something for me…hearing you are high risk…motivates me to no I don’t want to have it” (Jafari, 56-year-old black British man</w:t>
      </w:r>
      <w:r w:rsidR="00175C39" w:rsidRPr="00103A0B">
        <w:rPr>
          <w:rFonts w:ascii="Arial" w:hAnsi="Arial" w:cs="Arial"/>
          <w:sz w:val="24"/>
          <w:szCs w:val="24"/>
        </w:rPr>
        <w:t>, completer</w:t>
      </w:r>
      <w:r w:rsidRPr="00103A0B">
        <w:rPr>
          <w:rFonts w:ascii="Arial" w:hAnsi="Arial" w:cs="Arial"/>
          <w:sz w:val="24"/>
          <w:szCs w:val="24"/>
        </w:rPr>
        <w:t>).</w:t>
      </w:r>
    </w:p>
    <w:p w14:paraId="039D98D0" w14:textId="5FE7FCBF" w:rsidR="00103F20" w:rsidRPr="00103A0B" w:rsidRDefault="00103F20" w:rsidP="00C220D1">
      <w:pPr>
        <w:spacing w:line="360" w:lineRule="auto"/>
        <w:jc w:val="both"/>
        <w:rPr>
          <w:rFonts w:ascii="Arial" w:hAnsi="Arial" w:cs="Arial"/>
          <w:strike/>
          <w:sz w:val="24"/>
          <w:szCs w:val="24"/>
        </w:rPr>
      </w:pPr>
      <w:r w:rsidRPr="00103A0B">
        <w:rPr>
          <w:rFonts w:ascii="Arial" w:hAnsi="Arial" w:cs="Arial"/>
          <w:sz w:val="24"/>
          <w:szCs w:val="24"/>
        </w:rPr>
        <w:t>Some completers stated how it is up to the individual to be willing to make changes to remove T2DM risk</w:t>
      </w:r>
      <w:r w:rsidR="004526E9" w:rsidRPr="00103A0B">
        <w:rPr>
          <w:rFonts w:ascii="Arial" w:hAnsi="Arial" w:cs="Arial"/>
          <w:sz w:val="24"/>
          <w:szCs w:val="24"/>
        </w:rPr>
        <w:t>,</w:t>
      </w:r>
      <w:r w:rsidR="00CD5159" w:rsidRPr="00103A0B">
        <w:rPr>
          <w:rFonts w:ascii="Arial" w:hAnsi="Arial" w:cs="Arial"/>
          <w:sz w:val="24"/>
          <w:szCs w:val="24"/>
        </w:rPr>
        <w:t xml:space="preserve"> and this showed the importance of self-motivation</w:t>
      </w:r>
      <w:r w:rsidR="00ED770E" w:rsidRPr="00103A0B">
        <w:rPr>
          <w:rFonts w:ascii="Arial" w:hAnsi="Arial" w:cs="Arial"/>
          <w:sz w:val="24"/>
          <w:szCs w:val="24"/>
        </w:rPr>
        <w:t>:</w:t>
      </w:r>
      <w:r w:rsidRPr="00103A0B">
        <w:rPr>
          <w:rFonts w:ascii="Arial" w:hAnsi="Arial" w:cs="Arial"/>
          <w:strike/>
          <w:sz w:val="24"/>
          <w:szCs w:val="24"/>
        </w:rPr>
        <w:t xml:space="preserve"> </w:t>
      </w:r>
    </w:p>
    <w:p w14:paraId="4FFC15EA" w14:textId="187C0667"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“it’s up to me to work on it…if you don’t work on it, it will be there so for it to stop it depends on you” (Precious, 54-year-old black British woman</w:t>
      </w:r>
      <w:r w:rsidR="00175C39" w:rsidRPr="00103A0B">
        <w:rPr>
          <w:rFonts w:ascii="Arial" w:hAnsi="Arial" w:cs="Arial"/>
          <w:sz w:val="24"/>
          <w:szCs w:val="24"/>
        </w:rPr>
        <w:t>, completer</w:t>
      </w:r>
      <w:r w:rsidRPr="00103A0B">
        <w:rPr>
          <w:rFonts w:ascii="Arial" w:hAnsi="Arial" w:cs="Arial"/>
          <w:sz w:val="24"/>
          <w:szCs w:val="24"/>
        </w:rPr>
        <w:t>).</w:t>
      </w:r>
    </w:p>
    <w:p w14:paraId="14E18E3F" w14:textId="6ECAEA59" w:rsidR="00103F20" w:rsidRPr="00103A0B" w:rsidRDefault="00CD5159" w:rsidP="00C220D1">
      <w:pPr>
        <w:spacing w:line="360" w:lineRule="auto"/>
        <w:jc w:val="both"/>
        <w:rPr>
          <w:rFonts w:ascii="Arial" w:hAnsi="Arial" w:cs="Arial"/>
          <w:sz w:val="24"/>
          <w:szCs w:val="24"/>
        </w:rPr>
      </w:pPr>
      <w:r w:rsidRPr="00103A0B">
        <w:rPr>
          <w:rFonts w:ascii="Arial" w:hAnsi="Arial" w:cs="Arial"/>
          <w:sz w:val="24"/>
          <w:szCs w:val="24"/>
        </w:rPr>
        <w:t xml:space="preserve">Some motivation for completers also came from the programme itself. </w:t>
      </w:r>
      <w:r w:rsidR="00103F20" w:rsidRPr="00103A0B">
        <w:rPr>
          <w:rFonts w:ascii="Arial" w:hAnsi="Arial" w:cs="Arial"/>
          <w:sz w:val="24"/>
          <w:szCs w:val="24"/>
        </w:rPr>
        <w:t>The programme</w:t>
      </w:r>
      <w:r w:rsidR="00D0463A" w:rsidRPr="00103A0B">
        <w:rPr>
          <w:rFonts w:ascii="Arial" w:hAnsi="Arial" w:cs="Arial"/>
          <w:sz w:val="24"/>
          <w:szCs w:val="24"/>
        </w:rPr>
        <w:t xml:space="preserve"> </w:t>
      </w:r>
      <w:r w:rsidR="00103F20" w:rsidRPr="00103A0B">
        <w:rPr>
          <w:rFonts w:ascii="Arial" w:hAnsi="Arial" w:cs="Arial"/>
          <w:sz w:val="24"/>
          <w:szCs w:val="24"/>
        </w:rPr>
        <w:t>encouraged completers to keep going</w:t>
      </w:r>
      <w:r w:rsidR="005E3B6E" w:rsidRPr="00103A0B">
        <w:rPr>
          <w:rFonts w:ascii="Arial" w:hAnsi="Arial" w:cs="Arial"/>
          <w:sz w:val="24"/>
          <w:szCs w:val="24"/>
        </w:rPr>
        <w:t>,</w:t>
      </w:r>
      <w:r w:rsidRPr="00103A0B">
        <w:rPr>
          <w:rFonts w:ascii="Arial" w:hAnsi="Arial" w:cs="Arial"/>
          <w:sz w:val="24"/>
          <w:szCs w:val="24"/>
        </w:rPr>
        <w:t xml:space="preserve"> increasing their motivation to complete</w:t>
      </w:r>
      <w:r w:rsidR="00103F20" w:rsidRPr="00103A0B">
        <w:rPr>
          <w:rFonts w:ascii="Arial" w:hAnsi="Arial" w:cs="Arial"/>
          <w:sz w:val="24"/>
          <w:szCs w:val="24"/>
        </w:rPr>
        <w:t>:</w:t>
      </w:r>
    </w:p>
    <w:p w14:paraId="7F76B5AA" w14:textId="3AF30944" w:rsidR="00103F20" w:rsidRPr="00103A0B" w:rsidRDefault="00103F20" w:rsidP="00FF161D">
      <w:pPr>
        <w:spacing w:line="360" w:lineRule="auto"/>
        <w:ind w:left="720"/>
        <w:jc w:val="both"/>
        <w:rPr>
          <w:rFonts w:ascii="Arial" w:hAnsi="Arial" w:cs="Arial"/>
          <w:sz w:val="24"/>
          <w:szCs w:val="24"/>
        </w:rPr>
      </w:pPr>
      <w:r w:rsidRPr="00103A0B">
        <w:rPr>
          <w:rFonts w:ascii="Arial" w:hAnsi="Arial" w:cs="Arial"/>
          <w:sz w:val="24"/>
          <w:szCs w:val="24"/>
        </w:rPr>
        <w:t>“</w:t>
      </w:r>
      <w:proofErr w:type="gramStart"/>
      <w:r w:rsidRPr="00103A0B">
        <w:rPr>
          <w:rFonts w:ascii="Arial" w:hAnsi="Arial" w:cs="Arial"/>
          <w:sz w:val="24"/>
          <w:szCs w:val="24"/>
        </w:rPr>
        <w:t>every</w:t>
      </w:r>
      <w:proofErr w:type="gramEnd"/>
      <w:r w:rsidRPr="00103A0B">
        <w:rPr>
          <w:rFonts w:ascii="Arial" w:hAnsi="Arial" w:cs="Arial"/>
          <w:sz w:val="24"/>
          <w:szCs w:val="24"/>
        </w:rPr>
        <w:t xml:space="preserve"> time you go to a programme you got reminded that you need to do it” (Shanice, 42-year-old black British woman</w:t>
      </w:r>
      <w:r w:rsidR="00175C39" w:rsidRPr="00103A0B">
        <w:rPr>
          <w:rFonts w:ascii="Arial" w:hAnsi="Arial" w:cs="Arial"/>
          <w:sz w:val="24"/>
          <w:szCs w:val="24"/>
        </w:rPr>
        <w:t>, completer</w:t>
      </w:r>
      <w:r w:rsidRPr="00103A0B">
        <w:rPr>
          <w:rFonts w:ascii="Arial" w:hAnsi="Arial" w:cs="Arial"/>
          <w:sz w:val="24"/>
          <w:szCs w:val="24"/>
        </w:rPr>
        <w:t>).</w:t>
      </w:r>
    </w:p>
    <w:p w14:paraId="202194D2" w14:textId="77777777" w:rsidR="00103F20" w:rsidRPr="00103A0B" w:rsidRDefault="00103F20" w:rsidP="00C220D1">
      <w:pPr>
        <w:spacing w:line="360" w:lineRule="auto"/>
        <w:ind w:left="360"/>
        <w:jc w:val="both"/>
        <w:rPr>
          <w:rFonts w:ascii="Arial" w:hAnsi="Arial" w:cs="Arial"/>
          <w:sz w:val="24"/>
          <w:szCs w:val="24"/>
        </w:rPr>
      </w:pPr>
    </w:p>
    <w:p w14:paraId="0D5DFBF6" w14:textId="312DA2F9" w:rsidR="0048036B" w:rsidRPr="00103A0B" w:rsidRDefault="0048036B" w:rsidP="00C220D1">
      <w:pPr>
        <w:pStyle w:val="ListParagraph"/>
        <w:numPr>
          <w:ilvl w:val="0"/>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 xml:space="preserve">Illness threat </w:t>
      </w:r>
    </w:p>
    <w:p w14:paraId="26F0B12A" w14:textId="7E197AB7" w:rsidR="0048036B" w:rsidRPr="00103A0B" w:rsidRDefault="00CD5159" w:rsidP="00C220D1">
      <w:pPr>
        <w:spacing w:line="360" w:lineRule="auto"/>
        <w:jc w:val="both"/>
        <w:rPr>
          <w:rFonts w:ascii="Arial" w:hAnsi="Arial" w:cs="Arial"/>
          <w:sz w:val="24"/>
          <w:szCs w:val="24"/>
        </w:rPr>
      </w:pPr>
      <w:r w:rsidRPr="00103A0B">
        <w:rPr>
          <w:rFonts w:ascii="Arial" w:hAnsi="Arial" w:cs="Arial"/>
          <w:sz w:val="24"/>
          <w:szCs w:val="24"/>
        </w:rPr>
        <w:t xml:space="preserve">This theme discusses how the threat of </w:t>
      </w:r>
      <w:r w:rsidR="008645EB" w:rsidRPr="00103A0B">
        <w:rPr>
          <w:rFonts w:ascii="Arial" w:hAnsi="Arial" w:cs="Arial"/>
          <w:sz w:val="24"/>
          <w:szCs w:val="24"/>
        </w:rPr>
        <w:t xml:space="preserve">getting </w:t>
      </w:r>
      <w:r w:rsidRPr="00103A0B">
        <w:rPr>
          <w:rFonts w:ascii="Arial" w:hAnsi="Arial" w:cs="Arial"/>
          <w:sz w:val="24"/>
          <w:szCs w:val="24"/>
        </w:rPr>
        <w:t xml:space="preserve">T2DM influenced </w:t>
      </w:r>
      <w:proofErr w:type="gramStart"/>
      <w:r w:rsidRPr="00103A0B">
        <w:rPr>
          <w:rFonts w:ascii="Arial" w:hAnsi="Arial" w:cs="Arial"/>
          <w:sz w:val="24"/>
          <w:szCs w:val="24"/>
        </w:rPr>
        <w:t>whether or not</w:t>
      </w:r>
      <w:proofErr w:type="gramEnd"/>
      <w:r w:rsidRPr="00103A0B">
        <w:rPr>
          <w:rFonts w:ascii="Arial" w:hAnsi="Arial" w:cs="Arial"/>
          <w:sz w:val="24"/>
          <w:szCs w:val="24"/>
        </w:rPr>
        <w:t xml:space="preserve"> participants completed the programme</w:t>
      </w:r>
      <w:r w:rsidR="0048036B" w:rsidRPr="00103A0B">
        <w:rPr>
          <w:rFonts w:ascii="Arial" w:hAnsi="Arial" w:cs="Arial"/>
          <w:sz w:val="24"/>
          <w:szCs w:val="24"/>
        </w:rPr>
        <w:t>. Non-completers discussed diabetes in terms of a “bad disease” or “sickness” which can cause death</w:t>
      </w:r>
      <w:r w:rsidR="004E2EEA" w:rsidRPr="00103A0B">
        <w:rPr>
          <w:rFonts w:ascii="Arial" w:hAnsi="Arial" w:cs="Arial"/>
          <w:sz w:val="24"/>
          <w:szCs w:val="24"/>
        </w:rPr>
        <w:t>, highlighting their understanding of the severity of T2DM</w:t>
      </w:r>
      <w:r w:rsidR="0048036B" w:rsidRPr="00103A0B">
        <w:rPr>
          <w:rFonts w:ascii="Arial" w:hAnsi="Arial" w:cs="Arial"/>
          <w:sz w:val="24"/>
          <w:szCs w:val="24"/>
        </w:rPr>
        <w:t>.</w:t>
      </w:r>
      <w:r w:rsidR="003F2F1D" w:rsidRPr="00103A0B">
        <w:rPr>
          <w:rFonts w:ascii="Arial" w:hAnsi="Arial" w:cs="Arial"/>
          <w:sz w:val="24"/>
          <w:szCs w:val="24"/>
        </w:rPr>
        <w:t xml:space="preserve"> </w:t>
      </w:r>
      <w:r w:rsidR="00CE5757" w:rsidRPr="00103A0B">
        <w:rPr>
          <w:rFonts w:ascii="Arial" w:hAnsi="Arial" w:cs="Arial"/>
          <w:sz w:val="24"/>
          <w:szCs w:val="24"/>
        </w:rPr>
        <w:t>The following quote shows that Ebony viewed diabetes as an illness threat</w:t>
      </w:r>
      <w:r w:rsidR="008645EB" w:rsidRPr="00103A0B">
        <w:rPr>
          <w:rFonts w:ascii="Arial" w:hAnsi="Arial" w:cs="Arial"/>
          <w:sz w:val="24"/>
          <w:szCs w:val="24"/>
        </w:rPr>
        <w:t>, and that by going on the programme, she stopped herself becoming a “victim” of diabetes</w:t>
      </w:r>
      <w:r w:rsidR="0048036B" w:rsidRPr="00103A0B">
        <w:rPr>
          <w:rFonts w:ascii="Arial" w:hAnsi="Arial" w:cs="Arial"/>
          <w:sz w:val="24"/>
          <w:szCs w:val="24"/>
        </w:rPr>
        <w:t xml:space="preserve">: </w:t>
      </w:r>
    </w:p>
    <w:p w14:paraId="138F2E15" w14:textId="12674E98" w:rsidR="003F2F1D" w:rsidRPr="00103A0B" w:rsidRDefault="0048036B" w:rsidP="00C220D1">
      <w:pPr>
        <w:spacing w:line="360" w:lineRule="auto"/>
        <w:ind w:left="720"/>
        <w:jc w:val="both"/>
        <w:rPr>
          <w:rFonts w:ascii="Arial" w:hAnsi="Arial" w:cs="Arial"/>
          <w:sz w:val="24"/>
          <w:szCs w:val="24"/>
        </w:rPr>
      </w:pPr>
      <w:r w:rsidRPr="00103A0B">
        <w:rPr>
          <w:rFonts w:ascii="Arial" w:hAnsi="Arial" w:cs="Arial"/>
          <w:sz w:val="24"/>
          <w:szCs w:val="24"/>
        </w:rPr>
        <w:lastRenderedPageBreak/>
        <w:t>“I know it’s a bad sickness especially when you don’t take control of what you eat or you don’t do exercise…a very bad disease…it can even lead to somebody`s death</w:t>
      </w:r>
      <w:r w:rsidR="003F2F1D" w:rsidRPr="00103A0B">
        <w:rPr>
          <w:rFonts w:ascii="Arial" w:hAnsi="Arial" w:cs="Arial"/>
          <w:sz w:val="24"/>
          <w:szCs w:val="24"/>
        </w:rPr>
        <w:t>…the programme was good I really benefit from it, especially the teacher taught me what to eat what not to eat</w:t>
      </w:r>
      <w:r w:rsidR="008645EB" w:rsidRPr="00103A0B">
        <w:rPr>
          <w:rFonts w:ascii="Arial" w:hAnsi="Arial" w:cs="Arial"/>
          <w:sz w:val="24"/>
          <w:szCs w:val="24"/>
        </w:rPr>
        <w:t xml:space="preserve"> … </w:t>
      </w:r>
      <w:r w:rsidR="003F2F1D" w:rsidRPr="00103A0B">
        <w:rPr>
          <w:rFonts w:ascii="Arial" w:hAnsi="Arial" w:cs="Arial"/>
          <w:sz w:val="24"/>
          <w:szCs w:val="24"/>
        </w:rPr>
        <w:t>the portion I will be eating the exercise I will be doing…how to treat myself so that I will not be victim of diabetes you know so I really like</w:t>
      </w:r>
      <w:r w:rsidR="00A27EF1" w:rsidRPr="00103A0B">
        <w:rPr>
          <w:rFonts w:ascii="Arial" w:hAnsi="Arial" w:cs="Arial"/>
          <w:sz w:val="24"/>
          <w:szCs w:val="24"/>
        </w:rPr>
        <w:t>d</w:t>
      </w:r>
      <w:r w:rsidR="003F2F1D" w:rsidRPr="00103A0B">
        <w:rPr>
          <w:rFonts w:ascii="Arial" w:hAnsi="Arial" w:cs="Arial"/>
          <w:sz w:val="24"/>
          <w:szCs w:val="24"/>
        </w:rPr>
        <w:t xml:space="preserve"> it [the programme]</w:t>
      </w:r>
      <w:r w:rsidRPr="00103A0B">
        <w:rPr>
          <w:rFonts w:ascii="Arial" w:hAnsi="Arial" w:cs="Arial"/>
          <w:sz w:val="24"/>
          <w:szCs w:val="24"/>
        </w:rPr>
        <w:t>” (Ebony, 53-year-old black British woman</w:t>
      </w:r>
      <w:r w:rsidR="00175C39" w:rsidRPr="00103A0B">
        <w:rPr>
          <w:rFonts w:ascii="Arial" w:hAnsi="Arial" w:cs="Arial"/>
          <w:sz w:val="24"/>
          <w:szCs w:val="24"/>
        </w:rPr>
        <w:t>, non-completer</w:t>
      </w:r>
      <w:r w:rsidRPr="00103A0B">
        <w:rPr>
          <w:rFonts w:ascii="Arial" w:hAnsi="Arial" w:cs="Arial"/>
          <w:sz w:val="24"/>
          <w:szCs w:val="24"/>
        </w:rPr>
        <w:t>).</w:t>
      </w:r>
    </w:p>
    <w:p w14:paraId="1952770D" w14:textId="00CA29E7" w:rsidR="0048036B" w:rsidRPr="00103A0B" w:rsidRDefault="0048036B" w:rsidP="00C220D1">
      <w:pPr>
        <w:spacing w:line="360" w:lineRule="auto"/>
        <w:jc w:val="both"/>
        <w:rPr>
          <w:rFonts w:ascii="Arial" w:hAnsi="Arial" w:cs="Arial"/>
          <w:sz w:val="24"/>
          <w:szCs w:val="24"/>
        </w:rPr>
      </w:pPr>
      <w:r w:rsidRPr="00103A0B">
        <w:rPr>
          <w:rFonts w:ascii="Arial" w:hAnsi="Arial" w:cs="Arial"/>
          <w:sz w:val="24"/>
          <w:szCs w:val="24"/>
        </w:rPr>
        <w:t>Others stated how T2DM is for life, it can be hereditary and not curable</w:t>
      </w:r>
      <w:r w:rsidR="00A94031" w:rsidRPr="00103A0B">
        <w:rPr>
          <w:rFonts w:ascii="Arial" w:hAnsi="Arial" w:cs="Arial"/>
          <w:sz w:val="24"/>
          <w:szCs w:val="24"/>
        </w:rPr>
        <w:t>.  Although, as Holly describes in the quote below, it is possible to control diabetes, she believes it is not possible to “get rid of it” completely.  The belief regarding the inevitability of getting diagnosed with diabetes due to genetic makeup, and that it is not possible to “get rid” of it once diagnosed, may make people feel that the programme is pointless, influencing their motivation to complete</w:t>
      </w:r>
      <w:r w:rsidRPr="00103A0B">
        <w:rPr>
          <w:rFonts w:ascii="Arial" w:hAnsi="Arial" w:cs="Arial"/>
          <w:sz w:val="24"/>
          <w:szCs w:val="24"/>
        </w:rPr>
        <w:t xml:space="preserve">: </w:t>
      </w:r>
    </w:p>
    <w:p w14:paraId="076A58B0" w14:textId="0A562D05" w:rsidR="00E557EF" w:rsidRPr="00103A0B" w:rsidRDefault="0048036B" w:rsidP="00C220D1">
      <w:pPr>
        <w:spacing w:line="360" w:lineRule="auto"/>
        <w:ind w:left="720"/>
        <w:jc w:val="both"/>
        <w:rPr>
          <w:rFonts w:ascii="Arial" w:hAnsi="Arial" w:cs="Arial"/>
          <w:sz w:val="24"/>
          <w:szCs w:val="24"/>
        </w:rPr>
      </w:pPr>
      <w:r w:rsidRPr="00103A0B">
        <w:rPr>
          <w:rFonts w:ascii="Arial" w:hAnsi="Arial" w:cs="Arial"/>
          <w:sz w:val="24"/>
          <w:szCs w:val="24"/>
        </w:rPr>
        <w:t>“once you had it you got it for life…it could be heredity cos my mum and my nan both got it</w:t>
      </w:r>
      <w:r w:rsidR="002B6578" w:rsidRPr="00103A0B">
        <w:rPr>
          <w:rFonts w:ascii="Arial" w:hAnsi="Arial" w:cs="Arial"/>
          <w:sz w:val="24"/>
          <w:szCs w:val="24"/>
        </w:rPr>
        <w:t>… you can control it you can keep it down low…watch what you eat but I don’t think you can ever get rid of it</w:t>
      </w:r>
      <w:r w:rsidR="008645EB" w:rsidRPr="00103A0B">
        <w:rPr>
          <w:rFonts w:ascii="Arial" w:hAnsi="Arial" w:cs="Arial"/>
          <w:sz w:val="24"/>
          <w:szCs w:val="24"/>
        </w:rPr>
        <w:t>,</w:t>
      </w:r>
      <w:r w:rsidR="002B6578" w:rsidRPr="00103A0B">
        <w:rPr>
          <w:rFonts w:ascii="Arial" w:hAnsi="Arial" w:cs="Arial"/>
          <w:sz w:val="24"/>
          <w:szCs w:val="24"/>
        </w:rPr>
        <w:t xml:space="preserve"> not if you</w:t>
      </w:r>
      <w:r w:rsidR="008444E0" w:rsidRPr="00103A0B">
        <w:rPr>
          <w:rFonts w:ascii="Arial" w:hAnsi="Arial" w:cs="Arial"/>
          <w:sz w:val="24"/>
          <w:szCs w:val="24"/>
        </w:rPr>
        <w:t>`</w:t>
      </w:r>
      <w:r w:rsidR="002B6578" w:rsidRPr="00103A0B">
        <w:rPr>
          <w:rFonts w:ascii="Arial" w:hAnsi="Arial" w:cs="Arial"/>
          <w:sz w:val="24"/>
          <w:szCs w:val="24"/>
        </w:rPr>
        <w:t>r</w:t>
      </w:r>
      <w:r w:rsidR="008444E0" w:rsidRPr="00103A0B">
        <w:rPr>
          <w:rFonts w:ascii="Arial" w:hAnsi="Arial" w:cs="Arial"/>
          <w:sz w:val="24"/>
          <w:szCs w:val="24"/>
        </w:rPr>
        <w:t>e</w:t>
      </w:r>
      <w:r w:rsidR="002B6578" w:rsidRPr="00103A0B">
        <w:rPr>
          <w:rFonts w:ascii="Arial" w:hAnsi="Arial" w:cs="Arial"/>
          <w:sz w:val="24"/>
          <w:szCs w:val="24"/>
        </w:rPr>
        <w:t xml:space="preserve"> insulin controlled</w:t>
      </w:r>
      <w:r w:rsidRPr="00103A0B">
        <w:rPr>
          <w:rFonts w:ascii="Arial" w:hAnsi="Arial" w:cs="Arial"/>
          <w:sz w:val="24"/>
          <w:szCs w:val="24"/>
        </w:rPr>
        <w:t>” (Holly, 56-year-old white British woman</w:t>
      </w:r>
      <w:r w:rsidR="00175C39" w:rsidRPr="00103A0B">
        <w:rPr>
          <w:rFonts w:ascii="Arial" w:hAnsi="Arial" w:cs="Arial"/>
          <w:sz w:val="24"/>
          <w:szCs w:val="24"/>
        </w:rPr>
        <w:t>, non-completer</w:t>
      </w:r>
      <w:r w:rsidRPr="00103A0B">
        <w:rPr>
          <w:rFonts w:ascii="Arial" w:hAnsi="Arial" w:cs="Arial"/>
          <w:sz w:val="24"/>
          <w:szCs w:val="24"/>
        </w:rPr>
        <w:t>).</w:t>
      </w:r>
    </w:p>
    <w:p w14:paraId="613DD378" w14:textId="0F26B540" w:rsidR="0048036B" w:rsidRPr="00103A0B" w:rsidRDefault="00CE5757" w:rsidP="00C220D1">
      <w:pPr>
        <w:spacing w:line="360" w:lineRule="auto"/>
        <w:jc w:val="both"/>
        <w:rPr>
          <w:rFonts w:ascii="Arial" w:hAnsi="Arial" w:cs="Arial"/>
          <w:sz w:val="24"/>
          <w:szCs w:val="24"/>
        </w:rPr>
      </w:pPr>
      <w:r w:rsidRPr="00103A0B">
        <w:rPr>
          <w:rFonts w:ascii="Arial" w:hAnsi="Arial" w:cs="Arial"/>
          <w:sz w:val="24"/>
          <w:szCs w:val="24"/>
        </w:rPr>
        <w:t xml:space="preserve">The threat of T2DM sometime led to fear, as </w:t>
      </w:r>
      <w:r w:rsidR="00933B14" w:rsidRPr="00103A0B">
        <w:rPr>
          <w:rFonts w:ascii="Arial" w:hAnsi="Arial" w:cs="Arial"/>
          <w:sz w:val="24"/>
          <w:szCs w:val="24"/>
        </w:rPr>
        <w:t>Precious</w:t>
      </w:r>
      <w:r w:rsidRPr="00103A0B">
        <w:rPr>
          <w:rFonts w:ascii="Arial" w:hAnsi="Arial" w:cs="Arial"/>
          <w:sz w:val="24"/>
          <w:szCs w:val="24"/>
        </w:rPr>
        <w:t xml:space="preserve"> illustrates below</w:t>
      </w:r>
      <w:r w:rsidR="00933B14" w:rsidRPr="00103A0B">
        <w:rPr>
          <w:rFonts w:ascii="Arial" w:hAnsi="Arial" w:cs="Arial"/>
          <w:sz w:val="24"/>
          <w:szCs w:val="24"/>
        </w:rPr>
        <w:t>.</w:t>
      </w:r>
      <w:r w:rsidR="00534FB7" w:rsidRPr="00103A0B">
        <w:rPr>
          <w:rFonts w:ascii="Arial" w:hAnsi="Arial" w:cs="Arial"/>
          <w:sz w:val="24"/>
          <w:szCs w:val="24"/>
        </w:rPr>
        <w:t xml:space="preserve"> </w:t>
      </w:r>
      <w:r w:rsidR="00933B14" w:rsidRPr="00103A0B">
        <w:rPr>
          <w:rFonts w:ascii="Arial" w:hAnsi="Arial" w:cs="Arial"/>
          <w:sz w:val="24"/>
          <w:szCs w:val="24"/>
        </w:rPr>
        <w:t>T</w:t>
      </w:r>
      <w:r w:rsidR="0048036B" w:rsidRPr="00103A0B">
        <w:rPr>
          <w:rFonts w:ascii="Arial" w:hAnsi="Arial" w:cs="Arial"/>
          <w:sz w:val="24"/>
          <w:szCs w:val="24"/>
        </w:rPr>
        <w:t xml:space="preserve">he fear of T2DM sometimes motivated </w:t>
      </w:r>
      <w:r w:rsidR="00933B14" w:rsidRPr="00103A0B">
        <w:rPr>
          <w:rFonts w:ascii="Arial" w:hAnsi="Arial" w:cs="Arial"/>
          <w:sz w:val="24"/>
          <w:szCs w:val="24"/>
        </w:rPr>
        <w:t>participants to attend and</w:t>
      </w:r>
      <w:r w:rsidR="0048036B" w:rsidRPr="00103A0B">
        <w:rPr>
          <w:rFonts w:ascii="Arial" w:hAnsi="Arial" w:cs="Arial"/>
          <w:sz w:val="24"/>
          <w:szCs w:val="24"/>
        </w:rPr>
        <w:t xml:space="preserve"> complete the NHSDPP: </w:t>
      </w:r>
    </w:p>
    <w:p w14:paraId="4C20FD6D" w14:textId="5746DB90" w:rsidR="00F95AEE" w:rsidRPr="00103A0B" w:rsidRDefault="0048036B" w:rsidP="00C220D1">
      <w:pPr>
        <w:spacing w:line="360" w:lineRule="auto"/>
        <w:ind w:left="720"/>
        <w:jc w:val="both"/>
        <w:rPr>
          <w:rFonts w:ascii="Arial" w:hAnsi="Arial" w:cs="Arial"/>
          <w:sz w:val="24"/>
          <w:szCs w:val="24"/>
        </w:rPr>
      </w:pPr>
      <w:r w:rsidRPr="00103A0B">
        <w:rPr>
          <w:rFonts w:ascii="Arial" w:hAnsi="Arial" w:cs="Arial"/>
          <w:sz w:val="24"/>
          <w:szCs w:val="24"/>
        </w:rPr>
        <w:t>“</w:t>
      </w:r>
      <w:proofErr w:type="gramStart"/>
      <w:r w:rsidRPr="00103A0B">
        <w:rPr>
          <w:rFonts w:ascii="Arial" w:hAnsi="Arial" w:cs="Arial"/>
          <w:sz w:val="24"/>
          <w:szCs w:val="24"/>
        </w:rPr>
        <w:t>the</w:t>
      </w:r>
      <w:proofErr w:type="gramEnd"/>
      <w:r w:rsidRPr="00103A0B">
        <w:rPr>
          <w:rFonts w:ascii="Arial" w:hAnsi="Arial" w:cs="Arial"/>
          <w:sz w:val="24"/>
          <w:szCs w:val="24"/>
        </w:rPr>
        <w:t xml:space="preserve"> reason why I start it was I fear it…I panic so I immediately straightaway I started I shouldn’t wait for anybody to motivate you…I didn’t miss any lesson because I want to do it and then get out of it [prediabetes]” (Precious, 54-year-old black British woman</w:t>
      </w:r>
      <w:r w:rsidR="00175C39" w:rsidRPr="00103A0B">
        <w:rPr>
          <w:rFonts w:ascii="Arial" w:hAnsi="Arial" w:cs="Arial"/>
          <w:sz w:val="24"/>
          <w:szCs w:val="24"/>
        </w:rPr>
        <w:t>, completer</w:t>
      </w:r>
      <w:r w:rsidRPr="00103A0B">
        <w:rPr>
          <w:rFonts w:ascii="Arial" w:hAnsi="Arial" w:cs="Arial"/>
          <w:sz w:val="24"/>
          <w:szCs w:val="24"/>
        </w:rPr>
        <w:t>).</w:t>
      </w:r>
    </w:p>
    <w:p w14:paraId="54621AD2" w14:textId="77777777" w:rsidR="00C220D1" w:rsidRPr="00103A0B" w:rsidRDefault="00C220D1" w:rsidP="00C220D1">
      <w:pPr>
        <w:spacing w:line="360" w:lineRule="auto"/>
        <w:ind w:left="720"/>
        <w:jc w:val="both"/>
        <w:rPr>
          <w:rFonts w:ascii="Arial" w:hAnsi="Arial" w:cs="Arial"/>
          <w:sz w:val="24"/>
          <w:szCs w:val="24"/>
        </w:rPr>
      </w:pPr>
    </w:p>
    <w:p w14:paraId="14A892DA" w14:textId="77777777" w:rsidR="00103F20" w:rsidRPr="00103A0B" w:rsidRDefault="00103F20" w:rsidP="00C220D1">
      <w:pPr>
        <w:pStyle w:val="ListParagraph"/>
        <w:numPr>
          <w:ilvl w:val="0"/>
          <w:numId w:val="24"/>
        </w:numPr>
        <w:autoSpaceDE w:val="0"/>
        <w:autoSpaceDN w:val="0"/>
        <w:adjustRightInd w:val="0"/>
        <w:spacing w:line="360" w:lineRule="auto"/>
        <w:jc w:val="both"/>
        <w:rPr>
          <w:rFonts w:ascii="Arial" w:hAnsi="Arial" w:cs="Arial"/>
          <w:sz w:val="24"/>
          <w:szCs w:val="24"/>
        </w:rPr>
      </w:pPr>
      <w:proofErr w:type="spellStart"/>
      <w:r w:rsidRPr="00103A0B">
        <w:rPr>
          <w:rFonts w:ascii="Arial" w:hAnsi="Arial" w:cs="Arial"/>
          <w:sz w:val="24"/>
          <w:szCs w:val="24"/>
        </w:rPr>
        <w:t>Programme</w:t>
      </w:r>
      <w:proofErr w:type="spellEnd"/>
      <w:r w:rsidRPr="00103A0B">
        <w:rPr>
          <w:rFonts w:ascii="Arial" w:hAnsi="Arial" w:cs="Arial"/>
          <w:sz w:val="24"/>
          <w:szCs w:val="24"/>
        </w:rPr>
        <w:t xml:space="preserve"> perceptions </w:t>
      </w:r>
    </w:p>
    <w:p w14:paraId="27D9D820" w14:textId="64DB706A" w:rsidR="00CE5757" w:rsidRPr="00103A0B" w:rsidRDefault="00CE5757" w:rsidP="00C220D1">
      <w:pPr>
        <w:spacing w:line="360" w:lineRule="auto"/>
        <w:jc w:val="both"/>
        <w:rPr>
          <w:rFonts w:ascii="Arial" w:hAnsi="Arial" w:cs="Arial"/>
          <w:sz w:val="24"/>
          <w:szCs w:val="24"/>
        </w:rPr>
      </w:pPr>
      <w:r w:rsidRPr="00103A0B">
        <w:rPr>
          <w:rFonts w:ascii="Arial" w:hAnsi="Arial" w:cs="Arial"/>
          <w:sz w:val="24"/>
          <w:szCs w:val="24"/>
        </w:rPr>
        <w:t xml:space="preserve">Participants’ perceptions of the programme influenced </w:t>
      </w:r>
      <w:proofErr w:type="gramStart"/>
      <w:r w:rsidRPr="00103A0B">
        <w:rPr>
          <w:rFonts w:ascii="Arial" w:hAnsi="Arial" w:cs="Arial"/>
          <w:sz w:val="24"/>
          <w:szCs w:val="24"/>
        </w:rPr>
        <w:t>whether or not</w:t>
      </w:r>
      <w:proofErr w:type="gramEnd"/>
      <w:r w:rsidRPr="00103A0B">
        <w:rPr>
          <w:rFonts w:ascii="Arial" w:hAnsi="Arial" w:cs="Arial"/>
          <w:sz w:val="24"/>
          <w:szCs w:val="24"/>
        </w:rPr>
        <w:t xml:space="preserve"> they went on to complete the programme, including whether the programme met their expectations, whether they learnt knew knowledge, and their experiences of the group and the instructor. </w:t>
      </w:r>
    </w:p>
    <w:p w14:paraId="5024E6E1" w14:textId="77777777" w:rsidR="00103F20" w:rsidRPr="00103A0B" w:rsidRDefault="00103F20" w:rsidP="00C220D1">
      <w:pPr>
        <w:pStyle w:val="ListParagraph"/>
        <w:numPr>
          <w:ilvl w:val="1"/>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 xml:space="preserve">Learning and knowledge </w:t>
      </w:r>
    </w:p>
    <w:p w14:paraId="32BA359B" w14:textId="773AA806"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lastRenderedPageBreak/>
        <w:t>This sub-theme applied to both completers and non-completers. Completers discussed how they learnt a lot from the programme or learnt new knowledge relating to diet and exercise, which helped to increase understanding</w:t>
      </w:r>
      <w:r w:rsidR="00E46496" w:rsidRPr="00103A0B">
        <w:rPr>
          <w:rFonts w:ascii="Arial" w:hAnsi="Arial" w:cs="Arial"/>
          <w:sz w:val="24"/>
          <w:szCs w:val="24"/>
        </w:rPr>
        <w:t xml:space="preserve">, </w:t>
      </w:r>
      <w:r w:rsidR="00CE5757" w:rsidRPr="00103A0B">
        <w:rPr>
          <w:rFonts w:ascii="Arial" w:hAnsi="Arial" w:cs="Arial"/>
          <w:sz w:val="24"/>
          <w:szCs w:val="24"/>
        </w:rPr>
        <w:t xml:space="preserve">encouraging them to complete:  </w:t>
      </w:r>
    </w:p>
    <w:p w14:paraId="2CA75C6B" w14:textId="12893AC0"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“I learn a lot of things … I was learning how to look after myself properly not to be diabetic…I learnt how to be very smart about food” (Shanice, 42-year-old black British woman</w:t>
      </w:r>
      <w:r w:rsidR="00175C39" w:rsidRPr="00103A0B">
        <w:rPr>
          <w:rFonts w:ascii="Arial" w:hAnsi="Arial" w:cs="Arial"/>
          <w:sz w:val="24"/>
          <w:szCs w:val="24"/>
        </w:rPr>
        <w:t>, completer</w:t>
      </w:r>
      <w:r w:rsidRPr="00103A0B">
        <w:rPr>
          <w:rFonts w:ascii="Arial" w:hAnsi="Arial" w:cs="Arial"/>
          <w:sz w:val="24"/>
          <w:szCs w:val="24"/>
        </w:rPr>
        <w:t>).</w:t>
      </w:r>
    </w:p>
    <w:p w14:paraId="240BB7D8" w14:textId="4EA0435A" w:rsidR="00155709" w:rsidRPr="00103A0B" w:rsidRDefault="00CE5757" w:rsidP="00C220D1">
      <w:pPr>
        <w:spacing w:line="360" w:lineRule="auto"/>
        <w:jc w:val="both"/>
        <w:rPr>
          <w:rFonts w:ascii="Arial" w:hAnsi="Arial" w:cs="Arial"/>
          <w:sz w:val="24"/>
          <w:szCs w:val="24"/>
        </w:rPr>
      </w:pPr>
      <w:r w:rsidRPr="00103A0B">
        <w:rPr>
          <w:rFonts w:ascii="Arial" w:hAnsi="Arial" w:cs="Arial"/>
          <w:sz w:val="24"/>
          <w:szCs w:val="24"/>
        </w:rPr>
        <w:t xml:space="preserve">Interestingly, some </w:t>
      </w:r>
      <w:r w:rsidR="00155709" w:rsidRPr="00103A0B">
        <w:rPr>
          <w:rFonts w:ascii="Arial" w:hAnsi="Arial" w:cs="Arial"/>
          <w:sz w:val="24"/>
          <w:szCs w:val="24"/>
        </w:rPr>
        <w:t>participants</w:t>
      </w:r>
      <w:r w:rsidRPr="00103A0B">
        <w:rPr>
          <w:rFonts w:ascii="Arial" w:hAnsi="Arial" w:cs="Arial"/>
          <w:sz w:val="24"/>
          <w:szCs w:val="24"/>
        </w:rPr>
        <w:t xml:space="preserve"> also stated that they learnt a lot from the programme, including how to reduce their T2DM risk. Through this new knowledge, they improved their blood sugar levels</w:t>
      </w:r>
      <w:r w:rsidR="00933B14" w:rsidRPr="00103A0B">
        <w:rPr>
          <w:rFonts w:ascii="Arial" w:hAnsi="Arial" w:cs="Arial"/>
          <w:sz w:val="24"/>
          <w:szCs w:val="24"/>
        </w:rPr>
        <w:t xml:space="preserve"> which is encouraging</w:t>
      </w:r>
      <w:r w:rsidR="00155709" w:rsidRPr="00103A0B">
        <w:rPr>
          <w:rFonts w:ascii="Arial" w:hAnsi="Arial" w:cs="Arial"/>
          <w:sz w:val="24"/>
          <w:szCs w:val="24"/>
        </w:rPr>
        <w:t>.</w:t>
      </w:r>
    </w:p>
    <w:p w14:paraId="1A3C9BC4" w14:textId="73078582" w:rsidR="00155709" w:rsidRPr="00103A0B" w:rsidRDefault="00155709" w:rsidP="00FF161D">
      <w:pPr>
        <w:spacing w:line="360" w:lineRule="auto"/>
        <w:ind w:left="720"/>
        <w:jc w:val="both"/>
        <w:rPr>
          <w:rFonts w:ascii="Arial" w:hAnsi="Arial" w:cs="Arial"/>
          <w:sz w:val="24"/>
          <w:szCs w:val="24"/>
        </w:rPr>
      </w:pPr>
      <w:r w:rsidRPr="00103A0B">
        <w:rPr>
          <w:rFonts w:ascii="Arial" w:hAnsi="Arial" w:cs="Arial"/>
          <w:sz w:val="24"/>
          <w:szCs w:val="24"/>
        </w:rPr>
        <w:t>“</w:t>
      </w:r>
      <w:r w:rsidR="00C220D1" w:rsidRPr="00103A0B">
        <w:rPr>
          <w:rFonts w:ascii="Arial" w:hAnsi="Arial" w:cs="Arial"/>
          <w:sz w:val="24"/>
          <w:szCs w:val="24"/>
        </w:rPr>
        <w:t>At</w:t>
      </w:r>
      <w:r w:rsidRPr="00103A0B">
        <w:rPr>
          <w:rFonts w:ascii="Arial" w:hAnsi="Arial" w:cs="Arial"/>
          <w:sz w:val="24"/>
          <w:szCs w:val="24"/>
        </w:rPr>
        <w:t xml:space="preserve"> the end my HbA1[c] whatever level has gone down so I suppose it [the programme] must have had a positive effect…it has actually worked…I’m not borderline type two anymore” (Mark, 57-year-old black British man, completer). </w:t>
      </w:r>
    </w:p>
    <w:p w14:paraId="399AD503" w14:textId="555F405E" w:rsidR="00CE5757" w:rsidRPr="00103A0B" w:rsidRDefault="00534FB7" w:rsidP="00C220D1">
      <w:pPr>
        <w:spacing w:line="360" w:lineRule="auto"/>
        <w:jc w:val="both"/>
        <w:rPr>
          <w:rFonts w:ascii="Arial" w:hAnsi="Arial" w:cs="Arial"/>
          <w:sz w:val="24"/>
          <w:szCs w:val="24"/>
        </w:rPr>
      </w:pPr>
      <w:r w:rsidRPr="00103A0B">
        <w:rPr>
          <w:rFonts w:ascii="Arial" w:hAnsi="Arial" w:cs="Arial"/>
          <w:sz w:val="24"/>
          <w:szCs w:val="24"/>
        </w:rPr>
        <w:t>However, paradoxically</w:t>
      </w:r>
      <w:r w:rsidR="00933B14" w:rsidRPr="00103A0B">
        <w:rPr>
          <w:rFonts w:ascii="Arial" w:hAnsi="Arial" w:cs="Arial"/>
          <w:sz w:val="24"/>
          <w:szCs w:val="24"/>
        </w:rPr>
        <w:t xml:space="preserve">, </w:t>
      </w:r>
      <w:r w:rsidR="00CE5757" w:rsidRPr="00103A0B">
        <w:rPr>
          <w:rFonts w:ascii="Arial" w:hAnsi="Arial" w:cs="Arial"/>
          <w:sz w:val="24"/>
          <w:szCs w:val="24"/>
        </w:rPr>
        <w:t>th</w:t>
      </w:r>
      <w:r w:rsidR="00933B14" w:rsidRPr="00103A0B">
        <w:rPr>
          <w:rFonts w:ascii="Arial" w:hAnsi="Arial" w:cs="Arial"/>
          <w:sz w:val="24"/>
          <w:szCs w:val="24"/>
        </w:rPr>
        <w:t xml:space="preserve">e improvement in blood sugar levels </w:t>
      </w:r>
      <w:r w:rsidR="00CE5757" w:rsidRPr="00103A0B">
        <w:rPr>
          <w:rFonts w:ascii="Arial" w:hAnsi="Arial" w:cs="Arial"/>
          <w:sz w:val="24"/>
          <w:szCs w:val="24"/>
        </w:rPr>
        <w:t xml:space="preserve">influenced </w:t>
      </w:r>
      <w:r w:rsidR="00155709" w:rsidRPr="00103A0B">
        <w:rPr>
          <w:rFonts w:ascii="Arial" w:hAnsi="Arial" w:cs="Arial"/>
          <w:sz w:val="24"/>
          <w:szCs w:val="24"/>
        </w:rPr>
        <w:t xml:space="preserve">some participants’ </w:t>
      </w:r>
      <w:r w:rsidR="00B96F9E" w:rsidRPr="00103A0B">
        <w:rPr>
          <w:rFonts w:ascii="Arial" w:hAnsi="Arial" w:cs="Arial"/>
          <w:sz w:val="24"/>
          <w:szCs w:val="24"/>
        </w:rPr>
        <w:t>decisio</w:t>
      </w:r>
      <w:r w:rsidR="00933B14" w:rsidRPr="00103A0B">
        <w:rPr>
          <w:rFonts w:ascii="Arial" w:hAnsi="Arial" w:cs="Arial"/>
          <w:sz w:val="24"/>
          <w:szCs w:val="24"/>
        </w:rPr>
        <w:t>n</w:t>
      </w:r>
      <w:r w:rsidR="00155709" w:rsidRPr="00103A0B">
        <w:rPr>
          <w:rFonts w:ascii="Arial" w:hAnsi="Arial" w:cs="Arial"/>
          <w:sz w:val="24"/>
          <w:szCs w:val="24"/>
        </w:rPr>
        <w:t>s</w:t>
      </w:r>
      <w:r w:rsidR="00B96F9E" w:rsidRPr="00103A0B">
        <w:rPr>
          <w:rFonts w:ascii="Arial" w:hAnsi="Arial" w:cs="Arial"/>
          <w:sz w:val="24"/>
          <w:szCs w:val="24"/>
        </w:rPr>
        <w:t xml:space="preserve"> </w:t>
      </w:r>
      <w:r w:rsidR="00B96F9E" w:rsidRPr="00103A0B">
        <w:rPr>
          <w:rFonts w:ascii="Arial" w:hAnsi="Arial" w:cs="Arial"/>
          <w:i/>
          <w:iCs/>
          <w:sz w:val="24"/>
          <w:szCs w:val="24"/>
        </w:rPr>
        <w:t xml:space="preserve">not </w:t>
      </w:r>
      <w:r w:rsidR="00933B14" w:rsidRPr="00103A0B">
        <w:rPr>
          <w:rFonts w:ascii="Arial" w:hAnsi="Arial" w:cs="Arial"/>
          <w:i/>
          <w:iCs/>
          <w:sz w:val="24"/>
          <w:szCs w:val="24"/>
        </w:rPr>
        <w:t xml:space="preserve">to </w:t>
      </w:r>
      <w:r w:rsidR="00B96F9E" w:rsidRPr="00103A0B">
        <w:rPr>
          <w:rFonts w:ascii="Arial" w:hAnsi="Arial" w:cs="Arial"/>
          <w:i/>
          <w:iCs/>
          <w:sz w:val="24"/>
          <w:szCs w:val="24"/>
        </w:rPr>
        <w:t>attend</w:t>
      </w:r>
      <w:r w:rsidR="00B96F9E" w:rsidRPr="00103A0B">
        <w:rPr>
          <w:rFonts w:ascii="Arial" w:hAnsi="Arial" w:cs="Arial"/>
          <w:sz w:val="24"/>
          <w:szCs w:val="24"/>
        </w:rPr>
        <w:t xml:space="preserve"> the rest of</w:t>
      </w:r>
      <w:r w:rsidR="00CE5757" w:rsidRPr="00103A0B">
        <w:rPr>
          <w:rFonts w:ascii="Arial" w:hAnsi="Arial" w:cs="Arial"/>
          <w:sz w:val="24"/>
          <w:szCs w:val="24"/>
        </w:rPr>
        <w:t xml:space="preserve"> the programme</w:t>
      </w:r>
      <w:r w:rsidR="00933B14" w:rsidRPr="00103A0B">
        <w:rPr>
          <w:rFonts w:ascii="Arial" w:hAnsi="Arial" w:cs="Arial"/>
          <w:sz w:val="24"/>
          <w:szCs w:val="24"/>
        </w:rPr>
        <w:t>, as they felt that it was no longer required</w:t>
      </w:r>
      <w:r w:rsidR="00CE5757" w:rsidRPr="00103A0B">
        <w:rPr>
          <w:rFonts w:ascii="Arial" w:hAnsi="Arial" w:cs="Arial"/>
          <w:sz w:val="24"/>
          <w:szCs w:val="24"/>
        </w:rPr>
        <w:t xml:space="preserve">: </w:t>
      </w:r>
    </w:p>
    <w:p w14:paraId="03EAB041" w14:textId="25CF7B77" w:rsidR="00CE5757" w:rsidRPr="00103A0B" w:rsidRDefault="00CE5757" w:rsidP="00C220D1">
      <w:pPr>
        <w:spacing w:line="360" w:lineRule="auto"/>
        <w:ind w:left="720"/>
        <w:jc w:val="both"/>
        <w:rPr>
          <w:rFonts w:ascii="Arial" w:hAnsi="Arial" w:cs="Arial"/>
          <w:sz w:val="24"/>
          <w:szCs w:val="24"/>
        </w:rPr>
      </w:pPr>
      <w:r w:rsidRPr="00103A0B">
        <w:rPr>
          <w:rFonts w:ascii="Arial" w:hAnsi="Arial" w:cs="Arial"/>
          <w:sz w:val="24"/>
          <w:szCs w:val="24"/>
        </w:rPr>
        <w:t>“Just to learn and find out…what can cause diabetes type two and so I learnt from that I then do this and that, and after I didn’t have it that bad…</w:t>
      </w:r>
      <w:r w:rsidRPr="00103A0B">
        <w:t xml:space="preserve"> </w:t>
      </w:r>
      <w:r w:rsidRPr="00103A0B">
        <w:rPr>
          <w:rFonts w:ascii="Arial" w:hAnsi="Arial" w:cs="Arial"/>
          <w:sz w:val="24"/>
          <w:szCs w:val="24"/>
        </w:rPr>
        <w:t xml:space="preserve">my levels gone to </w:t>
      </w:r>
      <w:proofErr w:type="gramStart"/>
      <w:r w:rsidRPr="00103A0B">
        <w:rPr>
          <w:rFonts w:ascii="Arial" w:hAnsi="Arial" w:cs="Arial"/>
          <w:sz w:val="24"/>
          <w:szCs w:val="24"/>
        </w:rPr>
        <w:t>normal</w:t>
      </w:r>
      <w:proofErr w:type="gramEnd"/>
      <w:r w:rsidRPr="00103A0B">
        <w:rPr>
          <w:rFonts w:ascii="Arial" w:hAnsi="Arial" w:cs="Arial"/>
          <w:sz w:val="24"/>
          <w:szCs w:val="24"/>
        </w:rPr>
        <w:t xml:space="preserve"> so I thought I don’t need to go back” (Yusuf, 55-year-old Arab man</w:t>
      </w:r>
      <w:r w:rsidR="00175C39" w:rsidRPr="00103A0B">
        <w:rPr>
          <w:rFonts w:ascii="Arial" w:hAnsi="Arial" w:cs="Arial"/>
          <w:sz w:val="24"/>
          <w:szCs w:val="24"/>
        </w:rPr>
        <w:t>, non-completer</w:t>
      </w:r>
      <w:r w:rsidRPr="00103A0B">
        <w:rPr>
          <w:rFonts w:ascii="Arial" w:hAnsi="Arial" w:cs="Arial"/>
          <w:sz w:val="24"/>
          <w:szCs w:val="24"/>
        </w:rPr>
        <w:t xml:space="preserve">). </w:t>
      </w:r>
    </w:p>
    <w:p w14:paraId="2B9137EF" w14:textId="43A18F01"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Although some non-completers discussed how they learnt a lot from the programme</w:t>
      </w:r>
      <w:r w:rsidR="00C9048A" w:rsidRPr="00103A0B">
        <w:rPr>
          <w:rFonts w:ascii="Arial" w:hAnsi="Arial" w:cs="Arial"/>
          <w:sz w:val="24"/>
          <w:szCs w:val="24"/>
        </w:rPr>
        <w:t>,</w:t>
      </w:r>
      <w:r w:rsidRPr="00103A0B">
        <w:rPr>
          <w:rFonts w:ascii="Arial" w:hAnsi="Arial" w:cs="Arial"/>
          <w:sz w:val="24"/>
          <w:szCs w:val="24"/>
        </w:rPr>
        <w:t xml:space="preserve"> others stated how they did not</w:t>
      </w:r>
      <w:r w:rsidR="00155709" w:rsidRPr="00103A0B">
        <w:rPr>
          <w:rFonts w:ascii="Arial" w:hAnsi="Arial" w:cs="Arial"/>
          <w:sz w:val="24"/>
          <w:szCs w:val="24"/>
        </w:rPr>
        <w:t>,</w:t>
      </w:r>
      <w:r w:rsidR="00C9048A" w:rsidRPr="00103A0B">
        <w:rPr>
          <w:rFonts w:ascii="Arial" w:hAnsi="Arial" w:cs="Arial"/>
          <w:sz w:val="24"/>
          <w:szCs w:val="24"/>
        </w:rPr>
        <w:t xml:space="preserve"> </w:t>
      </w:r>
      <w:r w:rsidR="00CE5757" w:rsidRPr="00103A0B">
        <w:rPr>
          <w:rFonts w:ascii="Arial" w:hAnsi="Arial" w:cs="Arial"/>
          <w:sz w:val="24"/>
          <w:szCs w:val="24"/>
        </w:rPr>
        <w:t xml:space="preserve">which led them to not completing as programme expectations were not met: </w:t>
      </w:r>
    </w:p>
    <w:p w14:paraId="7D1B951A" w14:textId="2E4B85F3"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“I didn’t feel that I was learning anything … I was expecting to be taught something that maybe I didn’t know or reminded of something I forgotten a long ago” (Kathryn, 62-year-old white British woman</w:t>
      </w:r>
      <w:r w:rsidR="00175C39" w:rsidRPr="00103A0B">
        <w:rPr>
          <w:rFonts w:ascii="Arial" w:hAnsi="Arial" w:cs="Arial"/>
          <w:sz w:val="24"/>
          <w:szCs w:val="24"/>
        </w:rPr>
        <w:t>, non-completer</w:t>
      </w:r>
      <w:r w:rsidRPr="00103A0B">
        <w:rPr>
          <w:rFonts w:ascii="Arial" w:hAnsi="Arial" w:cs="Arial"/>
          <w:sz w:val="24"/>
          <w:szCs w:val="24"/>
        </w:rPr>
        <w:t>).</w:t>
      </w:r>
    </w:p>
    <w:p w14:paraId="0488646B" w14:textId="2A2515E1" w:rsidR="00114985" w:rsidRPr="00103A0B" w:rsidRDefault="00155709" w:rsidP="00C220D1">
      <w:pPr>
        <w:spacing w:line="360" w:lineRule="auto"/>
        <w:jc w:val="both"/>
        <w:rPr>
          <w:rFonts w:ascii="Arial" w:hAnsi="Arial" w:cs="Arial"/>
          <w:sz w:val="24"/>
          <w:szCs w:val="24"/>
        </w:rPr>
      </w:pPr>
      <w:r w:rsidRPr="00103A0B">
        <w:rPr>
          <w:rFonts w:ascii="Arial" w:hAnsi="Arial" w:cs="Arial"/>
          <w:sz w:val="24"/>
          <w:szCs w:val="24"/>
        </w:rPr>
        <w:t xml:space="preserve">Kathryn goes on to explain how </w:t>
      </w:r>
      <w:r w:rsidR="00114985" w:rsidRPr="00103A0B">
        <w:rPr>
          <w:rFonts w:ascii="Arial" w:hAnsi="Arial" w:cs="Arial"/>
          <w:sz w:val="24"/>
          <w:szCs w:val="24"/>
        </w:rPr>
        <w:t xml:space="preserve">unmet programme-related needs </w:t>
      </w:r>
      <w:r w:rsidRPr="00103A0B">
        <w:rPr>
          <w:rFonts w:ascii="Arial" w:hAnsi="Arial" w:cs="Arial"/>
          <w:sz w:val="24"/>
          <w:szCs w:val="24"/>
        </w:rPr>
        <w:t>left her</w:t>
      </w:r>
      <w:r w:rsidR="00114985" w:rsidRPr="00103A0B">
        <w:rPr>
          <w:rFonts w:ascii="Arial" w:hAnsi="Arial" w:cs="Arial"/>
          <w:sz w:val="24"/>
          <w:szCs w:val="24"/>
        </w:rPr>
        <w:t xml:space="preserve"> feeling disappointed, and </w:t>
      </w:r>
      <w:r w:rsidRPr="00103A0B">
        <w:rPr>
          <w:rFonts w:ascii="Arial" w:hAnsi="Arial" w:cs="Arial"/>
          <w:sz w:val="24"/>
          <w:szCs w:val="24"/>
        </w:rPr>
        <w:t xml:space="preserve">this led her to </w:t>
      </w:r>
      <w:r w:rsidR="00114985" w:rsidRPr="00103A0B">
        <w:rPr>
          <w:rFonts w:ascii="Arial" w:hAnsi="Arial" w:cs="Arial"/>
          <w:sz w:val="24"/>
          <w:szCs w:val="24"/>
        </w:rPr>
        <w:t xml:space="preserve">not completing the full programme: </w:t>
      </w:r>
    </w:p>
    <w:p w14:paraId="3B28DE56" w14:textId="7C63CD56" w:rsidR="00114985" w:rsidRPr="00103A0B" w:rsidRDefault="00114985" w:rsidP="00FF161D">
      <w:pPr>
        <w:spacing w:line="360" w:lineRule="auto"/>
        <w:ind w:left="720"/>
        <w:jc w:val="both"/>
        <w:rPr>
          <w:rFonts w:ascii="Arial" w:hAnsi="Arial" w:cs="Arial"/>
          <w:sz w:val="24"/>
          <w:szCs w:val="24"/>
        </w:rPr>
      </w:pPr>
      <w:r w:rsidRPr="00103A0B">
        <w:rPr>
          <w:rFonts w:ascii="Arial" w:hAnsi="Arial" w:cs="Arial"/>
          <w:sz w:val="24"/>
          <w:szCs w:val="24"/>
        </w:rPr>
        <w:t xml:space="preserve">“getting on the programme I was quite disappointed about it…at the first meeting it just felt very negative “well you can’t do this you can’t eat this”...if </w:t>
      </w:r>
      <w:r w:rsidRPr="00103A0B">
        <w:rPr>
          <w:rFonts w:ascii="Arial" w:hAnsi="Arial" w:cs="Arial"/>
          <w:sz w:val="24"/>
          <w:szCs w:val="24"/>
        </w:rPr>
        <w:lastRenderedPageBreak/>
        <w:t>you’re encouraging people to change their lifestyle you know you don’t start off telling them what they can’t do…it was a waste of time” (Kathryn, 62-year-old white British woman</w:t>
      </w:r>
      <w:r w:rsidR="00175C39" w:rsidRPr="00103A0B">
        <w:rPr>
          <w:rFonts w:ascii="Arial" w:hAnsi="Arial" w:cs="Arial"/>
          <w:sz w:val="24"/>
          <w:szCs w:val="24"/>
        </w:rPr>
        <w:t>, non-completer</w:t>
      </w:r>
      <w:r w:rsidRPr="00103A0B">
        <w:rPr>
          <w:rFonts w:ascii="Arial" w:hAnsi="Arial" w:cs="Arial"/>
          <w:sz w:val="24"/>
          <w:szCs w:val="24"/>
        </w:rPr>
        <w:t>).</w:t>
      </w:r>
    </w:p>
    <w:p w14:paraId="1131C32D" w14:textId="77777777" w:rsidR="00103F20" w:rsidRPr="00103A0B" w:rsidRDefault="00103F20" w:rsidP="00C220D1">
      <w:pPr>
        <w:pStyle w:val="ListParagraph"/>
        <w:numPr>
          <w:ilvl w:val="1"/>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Instructor manner and delivery</w:t>
      </w:r>
    </w:p>
    <w:p w14:paraId="3D19508B" w14:textId="2A7FB883" w:rsidR="00103F20" w:rsidRPr="00103A0B" w:rsidRDefault="00CE5757" w:rsidP="00C220D1">
      <w:pPr>
        <w:spacing w:line="360" w:lineRule="auto"/>
        <w:jc w:val="both"/>
        <w:rPr>
          <w:rFonts w:ascii="Arial" w:hAnsi="Arial" w:cs="Arial"/>
          <w:sz w:val="24"/>
          <w:szCs w:val="24"/>
        </w:rPr>
      </w:pPr>
      <w:r w:rsidRPr="00103A0B">
        <w:rPr>
          <w:rFonts w:ascii="Arial" w:hAnsi="Arial" w:cs="Arial"/>
          <w:sz w:val="24"/>
          <w:szCs w:val="24"/>
        </w:rPr>
        <w:t xml:space="preserve">The instructor delivering the sessions may have influenced motivation to complete the programme.  </w:t>
      </w:r>
      <w:r w:rsidR="00103F20" w:rsidRPr="00103A0B">
        <w:rPr>
          <w:rFonts w:ascii="Arial" w:hAnsi="Arial" w:cs="Arial"/>
          <w:sz w:val="24"/>
          <w:szCs w:val="24"/>
        </w:rPr>
        <w:t>Completers had a positive view of their instructor and described them as good, informative, knowledgeable, or friendly</w:t>
      </w:r>
      <w:r w:rsidR="00EF3129" w:rsidRPr="00103A0B">
        <w:rPr>
          <w:rFonts w:ascii="Arial" w:hAnsi="Arial" w:cs="Arial"/>
          <w:sz w:val="24"/>
          <w:szCs w:val="24"/>
        </w:rPr>
        <w:t xml:space="preserve"> </w:t>
      </w:r>
      <w:r w:rsidRPr="00103A0B">
        <w:rPr>
          <w:rFonts w:ascii="Arial" w:hAnsi="Arial" w:cs="Arial"/>
          <w:sz w:val="24"/>
          <w:szCs w:val="24"/>
        </w:rPr>
        <w:t>as described by James:</w:t>
      </w:r>
    </w:p>
    <w:p w14:paraId="0F33AB02" w14:textId="16F5D5C6"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“She was very friendly…she was great always explained everything…our session leader was very good” (James, 58-year-old white British man</w:t>
      </w:r>
      <w:r w:rsidR="00175C39" w:rsidRPr="00103A0B">
        <w:rPr>
          <w:rFonts w:ascii="Arial" w:hAnsi="Arial" w:cs="Arial"/>
          <w:sz w:val="24"/>
          <w:szCs w:val="24"/>
        </w:rPr>
        <w:t>, completer</w:t>
      </w:r>
      <w:r w:rsidRPr="00103A0B">
        <w:rPr>
          <w:rFonts w:ascii="Arial" w:hAnsi="Arial" w:cs="Arial"/>
          <w:sz w:val="24"/>
          <w:szCs w:val="24"/>
        </w:rPr>
        <w:t>).</w:t>
      </w:r>
    </w:p>
    <w:p w14:paraId="4C341C48" w14:textId="4CAB9BE0" w:rsidR="00103F20" w:rsidRPr="00103A0B" w:rsidRDefault="00CE5757" w:rsidP="00C220D1">
      <w:pPr>
        <w:spacing w:line="360" w:lineRule="auto"/>
        <w:jc w:val="both"/>
        <w:rPr>
          <w:rFonts w:ascii="Arial" w:hAnsi="Arial" w:cs="Arial"/>
          <w:sz w:val="24"/>
          <w:szCs w:val="24"/>
        </w:rPr>
      </w:pPr>
      <w:r w:rsidRPr="00103A0B">
        <w:rPr>
          <w:rFonts w:ascii="Arial" w:hAnsi="Arial" w:cs="Arial"/>
          <w:sz w:val="24"/>
          <w:szCs w:val="24"/>
        </w:rPr>
        <w:t xml:space="preserve">With non-completers, the findings were more mixed: </w:t>
      </w:r>
      <w:r w:rsidR="001046C1" w:rsidRPr="00103A0B">
        <w:rPr>
          <w:rFonts w:ascii="Arial" w:hAnsi="Arial" w:cs="Arial"/>
          <w:sz w:val="24"/>
          <w:szCs w:val="24"/>
        </w:rPr>
        <w:t>a</w:t>
      </w:r>
      <w:r w:rsidR="00103F20" w:rsidRPr="00103A0B">
        <w:rPr>
          <w:rFonts w:ascii="Arial" w:hAnsi="Arial" w:cs="Arial"/>
          <w:sz w:val="24"/>
          <w:szCs w:val="24"/>
        </w:rPr>
        <w:t xml:space="preserve">lthough some non-completers expressed how their instructor was a good role model and motivating, others stated how their instructor was nervous, unprepared, or not experienced enough: </w:t>
      </w:r>
    </w:p>
    <w:p w14:paraId="062DC49C" w14:textId="31156B76" w:rsidR="00103F20" w:rsidRPr="00103A0B" w:rsidRDefault="00103F20" w:rsidP="00FF161D">
      <w:pPr>
        <w:spacing w:line="360" w:lineRule="auto"/>
        <w:ind w:left="720"/>
        <w:jc w:val="both"/>
        <w:rPr>
          <w:rFonts w:ascii="Arial" w:hAnsi="Arial" w:cs="Arial"/>
          <w:sz w:val="24"/>
          <w:szCs w:val="24"/>
        </w:rPr>
      </w:pPr>
      <w:r w:rsidRPr="00103A0B">
        <w:rPr>
          <w:rFonts w:ascii="Arial" w:hAnsi="Arial" w:cs="Arial"/>
          <w:sz w:val="24"/>
          <w:szCs w:val="24"/>
        </w:rPr>
        <w:t>“</w:t>
      </w:r>
      <w:proofErr w:type="gramStart"/>
      <w:r w:rsidRPr="00103A0B">
        <w:rPr>
          <w:rFonts w:ascii="Arial" w:hAnsi="Arial" w:cs="Arial"/>
          <w:sz w:val="24"/>
          <w:szCs w:val="24"/>
        </w:rPr>
        <w:t>the</w:t>
      </w:r>
      <w:proofErr w:type="gramEnd"/>
      <w:r w:rsidRPr="00103A0B">
        <w:rPr>
          <w:rFonts w:ascii="Arial" w:hAnsi="Arial" w:cs="Arial"/>
          <w:sz w:val="24"/>
          <w:szCs w:val="24"/>
        </w:rPr>
        <w:t xml:space="preserve"> first session I felt that she wasn’t really well prepared…I was just unfortunate that the course leader I got wasn’t experienced enough” (Kathryn, 62-year-old white British woman</w:t>
      </w:r>
      <w:r w:rsidR="00175C39" w:rsidRPr="00103A0B">
        <w:rPr>
          <w:rFonts w:ascii="Arial" w:hAnsi="Arial" w:cs="Arial"/>
          <w:sz w:val="24"/>
          <w:szCs w:val="24"/>
        </w:rPr>
        <w:t>, non-completer</w:t>
      </w:r>
      <w:r w:rsidRPr="00103A0B">
        <w:rPr>
          <w:rFonts w:ascii="Arial" w:hAnsi="Arial" w:cs="Arial"/>
          <w:sz w:val="24"/>
          <w:szCs w:val="24"/>
        </w:rPr>
        <w:t>).</w:t>
      </w:r>
    </w:p>
    <w:p w14:paraId="124AD6CC" w14:textId="77777777" w:rsidR="00103F20" w:rsidRPr="00103A0B" w:rsidRDefault="00103F20" w:rsidP="00C220D1">
      <w:pPr>
        <w:pStyle w:val="ListParagraph"/>
        <w:numPr>
          <w:ilvl w:val="1"/>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Group perceptions and experience</w:t>
      </w:r>
    </w:p>
    <w:p w14:paraId="5C1F0E4C" w14:textId="27400106" w:rsidR="00103F20" w:rsidRPr="00103A0B" w:rsidRDefault="00155709" w:rsidP="00C220D1">
      <w:pPr>
        <w:spacing w:line="360" w:lineRule="auto"/>
        <w:jc w:val="both"/>
        <w:rPr>
          <w:rFonts w:ascii="Arial" w:hAnsi="Arial" w:cs="Arial"/>
          <w:sz w:val="24"/>
          <w:szCs w:val="24"/>
        </w:rPr>
      </w:pPr>
      <w:r w:rsidRPr="00103A0B">
        <w:rPr>
          <w:rFonts w:ascii="Arial" w:hAnsi="Arial" w:cs="Arial"/>
          <w:sz w:val="24"/>
          <w:szCs w:val="24"/>
        </w:rPr>
        <w:t xml:space="preserve">The perceptions of the group setting made a difference to people’s experience of the programme, influencing their decisions </w:t>
      </w:r>
      <w:proofErr w:type="gramStart"/>
      <w:r w:rsidRPr="00103A0B">
        <w:rPr>
          <w:rFonts w:ascii="Arial" w:hAnsi="Arial" w:cs="Arial"/>
          <w:sz w:val="24"/>
          <w:szCs w:val="24"/>
        </w:rPr>
        <w:t>whether or not</w:t>
      </w:r>
      <w:proofErr w:type="gramEnd"/>
      <w:r w:rsidRPr="00103A0B">
        <w:rPr>
          <w:rFonts w:ascii="Arial" w:hAnsi="Arial" w:cs="Arial"/>
          <w:sz w:val="24"/>
          <w:szCs w:val="24"/>
        </w:rPr>
        <w:t xml:space="preserve"> to complete. </w:t>
      </w:r>
      <w:r w:rsidR="00103F20" w:rsidRPr="00103A0B">
        <w:rPr>
          <w:rFonts w:ascii="Arial" w:hAnsi="Arial" w:cs="Arial"/>
          <w:sz w:val="24"/>
          <w:szCs w:val="24"/>
        </w:rPr>
        <w:t>Completers discussed how there was a good group atmosphere and group members were supportive</w:t>
      </w:r>
      <w:r w:rsidR="00E46496" w:rsidRPr="00103A0B">
        <w:rPr>
          <w:rFonts w:ascii="Arial" w:hAnsi="Arial" w:cs="Arial"/>
          <w:sz w:val="24"/>
          <w:szCs w:val="24"/>
        </w:rPr>
        <w:t>,</w:t>
      </w:r>
      <w:r w:rsidRPr="00103A0B">
        <w:rPr>
          <w:rFonts w:ascii="Arial" w:hAnsi="Arial" w:cs="Arial"/>
          <w:sz w:val="24"/>
          <w:szCs w:val="24"/>
        </w:rPr>
        <w:t xml:space="preserve"> as discussed by James below</w:t>
      </w:r>
      <w:r w:rsidR="006E1797" w:rsidRPr="00103A0B">
        <w:rPr>
          <w:rFonts w:ascii="Arial" w:hAnsi="Arial" w:cs="Arial"/>
          <w:sz w:val="24"/>
          <w:szCs w:val="24"/>
        </w:rPr>
        <w:t>.  This</w:t>
      </w:r>
      <w:r w:rsidRPr="00103A0B">
        <w:rPr>
          <w:rFonts w:ascii="Arial" w:hAnsi="Arial" w:cs="Arial"/>
          <w:sz w:val="24"/>
          <w:szCs w:val="24"/>
        </w:rPr>
        <w:t xml:space="preserve"> motivated</w:t>
      </w:r>
      <w:r w:rsidR="00E46496" w:rsidRPr="00103A0B">
        <w:rPr>
          <w:rFonts w:ascii="Arial" w:hAnsi="Arial" w:cs="Arial"/>
          <w:sz w:val="24"/>
          <w:szCs w:val="24"/>
        </w:rPr>
        <w:t xml:space="preserve"> </w:t>
      </w:r>
      <w:r w:rsidR="006E1797" w:rsidRPr="00103A0B">
        <w:rPr>
          <w:rFonts w:ascii="Arial" w:hAnsi="Arial" w:cs="Arial"/>
          <w:sz w:val="24"/>
          <w:szCs w:val="24"/>
        </w:rPr>
        <w:t>participants</w:t>
      </w:r>
      <w:r w:rsidR="00CE5757" w:rsidRPr="00103A0B">
        <w:rPr>
          <w:rFonts w:ascii="Arial" w:hAnsi="Arial" w:cs="Arial"/>
          <w:sz w:val="24"/>
          <w:szCs w:val="24"/>
        </w:rPr>
        <w:t xml:space="preserve"> to </w:t>
      </w:r>
      <w:r w:rsidR="006E1797" w:rsidRPr="00103A0B">
        <w:rPr>
          <w:rFonts w:ascii="Arial" w:hAnsi="Arial" w:cs="Arial"/>
          <w:sz w:val="24"/>
          <w:szCs w:val="24"/>
        </w:rPr>
        <w:t>continue and complete the programme</w:t>
      </w:r>
      <w:r w:rsidR="00CE5757" w:rsidRPr="00103A0B">
        <w:rPr>
          <w:rFonts w:ascii="Arial" w:hAnsi="Arial" w:cs="Arial"/>
          <w:sz w:val="24"/>
          <w:szCs w:val="24"/>
        </w:rPr>
        <w:t xml:space="preserve">: </w:t>
      </w:r>
    </w:p>
    <w:p w14:paraId="2E7470AC" w14:textId="7B3C3E67" w:rsidR="00103F20" w:rsidRPr="00103A0B" w:rsidRDefault="00103F20" w:rsidP="00FF161D">
      <w:pPr>
        <w:spacing w:line="360" w:lineRule="auto"/>
        <w:ind w:left="720"/>
        <w:jc w:val="both"/>
        <w:rPr>
          <w:rFonts w:ascii="Arial" w:hAnsi="Arial" w:cs="Arial"/>
          <w:sz w:val="24"/>
          <w:szCs w:val="24"/>
        </w:rPr>
      </w:pPr>
      <w:r w:rsidRPr="00103A0B">
        <w:rPr>
          <w:rFonts w:ascii="Arial" w:hAnsi="Arial" w:cs="Arial"/>
          <w:sz w:val="24"/>
          <w:szCs w:val="24"/>
        </w:rPr>
        <w:t>“</w:t>
      </w:r>
      <w:proofErr w:type="gramStart"/>
      <w:r w:rsidRPr="00103A0B">
        <w:rPr>
          <w:rFonts w:ascii="Arial" w:hAnsi="Arial" w:cs="Arial"/>
          <w:sz w:val="24"/>
          <w:szCs w:val="24"/>
        </w:rPr>
        <w:t>everybody</w:t>
      </w:r>
      <w:proofErr w:type="gramEnd"/>
      <w:r w:rsidRPr="00103A0B">
        <w:rPr>
          <w:rFonts w:ascii="Arial" w:hAnsi="Arial" w:cs="Arial"/>
          <w:sz w:val="24"/>
          <w:szCs w:val="24"/>
        </w:rPr>
        <w:t xml:space="preserve"> in the session was really nice we were all very supportive it was a nice atmosphere… you know you’re in a sort of a team…you don’t want to be the one that doesn’t improve but equally you know it’s always inspiring to have other people doing well at the same time” (James, 58-year-old white British man</w:t>
      </w:r>
      <w:r w:rsidR="00175C39" w:rsidRPr="00103A0B">
        <w:rPr>
          <w:rFonts w:ascii="Arial" w:hAnsi="Arial" w:cs="Arial"/>
          <w:sz w:val="24"/>
          <w:szCs w:val="24"/>
        </w:rPr>
        <w:t>, completer</w:t>
      </w:r>
      <w:r w:rsidRPr="00103A0B">
        <w:rPr>
          <w:rFonts w:ascii="Arial" w:hAnsi="Arial" w:cs="Arial"/>
          <w:sz w:val="24"/>
          <w:szCs w:val="24"/>
        </w:rPr>
        <w:t>).</w:t>
      </w:r>
    </w:p>
    <w:p w14:paraId="44134203" w14:textId="778B204D"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Although some non-completers expressed positive group experiences and perceptions of group members, other non-completers had negative experiences of the group environment</w:t>
      </w:r>
      <w:r w:rsidR="00E46496" w:rsidRPr="00103A0B">
        <w:rPr>
          <w:rFonts w:ascii="Arial" w:hAnsi="Arial" w:cs="Arial"/>
          <w:sz w:val="24"/>
          <w:szCs w:val="24"/>
        </w:rPr>
        <w:t xml:space="preserve"> </w:t>
      </w:r>
      <w:r w:rsidR="00CE5757" w:rsidRPr="00103A0B">
        <w:rPr>
          <w:rFonts w:ascii="Arial" w:hAnsi="Arial" w:cs="Arial"/>
          <w:sz w:val="24"/>
          <w:szCs w:val="24"/>
        </w:rPr>
        <w:t>influencing their motivation to attend, as discussed by Yusuf</w:t>
      </w:r>
      <w:r w:rsidR="006E1797" w:rsidRPr="00103A0B">
        <w:rPr>
          <w:rFonts w:ascii="Arial" w:hAnsi="Arial" w:cs="Arial"/>
          <w:sz w:val="24"/>
          <w:szCs w:val="24"/>
        </w:rPr>
        <w:t xml:space="preserve"> below</w:t>
      </w:r>
      <w:r w:rsidR="00E555E9" w:rsidRPr="00103A0B">
        <w:rPr>
          <w:rFonts w:ascii="Arial" w:hAnsi="Arial" w:cs="Arial"/>
          <w:sz w:val="24"/>
          <w:szCs w:val="24"/>
        </w:rPr>
        <w:t>:</w:t>
      </w:r>
      <w:r w:rsidR="006E1797" w:rsidRPr="00103A0B">
        <w:rPr>
          <w:rFonts w:ascii="Arial" w:hAnsi="Arial" w:cs="Arial"/>
          <w:sz w:val="24"/>
          <w:szCs w:val="24"/>
        </w:rPr>
        <w:t xml:space="preserve">  </w:t>
      </w:r>
    </w:p>
    <w:p w14:paraId="31D84A87" w14:textId="518A9844"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lastRenderedPageBreak/>
        <w:t>“</w:t>
      </w:r>
      <w:proofErr w:type="gramStart"/>
      <w:r w:rsidRPr="00103A0B">
        <w:rPr>
          <w:rFonts w:ascii="Arial" w:hAnsi="Arial" w:cs="Arial"/>
          <w:sz w:val="24"/>
          <w:szCs w:val="24"/>
        </w:rPr>
        <w:t>he</w:t>
      </w:r>
      <w:proofErr w:type="gramEnd"/>
      <w:r w:rsidRPr="00103A0B">
        <w:rPr>
          <w:rFonts w:ascii="Arial" w:hAnsi="Arial" w:cs="Arial"/>
          <w:sz w:val="24"/>
          <w:szCs w:val="24"/>
        </w:rPr>
        <w:t xml:space="preserve"> was controlling the class it was like he was the one teaching the class...people who attend can sometimes make it boring… I don’t have to attend this” (Yusuf, 55-year-old Arab man</w:t>
      </w:r>
      <w:r w:rsidR="00175C39" w:rsidRPr="00103A0B">
        <w:rPr>
          <w:rFonts w:ascii="Arial" w:hAnsi="Arial" w:cs="Arial"/>
          <w:sz w:val="24"/>
          <w:szCs w:val="24"/>
        </w:rPr>
        <w:t>, non-completer</w:t>
      </w:r>
      <w:r w:rsidRPr="00103A0B">
        <w:rPr>
          <w:rFonts w:ascii="Arial" w:hAnsi="Arial" w:cs="Arial"/>
          <w:sz w:val="24"/>
          <w:szCs w:val="24"/>
        </w:rPr>
        <w:t>).</w:t>
      </w:r>
    </w:p>
    <w:p w14:paraId="4CC1AD26" w14:textId="15CA4D71" w:rsidR="006E1797" w:rsidRPr="00103A0B" w:rsidRDefault="006E1797" w:rsidP="00C220D1">
      <w:pPr>
        <w:spacing w:line="360" w:lineRule="auto"/>
        <w:jc w:val="both"/>
        <w:rPr>
          <w:rFonts w:ascii="Arial" w:hAnsi="Arial" w:cs="Arial"/>
          <w:sz w:val="24"/>
          <w:szCs w:val="24"/>
        </w:rPr>
      </w:pPr>
      <w:r w:rsidRPr="00103A0B">
        <w:rPr>
          <w:rFonts w:ascii="Arial" w:hAnsi="Arial" w:cs="Arial"/>
          <w:sz w:val="24"/>
          <w:szCs w:val="24"/>
        </w:rPr>
        <w:t>This extract shows how important it is for the programme leads to manage group dynamics and expectations within health-related group interventions, such as the diabetes prevention programme</w:t>
      </w:r>
      <w:r w:rsidR="00E555E9" w:rsidRPr="00103A0B">
        <w:rPr>
          <w:rFonts w:ascii="Arial" w:hAnsi="Arial" w:cs="Arial"/>
          <w:sz w:val="24"/>
          <w:szCs w:val="24"/>
        </w:rPr>
        <w:t xml:space="preserve">. </w:t>
      </w:r>
    </w:p>
    <w:p w14:paraId="51AFE3ED" w14:textId="77777777" w:rsidR="00103F20" w:rsidRPr="00103A0B" w:rsidRDefault="00103F20" w:rsidP="00C220D1">
      <w:pPr>
        <w:spacing w:line="360" w:lineRule="auto"/>
        <w:ind w:left="720"/>
        <w:jc w:val="both"/>
        <w:rPr>
          <w:rFonts w:ascii="Arial" w:hAnsi="Arial" w:cs="Arial"/>
          <w:sz w:val="24"/>
          <w:szCs w:val="24"/>
        </w:rPr>
      </w:pPr>
    </w:p>
    <w:p w14:paraId="63C7CE7E" w14:textId="77777777" w:rsidR="00103F20" w:rsidRPr="00103A0B" w:rsidRDefault="00103F20" w:rsidP="00C220D1">
      <w:pPr>
        <w:pStyle w:val="ListParagraph"/>
        <w:numPr>
          <w:ilvl w:val="0"/>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 xml:space="preserve">Communication  </w:t>
      </w:r>
    </w:p>
    <w:p w14:paraId="034997FC" w14:textId="5455CA05"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This theme only applied to non-completers where they discussed poor communication with the local provider</w:t>
      </w:r>
      <w:r w:rsidR="00E46496" w:rsidRPr="00103A0B">
        <w:rPr>
          <w:rFonts w:ascii="Arial" w:hAnsi="Arial" w:cs="Arial"/>
          <w:sz w:val="24"/>
          <w:szCs w:val="24"/>
        </w:rPr>
        <w:t xml:space="preserve"> which discouraged them to complete</w:t>
      </w:r>
      <w:r w:rsidRPr="00103A0B">
        <w:rPr>
          <w:rFonts w:ascii="Arial" w:hAnsi="Arial" w:cs="Arial"/>
          <w:sz w:val="24"/>
          <w:szCs w:val="24"/>
        </w:rPr>
        <w:t xml:space="preserve">:  </w:t>
      </w:r>
    </w:p>
    <w:p w14:paraId="39585AB7" w14:textId="75859833"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“I was told “oh you will hear from us in two three weeks”</w:t>
      </w:r>
      <w:r w:rsidR="006E1797" w:rsidRPr="00103A0B">
        <w:rPr>
          <w:rFonts w:ascii="Arial" w:hAnsi="Arial" w:cs="Arial"/>
          <w:sz w:val="24"/>
          <w:szCs w:val="24"/>
        </w:rPr>
        <w:t>.  I</w:t>
      </w:r>
      <w:r w:rsidRPr="00103A0B">
        <w:rPr>
          <w:rFonts w:ascii="Arial" w:hAnsi="Arial" w:cs="Arial"/>
          <w:sz w:val="24"/>
          <w:szCs w:val="24"/>
        </w:rPr>
        <w:t>t took over three</w:t>
      </w:r>
      <w:r w:rsidR="006E1797" w:rsidRPr="00103A0B">
        <w:rPr>
          <w:rFonts w:ascii="Arial" w:hAnsi="Arial" w:cs="Arial"/>
          <w:sz w:val="24"/>
          <w:szCs w:val="24"/>
        </w:rPr>
        <w:t>,</w:t>
      </w:r>
      <w:r w:rsidRPr="00103A0B">
        <w:rPr>
          <w:rFonts w:ascii="Arial" w:hAnsi="Arial" w:cs="Arial"/>
          <w:sz w:val="24"/>
          <w:szCs w:val="24"/>
        </w:rPr>
        <w:t xml:space="preserve"> four months or longer…most times like I went there [to the venue] for over three</w:t>
      </w:r>
      <w:r w:rsidR="006E1797" w:rsidRPr="00103A0B">
        <w:rPr>
          <w:rFonts w:ascii="Arial" w:hAnsi="Arial" w:cs="Arial"/>
          <w:sz w:val="24"/>
          <w:szCs w:val="24"/>
        </w:rPr>
        <w:t>,</w:t>
      </w:r>
      <w:r w:rsidRPr="00103A0B">
        <w:rPr>
          <w:rFonts w:ascii="Arial" w:hAnsi="Arial" w:cs="Arial"/>
          <w:sz w:val="24"/>
          <w:szCs w:val="24"/>
        </w:rPr>
        <w:t xml:space="preserve"> four times and I’m told “it’s happening” and nothing happened and that frustrated me…they have one number that no one answers</w:t>
      </w:r>
      <w:r w:rsidR="005B5E2B" w:rsidRPr="00103A0B">
        <w:rPr>
          <w:rFonts w:ascii="Arial" w:hAnsi="Arial" w:cs="Arial"/>
          <w:sz w:val="24"/>
          <w:szCs w:val="24"/>
        </w:rPr>
        <w:t xml:space="preserve">… one time when I turned up at the place all I saw on the door was </w:t>
      </w:r>
      <w:r w:rsidR="006E1797" w:rsidRPr="00103A0B">
        <w:rPr>
          <w:rFonts w:ascii="Arial" w:hAnsi="Arial" w:cs="Arial"/>
          <w:sz w:val="24"/>
          <w:szCs w:val="24"/>
        </w:rPr>
        <w:t>“</w:t>
      </w:r>
      <w:r w:rsidR="005B5E2B" w:rsidRPr="00103A0B">
        <w:rPr>
          <w:rFonts w:ascii="Arial" w:hAnsi="Arial" w:cs="Arial"/>
          <w:sz w:val="24"/>
          <w:szCs w:val="24"/>
        </w:rPr>
        <w:t>oh sorry we we</w:t>
      </w:r>
      <w:r w:rsidR="006E1797" w:rsidRPr="00103A0B">
        <w:rPr>
          <w:rFonts w:ascii="Arial" w:hAnsi="Arial" w:cs="Arial"/>
          <w:sz w:val="24"/>
          <w:szCs w:val="24"/>
        </w:rPr>
        <w:t>’</w:t>
      </w:r>
      <w:r w:rsidR="005B5E2B" w:rsidRPr="00103A0B">
        <w:rPr>
          <w:rFonts w:ascii="Arial" w:hAnsi="Arial" w:cs="Arial"/>
          <w:sz w:val="24"/>
          <w:szCs w:val="24"/>
        </w:rPr>
        <w:t>re not having the session here today we</w:t>
      </w:r>
      <w:r w:rsidR="006E1797" w:rsidRPr="00103A0B">
        <w:rPr>
          <w:rFonts w:ascii="Arial" w:hAnsi="Arial" w:cs="Arial"/>
          <w:sz w:val="24"/>
          <w:szCs w:val="24"/>
        </w:rPr>
        <w:t>’</w:t>
      </w:r>
      <w:r w:rsidR="005B5E2B" w:rsidRPr="00103A0B">
        <w:rPr>
          <w:rFonts w:ascii="Arial" w:hAnsi="Arial" w:cs="Arial"/>
          <w:sz w:val="24"/>
          <w:szCs w:val="24"/>
        </w:rPr>
        <w:t>re having it</w:t>
      </w:r>
      <w:r w:rsidR="006E1797" w:rsidRPr="00103A0B">
        <w:rPr>
          <w:rFonts w:ascii="Arial" w:hAnsi="Arial" w:cs="Arial"/>
          <w:sz w:val="24"/>
          <w:szCs w:val="24"/>
        </w:rPr>
        <w:t>…”</w:t>
      </w:r>
      <w:r w:rsidR="005B5E2B" w:rsidRPr="00103A0B">
        <w:rPr>
          <w:rFonts w:ascii="Arial" w:hAnsi="Arial" w:cs="Arial"/>
          <w:sz w:val="24"/>
          <w:szCs w:val="24"/>
        </w:rPr>
        <w:t xml:space="preserve"> they write an address I don’t know the area then it means me having to wander all over the place…I don’t need this…I need help in achieving what I </w:t>
      </w:r>
      <w:proofErr w:type="spellStart"/>
      <w:r w:rsidR="005B5E2B" w:rsidRPr="00103A0B">
        <w:rPr>
          <w:rFonts w:ascii="Arial" w:hAnsi="Arial" w:cs="Arial"/>
          <w:sz w:val="24"/>
          <w:szCs w:val="24"/>
        </w:rPr>
        <w:t>wanna</w:t>
      </w:r>
      <w:proofErr w:type="spellEnd"/>
      <w:r w:rsidR="005B5E2B" w:rsidRPr="00103A0B">
        <w:rPr>
          <w:rFonts w:ascii="Arial" w:hAnsi="Arial" w:cs="Arial"/>
          <w:sz w:val="24"/>
          <w:szCs w:val="24"/>
        </w:rPr>
        <w:t xml:space="preserve"> achieve</w:t>
      </w:r>
      <w:r w:rsidRPr="00103A0B">
        <w:rPr>
          <w:rFonts w:ascii="Arial" w:hAnsi="Arial" w:cs="Arial"/>
          <w:sz w:val="24"/>
          <w:szCs w:val="24"/>
        </w:rPr>
        <w:t>” (Diamond, 46-year-old black British woman</w:t>
      </w:r>
      <w:r w:rsidR="00175C39" w:rsidRPr="00103A0B">
        <w:rPr>
          <w:rFonts w:ascii="Arial" w:hAnsi="Arial" w:cs="Arial"/>
          <w:sz w:val="24"/>
          <w:szCs w:val="24"/>
        </w:rPr>
        <w:t>, non-completer</w:t>
      </w:r>
      <w:r w:rsidRPr="00103A0B">
        <w:rPr>
          <w:rFonts w:ascii="Arial" w:hAnsi="Arial" w:cs="Arial"/>
          <w:sz w:val="24"/>
          <w:szCs w:val="24"/>
        </w:rPr>
        <w:t xml:space="preserve">). </w:t>
      </w:r>
    </w:p>
    <w:p w14:paraId="0D9CF2DB" w14:textId="2F4B8933" w:rsidR="00103F20" w:rsidRPr="00103A0B" w:rsidRDefault="00103F20" w:rsidP="00C220D1">
      <w:pPr>
        <w:spacing w:before="240" w:line="360" w:lineRule="auto"/>
        <w:jc w:val="both"/>
        <w:rPr>
          <w:rFonts w:ascii="Arial" w:hAnsi="Arial" w:cs="Arial"/>
          <w:sz w:val="24"/>
          <w:szCs w:val="24"/>
        </w:rPr>
      </w:pPr>
      <w:r w:rsidRPr="00103A0B">
        <w:rPr>
          <w:rFonts w:ascii="Arial" w:hAnsi="Arial" w:cs="Arial"/>
          <w:sz w:val="24"/>
          <w:szCs w:val="24"/>
        </w:rPr>
        <w:t>Although some non-completers found the instructor informative, others found that the instructor did not communicate well</w:t>
      </w:r>
      <w:r w:rsidR="00903AA0" w:rsidRPr="00103A0B">
        <w:rPr>
          <w:rFonts w:ascii="Arial" w:hAnsi="Arial" w:cs="Arial"/>
          <w:sz w:val="24"/>
          <w:szCs w:val="24"/>
        </w:rPr>
        <w:t xml:space="preserve"> as discussed by Kathryn,</w:t>
      </w:r>
      <w:r w:rsidR="00E46496" w:rsidRPr="00103A0B">
        <w:rPr>
          <w:rFonts w:ascii="Arial" w:hAnsi="Arial" w:cs="Arial"/>
          <w:sz w:val="24"/>
          <w:szCs w:val="24"/>
        </w:rPr>
        <w:t xml:space="preserve"> which can lead to non-completion of the programme</w:t>
      </w:r>
      <w:r w:rsidRPr="00103A0B">
        <w:rPr>
          <w:rFonts w:ascii="Arial" w:hAnsi="Arial" w:cs="Arial"/>
          <w:sz w:val="24"/>
          <w:szCs w:val="24"/>
        </w:rPr>
        <w:t>:</w:t>
      </w:r>
    </w:p>
    <w:p w14:paraId="0055C6CA" w14:textId="220AE42D" w:rsidR="00E555E9" w:rsidRPr="00103A0B" w:rsidRDefault="00103F20" w:rsidP="00FF161D">
      <w:pPr>
        <w:spacing w:line="360" w:lineRule="auto"/>
        <w:ind w:left="720"/>
        <w:jc w:val="both"/>
        <w:rPr>
          <w:rFonts w:ascii="Arial" w:hAnsi="Arial" w:cs="Arial"/>
          <w:sz w:val="24"/>
          <w:szCs w:val="24"/>
        </w:rPr>
      </w:pPr>
      <w:r w:rsidRPr="00103A0B">
        <w:rPr>
          <w:rFonts w:ascii="Arial" w:hAnsi="Arial" w:cs="Arial"/>
          <w:sz w:val="24"/>
          <w:szCs w:val="24"/>
        </w:rPr>
        <w:t>“</w:t>
      </w:r>
      <w:proofErr w:type="gramStart"/>
      <w:r w:rsidRPr="00103A0B">
        <w:rPr>
          <w:rFonts w:ascii="Arial" w:hAnsi="Arial" w:cs="Arial"/>
          <w:sz w:val="24"/>
          <w:szCs w:val="24"/>
        </w:rPr>
        <w:t>the</w:t>
      </w:r>
      <w:proofErr w:type="gramEnd"/>
      <w:r w:rsidRPr="00103A0B">
        <w:rPr>
          <w:rFonts w:ascii="Arial" w:hAnsi="Arial" w:cs="Arial"/>
          <w:sz w:val="24"/>
          <w:szCs w:val="24"/>
        </w:rPr>
        <w:t xml:space="preserve"> whole thing seemed to be just her reading out of the book, well I’m sorry I can take the book home and read it myself she didn’t add anything” (Kathryn, 62-year-old white British woman</w:t>
      </w:r>
      <w:r w:rsidR="00175C39" w:rsidRPr="00103A0B">
        <w:rPr>
          <w:rFonts w:ascii="Arial" w:hAnsi="Arial" w:cs="Arial"/>
          <w:sz w:val="24"/>
          <w:szCs w:val="24"/>
        </w:rPr>
        <w:t>, non-completer</w:t>
      </w:r>
      <w:r w:rsidRPr="00103A0B">
        <w:rPr>
          <w:rFonts w:ascii="Arial" w:hAnsi="Arial" w:cs="Arial"/>
          <w:sz w:val="24"/>
          <w:szCs w:val="24"/>
        </w:rPr>
        <w:t>).</w:t>
      </w:r>
    </w:p>
    <w:p w14:paraId="16E0477A" w14:textId="77777777" w:rsidR="00AC2188" w:rsidRPr="00103A0B" w:rsidRDefault="00AC2188" w:rsidP="00AC2188">
      <w:pPr>
        <w:spacing w:line="360" w:lineRule="auto"/>
        <w:ind w:left="360"/>
        <w:jc w:val="both"/>
        <w:rPr>
          <w:rFonts w:ascii="Arial" w:hAnsi="Arial" w:cs="Arial"/>
          <w:sz w:val="24"/>
          <w:szCs w:val="24"/>
        </w:rPr>
      </w:pPr>
    </w:p>
    <w:p w14:paraId="0D8242D6" w14:textId="77777777" w:rsidR="00103F20" w:rsidRPr="00103A0B" w:rsidRDefault="00103F20" w:rsidP="00C220D1">
      <w:pPr>
        <w:pStyle w:val="ListParagraph"/>
        <w:numPr>
          <w:ilvl w:val="0"/>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 xml:space="preserve">Influence from family, </w:t>
      </w:r>
      <w:proofErr w:type="gramStart"/>
      <w:r w:rsidRPr="00103A0B">
        <w:rPr>
          <w:rFonts w:ascii="Arial" w:hAnsi="Arial" w:cs="Arial"/>
          <w:sz w:val="24"/>
          <w:szCs w:val="24"/>
        </w:rPr>
        <w:t>friends</w:t>
      </w:r>
      <w:proofErr w:type="gramEnd"/>
      <w:r w:rsidRPr="00103A0B">
        <w:rPr>
          <w:rFonts w:ascii="Arial" w:hAnsi="Arial" w:cs="Arial"/>
          <w:sz w:val="24"/>
          <w:szCs w:val="24"/>
        </w:rPr>
        <w:t xml:space="preserve"> and others </w:t>
      </w:r>
    </w:p>
    <w:p w14:paraId="594ACBF4" w14:textId="15F96A29"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lastRenderedPageBreak/>
        <w:t xml:space="preserve">Some completers discussed how family members had T2DM, suffered from T2DM complications or </w:t>
      </w:r>
      <w:r w:rsidR="006E1797" w:rsidRPr="00103A0B">
        <w:rPr>
          <w:rFonts w:ascii="Arial" w:hAnsi="Arial" w:cs="Arial"/>
          <w:sz w:val="24"/>
          <w:szCs w:val="24"/>
        </w:rPr>
        <w:t xml:space="preserve">had </w:t>
      </w:r>
      <w:r w:rsidRPr="00103A0B">
        <w:rPr>
          <w:rFonts w:ascii="Arial" w:hAnsi="Arial" w:cs="Arial"/>
          <w:sz w:val="24"/>
          <w:szCs w:val="24"/>
        </w:rPr>
        <w:t>died from T2DM</w:t>
      </w:r>
      <w:r w:rsidR="006E1797" w:rsidRPr="00103A0B">
        <w:rPr>
          <w:rFonts w:ascii="Arial" w:hAnsi="Arial" w:cs="Arial"/>
          <w:sz w:val="24"/>
          <w:szCs w:val="24"/>
        </w:rPr>
        <w:t xml:space="preserve">.  This experience demonstrated their understanding of the severity of T2DM and </w:t>
      </w:r>
      <w:r w:rsidRPr="00103A0B">
        <w:rPr>
          <w:rFonts w:ascii="Arial" w:hAnsi="Arial" w:cs="Arial"/>
          <w:sz w:val="24"/>
          <w:szCs w:val="24"/>
        </w:rPr>
        <w:t>influenced their motivation to complete:</w:t>
      </w:r>
    </w:p>
    <w:p w14:paraId="257F4308" w14:textId="4A94941D"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 xml:space="preserve">“I didn’t want to be diabetic because I have my sister who pass away…when I was on the </w:t>
      </w:r>
      <w:proofErr w:type="gramStart"/>
      <w:r w:rsidRPr="00103A0B">
        <w:rPr>
          <w:rFonts w:ascii="Arial" w:hAnsi="Arial" w:cs="Arial"/>
          <w:sz w:val="24"/>
          <w:szCs w:val="24"/>
        </w:rPr>
        <w:t>programme</w:t>
      </w:r>
      <w:proofErr w:type="gramEnd"/>
      <w:r w:rsidRPr="00103A0B">
        <w:rPr>
          <w:rFonts w:ascii="Arial" w:hAnsi="Arial" w:cs="Arial"/>
          <w:sz w:val="24"/>
          <w:szCs w:val="24"/>
        </w:rPr>
        <w:t xml:space="preserve"> she was diabetic…I didn’t want to be like [that]” (Shanice, 42-year-old black British woman</w:t>
      </w:r>
      <w:r w:rsidR="00175C39" w:rsidRPr="00103A0B">
        <w:rPr>
          <w:rFonts w:ascii="Arial" w:hAnsi="Arial" w:cs="Arial"/>
          <w:sz w:val="24"/>
          <w:szCs w:val="24"/>
        </w:rPr>
        <w:t>, completer</w:t>
      </w:r>
      <w:r w:rsidRPr="00103A0B">
        <w:rPr>
          <w:rFonts w:ascii="Arial" w:hAnsi="Arial" w:cs="Arial"/>
          <w:sz w:val="24"/>
          <w:szCs w:val="24"/>
        </w:rPr>
        <w:t>).</w:t>
      </w:r>
    </w:p>
    <w:p w14:paraId="1E3B5942" w14:textId="3893552F"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 xml:space="preserve">Some non-completers also discussed family, such as family members having T2DM or having family responsibilities that </w:t>
      </w:r>
      <w:r w:rsidR="006E1797" w:rsidRPr="00103A0B">
        <w:rPr>
          <w:rFonts w:ascii="Arial" w:hAnsi="Arial" w:cs="Arial"/>
          <w:sz w:val="24"/>
          <w:szCs w:val="24"/>
        </w:rPr>
        <w:t xml:space="preserve">made it difficult for them to attend sessions </w:t>
      </w:r>
      <w:r w:rsidR="00AC2188" w:rsidRPr="00103A0B">
        <w:rPr>
          <w:rFonts w:ascii="Arial" w:hAnsi="Arial" w:cs="Arial"/>
          <w:sz w:val="24"/>
          <w:szCs w:val="24"/>
        </w:rPr>
        <w:t>and complete</w:t>
      </w:r>
      <w:r w:rsidR="006E1797" w:rsidRPr="00103A0B">
        <w:rPr>
          <w:rFonts w:ascii="Arial" w:hAnsi="Arial" w:cs="Arial"/>
          <w:sz w:val="24"/>
          <w:szCs w:val="24"/>
        </w:rPr>
        <w:t xml:space="preserve"> the programme</w:t>
      </w:r>
      <w:r w:rsidRPr="00103A0B">
        <w:rPr>
          <w:rFonts w:ascii="Arial" w:hAnsi="Arial" w:cs="Arial"/>
          <w:sz w:val="24"/>
          <w:szCs w:val="24"/>
        </w:rPr>
        <w:t>. They also expressed how friends and others do not know what T2DM is, so they are giving advice or sharing knowledge</w:t>
      </w:r>
      <w:r w:rsidR="006E1797" w:rsidRPr="00103A0B">
        <w:rPr>
          <w:rFonts w:ascii="Arial" w:hAnsi="Arial" w:cs="Arial"/>
          <w:sz w:val="24"/>
          <w:szCs w:val="24"/>
        </w:rPr>
        <w:t xml:space="preserve"> with them</w:t>
      </w:r>
      <w:r w:rsidRPr="00103A0B">
        <w:rPr>
          <w:rFonts w:ascii="Arial" w:hAnsi="Arial" w:cs="Arial"/>
          <w:sz w:val="24"/>
          <w:szCs w:val="24"/>
        </w:rPr>
        <w:t xml:space="preserve">: </w:t>
      </w:r>
    </w:p>
    <w:p w14:paraId="65DBFA2A" w14:textId="66BCCBEA" w:rsidR="00103F20" w:rsidRPr="00103A0B" w:rsidRDefault="00103F20" w:rsidP="00FF161D">
      <w:pPr>
        <w:spacing w:line="360" w:lineRule="auto"/>
        <w:ind w:left="720"/>
        <w:jc w:val="both"/>
        <w:rPr>
          <w:rFonts w:ascii="Arial" w:hAnsi="Arial" w:cs="Arial"/>
          <w:sz w:val="24"/>
          <w:szCs w:val="24"/>
        </w:rPr>
      </w:pPr>
      <w:r w:rsidRPr="00103A0B">
        <w:rPr>
          <w:rFonts w:ascii="Arial" w:hAnsi="Arial" w:cs="Arial"/>
          <w:sz w:val="24"/>
          <w:szCs w:val="24"/>
        </w:rPr>
        <w:t xml:space="preserve">“a lot of my friends I know or people… they don’t know what </w:t>
      </w:r>
      <w:proofErr w:type="gramStart"/>
      <w:r w:rsidRPr="00103A0B">
        <w:rPr>
          <w:rFonts w:ascii="Arial" w:hAnsi="Arial" w:cs="Arial"/>
          <w:sz w:val="24"/>
          <w:szCs w:val="24"/>
        </w:rPr>
        <w:t>is diabetes</w:t>
      </w:r>
      <w:proofErr w:type="gramEnd"/>
      <w:r w:rsidRPr="00103A0B">
        <w:rPr>
          <w:rFonts w:ascii="Arial" w:hAnsi="Arial" w:cs="Arial"/>
          <w:sz w:val="24"/>
          <w:szCs w:val="24"/>
        </w:rPr>
        <w:t xml:space="preserve"> or what they have to do…even now for my friends when I see them taking a lot of sugars or cake or something I give them advice” (Mehdi, 61-year-old mixed ethnicity man</w:t>
      </w:r>
      <w:r w:rsidR="00175C39" w:rsidRPr="00103A0B">
        <w:rPr>
          <w:rFonts w:ascii="Arial" w:hAnsi="Arial" w:cs="Arial"/>
          <w:sz w:val="24"/>
          <w:szCs w:val="24"/>
        </w:rPr>
        <w:t>,</w:t>
      </w:r>
      <w:r w:rsidR="00FF161D" w:rsidRPr="00103A0B">
        <w:rPr>
          <w:rFonts w:ascii="Arial" w:hAnsi="Arial" w:cs="Arial"/>
          <w:sz w:val="24"/>
          <w:szCs w:val="24"/>
        </w:rPr>
        <w:t xml:space="preserve"> </w:t>
      </w:r>
      <w:r w:rsidR="00175C39" w:rsidRPr="00103A0B">
        <w:rPr>
          <w:rFonts w:ascii="Arial" w:hAnsi="Arial" w:cs="Arial"/>
          <w:sz w:val="24"/>
          <w:szCs w:val="24"/>
        </w:rPr>
        <w:t>non-completer</w:t>
      </w:r>
      <w:r w:rsidRPr="00103A0B">
        <w:rPr>
          <w:rFonts w:ascii="Arial" w:hAnsi="Arial" w:cs="Arial"/>
          <w:sz w:val="24"/>
          <w:szCs w:val="24"/>
        </w:rPr>
        <w:t xml:space="preserve">). </w:t>
      </w:r>
      <w:r w:rsidRPr="00103A0B">
        <w:rPr>
          <w:rFonts w:ascii="Arial" w:hAnsi="Arial" w:cs="Arial"/>
          <w:sz w:val="24"/>
          <w:szCs w:val="24"/>
        </w:rPr>
        <w:br/>
      </w:r>
    </w:p>
    <w:p w14:paraId="4318F825" w14:textId="77777777" w:rsidR="00103F20" w:rsidRPr="00103A0B" w:rsidRDefault="00103F20" w:rsidP="00C220D1">
      <w:pPr>
        <w:pStyle w:val="ListParagraph"/>
        <w:numPr>
          <w:ilvl w:val="0"/>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 xml:space="preserve">Lifestyle changes </w:t>
      </w:r>
    </w:p>
    <w:p w14:paraId="2A7CF9EE" w14:textId="137D2966"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 xml:space="preserve">This theme </w:t>
      </w:r>
      <w:r w:rsidR="00E52BBF" w:rsidRPr="00103A0B">
        <w:rPr>
          <w:rFonts w:ascii="Arial" w:hAnsi="Arial" w:cs="Arial"/>
          <w:sz w:val="24"/>
          <w:szCs w:val="24"/>
        </w:rPr>
        <w:t xml:space="preserve">discusses how </w:t>
      </w:r>
      <w:r w:rsidRPr="00103A0B">
        <w:rPr>
          <w:rFonts w:ascii="Arial" w:hAnsi="Arial" w:cs="Arial"/>
          <w:sz w:val="24"/>
          <w:szCs w:val="24"/>
        </w:rPr>
        <w:t xml:space="preserve">participants </w:t>
      </w:r>
      <w:r w:rsidR="00E52BBF" w:rsidRPr="00103A0B">
        <w:rPr>
          <w:rFonts w:ascii="Arial" w:hAnsi="Arial" w:cs="Arial"/>
          <w:sz w:val="24"/>
          <w:szCs w:val="24"/>
        </w:rPr>
        <w:t xml:space="preserve">made </w:t>
      </w:r>
      <w:r w:rsidRPr="00103A0B">
        <w:rPr>
          <w:rFonts w:ascii="Arial" w:hAnsi="Arial" w:cs="Arial"/>
          <w:sz w:val="24"/>
          <w:szCs w:val="24"/>
        </w:rPr>
        <w:t xml:space="preserve">healthier lifestyle changes </w:t>
      </w:r>
      <w:proofErr w:type="gramStart"/>
      <w:r w:rsidR="00E52BBF" w:rsidRPr="00103A0B">
        <w:rPr>
          <w:rFonts w:ascii="Arial" w:hAnsi="Arial" w:cs="Arial"/>
          <w:sz w:val="24"/>
          <w:szCs w:val="24"/>
        </w:rPr>
        <w:t>as a result of</w:t>
      </w:r>
      <w:proofErr w:type="gramEnd"/>
      <w:r w:rsidR="00E52BBF" w:rsidRPr="00103A0B">
        <w:rPr>
          <w:rFonts w:ascii="Arial" w:hAnsi="Arial" w:cs="Arial"/>
          <w:sz w:val="24"/>
          <w:szCs w:val="24"/>
        </w:rPr>
        <w:t xml:space="preserve"> the </w:t>
      </w:r>
      <w:r w:rsidR="00130144" w:rsidRPr="00103A0B">
        <w:rPr>
          <w:rFonts w:ascii="Arial" w:hAnsi="Arial" w:cs="Arial"/>
          <w:sz w:val="24"/>
          <w:szCs w:val="24"/>
        </w:rPr>
        <w:t>programme and</w:t>
      </w:r>
      <w:r w:rsidRPr="00103A0B">
        <w:rPr>
          <w:rFonts w:ascii="Arial" w:hAnsi="Arial" w:cs="Arial"/>
          <w:sz w:val="24"/>
          <w:szCs w:val="24"/>
        </w:rPr>
        <w:t xml:space="preserve"> </w:t>
      </w:r>
      <w:r w:rsidR="00E52BBF" w:rsidRPr="00103A0B">
        <w:rPr>
          <w:rFonts w:ascii="Arial" w:hAnsi="Arial" w:cs="Arial"/>
          <w:sz w:val="24"/>
          <w:szCs w:val="24"/>
        </w:rPr>
        <w:t>explores the healthier lifestyle changes made as well as difficulties making lifestyle changes</w:t>
      </w:r>
      <w:r w:rsidRPr="00103A0B">
        <w:rPr>
          <w:rFonts w:ascii="Arial" w:hAnsi="Arial" w:cs="Arial"/>
          <w:sz w:val="24"/>
          <w:szCs w:val="24"/>
        </w:rPr>
        <w:t>.</w:t>
      </w:r>
      <w:r w:rsidR="00130144" w:rsidRPr="00103A0B">
        <w:rPr>
          <w:rFonts w:ascii="Arial" w:hAnsi="Arial" w:cs="Arial"/>
          <w:sz w:val="24"/>
          <w:szCs w:val="24"/>
        </w:rPr>
        <w:t xml:space="preserve"> </w:t>
      </w:r>
      <w:r w:rsidRPr="00103A0B">
        <w:rPr>
          <w:rFonts w:ascii="Arial" w:hAnsi="Arial" w:cs="Arial"/>
          <w:sz w:val="24"/>
          <w:szCs w:val="24"/>
        </w:rPr>
        <w:t xml:space="preserve">Both completers and non-completers discussed making </w:t>
      </w:r>
      <w:r w:rsidR="00E52BBF" w:rsidRPr="00103A0B">
        <w:rPr>
          <w:rFonts w:ascii="Arial" w:hAnsi="Arial" w:cs="Arial"/>
          <w:sz w:val="24"/>
          <w:szCs w:val="24"/>
        </w:rPr>
        <w:t xml:space="preserve">healthy </w:t>
      </w:r>
      <w:r w:rsidRPr="00103A0B">
        <w:rPr>
          <w:rFonts w:ascii="Arial" w:hAnsi="Arial" w:cs="Arial"/>
          <w:sz w:val="24"/>
          <w:szCs w:val="24"/>
        </w:rPr>
        <w:t>lifestyle changes</w:t>
      </w:r>
      <w:r w:rsidR="00E52BBF" w:rsidRPr="00103A0B">
        <w:rPr>
          <w:rFonts w:ascii="Arial" w:hAnsi="Arial" w:cs="Arial"/>
          <w:sz w:val="24"/>
          <w:szCs w:val="24"/>
        </w:rPr>
        <w:t>, for example James made changes to his eating habits and increased his exercise:</w:t>
      </w:r>
      <w:r w:rsidRPr="00103A0B">
        <w:rPr>
          <w:rFonts w:ascii="Arial" w:hAnsi="Arial" w:cs="Arial"/>
          <w:sz w:val="24"/>
          <w:szCs w:val="24"/>
        </w:rPr>
        <w:t xml:space="preserve"> </w:t>
      </w:r>
    </w:p>
    <w:p w14:paraId="178CE047" w14:textId="09E3C22B"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“I’ve replaced sort of things like bread and pasta with things like pulses and lentils… I’ve lost weight I feel healthier I don’t worry about getting diabetes anymore…I exercise, go to the gym… I’ve fixed the problem” (James, 58-year-old white British man</w:t>
      </w:r>
      <w:r w:rsidR="00E806F6" w:rsidRPr="00103A0B">
        <w:rPr>
          <w:rFonts w:ascii="Arial" w:hAnsi="Arial" w:cs="Arial"/>
          <w:sz w:val="24"/>
          <w:szCs w:val="24"/>
        </w:rPr>
        <w:t>, completer</w:t>
      </w:r>
      <w:r w:rsidRPr="00103A0B">
        <w:rPr>
          <w:rFonts w:ascii="Arial" w:hAnsi="Arial" w:cs="Arial"/>
          <w:sz w:val="24"/>
          <w:szCs w:val="24"/>
        </w:rPr>
        <w:t>).</w:t>
      </w:r>
    </w:p>
    <w:p w14:paraId="1284BBD8" w14:textId="7AF93D7E"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Non-completers also discussed making healthy changes</w:t>
      </w:r>
      <w:r w:rsidR="00D9160B" w:rsidRPr="00103A0B">
        <w:rPr>
          <w:rFonts w:ascii="Arial" w:hAnsi="Arial" w:cs="Arial"/>
          <w:sz w:val="24"/>
          <w:szCs w:val="24"/>
        </w:rPr>
        <w:t xml:space="preserve">, </w:t>
      </w:r>
      <w:r w:rsidR="00E52BBF" w:rsidRPr="00103A0B">
        <w:rPr>
          <w:rFonts w:ascii="Arial" w:hAnsi="Arial" w:cs="Arial"/>
          <w:sz w:val="24"/>
          <w:szCs w:val="24"/>
        </w:rPr>
        <w:t xml:space="preserve">paradoxically this may have </w:t>
      </w:r>
      <w:r w:rsidR="00D9160B" w:rsidRPr="00103A0B">
        <w:rPr>
          <w:rFonts w:ascii="Arial" w:hAnsi="Arial" w:cs="Arial"/>
          <w:sz w:val="24"/>
          <w:szCs w:val="24"/>
        </w:rPr>
        <w:t>led them to not complete</w:t>
      </w:r>
      <w:r w:rsidR="00E52BBF" w:rsidRPr="00103A0B">
        <w:rPr>
          <w:rFonts w:ascii="Arial" w:hAnsi="Arial" w:cs="Arial"/>
          <w:sz w:val="24"/>
          <w:szCs w:val="24"/>
        </w:rPr>
        <w:t>,</w:t>
      </w:r>
      <w:r w:rsidR="00D9160B" w:rsidRPr="00103A0B">
        <w:rPr>
          <w:rFonts w:ascii="Arial" w:hAnsi="Arial" w:cs="Arial"/>
          <w:sz w:val="24"/>
          <w:szCs w:val="24"/>
        </w:rPr>
        <w:t xml:space="preserve"> particularly if </w:t>
      </w:r>
      <w:r w:rsidR="00E52BBF" w:rsidRPr="00103A0B">
        <w:rPr>
          <w:rFonts w:ascii="Arial" w:hAnsi="Arial" w:cs="Arial"/>
          <w:sz w:val="24"/>
          <w:szCs w:val="24"/>
        </w:rPr>
        <w:t>these changes made them feel better and they</w:t>
      </w:r>
      <w:r w:rsidR="00D9160B" w:rsidRPr="00103A0B">
        <w:rPr>
          <w:rFonts w:ascii="Arial" w:hAnsi="Arial" w:cs="Arial"/>
          <w:sz w:val="24"/>
          <w:szCs w:val="24"/>
        </w:rPr>
        <w:t xml:space="preserve"> no longer needed the programme</w:t>
      </w:r>
      <w:r w:rsidRPr="00103A0B">
        <w:rPr>
          <w:rFonts w:ascii="Arial" w:hAnsi="Arial" w:cs="Arial"/>
          <w:sz w:val="24"/>
          <w:szCs w:val="24"/>
        </w:rPr>
        <w:t xml:space="preserve">: </w:t>
      </w:r>
    </w:p>
    <w:p w14:paraId="0926FBDA" w14:textId="4B2185F9"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 xml:space="preserve">“I do generally eat much less sugar than I did…I’ve lost weight my joints stopped hurting I’ve felt so much fitter so much younger I had so much more energy I </w:t>
      </w:r>
      <w:r w:rsidRPr="00103A0B">
        <w:rPr>
          <w:rFonts w:ascii="Arial" w:hAnsi="Arial" w:cs="Arial"/>
          <w:sz w:val="24"/>
          <w:szCs w:val="24"/>
        </w:rPr>
        <w:lastRenderedPageBreak/>
        <w:t>just felt absolutely amazing…” (Olivia, 59-year-old white British woman</w:t>
      </w:r>
      <w:r w:rsidR="00175C39" w:rsidRPr="00103A0B">
        <w:rPr>
          <w:rFonts w:ascii="Arial" w:hAnsi="Arial" w:cs="Arial"/>
          <w:sz w:val="24"/>
          <w:szCs w:val="24"/>
        </w:rPr>
        <w:t>, non-completer</w:t>
      </w:r>
      <w:r w:rsidRPr="00103A0B">
        <w:rPr>
          <w:rFonts w:ascii="Arial" w:hAnsi="Arial" w:cs="Arial"/>
          <w:sz w:val="24"/>
          <w:szCs w:val="24"/>
        </w:rPr>
        <w:t xml:space="preserve">). </w:t>
      </w:r>
    </w:p>
    <w:p w14:paraId="567BC768" w14:textId="07D4C859" w:rsidR="00103F20" w:rsidRPr="00103A0B" w:rsidRDefault="00E52BBF" w:rsidP="00C220D1">
      <w:pPr>
        <w:spacing w:line="360" w:lineRule="auto"/>
        <w:jc w:val="both"/>
        <w:rPr>
          <w:rFonts w:ascii="Arial" w:hAnsi="Arial" w:cs="Arial"/>
          <w:sz w:val="24"/>
          <w:szCs w:val="24"/>
        </w:rPr>
      </w:pPr>
      <w:r w:rsidRPr="00103A0B">
        <w:rPr>
          <w:rFonts w:ascii="Arial" w:hAnsi="Arial" w:cs="Arial"/>
          <w:sz w:val="24"/>
          <w:szCs w:val="24"/>
        </w:rPr>
        <w:t>As well as making healthy lifestyle changes, c</w:t>
      </w:r>
      <w:r w:rsidR="00103F20" w:rsidRPr="00103A0B">
        <w:rPr>
          <w:rFonts w:ascii="Arial" w:hAnsi="Arial" w:cs="Arial"/>
          <w:sz w:val="24"/>
          <w:szCs w:val="24"/>
        </w:rPr>
        <w:t xml:space="preserve">ompleters and non-completers </w:t>
      </w:r>
      <w:r w:rsidRPr="00103A0B">
        <w:rPr>
          <w:rFonts w:ascii="Arial" w:hAnsi="Arial" w:cs="Arial"/>
          <w:sz w:val="24"/>
          <w:szCs w:val="24"/>
        </w:rPr>
        <w:t xml:space="preserve">also </w:t>
      </w:r>
      <w:r w:rsidR="00103F20" w:rsidRPr="00103A0B">
        <w:rPr>
          <w:rFonts w:ascii="Arial" w:hAnsi="Arial" w:cs="Arial"/>
          <w:sz w:val="24"/>
          <w:szCs w:val="24"/>
        </w:rPr>
        <w:t>discussed difficulties in making lifestyle changes. Completers discussed mainly challenges related to diet or weight</w:t>
      </w:r>
      <w:r w:rsidRPr="00103A0B">
        <w:rPr>
          <w:rFonts w:ascii="Arial" w:hAnsi="Arial" w:cs="Arial"/>
          <w:sz w:val="24"/>
          <w:szCs w:val="24"/>
        </w:rPr>
        <w:t>, but discussed how the p</w:t>
      </w:r>
      <w:r w:rsidR="00D9160B" w:rsidRPr="00103A0B">
        <w:rPr>
          <w:rFonts w:ascii="Arial" w:hAnsi="Arial" w:cs="Arial"/>
          <w:sz w:val="24"/>
          <w:szCs w:val="24"/>
        </w:rPr>
        <w:t xml:space="preserve">rogramme </w:t>
      </w:r>
      <w:r w:rsidRPr="00103A0B">
        <w:rPr>
          <w:rFonts w:ascii="Arial" w:hAnsi="Arial" w:cs="Arial"/>
          <w:sz w:val="24"/>
          <w:szCs w:val="24"/>
        </w:rPr>
        <w:t>helped them overcome these, for example Shanice</w:t>
      </w:r>
      <w:r w:rsidR="00F47203" w:rsidRPr="00103A0B">
        <w:rPr>
          <w:rFonts w:ascii="Arial" w:hAnsi="Arial" w:cs="Arial"/>
          <w:sz w:val="24"/>
          <w:szCs w:val="24"/>
        </w:rPr>
        <w:t xml:space="preserve"> explained how she could change her eating habits</w:t>
      </w:r>
      <w:r w:rsidR="00103F20" w:rsidRPr="00103A0B">
        <w:rPr>
          <w:rFonts w:ascii="Arial" w:hAnsi="Arial" w:cs="Arial"/>
          <w:sz w:val="24"/>
          <w:szCs w:val="24"/>
        </w:rPr>
        <w:t xml:space="preserve">: </w:t>
      </w:r>
    </w:p>
    <w:p w14:paraId="659DB560" w14:textId="376B9303" w:rsidR="00103F20" w:rsidRPr="00103A0B" w:rsidRDefault="00103F20" w:rsidP="00D70B6C">
      <w:pPr>
        <w:spacing w:line="360" w:lineRule="auto"/>
        <w:ind w:left="720"/>
        <w:jc w:val="both"/>
        <w:rPr>
          <w:rFonts w:ascii="Arial" w:hAnsi="Arial" w:cs="Arial"/>
          <w:sz w:val="24"/>
          <w:szCs w:val="24"/>
        </w:rPr>
      </w:pPr>
      <w:r w:rsidRPr="00103A0B">
        <w:rPr>
          <w:rFonts w:ascii="Arial" w:hAnsi="Arial" w:cs="Arial"/>
          <w:sz w:val="24"/>
          <w:szCs w:val="24"/>
        </w:rPr>
        <w:t>“</w:t>
      </w:r>
      <w:proofErr w:type="gramStart"/>
      <w:r w:rsidR="00D70B6C" w:rsidRPr="00103A0B">
        <w:rPr>
          <w:rFonts w:ascii="Arial" w:hAnsi="Arial" w:cs="Arial"/>
          <w:sz w:val="24"/>
          <w:szCs w:val="24"/>
        </w:rPr>
        <w:t>i</w:t>
      </w:r>
      <w:r w:rsidR="00E555E9" w:rsidRPr="00103A0B">
        <w:rPr>
          <w:rFonts w:ascii="Arial" w:hAnsi="Arial" w:cs="Arial"/>
          <w:sz w:val="24"/>
          <w:szCs w:val="24"/>
        </w:rPr>
        <w:t>n</w:t>
      </w:r>
      <w:proofErr w:type="gramEnd"/>
      <w:r w:rsidRPr="00103A0B">
        <w:rPr>
          <w:rFonts w:ascii="Arial" w:hAnsi="Arial" w:cs="Arial"/>
          <w:sz w:val="24"/>
          <w:szCs w:val="24"/>
        </w:rPr>
        <w:t xml:space="preserve"> African countries we like baguette it’s something we enjoy a lot and it’s difficult for you to cut the baguette down definitely</w:t>
      </w:r>
      <w:r w:rsidR="009F26A5" w:rsidRPr="00103A0B">
        <w:rPr>
          <w:rFonts w:ascii="Arial" w:hAnsi="Arial" w:cs="Arial"/>
          <w:sz w:val="24"/>
          <w:szCs w:val="24"/>
        </w:rPr>
        <w:t>… but learning that I can have the brown bread or wholemeal bread is good</w:t>
      </w:r>
      <w:r w:rsidRPr="00103A0B">
        <w:rPr>
          <w:rFonts w:ascii="Arial" w:hAnsi="Arial" w:cs="Arial"/>
          <w:sz w:val="24"/>
          <w:szCs w:val="24"/>
        </w:rPr>
        <w:t>” (Shanice, 42-year-old black British woman</w:t>
      </w:r>
      <w:r w:rsidR="00175C39" w:rsidRPr="00103A0B">
        <w:rPr>
          <w:rFonts w:ascii="Arial" w:hAnsi="Arial" w:cs="Arial"/>
          <w:sz w:val="24"/>
          <w:szCs w:val="24"/>
        </w:rPr>
        <w:t>, completer</w:t>
      </w:r>
      <w:r w:rsidRPr="00103A0B">
        <w:rPr>
          <w:rFonts w:ascii="Arial" w:hAnsi="Arial" w:cs="Arial"/>
          <w:sz w:val="24"/>
          <w:szCs w:val="24"/>
        </w:rPr>
        <w:t>).</w:t>
      </w:r>
    </w:p>
    <w:p w14:paraId="6E44007C" w14:textId="07D3341E"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Some non-completers also expressed difficulties in making exercise or dietary-related changes</w:t>
      </w:r>
      <w:r w:rsidR="00D70B6C" w:rsidRPr="00103A0B">
        <w:rPr>
          <w:rFonts w:ascii="Arial" w:hAnsi="Arial" w:cs="Arial"/>
          <w:sz w:val="24"/>
          <w:szCs w:val="24"/>
        </w:rPr>
        <w:t xml:space="preserve">. </w:t>
      </w:r>
      <w:r w:rsidR="00F47203" w:rsidRPr="00103A0B">
        <w:rPr>
          <w:rFonts w:ascii="Arial" w:hAnsi="Arial" w:cs="Arial"/>
          <w:sz w:val="24"/>
          <w:szCs w:val="24"/>
        </w:rPr>
        <w:t>Olivia below explains how incorporating exercise into her lifestyle made her exhausted</w:t>
      </w:r>
      <w:r w:rsidRPr="00103A0B">
        <w:rPr>
          <w:rFonts w:ascii="Arial" w:hAnsi="Arial" w:cs="Arial"/>
          <w:sz w:val="24"/>
          <w:szCs w:val="24"/>
        </w:rPr>
        <w:t>:</w:t>
      </w:r>
    </w:p>
    <w:p w14:paraId="41D3825E" w14:textId="08E1BC9F" w:rsidR="00103F20" w:rsidRPr="00103A0B" w:rsidRDefault="00103F20" w:rsidP="00D70B6C">
      <w:pPr>
        <w:spacing w:line="360" w:lineRule="auto"/>
        <w:ind w:left="720"/>
        <w:jc w:val="both"/>
        <w:rPr>
          <w:rFonts w:ascii="Arial" w:hAnsi="Arial" w:cs="Arial"/>
          <w:sz w:val="24"/>
          <w:szCs w:val="24"/>
        </w:rPr>
      </w:pPr>
      <w:r w:rsidRPr="00103A0B">
        <w:rPr>
          <w:rFonts w:ascii="Arial" w:hAnsi="Arial" w:cs="Arial"/>
          <w:sz w:val="24"/>
          <w:szCs w:val="24"/>
        </w:rPr>
        <w:t>“</w:t>
      </w:r>
      <w:proofErr w:type="gramStart"/>
      <w:r w:rsidRPr="00103A0B">
        <w:rPr>
          <w:rFonts w:ascii="Arial" w:hAnsi="Arial" w:cs="Arial"/>
          <w:sz w:val="24"/>
          <w:szCs w:val="24"/>
        </w:rPr>
        <w:t>it</w:t>
      </w:r>
      <w:proofErr w:type="gramEnd"/>
      <w:r w:rsidRPr="00103A0B">
        <w:rPr>
          <w:rFonts w:ascii="Arial" w:hAnsi="Arial" w:cs="Arial"/>
          <w:sz w:val="24"/>
          <w:szCs w:val="24"/>
        </w:rPr>
        <w:t xml:space="preserve"> was difficult staying off all the booze and the sugar… I got up at 4am went to the gym then went to work and </w:t>
      </w:r>
      <w:proofErr w:type="gramStart"/>
      <w:r w:rsidRPr="00103A0B">
        <w:rPr>
          <w:rFonts w:ascii="Arial" w:hAnsi="Arial" w:cs="Arial"/>
          <w:sz w:val="24"/>
          <w:szCs w:val="24"/>
        </w:rPr>
        <w:t>all day</w:t>
      </w:r>
      <w:proofErr w:type="gramEnd"/>
      <w:r w:rsidRPr="00103A0B">
        <w:rPr>
          <w:rFonts w:ascii="Arial" w:hAnsi="Arial" w:cs="Arial"/>
          <w:sz w:val="24"/>
          <w:szCs w:val="24"/>
        </w:rPr>
        <w:t xml:space="preserve"> people were saying “You alright? You look terrible!” I was completely exhausted” (Olivia, 59-year-old white British woman</w:t>
      </w:r>
      <w:r w:rsidR="00175C39" w:rsidRPr="00103A0B">
        <w:rPr>
          <w:rFonts w:ascii="Arial" w:hAnsi="Arial" w:cs="Arial"/>
          <w:sz w:val="24"/>
          <w:szCs w:val="24"/>
        </w:rPr>
        <w:t>, non-completer</w:t>
      </w:r>
      <w:r w:rsidRPr="00103A0B">
        <w:rPr>
          <w:rFonts w:ascii="Arial" w:hAnsi="Arial" w:cs="Arial"/>
          <w:sz w:val="24"/>
          <w:szCs w:val="24"/>
        </w:rPr>
        <w:t xml:space="preserve">). </w:t>
      </w:r>
    </w:p>
    <w:p w14:paraId="6A3D2A96" w14:textId="77777777" w:rsidR="00103F20" w:rsidRPr="00103A0B" w:rsidRDefault="00103F20" w:rsidP="00C220D1">
      <w:pPr>
        <w:spacing w:line="360" w:lineRule="auto"/>
        <w:ind w:left="360"/>
        <w:jc w:val="both"/>
        <w:rPr>
          <w:rFonts w:ascii="Arial" w:hAnsi="Arial" w:cs="Arial"/>
          <w:sz w:val="24"/>
          <w:szCs w:val="24"/>
        </w:rPr>
      </w:pPr>
    </w:p>
    <w:p w14:paraId="47979F8C" w14:textId="77777777" w:rsidR="00103F20" w:rsidRPr="00103A0B" w:rsidRDefault="00103F20" w:rsidP="00C220D1">
      <w:pPr>
        <w:pStyle w:val="ListParagraph"/>
        <w:numPr>
          <w:ilvl w:val="0"/>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 xml:space="preserve">Practicalities </w:t>
      </w:r>
    </w:p>
    <w:p w14:paraId="1ED09CA5" w14:textId="0737B715"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 xml:space="preserve">This </w:t>
      </w:r>
      <w:r w:rsidR="00F47203" w:rsidRPr="00103A0B">
        <w:rPr>
          <w:rFonts w:ascii="Arial" w:hAnsi="Arial" w:cs="Arial"/>
          <w:sz w:val="24"/>
          <w:szCs w:val="24"/>
        </w:rPr>
        <w:t>final</w:t>
      </w:r>
      <w:r w:rsidR="00316109" w:rsidRPr="00103A0B">
        <w:rPr>
          <w:rFonts w:ascii="Arial" w:hAnsi="Arial" w:cs="Arial"/>
          <w:sz w:val="24"/>
          <w:szCs w:val="24"/>
        </w:rPr>
        <w:t xml:space="preserve"> </w:t>
      </w:r>
      <w:r w:rsidRPr="00103A0B">
        <w:rPr>
          <w:rFonts w:ascii="Arial" w:hAnsi="Arial" w:cs="Arial"/>
          <w:sz w:val="24"/>
          <w:szCs w:val="24"/>
        </w:rPr>
        <w:t>theme involves participants discussing the practicalities associated with attending the programme</w:t>
      </w:r>
      <w:r w:rsidR="00AC2188" w:rsidRPr="00103A0B">
        <w:rPr>
          <w:rFonts w:ascii="Arial" w:hAnsi="Arial" w:cs="Arial"/>
          <w:sz w:val="24"/>
          <w:szCs w:val="24"/>
        </w:rPr>
        <w:t>,</w:t>
      </w:r>
      <w:r w:rsidRPr="00103A0B">
        <w:rPr>
          <w:rFonts w:ascii="Arial" w:hAnsi="Arial" w:cs="Arial"/>
          <w:sz w:val="24"/>
          <w:szCs w:val="24"/>
        </w:rPr>
        <w:t xml:space="preserve"> </w:t>
      </w:r>
      <w:r w:rsidR="00F47203" w:rsidRPr="00103A0B">
        <w:rPr>
          <w:rFonts w:ascii="Arial" w:hAnsi="Arial" w:cs="Arial"/>
          <w:sz w:val="24"/>
          <w:szCs w:val="24"/>
        </w:rPr>
        <w:t>which are associated with time and work-related issues and the venue</w:t>
      </w:r>
      <w:r w:rsidRPr="00103A0B">
        <w:rPr>
          <w:rFonts w:ascii="Arial" w:hAnsi="Arial" w:cs="Arial"/>
          <w:sz w:val="24"/>
          <w:szCs w:val="24"/>
        </w:rPr>
        <w:t xml:space="preserve">. </w:t>
      </w:r>
    </w:p>
    <w:p w14:paraId="4416372A" w14:textId="58272BD0" w:rsidR="00103F20" w:rsidRPr="00103A0B" w:rsidRDefault="00490B51" w:rsidP="00C220D1">
      <w:pPr>
        <w:pStyle w:val="ListParagraph"/>
        <w:numPr>
          <w:ilvl w:val="1"/>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Time and w</w:t>
      </w:r>
      <w:r w:rsidR="00103F20" w:rsidRPr="00103A0B">
        <w:rPr>
          <w:rFonts w:ascii="Arial" w:hAnsi="Arial" w:cs="Arial"/>
          <w:sz w:val="24"/>
          <w:szCs w:val="24"/>
        </w:rPr>
        <w:t xml:space="preserve">ork-related issues </w:t>
      </w:r>
    </w:p>
    <w:p w14:paraId="234F1C34" w14:textId="17BAE11A"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This sub-theme only applied to non-completers where many discussed they had work commitments or changes to work schedules which contributed to non-completion of the programme</w:t>
      </w:r>
      <w:r w:rsidR="00F47203" w:rsidRPr="00103A0B">
        <w:rPr>
          <w:rFonts w:ascii="Arial" w:hAnsi="Arial" w:cs="Arial"/>
          <w:sz w:val="24"/>
          <w:szCs w:val="24"/>
        </w:rPr>
        <w:t>.</w:t>
      </w:r>
      <w:r w:rsidR="00AC2188" w:rsidRPr="00103A0B">
        <w:rPr>
          <w:rFonts w:ascii="Arial" w:hAnsi="Arial" w:cs="Arial"/>
          <w:sz w:val="24"/>
          <w:szCs w:val="24"/>
        </w:rPr>
        <w:t xml:space="preserve"> </w:t>
      </w:r>
      <w:r w:rsidR="00F47203" w:rsidRPr="00103A0B">
        <w:rPr>
          <w:rFonts w:ascii="Arial" w:hAnsi="Arial" w:cs="Arial"/>
          <w:sz w:val="24"/>
          <w:szCs w:val="24"/>
        </w:rPr>
        <w:t>For example, Olivia describes how, although she enjoyed the sessions, she could</w:t>
      </w:r>
      <w:r w:rsidR="0011089C" w:rsidRPr="00103A0B">
        <w:rPr>
          <w:rFonts w:ascii="Arial" w:hAnsi="Arial" w:cs="Arial"/>
          <w:sz w:val="24"/>
          <w:szCs w:val="24"/>
        </w:rPr>
        <w:t xml:space="preserve"> not </w:t>
      </w:r>
      <w:r w:rsidR="00F47203" w:rsidRPr="00103A0B">
        <w:rPr>
          <w:rFonts w:ascii="Arial" w:hAnsi="Arial" w:cs="Arial"/>
          <w:sz w:val="24"/>
          <w:szCs w:val="24"/>
        </w:rPr>
        <w:t>organi</w:t>
      </w:r>
      <w:r w:rsidR="0011089C" w:rsidRPr="00103A0B">
        <w:rPr>
          <w:rFonts w:ascii="Arial" w:hAnsi="Arial" w:cs="Arial"/>
          <w:sz w:val="24"/>
          <w:szCs w:val="24"/>
        </w:rPr>
        <w:t>s</w:t>
      </w:r>
      <w:r w:rsidR="00F47203" w:rsidRPr="00103A0B">
        <w:rPr>
          <w:rFonts w:ascii="Arial" w:hAnsi="Arial" w:cs="Arial"/>
          <w:sz w:val="24"/>
          <w:szCs w:val="24"/>
        </w:rPr>
        <w:t>e time off at work to enable her to go to them</w:t>
      </w:r>
      <w:r w:rsidRPr="00103A0B">
        <w:rPr>
          <w:rFonts w:ascii="Arial" w:hAnsi="Arial" w:cs="Arial"/>
          <w:sz w:val="24"/>
          <w:szCs w:val="24"/>
        </w:rPr>
        <w:t xml:space="preserve">: </w:t>
      </w:r>
    </w:p>
    <w:p w14:paraId="2CF9B77B" w14:textId="521F0925" w:rsidR="00103F20" w:rsidRPr="00103A0B" w:rsidRDefault="00103F20" w:rsidP="00D70B6C">
      <w:pPr>
        <w:spacing w:line="360" w:lineRule="auto"/>
        <w:ind w:left="720"/>
        <w:jc w:val="both"/>
        <w:rPr>
          <w:rFonts w:ascii="Arial" w:hAnsi="Arial" w:cs="Arial"/>
          <w:sz w:val="24"/>
          <w:szCs w:val="24"/>
        </w:rPr>
      </w:pPr>
      <w:r w:rsidRPr="00103A0B">
        <w:rPr>
          <w:rFonts w:ascii="Arial" w:hAnsi="Arial" w:cs="Arial"/>
          <w:sz w:val="24"/>
          <w:szCs w:val="24"/>
        </w:rPr>
        <w:t xml:space="preserve">“going to the sessions inspired me very much to go back to the gym and so I started sort of working flexi hours and I started being bullied by a workmate for </w:t>
      </w:r>
      <w:r w:rsidRPr="00103A0B">
        <w:rPr>
          <w:rFonts w:ascii="Arial" w:hAnsi="Arial" w:cs="Arial"/>
          <w:sz w:val="24"/>
          <w:szCs w:val="24"/>
        </w:rPr>
        <w:lastRenderedPageBreak/>
        <w:t>not being at work… then one of my team left and so I had to be at work all the time…all of this ganged up and it meant that I just couldn’t not be at work and so then I stopped going to the gym and I stopped going to the diabetes sessions and everything and it was a real shame” (Olivia, 59-year-old white British woman</w:t>
      </w:r>
      <w:r w:rsidR="004E2EEA" w:rsidRPr="00103A0B">
        <w:rPr>
          <w:rFonts w:ascii="Arial" w:hAnsi="Arial" w:cs="Arial"/>
          <w:sz w:val="24"/>
          <w:szCs w:val="24"/>
        </w:rPr>
        <w:t>, non-completer</w:t>
      </w:r>
      <w:r w:rsidRPr="00103A0B">
        <w:rPr>
          <w:rFonts w:ascii="Arial" w:hAnsi="Arial" w:cs="Arial"/>
          <w:sz w:val="24"/>
          <w:szCs w:val="24"/>
        </w:rPr>
        <w:t xml:space="preserve">). </w:t>
      </w:r>
    </w:p>
    <w:p w14:paraId="58CBD2EC" w14:textId="628CEA8D"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Most non-completers expressed issues with time such as timing of sessions, having a lack of time or being too busy to attend</w:t>
      </w:r>
      <w:r w:rsidR="00D9160B" w:rsidRPr="00103A0B">
        <w:rPr>
          <w:rFonts w:ascii="Arial" w:hAnsi="Arial" w:cs="Arial"/>
          <w:sz w:val="24"/>
          <w:szCs w:val="24"/>
        </w:rPr>
        <w:t xml:space="preserve"> which can lead to non-completion of the programme</w:t>
      </w:r>
      <w:r w:rsidRPr="00103A0B">
        <w:rPr>
          <w:rFonts w:ascii="Arial" w:hAnsi="Arial" w:cs="Arial"/>
          <w:sz w:val="24"/>
          <w:szCs w:val="24"/>
        </w:rPr>
        <w:t xml:space="preserve">: </w:t>
      </w:r>
    </w:p>
    <w:p w14:paraId="0226115D" w14:textId="7B1DBC85" w:rsidR="002946D3" w:rsidRPr="00103A0B" w:rsidRDefault="002946D3" w:rsidP="00C220D1">
      <w:pPr>
        <w:spacing w:line="360" w:lineRule="auto"/>
        <w:ind w:left="720"/>
        <w:jc w:val="both"/>
        <w:rPr>
          <w:rFonts w:ascii="Arial" w:hAnsi="Arial" w:cs="Arial"/>
          <w:sz w:val="24"/>
          <w:szCs w:val="24"/>
        </w:rPr>
      </w:pPr>
      <w:r w:rsidRPr="00103A0B">
        <w:rPr>
          <w:rFonts w:ascii="Arial" w:hAnsi="Arial" w:cs="Arial"/>
          <w:sz w:val="24"/>
          <w:szCs w:val="24"/>
        </w:rPr>
        <w:t>“I didn’t have time to attend the [full] course… I was so busy to attend all [of] the course” (Yusuf, 55-year-old Arab man, non-completer).</w:t>
      </w:r>
    </w:p>
    <w:p w14:paraId="1E678805" w14:textId="77777777" w:rsidR="00103F20" w:rsidRPr="00103A0B" w:rsidRDefault="00103F20" w:rsidP="00C220D1">
      <w:pPr>
        <w:pStyle w:val="ListParagraph"/>
        <w:numPr>
          <w:ilvl w:val="1"/>
          <w:numId w:val="24"/>
        </w:numPr>
        <w:autoSpaceDE w:val="0"/>
        <w:autoSpaceDN w:val="0"/>
        <w:adjustRightInd w:val="0"/>
        <w:spacing w:line="360" w:lineRule="auto"/>
        <w:jc w:val="both"/>
        <w:rPr>
          <w:rFonts w:ascii="Arial" w:hAnsi="Arial" w:cs="Arial"/>
          <w:sz w:val="24"/>
          <w:szCs w:val="24"/>
        </w:rPr>
      </w:pPr>
      <w:r w:rsidRPr="00103A0B">
        <w:rPr>
          <w:rFonts w:ascii="Arial" w:hAnsi="Arial" w:cs="Arial"/>
          <w:sz w:val="24"/>
          <w:szCs w:val="24"/>
        </w:rPr>
        <w:t>Venue and practicalities</w:t>
      </w:r>
    </w:p>
    <w:p w14:paraId="04D9EAF5" w14:textId="77DCDD11"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Some non-completers had issues finding the correct venue or were given late notice of venue changes, which ma</w:t>
      </w:r>
      <w:r w:rsidR="00F47203" w:rsidRPr="00103A0B">
        <w:rPr>
          <w:rFonts w:ascii="Arial" w:hAnsi="Arial" w:cs="Arial"/>
          <w:sz w:val="24"/>
          <w:szCs w:val="24"/>
        </w:rPr>
        <w:t>de them feel frustrated, and lose interest in the programme, as described by Mehdi below</w:t>
      </w:r>
      <w:r w:rsidRPr="00103A0B">
        <w:rPr>
          <w:rFonts w:ascii="Arial" w:hAnsi="Arial" w:cs="Arial"/>
          <w:sz w:val="24"/>
          <w:szCs w:val="24"/>
        </w:rPr>
        <w:t xml:space="preserve">: </w:t>
      </w:r>
    </w:p>
    <w:p w14:paraId="2136D0CA" w14:textId="682AF859" w:rsidR="00B24C03" w:rsidRPr="00103A0B" w:rsidRDefault="00B24C03" w:rsidP="00C220D1">
      <w:pPr>
        <w:spacing w:line="360" w:lineRule="auto"/>
        <w:ind w:left="720"/>
        <w:jc w:val="both"/>
        <w:rPr>
          <w:rFonts w:ascii="Arial" w:hAnsi="Arial" w:cs="Arial"/>
          <w:sz w:val="24"/>
          <w:szCs w:val="24"/>
        </w:rPr>
      </w:pPr>
      <w:r w:rsidRPr="00103A0B">
        <w:rPr>
          <w:rFonts w:ascii="Arial" w:hAnsi="Arial" w:cs="Arial"/>
          <w:sz w:val="24"/>
          <w:szCs w:val="24"/>
        </w:rPr>
        <w:t xml:space="preserve">“sometimes we just look for the classroom…we ask security or reception </w:t>
      </w:r>
      <w:r w:rsidR="00AC2188" w:rsidRPr="00103A0B">
        <w:rPr>
          <w:rFonts w:ascii="Arial" w:hAnsi="Arial" w:cs="Arial"/>
          <w:sz w:val="24"/>
          <w:szCs w:val="24"/>
        </w:rPr>
        <w:t>“</w:t>
      </w:r>
      <w:r w:rsidRPr="00103A0B">
        <w:rPr>
          <w:rFonts w:ascii="Arial" w:hAnsi="Arial" w:cs="Arial"/>
          <w:sz w:val="24"/>
          <w:szCs w:val="24"/>
        </w:rPr>
        <w:t>where [is] the diabetes classroom?</w:t>
      </w:r>
      <w:r w:rsidR="00AC2188" w:rsidRPr="00103A0B">
        <w:rPr>
          <w:rFonts w:ascii="Arial" w:hAnsi="Arial" w:cs="Arial"/>
          <w:sz w:val="24"/>
          <w:szCs w:val="24"/>
        </w:rPr>
        <w:t>”</w:t>
      </w:r>
      <w:r w:rsidRPr="00103A0B">
        <w:rPr>
          <w:rFonts w:ascii="Arial" w:hAnsi="Arial" w:cs="Arial"/>
          <w:sz w:val="24"/>
          <w:szCs w:val="24"/>
        </w:rPr>
        <w:t xml:space="preserve"> they said </w:t>
      </w:r>
      <w:r w:rsidR="00AC2188" w:rsidRPr="00103A0B">
        <w:rPr>
          <w:rFonts w:ascii="Arial" w:hAnsi="Arial" w:cs="Arial"/>
          <w:sz w:val="24"/>
          <w:szCs w:val="24"/>
        </w:rPr>
        <w:t>“</w:t>
      </w:r>
      <w:r w:rsidRPr="00103A0B">
        <w:rPr>
          <w:rFonts w:ascii="Arial" w:hAnsi="Arial" w:cs="Arial"/>
          <w:sz w:val="24"/>
          <w:szCs w:val="24"/>
        </w:rPr>
        <w:t>its room fifty two</w:t>
      </w:r>
      <w:r w:rsidR="00AC2188" w:rsidRPr="00103A0B">
        <w:rPr>
          <w:rFonts w:ascii="Arial" w:hAnsi="Arial" w:cs="Arial"/>
          <w:sz w:val="24"/>
          <w:szCs w:val="24"/>
        </w:rPr>
        <w:t>”</w:t>
      </w:r>
      <w:r w:rsidRPr="00103A0B">
        <w:rPr>
          <w:rFonts w:ascii="Arial" w:hAnsi="Arial" w:cs="Arial"/>
          <w:sz w:val="24"/>
          <w:szCs w:val="24"/>
        </w:rPr>
        <w:t xml:space="preserve"> you go to fifty two you don’t find anyone…you look here look around I don’t know where [so] you just say ok let me go home…you lost the interest then…its better if they can find one place [venue room]” (Mehdi, 61-year-old mixed ethnicity man, non-completer). </w:t>
      </w:r>
    </w:p>
    <w:p w14:paraId="17398CE9" w14:textId="65544AF9"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 xml:space="preserve">Although some completers </w:t>
      </w:r>
      <w:r w:rsidR="00316109" w:rsidRPr="00103A0B">
        <w:rPr>
          <w:rFonts w:ascii="Arial" w:hAnsi="Arial" w:cs="Arial"/>
          <w:sz w:val="24"/>
          <w:szCs w:val="24"/>
        </w:rPr>
        <w:t xml:space="preserve">also </w:t>
      </w:r>
      <w:r w:rsidRPr="00103A0B">
        <w:rPr>
          <w:rFonts w:ascii="Arial" w:hAnsi="Arial" w:cs="Arial"/>
          <w:sz w:val="24"/>
          <w:szCs w:val="24"/>
        </w:rPr>
        <w:t>had issues such as finding the</w:t>
      </w:r>
      <w:r w:rsidR="00316109" w:rsidRPr="00103A0B">
        <w:rPr>
          <w:rFonts w:ascii="Arial" w:hAnsi="Arial" w:cs="Arial"/>
          <w:sz w:val="24"/>
          <w:szCs w:val="24"/>
        </w:rPr>
        <w:t xml:space="preserve"> venue</w:t>
      </w:r>
      <w:r w:rsidRPr="00103A0B">
        <w:rPr>
          <w:rFonts w:ascii="Arial" w:hAnsi="Arial" w:cs="Arial"/>
          <w:sz w:val="24"/>
          <w:szCs w:val="24"/>
        </w:rPr>
        <w:t>, or finding it difficult to travel to the venue, others found the venue good and convenient</w:t>
      </w:r>
      <w:r w:rsidR="00571A8B" w:rsidRPr="00103A0B">
        <w:rPr>
          <w:rFonts w:ascii="Arial" w:hAnsi="Arial" w:cs="Arial"/>
          <w:sz w:val="24"/>
          <w:szCs w:val="24"/>
        </w:rPr>
        <w:t>, encouraging them to attend and complete</w:t>
      </w:r>
      <w:r w:rsidRPr="00103A0B">
        <w:rPr>
          <w:rFonts w:ascii="Arial" w:hAnsi="Arial" w:cs="Arial"/>
          <w:sz w:val="24"/>
          <w:szCs w:val="24"/>
        </w:rPr>
        <w:t xml:space="preserve">:   </w:t>
      </w:r>
    </w:p>
    <w:p w14:paraId="15DF9672" w14:textId="63B378D3" w:rsidR="00103F20" w:rsidRPr="00103A0B" w:rsidRDefault="00103F20" w:rsidP="00C220D1">
      <w:pPr>
        <w:spacing w:line="360" w:lineRule="auto"/>
        <w:ind w:left="720"/>
        <w:jc w:val="both"/>
        <w:rPr>
          <w:rFonts w:ascii="Arial" w:hAnsi="Arial" w:cs="Arial"/>
          <w:sz w:val="24"/>
          <w:szCs w:val="24"/>
        </w:rPr>
      </w:pPr>
      <w:r w:rsidRPr="00103A0B">
        <w:rPr>
          <w:rFonts w:ascii="Arial" w:hAnsi="Arial" w:cs="Arial"/>
          <w:sz w:val="24"/>
          <w:szCs w:val="24"/>
        </w:rPr>
        <w:t>“</w:t>
      </w:r>
      <w:r w:rsidR="00AC2188" w:rsidRPr="00103A0B">
        <w:rPr>
          <w:rFonts w:ascii="Arial" w:hAnsi="Arial" w:cs="Arial"/>
          <w:sz w:val="24"/>
          <w:szCs w:val="24"/>
        </w:rPr>
        <w:t>The</w:t>
      </w:r>
      <w:r w:rsidRPr="00103A0B">
        <w:rPr>
          <w:rFonts w:ascii="Arial" w:hAnsi="Arial" w:cs="Arial"/>
          <w:sz w:val="24"/>
          <w:szCs w:val="24"/>
        </w:rPr>
        <w:t xml:space="preserve"> venue was great it was very nice… very convenient for me” (Yasmeen, 57-year-old Asian British woman</w:t>
      </w:r>
      <w:r w:rsidR="004E2EEA" w:rsidRPr="00103A0B">
        <w:rPr>
          <w:rFonts w:ascii="Arial" w:hAnsi="Arial" w:cs="Arial"/>
          <w:sz w:val="24"/>
          <w:szCs w:val="24"/>
        </w:rPr>
        <w:t>, completer</w:t>
      </w:r>
      <w:r w:rsidRPr="00103A0B">
        <w:rPr>
          <w:rFonts w:ascii="Arial" w:hAnsi="Arial" w:cs="Arial"/>
          <w:sz w:val="24"/>
          <w:szCs w:val="24"/>
        </w:rPr>
        <w:t>).</w:t>
      </w:r>
    </w:p>
    <w:p w14:paraId="3D9B580D" w14:textId="77777777" w:rsidR="00103F20" w:rsidRPr="00103A0B" w:rsidRDefault="00103F20" w:rsidP="00C220D1">
      <w:pPr>
        <w:spacing w:line="360" w:lineRule="auto"/>
        <w:jc w:val="both"/>
        <w:rPr>
          <w:rFonts w:ascii="Arial" w:hAnsi="Arial" w:cs="Arial"/>
          <w:sz w:val="24"/>
          <w:szCs w:val="24"/>
        </w:rPr>
      </w:pPr>
      <w:r w:rsidRPr="00103A0B">
        <w:rPr>
          <w:rFonts w:ascii="Arial" w:hAnsi="Arial" w:cs="Arial"/>
          <w:sz w:val="24"/>
          <w:szCs w:val="24"/>
        </w:rPr>
        <w:t xml:space="preserve">Other practicalities issues reported included travelling abroad (for both completers and non-completers) and poor health (for non-completers) which led to missing some sessions.   </w:t>
      </w:r>
    </w:p>
    <w:p w14:paraId="45513531" w14:textId="77777777" w:rsidR="00DE65CD" w:rsidRPr="00103A0B" w:rsidRDefault="00DE65CD" w:rsidP="00CD5919">
      <w:pPr>
        <w:spacing w:line="360" w:lineRule="auto"/>
        <w:jc w:val="both"/>
        <w:rPr>
          <w:rFonts w:ascii="Arial" w:hAnsi="Arial" w:cs="Arial"/>
          <w:i/>
          <w:sz w:val="24"/>
          <w:szCs w:val="24"/>
        </w:rPr>
        <w:sectPr w:rsidR="00DE65CD" w:rsidRPr="00103A0B" w:rsidSect="00BB2420">
          <w:pgSz w:w="11906" w:h="16838"/>
          <w:pgMar w:top="1440" w:right="1440" w:bottom="1440" w:left="1440" w:header="709" w:footer="709" w:gutter="0"/>
          <w:cols w:space="708"/>
          <w:docGrid w:linePitch="360"/>
        </w:sectPr>
      </w:pPr>
    </w:p>
    <w:p w14:paraId="7CD3FAD8" w14:textId="77777777" w:rsidR="00A54CAE" w:rsidRPr="00103A0B" w:rsidRDefault="00A54CAE" w:rsidP="00CD5919">
      <w:pPr>
        <w:spacing w:line="360" w:lineRule="auto"/>
        <w:jc w:val="both"/>
        <w:rPr>
          <w:rFonts w:ascii="Arial" w:hAnsi="Arial" w:cs="Arial"/>
          <w:i/>
          <w:sz w:val="24"/>
          <w:szCs w:val="24"/>
        </w:rPr>
      </w:pPr>
    </w:p>
    <w:p w14:paraId="785BADBE" w14:textId="3365C01B" w:rsidR="007C3391" w:rsidRPr="00103A0B" w:rsidRDefault="007C3391" w:rsidP="007C3391">
      <w:pPr>
        <w:spacing w:line="360" w:lineRule="auto"/>
        <w:jc w:val="both"/>
        <w:rPr>
          <w:rFonts w:ascii="Arial" w:hAnsi="Arial" w:cs="Arial"/>
          <w:sz w:val="24"/>
          <w:szCs w:val="24"/>
        </w:rPr>
      </w:pPr>
      <w:r w:rsidRPr="00103A0B">
        <w:rPr>
          <w:rFonts w:ascii="Arial" w:hAnsi="Arial" w:cs="Arial"/>
          <w:i/>
          <w:sz w:val="24"/>
          <w:szCs w:val="24"/>
        </w:rPr>
        <w:t>Figure 5- Model overview of key influences affecting completion and non-</w:t>
      </w:r>
      <w:proofErr w:type="gramStart"/>
      <w:r w:rsidRPr="00103A0B">
        <w:rPr>
          <w:rFonts w:ascii="Arial" w:hAnsi="Arial" w:cs="Arial"/>
          <w:i/>
          <w:sz w:val="24"/>
          <w:szCs w:val="24"/>
        </w:rPr>
        <w:t>completion</w:t>
      </w:r>
      <w:proofErr w:type="gramEnd"/>
    </w:p>
    <w:p w14:paraId="70255BF7" w14:textId="6010FFAA" w:rsidR="007C3391" w:rsidRPr="00103A0B" w:rsidRDefault="00C84E3F" w:rsidP="007C3391">
      <w:pPr>
        <w:tabs>
          <w:tab w:val="center" w:pos="6979"/>
        </w:tabs>
        <w:spacing w:line="360" w:lineRule="auto"/>
        <w:jc w:val="both"/>
        <w:rPr>
          <w:rFonts w:ascii="Arial" w:hAnsi="Arial" w:cs="Arial"/>
          <w:b/>
          <w:sz w:val="28"/>
          <w:szCs w:val="28"/>
        </w:rPr>
      </w:pPr>
      <w:r w:rsidRPr="00103A0B">
        <w:rPr>
          <w:noProof/>
        </w:rPr>
        <mc:AlternateContent>
          <mc:Choice Requires="wpg">
            <w:drawing>
              <wp:anchor distT="0" distB="0" distL="114300" distR="114300" simplePos="0" relativeHeight="251686912" behindDoc="0" locked="0" layoutInCell="1" allowOverlap="1" wp14:anchorId="1FBAF239" wp14:editId="2D07709F">
                <wp:simplePos x="0" y="0"/>
                <wp:positionH relativeFrom="column">
                  <wp:posOffset>-769620</wp:posOffset>
                </wp:positionH>
                <wp:positionV relativeFrom="paragraph">
                  <wp:posOffset>276860</wp:posOffset>
                </wp:positionV>
                <wp:extent cx="10391775" cy="4695500"/>
                <wp:effectExtent l="0" t="0" r="28575" b="10160"/>
                <wp:wrapNone/>
                <wp:docPr id="13"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1775" cy="4695500"/>
                          <a:chOff x="0" y="0"/>
                          <a:chExt cx="103917" cy="46958"/>
                        </a:xfrm>
                      </wpg:grpSpPr>
                      <wpg:grpSp>
                        <wpg:cNvPr id="14" name="Group 293"/>
                        <wpg:cNvGrpSpPr>
                          <a:grpSpLocks/>
                        </wpg:cNvGrpSpPr>
                        <wpg:grpSpPr bwMode="auto">
                          <a:xfrm>
                            <a:off x="21526" y="32289"/>
                            <a:ext cx="82391" cy="14669"/>
                            <a:chOff x="15240" y="0"/>
                            <a:chExt cx="82391" cy="14668"/>
                          </a:xfrm>
                        </wpg:grpSpPr>
                        <wps:wsp>
                          <wps:cNvPr id="15" name="Rectangle 304"/>
                          <wps:cNvSpPr>
                            <a:spLocks noChangeArrowheads="1"/>
                          </wps:cNvSpPr>
                          <wps:spPr bwMode="auto">
                            <a:xfrm>
                              <a:off x="78486" y="1713"/>
                              <a:ext cx="8096" cy="6768"/>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1EB26AF" w14:textId="6001E6C1" w:rsidR="00F47203" w:rsidRDefault="00F47203" w:rsidP="007C3391">
                                <w:pPr>
                                  <w:jc w:val="center"/>
                                  <w:rPr>
                                    <w:rFonts w:ascii="Arial" w:hAnsi="Arial" w:cs="Arial"/>
                                    <w:sz w:val="18"/>
                                    <w:szCs w:val="18"/>
                                  </w:rPr>
                                </w:pPr>
                                <w:r>
                                  <w:rPr>
                                    <w:rFonts w:ascii="Arial" w:hAnsi="Arial" w:cs="Arial"/>
                                    <w:sz w:val="18"/>
                                    <w:szCs w:val="18"/>
                                  </w:rPr>
                                  <w:t>7.1. Time and work-related issues</w:t>
                                </w:r>
                                <w:r>
                                  <w:rPr>
                                    <w:rFonts w:ascii="Arial" w:hAnsi="Arial" w:cs="Arial"/>
                                    <w:sz w:val="18"/>
                                    <w:szCs w:val="18"/>
                                    <w:vertAlign w:val="superscript"/>
                                  </w:rPr>
                                  <w:t>2</w:t>
                                </w:r>
                              </w:p>
                            </w:txbxContent>
                          </wps:txbx>
                          <wps:bodyPr rot="0" vert="horz" wrap="square" lIns="91440" tIns="45720" rIns="91440" bIns="45720" anchor="ctr" anchorCtr="0" upright="1">
                            <a:noAutofit/>
                          </wps:bodyPr>
                        </wps:wsp>
                        <wps:wsp>
                          <wps:cNvPr id="17" name="Rectangle 306"/>
                          <wps:cNvSpPr>
                            <a:spLocks noChangeArrowheads="1"/>
                          </wps:cNvSpPr>
                          <wps:spPr bwMode="auto">
                            <a:xfrm>
                              <a:off x="88773" y="1714"/>
                              <a:ext cx="8858" cy="5334"/>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07F07877" w14:textId="4F4F106C" w:rsidR="00F47203" w:rsidRDefault="00F47203" w:rsidP="007C3391">
                                <w:pPr>
                                  <w:jc w:val="center"/>
                                  <w:rPr>
                                    <w:rFonts w:ascii="Arial" w:hAnsi="Arial" w:cs="Arial"/>
                                    <w:sz w:val="18"/>
                                    <w:szCs w:val="18"/>
                                  </w:rPr>
                                </w:pPr>
                                <w:r>
                                  <w:rPr>
                                    <w:rFonts w:ascii="Arial" w:hAnsi="Arial" w:cs="Arial"/>
                                    <w:sz w:val="18"/>
                                    <w:szCs w:val="18"/>
                                  </w:rPr>
                                  <w:t>7.</w:t>
                                </w:r>
                                <w:r w:rsidR="0011089C">
                                  <w:rPr>
                                    <w:rFonts w:ascii="Arial" w:hAnsi="Arial" w:cs="Arial"/>
                                    <w:sz w:val="18"/>
                                    <w:szCs w:val="18"/>
                                  </w:rPr>
                                  <w:t>2</w:t>
                                </w:r>
                                <w:r>
                                  <w:rPr>
                                    <w:rFonts w:ascii="Arial" w:hAnsi="Arial" w:cs="Arial"/>
                                    <w:sz w:val="18"/>
                                    <w:szCs w:val="18"/>
                                  </w:rPr>
                                  <w:t>. Venue and practicalities</w:t>
                                </w:r>
                              </w:p>
                              <w:p w14:paraId="2F4A32B1" w14:textId="77777777" w:rsidR="00F47203" w:rsidRDefault="00F47203" w:rsidP="007C3391">
                                <w:pPr>
                                  <w:jc w:val="center"/>
                                  <w:rPr>
                                    <w:sz w:val="18"/>
                                    <w:szCs w:val="18"/>
                                  </w:rPr>
                                </w:pPr>
                              </w:p>
                            </w:txbxContent>
                          </wps:txbx>
                          <wps:bodyPr rot="0" vert="horz" wrap="square" lIns="91440" tIns="45720" rIns="91440" bIns="45720" anchor="ctr" anchorCtr="0" upright="1">
                            <a:noAutofit/>
                          </wps:bodyPr>
                        </wps:wsp>
                        <wps:wsp>
                          <wps:cNvPr id="29" name="Rectangle 308"/>
                          <wps:cNvSpPr>
                            <a:spLocks noChangeArrowheads="1"/>
                          </wps:cNvSpPr>
                          <wps:spPr bwMode="auto">
                            <a:xfrm>
                              <a:off x="35433" y="1707"/>
                              <a:ext cx="9715" cy="5143"/>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634BD70" w14:textId="67E4834B" w:rsidR="00F47203" w:rsidRDefault="00F47203" w:rsidP="007C3391">
                                <w:pPr>
                                  <w:jc w:val="center"/>
                                  <w:rPr>
                                    <w:rFonts w:ascii="Arial" w:hAnsi="Arial" w:cs="Arial"/>
                                    <w:sz w:val="18"/>
                                    <w:szCs w:val="18"/>
                                  </w:rPr>
                                </w:pPr>
                                <w:r>
                                  <w:rPr>
                                    <w:rFonts w:ascii="Arial" w:hAnsi="Arial" w:cs="Arial"/>
                                    <w:sz w:val="18"/>
                                    <w:szCs w:val="18"/>
                                  </w:rPr>
                                  <w:t>3.3. Group perceptions &amp; experience</w:t>
                                </w:r>
                              </w:p>
                            </w:txbxContent>
                          </wps:txbx>
                          <wps:bodyPr rot="0" vert="horz" wrap="square" lIns="91440" tIns="45720" rIns="91440" bIns="45720" anchor="ctr" anchorCtr="0" upright="1">
                            <a:noAutofit/>
                          </wps:bodyPr>
                        </wps:wsp>
                        <wps:wsp>
                          <wps:cNvPr id="30" name="Rectangle 309"/>
                          <wps:cNvSpPr>
                            <a:spLocks noChangeArrowheads="1"/>
                          </wps:cNvSpPr>
                          <wps:spPr bwMode="auto">
                            <a:xfrm>
                              <a:off x="15240" y="1524"/>
                              <a:ext cx="9715" cy="5142"/>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005431D5" w14:textId="77777777" w:rsidR="00F47203" w:rsidRDefault="00F47203" w:rsidP="007C3391">
                                <w:pPr>
                                  <w:jc w:val="center"/>
                                  <w:rPr>
                                    <w:rFonts w:ascii="Arial" w:hAnsi="Arial" w:cs="Arial"/>
                                    <w:sz w:val="18"/>
                                    <w:szCs w:val="18"/>
                                  </w:rPr>
                                </w:pPr>
                                <w:r>
                                  <w:rPr>
                                    <w:rFonts w:ascii="Arial" w:hAnsi="Arial" w:cs="Arial"/>
                                    <w:sz w:val="18"/>
                                    <w:szCs w:val="18"/>
                                  </w:rPr>
                                  <w:t>3.1. Learning and knowledge</w:t>
                                </w:r>
                              </w:p>
                              <w:p w14:paraId="39085813" w14:textId="77777777" w:rsidR="00F47203" w:rsidRDefault="00F47203" w:rsidP="007C3391">
                                <w:pPr>
                                  <w:jc w:val="center"/>
                                  <w:rPr>
                                    <w:sz w:val="18"/>
                                    <w:szCs w:val="18"/>
                                  </w:rPr>
                                </w:pPr>
                              </w:p>
                            </w:txbxContent>
                          </wps:txbx>
                          <wps:bodyPr rot="0" vert="horz" wrap="square" lIns="91440" tIns="45720" rIns="91440" bIns="45720" anchor="ctr" anchorCtr="0" upright="1">
                            <a:noAutofit/>
                          </wps:bodyPr>
                        </wps:wsp>
                        <wps:wsp>
                          <wps:cNvPr id="128" name="Straight Connector 36"/>
                          <wps:cNvCnPr>
                            <a:cxnSpLocks noChangeShapeType="1"/>
                          </wps:cNvCnPr>
                          <wps:spPr bwMode="auto">
                            <a:xfrm flipV="1">
                              <a:off x="24955" y="0"/>
                              <a:ext cx="4858" cy="4184"/>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9" name="Straight Connector 39"/>
                          <wps:cNvCnPr>
                            <a:cxnSpLocks noChangeShapeType="1"/>
                          </wps:cNvCnPr>
                          <wps:spPr bwMode="auto">
                            <a:xfrm flipH="1" flipV="1">
                              <a:off x="29813" y="190"/>
                              <a:ext cx="6096" cy="933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1" name="Rectangle 307"/>
                          <wps:cNvSpPr>
                            <a:spLocks noChangeArrowheads="1"/>
                          </wps:cNvSpPr>
                          <wps:spPr bwMode="auto">
                            <a:xfrm>
                              <a:off x="31337" y="9525"/>
                              <a:ext cx="9716" cy="5143"/>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4C90A084" w14:textId="6C5B27CF" w:rsidR="00F47203" w:rsidRDefault="00F47203" w:rsidP="007C3391">
                                <w:pPr>
                                  <w:jc w:val="center"/>
                                  <w:rPr>
                                    <w:rFonts w:ascii="Arial" w:hAnsi="Arial" w:cs="Arial"/>
                                    <w:sz w:val="18"/>
                                    <w:szCs w:val="18"/>
                                  </w:rPr>
                                </w:pPr>
                                <w:r>
                                  <w:rPr>
                                    <w:rFonts w:ascii="Arial" w:hAnsi="Arial" w:cs="Arial"/>
                                    <w:sz w:val="18"/>
                                    <w:szCs w:val="18"/>
                                  </w:rPr>
                                  <w:t>3.2. Instructor manner and delivery</w:t>
                                </w:r>
                              </w:p>
                            </w:txbxContent>
                          </wps:txbx>
                          <wps:bodyPr rot="0" vert="horz" wrap="square" lIns="91440" tIns="45720" rIns="91440" bIns="45720" anchor="ctr" anchorCtr="0" upright="1">
                            <a:noAutofit/>
                          </wps:bodyPr>
                        </wps:wsp>
                        <wps:wsp>
                          <wps:cNvPr id="133" name="Straight Connector 42"/>
                          <wps:cNvCnPr>
                            <a:cxnSpLocks noChangeShapeType="1"/>
                          </wps:cNvCnPr>
                          <wps:spPr bwMode="auto">
                            <a:xfrm flipH="1" flipV="1">
                              <a:off x="29813" y="0"/>
                              <a:ext cx="5620" cy="4184"/>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4" name="Straight Connector 48"/>
                          <wps:cNvCnPr>
                            <a:cxnSpLocks noChangeShapeType="1"/>
                            <a:stCxn id="15" idx="0"/>
                          </wps:cNvCnPr>
                          <wps:spPr bwMode="auto">
                            <a:xfrm flipV="1">
                              <a:off x="82534" y="189"/>
                              <a:ext cx="5191" cy="1524"/>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6" name="Straight Connector 50"/>
                          <wps:cNvCnPr>
                            <a:cxnSpLocks noChangeShapeType="1"/>
                          </wps:cNvCnPr>
                          <wps:spPr bwMode="auto">
                            <a:xfrm flipH="1" flipV="1">
                              <a:off x="87725" y="95"/>
                              <a:ext cx="5905" cy="1619"/>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137" name="Group 292"/>
                        <wpg:cNvGrpSpPr>
                          <a:grpSpLocks/>
                        </wpg:cNvGrpSpPr>
                        <wpg:grpSpPr bwMode="auto">
                          <a:xfrm>
                            <a:off x="0" y="0"/>
                            <a:ext cx="100640" cy="32480"/>
                            <a:chOff x="0" y="0"/>
                            <a:chExt cx="100640" cy="32480"/>
                          </a:xfrm>
                        </wpg:grpSpPr>
                        <wps:wsp>
                          <wps:cNvPr id="138" name="Oval 291"/>
                          <wps:cNvSpPr>
                            <a:spLocks noChangeArrowheads="1"/>
                          </wps:cNvSpPr>
                          <wps:spPr bwMode="auto">
                            <a:xfrm>
                              <a:off x="41052" y="0"/>
                              <a:ext cx="18098" cy="9715"/>
                            </a:xfrm>
                            <a:prstGeom prst="ellipse">
                              <a:avLst/>
                            </a:prstGeom>
                            <a:solidFill>
                              <a:schemeClr val="lt1">
                                <a:lumMod val="100000"/>
                                <a:lumOff val="0"/>
                              </a:schemeClr>
                            </a:solidFill>
                            <a:ln w="19050">
                              <a:solidFill>
                                <a:schemeClr val="tx1">
                                  <a:lumMod val="100000"/>
                                  <a:lumOff val="0"/>
                                </a:schemeClr>
                              </a:solidFill>
                              <a:miter lim="800000"/>
                              <a:headEnd/>
                              <a:tailEnd/>
                            </a:ln>
                          </wps:spPr>
                          <wps:txbx>
                            <w:txbxContent>
                              <w:p w14:paraId="12FDCA62" w14:textId="77777777" w:rsidR="00F47203" w:rsidRDefault="00F47203" w:rsidP="007C3391">
                                <w:pPr>
                                  <w:jc w:val="center"/>
                                  <w:rPr>
                                    <w:rFonts w:ascii="Arial" w:hAnsi="Arial" w:cs="Arial"/>
                                    <w:b/>
                                    <w:bCs/>
                                  </w:rPr>
                                </w:pPr>
                                <w:r>
                                  <w:rPr>
                                    <w:rFonts w:ascii="Arial" w:hAnsi="Arial" w:cs="Arial"/>
                                    <w:b/>
                                    <w:bCs/>
                                  </w:rPr>
                                  <w:t>Completion or Non-completion</w:t>
                                </w:r>
                              </w:p>
                            </w:txbxContent>
                          </wps:txbx>
                          <wps:bodyPr rot="0" vert="horz" wrap="square" lIns="91440" tIns="45720" rIns="91440" bIns="45720" anchor="ctr" anchorCtr="0" upright="1">
                            <a:noAutofit/>
                          </wps:bodyPr>
                        </wps:wsp>
                        <wps:wsp>
                          <wps:cNvPr id="139" name="Text Box 2"/>
                          <wps:cNvSpPr txBox="1">
                            <a:spLocks noChangeArrowheads="1"/>
                          </wps:cNvSpPr>
                          <wps:spPr bwMode="auto">
                            <a:xfrm>
                              <a:off x="58674" y="25717"/>
                              <a:ext cx="13290" cy="6763"/>
                            </a:xfrm>
                            <a:prstGeom prst="rect">
                              <a:avLst/>
                            </a:prstGeom>
                            <a:solidFill>
                              <a:srgbClr val="FFFFFF"/>
                            </a:solidFill>
                            <a:ln w="19050">
                              <a:solidFill>
                                <a:srgbClr val="000000"/>
                              </a:solidFill>
                              <a:miter lim="800000"/>
                              <a:headEnd/>
                              <a:tailEnd/>
                            </a:ln>
                          </wps:spPr>
                          <wps:txbx>
                            <w:txbxContent>
                              <w:p w14:paraId="2D49DEB4" w14:textId="77777777" w:rsidR="00F47203" w:rsidRDefault="00F47203" w:rsidP="007C3391">
                                <w:pPr>
                                  <w:jc w:val="center"/>
                                  <w:rPr>
                                    <w:rFonts w:ascii="Arial" w:hAnsi="Arial" w:cs="Arial"/>
                                    <w:vertAlign w:val="superscript"/>
                                  </w:rPr>
                                </w:pPr>
                                <w:r>
                                  <w:rPr>
                                    <w:rFonts w:ascii="Arial" w:hAnsi="Arial" w:cs="Arial"/>
                                  </w:rPr>
                                  <w:t>5.Influence from family</w:t>
                                </w:r>
                                <w:r>
                                  <w:rPr>
                                    <w:rFonts w:ascii="Arial" w:hAnsi="Arial" w:cs="Arial"/>
                                    <w:vertAlign w:val="superscript"/>
                                  </w:rPr>
                                  <w:t>1,2</w:t>
                                </w:r>
                                <w:r>
                                  <w:rPr>
                                    <w:rFonts w:ascii="Arial" w:hAnsi="Arial" w:cs="Arial"/>
                                  </w:rPr>
                                  <w:t>, friends &amp; others</w:t>
                                </w:r>
                                <w:r>
                                  <w:rPr>
                                    <w:rFonts w:ascii="Arial" w:hAnsi="Arial" w:cs="Arial"/>
                                    <w:vertAlign w:val="superscript"/>
                                  </w:rPr>
                                  <w:t xml:space="preserve">2 </w:t>
                                </w:r>
                              </w:p>
                              <w:p w14:paraId="05F175B6" w14:textId="77777777" w:rsidR="00F47203" w:rsidRDefault="00F47203" w:rsidP="007C3391">
                                <w:pPr>
                                  <w:jc w:val="center"/>
                                  <w:rPr>
                                    <w:rFonts w:ascii="Arial" w:hAnsi="Arial" w:cs="Arial"/>
                                  </w:rPr>
                                </w:pPr>
                              </w:p>
                            </w:txbxContent>
                          </wps:txbx>
                          <wps:bodyPr rot="0" vert="horz" wrap="square" lIns="91440" tIns="45720" rIns="91440" bIns="45720" anchor="ctr" anchorCtr="0" upright="1">
                            <a:noAutofit/>
                          </wps:bodyPr>
                        </wps:wsp>
                        <wps:wsp>
                          <wps:cNvPr id="140" name="Text Box 2"/>
                          <wps:cNvSpPr txBox="1">
                            <a:spLocks noChangeArrowheads="1"/>
                          </wps:cNvSpPr>
                          <wps:spPr bwMode="auto">
                            <a:xfrm>
                              <a:off x="14287" y="25527"/>
                              <a:ext cx="13297" cy="6762"/>
                            </a:xfrm>
                            <a:prstGeom prst="rect">
                              <a:avLst/>
                            </a:prstGeom>
                            <a:solidFill>
                              <a:srgbClr val="FFFFFF"/>
                            </a:solidFill>
                            <a:ln w="19050">
                              <a:solidFill>
                                <a:srgbClr val="000000"/>
                              </a:solidFill>
                              <a:miter lim="800000"/>
                              <a:headEnd/>
                              <a:tailEnd/>
                            </a:ln>
                          </wps:spPr>
                          <wps:txbx>
                            <w:txbxContent>
                              <w:p w14:paraId="1B3D8430" w14:textId="77777777" w:rsidR="00F47203" w:rsidRDefault="00F47203" w:rsidP="007C3391">
                                <w:pPr>
                                  <w:jc w:val="center"/>
                                  <w:rPr>
                                    <w:rFonts w:ascii="Arial" w:hAnsi="Arial" w:cs="Arial"/>
                                  </w:rPr>
                                </w:pPr>
                                <w:r w:rsidRPr="0011089C">
                                  <w:rPr>
                                    <w:rFonts w:ascii="Arial" w:hAnsi="Arial" w:cs="Arial"/>
                                    <w:highlight w:val="yellow"/>
                                  </w:rPr>
                                  <w:t>2.Illness threat</w:t>
                                </w:r>
                                <w:r>
                                  <w:rPr>
                                    <w:rFonts w:ascii="Arial" w:hAnsi="Arial" w:cs="Arial"/>
                                  </w:rPr>
                                  <w:t xml:space="preserve"> </w:t>
                                </w:r>
                              </w:p>
                              <w:p w14:paraId="2204DA57" w14:textId="77777777" w:rsidR="00F47203" w:rsidRDefault="00F47203" w:rsidP="007C3391">
                                <w:pPr>
                                  <w:jc w:val="center"/>
                                  <w:rPr>
                                    <w:rFonts w:ascii="Arial" w:hAnsi="Arial" w:cs="Arial"/>
                                  </w:rPr>
                                </w:pPr>
                              </w:p>
                            </w:txbxContent>
                          </wps:txbx>
                          <wps:bodyPr rot="0" vert="horz" wrap="square" lIns="91440" tIns="45720" rIns="91440" bIns="45720" anchor="ctr" anchorCtr="0" upright="1">
                            <a:noAutofit/>
                          </wps:bodyPr>
                        </wps:wsp>
                        <wps:wsp>
                          <wps:cNvPr id="141" name="Text Box 2"/>
                          <wps:cNvSpPr txBox="1">
                            <a:spLocks noChangeArrowheads="1"/>
                          </wps:cNvSpPr>
                          <wps:spPr bwMode="auto">
                            <a:xfrm>
                              <a:off x="87344" y="25527"/>
                              <a:ext cx="13296" cy="6762"/>
                            </a:xfrm>
                            <a:prstGeom prst="rect">
                              <a:avLst/>
                            </a:prstGeom>
                            <a:solidFill>
                              <a:srgbClr val="FFFFFF"/>
                            </a:solidFill>
                            <a:ln w="19050">
                              <a:solidFill>
                                <a:srgbClr val="000000"/>
                              </a:solidFill>
                              <a:miter lim="800000"/>
                              <a:headEnd/>
                              <a:tailEnd/>
                            </a:ln>
                          </wps:spPr>
                          <wps:txbx>
                            <w:txbxContent>
                              <w:p w14:paraId="2F38F839" w14:textId="77777777" w:rsidR="00F47203" w:rsidRDefault="00F47203" w:rsidP="007C3391">
                                <w:pPr>
                                  <w:jc w:val="center"/>
                                  <w:rPr>
                                    <w:rFonts w:ascii="Arial" w:hAnsi="Arial" w:cs="Arial"/>
                                  </w:rPr>
                                </w:pPr>
                                <w:r w:rsidRPr="0011089C">
                                  <w:rPr>
                                    <w:rFonts w:ascii="Arial" w:hAnsi="Arial" w:cs="Arial"/>
                                    <w:highlight w:val="yellow"/>
                                  </w:rPr>
                                  <w:t>7.Practicalities</w:t>
                                </w:r>
                                <w:r>
                                  <w:rPr>
                                    <w:rFonts w:ascii="Arial" w:hAnsi="Arial" w:cs="Arial"/>
                                  </w:rPr>
                                  <w:t xml:space="preserve"> </w:t>
                                </w:r>
                              </w:p>
                            </w:txbxContent>
                          </wps:txbx>
                          <wps:bodyPr rot="0" vert="horz" wrap="square" lIns="91440" tIns="45720" rIns="91440" bIns="45720" anchor="ctr" anchorCtr="0" upright="1">
                            <a:noAutofit/>
                          </wps:bodyPr>
                        </wps:wsp>
                        <wps:wsp>
                          <wps:cNvPr id="142" name="Text Box 2"/>
                          <wps:cNvSpPr txBox="1">
                            <a:spLocks noChangeArrowheads="1"/>
                          </wps:cNvSpPr>
                          <wps:spPr bwMode="auto">
                            <a:xfrm>
                              <a:off x="44100" y="25622"/>
                              <a:ext cx="13297" cy="6763"/>
                            </a:xfrm>
                            <a:prstGeom prst="rect">
                              <a:avLst/>
                            </a:prstGeom>
                            <a:solidFill>
                              <a:srgbClr val="FFFFFF"/>
                            </a:solidFill>
                            <a:ln w="19050">
                              <a:solidFill>
                                <a:srgbClr val="000000"/>
                              </a:solidFill>
                              <a:miter lim="800000"/>
                              <a:headEnd/>
                              <a:tailEnd/>
                            </a:ln>
                          </wps:spPr>
                          <wps:txbx>
                            <w:txbxContent>
                              <w:p w14:paraId="37977A86" w14:textId="77777777" w:rsidR="00F47203" w:rsidRDefault="00F47203" w:rsidP="007C3391">
                                <w:pPr>
                                  <w:jc w:val="center"/>
                                  <w:rPr>
                                    <w:rFonts w:ascii="Arial" w:hAnsi="Arial" w:cs="Arial"/>
                                  </w:rPr>
                                </w:pPr>
                                <w:r>
                                  <w:rPr>
                                    <w:rFonts w:ascii="Arial" w:hAnsi="Arial" w:cs="Arial"/>
                                  </w:rPr>
                                  <w:t>4.Communication</w:t>
                                </w:r>
                                <w:r>
                                  <w:rPr>
                                    <w:rFonts w:ascii="Arial" w:hAnsi="Arial" w:cs="Arial"/>
                                    <w:vertAlign w:val="superscript"/>
                                  </w:rPr>
                                  <w:t xml:space="preserve">2 </w:t>
                                </w:r>
                              </w:p>
                            </w:txbxContent>
                          </wps:txbx>
                          <wps:bodyPr rot="0" vert="horz" wrap="square" lIns="91440" tIns="45720" rIns="91440" bIns="45720" anchor="ctr" anchorCtr="0" upright="1">
                            <a:noAutofit/>
                          </wps:bodyPr>
                        </wps:wsp>
                        <wps:wsp>
                          <wps:cNvPr id="143" name="Text Box 2"/>
                          <wps:cNvSpPr txBox="1">
                            <a:spLocks noChangeArrowheads="1"/>
                          </wps:cNvSpPr>
                          <wps:spPr bwMode="auto">
                            <a:xfrm>
                              <a:off x="0" y="25527"/>
                              <a:ext cx="13296" cy="6762"/>
                            </a:xfrm>
                            <a:prstGeom prst="rect">
                              <a:avLst/>
                            </a:prstGeom>
                            <a:solidFill>
                              <a:srgbClr val="FFFFFF"/>
                            </a:solidFill>
                            <a:ln w="19050">
                              <a:solidFill>
                                <a:srgbClr val="000000"/>
                              </a:solidFill>
                              <a:miter lim="800000"/>
                              <a:headEnd/>
                              <a:tailEnd/>
                            </a:ln>
                          </wps:spPr>
                          <wps:txbx>
                            <w:txbxContent>
                              <w:p w14:paraId="49443C06" w14:textId="658397F1" w:rsidR="00F47203" w:rsidRDefault="00F47203" w:rsidP="007C3391">
                                <w:pPr>
                                  <w:rPr>
                                    <w:rFonts w:ascii="Arial" w:hAnsi="Arial" w:cs="Arial"/>
                                    <w:vertAlign w:val="superscript"/>
                                  </w:rPr>
                                </w:pPr>
                                <w:r>
                                  <w:rPr>
                                    <w:rFonts w:ascii="Arial" w:hAnsi="Arial" w:cs="Arial"/>
                                  </w:rPr>
                                  <w:t>1.</w:t>
                                </w:r>
                                <w:r w:rsidR="0011089C">
                                  <w:rPr>
                                    <w:rFonts w:ascii="Arial" w:hAnsi="Arial" w:cs="Arial"/>
                                  </w:rPr>
                                  <w:t xml:space="preserve"> </w:t>
                                </w:r>
                                <w:r>
                                  <w:rPr>
                                    <w:rFonts w:ascii="Arial" w:hAnsi="Arial" w:cs="Arial"/>
                                  </w:rPr>
                                  <w:t>Motivation</w:t>
                                </w:r>
                                <w:r>
                                  <w:rPr>
                                    <w:rFonts w:ascii="Arial" w:hAnsi="Arial" w:cs="Arial"/>
                                    <w:vertAlign w:val="superscript"/>
                                  </w:rPr>
                                  <w:t>1</w:t>
                                </w:r>
                              </w:p>
                              <w:p w14:paraId="59BF87BF" w14:textId="77777777" w:rsidR="00F47203" w:rsidRDefault="00F47203" w:rsidP="007C3391">
                                <w:pPr>
                                  <w:jc w:val="center"/>
                                  <w:rPr>
                                    <w:rFonts w:ascii="Arial" w:hAnsi="Arial" w:cs="Arial"/>
                                  </w:rPr>
                                </w:pPr>
                              </w:p>
                            </w:txbxContent>
                          </wps:txbx>
                          <wps:bodyPr rot="0" vert="horz" wrap="square" lIns="91440" tIns="45720" rIns="91440" bIns="45720" anchor="ctr" anchorCtr="0" upright="1">
                            <a:noAutofit/>
                          </wps:bodyPr>
                        </wps:wsp>
                        <wps:wsp>
                          <wps:cNvPr id="144" name="Text Box 2"/>
                          <wps:cNvSpPr txBox="1">
                            <a:spLocks noChangeArrowheads="1"/>
                          </wps:cNvSpPr>
                          <wps:spPr bwMode="auto">
                            <a:xfrm>
                              <a:off x="72961" y="25717"/>
                              <a:ext cx="13291" cy="6763"/>
                            </a:xfrm>
                            <a:prstGeom prst="rect">
                              <a:avLst/>
                            </a:prstGeom>
                            <a:solidFill>
                              <a:srgbClr val="FFFFFF"/>
                            </a:solidFill>
                            <a:ln w="19050">
                              <a:solidFill>
                                <a:srgbClr val="000000"/>
                              </a:solidFill>
                              <a:miter lim="800000"/>
                              <a:headEnd/>
                              <a:tailEnd/>
                            </a:ln>
                          </wps:spPr>
                          <wps:txbx>
                            <w:txbxContent>
                              <w:p w14:paraId="23C794DD" w14:textId="77777777" w:rsidR="00F47203" w:rsidRDefault="00F47203" w:rsidP="007C3391">
                                <w:pPr>
                                  <w:jc w:val="center"/>
                                  <w:rPr>
                                    <w:rFonts w:ascii="Arial" w:hAnsi="Arial" w:cs="Arial"/>
                                  </w:rPr>
                                </w:pPr>
                                <w:r w:rsidRPr="0011089C">
                                  <w:rPr>
                                    <w:rFonts w:ascii="Arial" w:hAnsi="Arial" w:cs="Arial"/>
                                    <w:highlight w:val="yellow"/>
                                  </w:rPr>
                                  <w:t>6.Lifestyle changes</w:t>
                                </w:r>
                                <w:r>
                                  <w:rPr>
                                    <w:rFonts w:ascii="Arial" w:hAnsi="Arial" w:cs="Arial"/>
                                  </w:rPr>
                                  <w:t xml:space="preserve">  </w:t>
                                </w:r>
                              </w:p>
                              <w:p w14:paraId="3AA69A08" w14:textId="77777777" w:rsidR="00F47203" w:rsidRDefault="00F47203" w:rsidP="007C3391">
                                <w:pPr>
                                  <w:jc w:val="center"/>
                                  <w:rPr>
                                    <w:rFonts w:ascii="Arial" w:hAnsi="Arial" w:cs="Arial"/>
                                  </w:rPr>
                                </w:pPr>
                              </w:p>
                            </w:txbxContent>
                          </wps:txbx>
                          <wps:bodyPr rot="0" vert="horz" wrap="square" lIns="91440" tIns="45720" rIns="91440" bIns="45720" anchor="ctr" anchorCtr="0" upright="1">
                            <a:noAutofit/>
                          </wps:bodyPr>
                        </wps:wsp>
                        <wps:wsp>
                          <wps:cNvPr id="145" name="Text Box 2"/>
                          <wps:cNvSpPr txBox="1">
                            <a:spLocks noChangeArrowheads="1"/>
                          </wps:cNvSpPr>
                          <wps:spPr bwMode="auto">
                            <a:xfrm>
                              <a:off x="29622" y="25527"/>
                              <a:ext cx="13291" cy="6761"/>
                            </a:xfrm>
                            <a:prstGeom prst="rect">
                              <a:avLst/>
                            </a:prstGeom>
                            <a:solidFill>
                              <a:srgbClr val="FFFFFF"/>
                            </a:solidFill>
                            <a:ln w="19050">
                              <a:solidFill>
                                <a:srgbClr val="000000"/>
                              </a:solidFill>
                              <a:miter lim="800000"/>
                              <a:headEnd/>
                              <a:tailEnd/>
                            </a:ln>
                          </wps:spPr>
                          <wps:txbx>
                            <w:txbxContent>
                              <w:p w14:paraId="24700424" w14:textId="77777777" w:rsidR="00F47203" w:rsidRDefault="00F47203" w:rsidP="007C3391">
                                <w:pPr>
                                  <w:jc w:val="center"/>
                                  <w:rPr>
                                    <w:rFonts w:ascii="Arial" w:hAnsi="Arial" w:cs="Arial"/>
                                  </w:rPr>
                                </w:pPr>
                                <w:r w:rsidRPr="0011089C">
                                  <w:rPr>
                                    <w:rFonts w:ascii="Arial" w:hAnsi="Arial" w:cs="Arial"/>
                                    <w:highlight w:val="yellow"/>
                                  </w:rPr>
                                  <w:t>3.Programme perceptions</w:t>
                                </w:r>
                                <w:r>
                                  <w:rPr>
                                    <w:rFonts w:ascii="Arial" w:hAnsi="Arial" w:cs="Arial"/>
                                  </w:rPr>
                                  <w:t xml:space="preserve"> </w:t>
                                </w:r>
                              </w:p>
                            </w:txbxContent>
                          </wps:txbx>
                          <wps:bodyPr rot="0" vert="horz" wrap="square" lIns="91440" tIns="45720" rIns="91440" bIns="45720" anchor="ctr" anchorCtr="0" upright="1">
                            <a:noAutofit/>
                          </wps:bodyPr>
                        </wps:wsp>
                        <wps:wsp>
                          <wps:cNvPr id="146" name="Straight Connector 52"/>
                          <wps:cNvCnPr>
                            <a:cxnSpLocks noChangeShapeType="1"/>
                          </wps:cNvCnPr>
                          <wps:spPr bwMode="auto">
                            <a:xfrm flipH="1" flipV="1">
                              <a:off x="50387" y="9715"/>
                              <a:ext cx="14573" cy="15812"/>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 name="Straight Connector 53"/>
                          <wps:cNvCnPr>
                            <a:cxnSpLocks noChangeShapeType="1"/>
                          </wps:cNvCnPr>
                          <wps:spPr bwMode="auto">
                            <a:xfrm flipH="1" flipV="1">
                              <a:off x="50292" y="9715"/>
                              <a:ext cx="43719" cy="15812"/>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8" name="Straight Connector 260"/>
                          <wps:cNvCnPr>
                            <a:cxnSpLocks noChangeShapeType="1"/>
                          </wps:cNvCnPr>
                          <wps:spPr bwMode="auto">
                            <a:xfrm flipV="1">
                              <a:off x="6286" y="9715"/>
                              <a:ext cx="44101" cy="15812"/>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9" name="Straight Connector 265"/>
                          <wps:cNvCnPr>
                            <a:cxnSpLocks noChangeShapeType="1"/>
                          </wps:cNvCnPr>
                          <wps:spPr bwMode="auto">
                            <a:xfrm flipV="1">
                              <a:off x="21240" y="9715"/>
                              <a:ext cx="29052" cy="15812"/>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0" name="Straight Connector 271"/>
                          <wps:cNvCnPr>
                            <a:cxnSpLocks noChangeShapeType="1"/>
                          </wps:cNvCnPr>
                          <wps:spPr bwMode="auto">
                            <a:xfrm flipV="1">
                              <a:off x="36004" y="9715"/>
                              <a:ext cx="14383" cy="15812"/>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1" name="Straight Connector 277"/>
                          <wps:cNvCnPr>
                            <a:cxnSpLocks noChangeShapeType="1"/>
                          </wps:cNvCnPr>
                          <wps:spPr bwMode="auto">
                            <a:xfrm flipV="1">
                              <a:off x="50292" y="9715"/>
                              <a:ext cx="0" cy="16092"/>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2" name="Straight Connector 28"/>
                          <wps:cNvCnPr>
                            <a:cxnSpLocks noChangeShapeType="1"/>
                          </wps:cNvCnPr>
                          <wps:spPr bwMode="auto">
                            <a:xfrm flipH="1" flipV="1">
                              <a:off x="50292" y="9715"/>
                              <a:ext cx="28384" cy="15812"/>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FBAF239" id="Group 295" o:spid="_x0000_s1064" style="position:absolute;left:0;text-align:left;margin-left:-60.6pt;margin-top:21.8pt;width:818.25pt;height:369.7pt;z-index:251686912;mso-width-relative:margin;mso-height-relative:margin" coordsize="103917,4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IkwcAADBHAAAOAAAAZHJzL2Uyb0RvYy54bWzsXFuTmzYUfu9M/wPDe2Mk7p54M+nm0s6k&#10;TaZJ+85ibDPBiAp27c2v7zmSENiLvZPErJ2p9mHHgBHS0XfO+c4FP3+xXRfWXcbrnJUzmzxzbCsr&#10;UzbPy+XM/vvTm18i26qbpJwnBSuzmX2f1faLq59/er6pphllK1bMM27BIGU93VQze9U01XQyqdNV&#10;tk7qZ6zKSri4YHydNHDIl5M5TzYw+rqYUMcJJhvG5xVnaVbXcPaVvGhfifEXiyxt3i8WddZYxcyG&#10;uTXiPxf/b/D/5Op5Ml3ypFrlqZpG8g2zWCd5CQ/VQ71KmsS65fmDodZ5ylnNFs2zlK0nbLHI00ys&#10;AVZDnL3VvOXsthJrWU43y0qLCUS7J6dvHjb98+4trz5WH7icPXx8x9LPNchlsqmW0/51PF7KL1s3&#10;mz/YHPYzuW2YWPh2wdc4BCzJ2gr53mv5ZtvGSuEkcdyYhKFvWylc9ILY9x21BekK9unBjenq9c6t&#10;3Y0R7twkmcrHiqmqqeHWq3nKj7CED9zK5/B8z7bKZA3TFpK1aOziMPvrxF08lRwo8WlgW7Bcl9Io&#10;lnhr5RFRkIdcE/GCQF3VooBbPcBsJ8dOHHt3HpcGaFbdgaf+PvB8XCVVJjBZIzhaycKeSsn+BSqX&#10;lMsis1zHk9IVX2whVkt8WSW7XsH3specs80qS+YwLyI2dVP1bsCDGtD5KODCyIukoElIxLYmUy1n&#10;J4ZLiLkgDHZllUwrXjdvM7a28MPM5jB/Aejk7l3dSJC1X0F816zI52/yohAHaKay64JbdwkYmKIh&#10;4tbidg3aIc8RB//kvsN5RLn4rjgFABaWDocQcN4ZvSitDQiFhnD/Y49utid99DpvwCwX+XpmR70F&#10;4D69LucglWTaJHkhP8MqilLYC7lXqFH1tNnebKXWBS0Mbtj8HraSM2mGwW3AhxXjX2xrAyZ4Ztf/&#10;3iY8s63i9xLgEBMP8d+IA88PKRzw/pWb/pWkTGGomZ023LbkwXUjLf1txfPlCp4lZVSyl2C1FrnY&#10;XZyqnJdaAeiKXMD4ShMOKY2WFmjX2EoTRWHoCgsDSiO0tac0kQ++G5XGd11xTZtbozSD+npSpQmN&#10;0gx6GhoPKY0w6juOAyzrSJ7G9T23VRpHbFOnNHFIFLvxiSe8kFGa407upEqjYWA8jSRRip654Dkf&#10;0jPBN59IaToui58kHWrp2Y7SULxmlOYJlUbDwCjNjtIQCvxHas3HhifIIK1rVpYQIDBuuX2edl3K&#10;+Dndlip+1vGNiJc+3VcQdO6EN/IW1L7D4Y21KPLqn5a2qsiaehA296PCVo08Tdg8Ej1C2Iq8xCAu&#10;mR6IckqGIY7g+TIKiX3qPxqEzD9fWhAiIY0WBSX9hNS+oylD2NEqBxx/TOz8htgZRlEcQZSMuQUS&#10;q+i0xVGgo+XYdf3j5tjgSCflxsmruLB/Dz23Dg6eIEZ0ietCoApIETZA2IQWKuC5VWLF0F2RYJbc&#10;5UhO55R0F/Ih8Dw0bMZz73pujM8Oem5PUEzFe89tffdsrx9gkktkx40Ph5RoB+4z+HDIeh1BkY41&#10;v86HQ16iud6WMjMKPC6fi2pJuzw9GK78K5lhRH2cMvr0/UqDT3ShQYVfh0Ms49PH9ungMw9aJ18b&#10;dQ2FZDpGXHGYG0JSGMi+9Pi7kbofOyq9RQIiSKyB0UCI0ZUj0YIdKkYiq5IwaKuRyjHtVl1PWY0E&#10;3wLWYc/nQIUqwDoLeh2XepG6rMuQOzd1JcjB2zQcOhFgZIzGbPxyiqvj9fdQYoPqrgi4laMfu5Ti&#10;Eceng+KNnFgVUkSiS1LEtlzelhZV9TErIOKvj4bmOyVCzTTHLECC0v/QBUiqcWB48h5P1sWUTxjS&#10;/cq2Vp8co85YzRZOtzmosWoqfhSEkrpQPyR7RRXiUshRtPX7k1ZV+PJGV+/fiD+V79jRMlWIP6AH&#10;/TFErVwYUEzg9lsFThr46U0ygN4FNPox6VPPDGji0UhmTajv0wFAw0XVkCI2UzvO76yt98H4AwFa&#10;9WGZTIagSsD8VeGOeDr/d2ZAR6HrtRZ6ENBdh5UBtC1LnF32wvQ8aUADSb4IC+0BY5ehDYWsm8Bs&#10;18eBlKOz0IZy2JAQMLnmwc5XaPO5DEC3YDbWGftHjnWkQke2AfMwmHXK+8x0I6RxANQHUlIHAkK4&#10;qPizsc62DDAM3YAOFZXu03QD8tUXQTcAz0AyJKAHLXQHaNkn1L7b8v8MCHV1zWQ49jIcR4tHOjF0&#10;tuKR77gq8dFmu3usGl7iALaEdpv4EXkkTjR1yJHrkJ4uQA30qPk6JXNGKNFYmsyHUPLcEAqQBkro&#10;7rBN4MytEp4uvQ1AiQZPVdPe75UNqHoncABAEP4rl2ts0QUASFeiBgGksw8jG6N9AFHSvoL7EEFQ&#10;lMKKr/Fml2GCoEatmP4QgkJdA35iBLmBA+9Bi2YafDcM8g59PuRGhg/J3vwLcGI++AMZKw4iqN90&#10;PWbb6L4N8p3DNAgwL+wP9OwbNi1i/4F2LORI43cfoS84jB4dz45sfg539R2DEY1ceGPIuLJH2XTX&#10;1iZeKRI/yyJeV1Q/IYO/+9I/Ft/qfujm6j8AAAD//wMAUEsDBBQABgAIAAAAIQDZYiTU4gAAAAwB&#10;AAAPAAAAZHJzL2Rvd25yZXYueG1sTI/BasMwEETvhf6D2EJviSy7ToNrOYTQ9hQKTQoht421sU0s&#10;yViK7fx9lVN7XOYx8zZfTbplA/WusUaCmEfAyJRWNaaS8LP/mC2BOY9GYWsNSbiRg1Xx+JBjpuxo&#10;vmnY+YqFEuMylFB732Wcu7ImjW5uOzIhO9teow9nX3HV4xjKdcvjKFpwjY0JCzV2tKmpvOyuWsLn&#10;iOM6Ee/D9nLe3I779OuwFSTl89O0fgPmafJ/MNz1gzoUwelkr0Y51kqYiVjEgZXwkiyA3YlUpAmw&#10;k4TXZRIBL3L+/4niFwAA//8DAFBLAQItABQABgAIAAAAIQC2gziS/gAAAOEBAAATAAAAAAAAAAAA&#10;AAAAAAAAAABbQ29udGVudF9UeXBlc10ueG1sUEsBAi0AFAAGAAgAAAAhADj9If/WAAAAlAEAAAsA&#10;AAAAAAAAAAAAAAAALwEAAF9yZWxzLy5yZWxzUEsBAi0AFAAGAAgAAAAhABaRl8iTBwAAMEcAAA4A&#10;AAAAAAAAAAAAAAAALgIAAGRycy9lMm9Eb2MueG1sUEsBAi0AFAAGAAgAAAAhANliJNTiAAAADAEA&#10;AA8AAAAAAAAAAAAAAAAA7QkAAGRycy9kb3ducmV2LnhtbFBLBQYAAAAABAAEAPMAAAD8CgAAAAA=&#10;">
                <v:group id="Group 293" o:spid="_x0000_s1065" style="position:absolute;left:21526;top:32289;width:82391;height:14669" coordorigin="15240" coordsize="82391,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304" o:spid="_x0000_s1066" style="position:absolute;left:78486;top:1713;width:8096;height:6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6svwAAANsAAAAPAAAAZHJzL2Rvd25yZXYueG1sRE/NagIx&#10;EL4XfIcwgreatVC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BsiT6svwAAANsAAAAPAAAAAAAA&#10;AAAAAAAAAAcCAABkcnMvZG93bnJldi54bWxQSwUGAAAAAAMAAwC3AAAA8wIAAAAA&#10;" fillcolor="white [3201]" strokecolor="black [3213]" strokeweight="1pt">
                    <v:textbox>
                      <w:txbxContent>
                        <w:p w14:paraId="61EB26AF" w14:textId="6001E6C1" w:rsidR="00F47203" w:rsidRDefault="00F47203" w:rsidP="007C3391">
                          <w:pPr>
                            <w:jc w:val="center"/>
                            <w:rPr>
                              <w:rFonts w:ascii="Arial" w:hAnsi="Arial" w:cs="Arial"/>
                              <w:sz w:val="18"/>
                              <w:szCs w:val="18"/>
                            </w:rPr>
                          </w:pPr>
                          <w:r>
                            <w:rPr>
                              <w:rFonts w:ascii="Arial" w:hAnsi="Arial" w:cs="Arial"/>
                              <w:sz w:val="18"/>
                              <w:szCs w:val="18"/>
                            </w:rPr>
                            <w:t>7.1. Time and work-related issues</w:t>
                          </w:r>
                          <w:r>
                            <w:rPr>
                              <w:rFonts w:ascii="Arial" w:hAnsi="Arial" w:cs="Arial"/>
                              <w:sz w:val="18"/>
                              <w:szCs w:val="18"/>
                              <w:vertAlign w:val="superscript"/>
                            </w:rPr>
                            <w:t>2</w:t>
                          </w:r>
                        </w:p>
                      </w:txbxContent>
                    </v:textbox>
                  </v:rect>
                  <v:rect id="Rectangle 306" o:spid="_x0000_s1067" style="position:absolute;left:88773;top:1714;width:88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VAvwAAANsAAAAPAAAAZHJzL2Rvd25yZXYueG1sRE/NagIx&#10;EL4XfIcwgreatYcqq1FEKkgPFVcfYNiMm8XNJCZR17c3hUJv8/H9zmLV207cKcTWsYLJuABBXDvd&#10;cqPgdNy+z0DEhKyxc0wKnhRhtRy8LbDU7sEHulepETmEY4kKTEq+lDLWhizGsfPEmTu7YDFlGBqp&#10;Az5yuO3kR1F8Sost5waDnjaG6kt1swp8WPu9+TLHbf8Tdt/NrWrN9anUaNiv5yAS9elf/Ofe6Tx/&#10;Cr+/5APk8gUAAP//AwBQSwECLQAUAAYACAAAACEA2+H2y+4AAACFAQAAEwAAAAAAAAAAAAAAAAAA&#10;AAAAW0NvbnRlbnRfVHlwZXNdLnhtbFBLAQItABQABgAIAAAAIQBa9CxbvwAAABUBAAALAAAAAAAA&#10;AAAAAAAAAB8BAABfcmVscy8ucmVsc1BLAQItABQABgAIAAAAIQDzFwVAvwAAANsAAAAPAAAAAAAA&#10;AAAAAAAAAAcCAABkcnMvZG93bnJldi54bWxQSwUGAAAAAAMAAwC3AAAA8wIAAAAA&#10;" fillcolor="white [3201]" strokecolor="black [3213]" strokeweight="1pt">
                    <v:textbox>
                      <w:txbxContent>
                        <w:p w14:paraId="07F07877" w14:textId="4F4F106C" w:rsidR="00F47203" w:rsidRDefault="00F47203" w:rsidP="007C3391">
                          <w:pPr>
                            <w:jc w:val="center"/>
                            <w:rPr>
                              <w:rFonts w:ascii="Arial" w:hAnsi="Arial" w:cs="Arial"/>
                              <w:sz w:val="18"/>
                              <w:szCs w:val="18"/>
                            </w:rPr>
                          </w:pPr>
                          <w:r>
                            <w:rPr>
                              <w:rFonts w:ascii="Arial" w:hAnsi="Arial" w:cs="Arial"/>
                              <w:sz w:val="18"/>
                              <w:szCs w:val="18"/>
                            </w:rPr>
                            <w:t>7.</w:t>
                          </w:r>
                          <w:r w:rsidR="0011089C">
                            <w:rPr>
                              <w:rFonts w:ascii="Arial" w:hAnsi="Arial" w:cs="Arial"/>
                              <w:sz w:val="18"/>
                              <w:szCs w:val="18"/>
                            </w:rPr>
                            <w:t>2</w:t>
                          </w:r>
                          <w:r>
                            <w:rPr>
                              <w:rFonts w:ascii="Arial" w:hAnsi="Arial" w:cs="Arial"/>
                              <w:sz w:val="18"/>
                              <w:szCs w:val="18"/>
                            </w:rPr>
                            <w:t>. Venue and practicalities</w:t>
                          </w:r>
                        </w:p>
                        <w:p w14:paraId="2F4A32B1" w14:textId="77777777" w:rsidR="00F47203" w:rsidRDefault="00F47203" w:rsidP="007C3391">
                          <w:pPr>
                            <w:jc w:val="center"/>
                            <w:rPr>
                              <w:sz w:val="18"/>
                              <w:szCs w:val="18"/>
                            </w:rPr>
                          </w:pPr>
                        </w:p>
                      </w:txbxContent>
                    </v:textbox>
                  </v:rect>
                  <v:rect id="Rectangle 308" o:spid="_x0000_s1068" style="position:absolute;left:35433;top:1707;width:971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4UwwAAANsAAAAPAAAAZHJzL2Rvd25yZXYueG1sRI/BasMw&#10;EETvgf6D2EJviZwcQutGNiEkEHJoqd0PWKytZWqtFElJnL+vCoUeh5l5w2zqyY7iSiEOjhUsFwUI&#10;4s7pgXsFn+1h/gwiJmSNo2NScKcIdfUw22Cp3Y0/6NqkXmQIxxIVmJR8KWXsDFmMC+eJs/flgsWU&#10;ZeilDnjLcDvKVVGspcWB84JBTztD3XdzsQp82Pp3szftYXoLx1N/aQZzviv19DhtX0EkmtJ/+K99&#10;1ApWL/D7Jf8AWf0AAAD//wMAUEsBAi0AFAAGAAgAAAAhANvh9svuAAAAhQEAABMAAAAAAAAAAAAA&#10;AAAAAAAAAFtDb250ZW50X1R5cGVzXS54bWxQSwECLQAUAAYACAAAACEAWvQsW78AAAAVAQAACwAA&#10;AAAAAAAAAAAAAAAfAQAAX3JlbHMvLnJlbHNQSwECLQAUAAYACAAAACEAI6j+FMMAAADbAAAADwAA&#10;AAAAAAAAAAAAAAAHAgAAZHJzL2Rvd25yZXYueG1sUEsFBgAAAAADAAMAtwAAAPcCAAAAAA==&#10;" fillcolor="white [3201]" strokecolor="black [3213]" strokeweight="1pt">
                    <v:textbox>
                      <w:txbxContent>
                        <w:p w14:paraId="1634BD70" w14:textId="67E4834B" w:rsidR="00F47203" w:rsidRDefault="00F47203" w:rsidP="007C3391">
                          <w:pPr>
                            <w:jc w:val="center"/>
                            <w:rPr>
                              <w:rFonts w:ascii="Arial" w:hAnsi="Arial" w:cs="Arial"/>
                              <w:sz w:val="18"/>
                              <w:szCs w:val="18"/>
                            </w:rPr>
                          </w:pPr>
                          <w:r>
                            <w:rPr>
                              <w:rFonts w:ascii="Arial" w:hAnsi="Arial" w:cs="Arial"/>
                              <w:sz w:val="18"/>
                              <w:szCs w:val="18"/>
                            </w:rPr>
                            <w:t>3.3. Group perceptions &amp; experience</w:t>
                          </w:r>
                        </w:p>
                      </w:txbxContent>
                    </v:textbox>
                  </v:rect>
                  <v:rect id="Rectangle 309" o:spid="_x0000_s1069" style="position:absolute;left:15240;top:1524;width:9715;height:5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FUwAAAANsAAAAPAAAAZHJzL2Rvd25yZXYueG1sRE/dasIw&#10;FL4f+A7hCN7NdBPG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N0vBVMAAAADbAAAADwAAAAAA&#10;AAAAAAAAAAAHAgAAZHJzL2Rvd25yZXYueG1sUEsFBgAAAAADAAMAtwAAAPQCAAAAAA==&#10;" fillcolor="white [3201]" strokecolor="black [3213]" strokeweight="1pt">
                    <v:textbox>
                      <w:txbxContent>
                        <w:p w14:paraId="005431D5" w14:textId="77777777" w:rsidR="00F47203" w:rsidRDefault="00F47203" w:rsidP="007C3391">
                          <w:pPr>
                            <w:jc w:val="center"/>
                            <w:rPr>
                              <w:rFonts w:ascii="Arial" w:hAnsi="Arial" w:cs="Arial"/>
                              <w:sz w:val="18"/>
                              <w:szCs w:val="18"/>
                            </w:rPr>
                          </w:pPr>
                          <w:r>
                            <w:rPr>
                              <w:rFonts w:ascii="Arial" w:hAnsi="Arial" w:cs="Arial"/>
                              <w:sz w:val="18"/>
                              <w:szCs w:val="18"/>
                            </w:rPr>
                            <w:t>3.1. Learning and knowledge</w:t>
                          </w:r>
                        </w:p>
                        <w:p w14:paraId="39085813" w14:textId="77777777" w:rsidR="00F47203" w:rsidRDefault="00F47203" w:rsidP="007C3391">
                          <w:pPr>
                            <w:jc w:val="center"/>
                            <w:rPr>
                              <w:sz w:val="18"/>
                              <w:szCs w:val="18"/>
                            </w:rPr>
                          </w:pPr>
                        </w:p>
                      </w:txbxContent>
                    </v:textbox>
                  </v:rect>
                  <v:line id="Straight Connector 36" o:spid="_x0000_s1070" style="position:absolute;flip:y;visibility:visible;mso-wrap-style:square" from="24955,0" to="29813,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8nxgAAANwAAAAPAAAAZHJzL2Rvd25yZXYueG1sRI9Pa8Mw&#10;DMXvg30Ho0Evo3Wawhhp3ZL9g50G60bpUcRqkjaWU9tNs28/HQa7Sbyn935abUbXqYFCbD0bmM8y&#10;UMSVty3XBr6/3qaPoGJCtth5JgM/FGGzvr1ZYWH9lT9p2KZaSQjHAg00KfWF1rFqyGGc+Z5YtIMP&#10;DpOsodY24FXCXafzLHvQDluWhgZ7em6oOm0vzkBbhvJ42A1P+cd5YRf7l3TPr9aYyd1YLkElGtO/&#10;+e/63Qp+LrTyjEyg178AAAD//wMAUEsBAi0AFAAGAAgAAAAhANvh9svuAAAAhQEAABMAAAAAAAAA&#10;AAAAAAAAAAAAAFtDb250ZW50X1R5cGVzXS54bWxQSwECLQAUAAYACAAAACEAWvQsW78AAAAVAQAA&#10;CwAAAAAAAAAAAAAAAAAfAQAAX3JlbHMvLnJlbHNQSwECLQAUAAYACAAAACEAqMWvJ8YAAADcAAAA&#10;DwAAAAAAAAAAAAAAAAAHAgAAZHJzL2Rvd25yZXYueG1sUEsFBgAAAAADAAMAtwAAAPoCAAAAAA==&#10;" strokecolor="black [3200]">
                    <v:stroke joinstyle="miter"/>
                  </v:line>
                  <v:line id="Straight Connector 39" o:spid="_x0000_s1071" style="position:absolute;flip:x y;visibility:visible;mso-wrap-style:square" from="29813,190" to="3590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7ZvwAAANwAAAAPAAAAZHJzL2Rvd25yZXYueG1sRE9Ni8Iw&#10;EL0v+B/CCN7W1B50W40iguJxdfU+NLNN12ZSmlirv34jCN7m8T5nseptLTpqfeVYwWScgCAunK64&#10;VHD62X5+gfABWWPtmBTcycNqOfhYYK7djQ/UHUMpYgj7HBWYEJpcSl8YsujHriGO3K9rLYYI21Lq&#10;Fm8x3NYyTZKptFhxbDDY0MZQcTlerYLscf/rs/oy+96dUzLbaeBDlyk1GvbrOYhAfXiLX+69jvPT&#10;DJ7PxAvk8h8AAP//AwBQSwECLQAUAAYACAAAACEA2+H2y+4AAACFAQAAEwAAAAAAAAAAAAAAAAAA&#10;AAAAW0NvbnRlbnRfVHlwZXNdLnhtbFBLAQItABQABgAIAAAAIQBa9CxbvwAAABUBAAALAAAAAAAA&#10;AAAAAAAAAB8BAABfcmVscy8ucmVsc1BLAQItABQABgAIAAAAIQBsHU7ZvwAAANwAAAAPAAAAAAAA&#10;AAAAAAAAAAcCAABkcnMvZG93bnJldi54bWxQSwUGAAAAAAMAAwC3AAAA8wIAAAAA&#10;" strokecolor="black [3200]">
                    <v:stroke joinstyle="miter"/>
                  </v:line>
                  <v:rect id="Rectangle 307" o:spid="_x0000_s1072" style="position:absolute;left:31337;top:9525;width:9716;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P9wQAAANwAAAAPAAAAZHJzL2Rvd25yZXYueG1sRE/NagIx&#10;EL4X+g5hBG81q0Ipq1FEFMSDpbs+wLCZbpZuJmkSdX17IxR6m4/vd5brwfbiSiF2jhVMJwUI4sbp&#10;jlsF53r/9gEiJmSNvWNScKcI69XryxJL7W78RdcqtSKHcCxRgUnJl1LGxpDFOHGeOHPfLlhMGYZW&#10;6oC3HG57OSuKd2mx49xg0NPWUPNTXawCHzb+0+xMvR9O4XBsL1Vnfu9KjUfDZgEi0ZD+xX/ug87z&#10;51N4PpMvkKsHAAAA//8DAFBLAQItABQABgAIAAAAIQDb4fbL7gAAAIUBAAATAAAAAAAAAAAAAAAA&#10;AAAAAABbQ29udGVudF9UeXBlc10ueG1sUEsBAi0AFAAGAAgAAAAhAFr0LFu/AAAAFQEAAAsAAAAA&#10;AAAAAAAAAAAAHwEAAF9yZWxzLy5yZWxzUEsBAi0AFAAGAAgAAAAhAPsY0/3BAAAA3AAAAA8AAAAA&#10;AAAAAAAAAAAABwIAAGRycy9kb3ducmV2LnhtbFBLBQYAAAAAAwADALcAAAD1AgAAAAA=&#10;" fillcolor="white [3201]" strokecolor="black [3213]" strokeweight="1pt">
                    <v:textbox>
                      <w:txbxContent>
                        <w:p w14:paraId="4C90A084" w14:textId="6C5B27CF" w:rsidR="00F47203" w:rsidRDefault="00F47203" w:rsidP="007C3391">
                          <w:pPr>
                            <w:jc w:val="center"/>
                            <w:rPr>
                              <w:rFonts w:ascii="Arial" w:hAnsi="Arial" w:cs="Arial"/>
                              <w:sz w:val="18"/>
                              <w:szCs w:val="18"/>
                            </w:rPr>
                          </w:pPr>
                          <w:r>
                            <w:rPr>
                              <w:rFonts w:ascii="Arial" w:hAnsi="Arial" w:cs="Arial"/>
                              <w:sz w:val="18"/>
                              <w:szCs w:val="18"/>
                            </w:rPr>
                            <w:t>3.2. Instructor manner and delivery</w:t>
                          </w:r>
                        </w:p>
                      </w:txbxContent>
                    </v:textbox>
                  </v:rect>
                  <v:line id="Straight Connector 42" o:spid="_x0000_s1073" style="position:absolute;flip:x y;visibility:visible;mso-wrap-style:square" from="29813,0" to="35433,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uwAAAANwAAAAPAAAAZHJzL2Rvd25yZXYueG1sRE9Li8Iw&#10;EL4L+x/CLHjTdBV0W42yCMoefaz3oRmbajMpTax1f70RBG/z8T1nvuxsJVpqfOlYwdcwAUGcO11y&#10;oeDvsB58g/ABWWPlmBTcycNy8dGbY6bdjXfU7kMhYgj7DBWYEOpMSp8bsuiHriaO3Mk1FkOETSF1&#10;g7cYbis5SpKJtFhybDBY08pQftlfrYL0/37u0uoy3W6OIzLrSeBdmyrV/+x+ZiACdeEtfrl/dZw/&#10;HsPzmXiBXDwAAAD//wMAUEsBAi0AFAAGAAgAAAAhANvh9svuAAAAhQEAABMAAAAAAAAAAAAAAAAA&#10;AAAAAFtDb250ZW50X1R5cGVzXS54bWxQSwECLQAUAAYACAAAACEAWvQsW78AAAAVAQAACwAAAAAA&#10;AAAAAAAAAAAfAQAAX3JlbHMvLnJlbHNQSwECLQAUAAYACAAAACEAiCzv7sAAAADcAAAADwAAAAAA&#10;AAAAAAAAAAAHAgAAZHJzL2Rvd25yZXYueG1sUEsFBgAAAAADAAMAtwAAAPQCAAAAAA==&#10;" strokecolor="black [3200]">
                    <v:stroke joinstyle="miter"/>
                  </v:line>
                  <v:line id="Straight Connector 48" o:spid="_x0000_s1074" style="position:absolute;flip:y;visibility:visible;mso-wrap-style:square" from="82534,189" to="87725,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P/wwAAANwAAAAPAAAAZHJzL2Rvd25yZXYueG1sRE9Na8JA&#10;EL0L/odlhF5EN5oiJXWV2FboqaAW6XHIjkk0O5vubmP8991Cwds83ucs171pREfO15YVzKYJCOLC&#10;6ppLBZ+H7eQJhA/IGhvLpOBGHtar4WCJmbZX3lG3D6WIIewzVFCF0GZS+qIig35qW+LInawzGCJ0&#10;pdQOrzHcNHKeJAtpsObYUGFLLxUVl/2PUVDnLj+fjt1m/vGd6vTrNYz5TSv1MOrzZxCB+nAX/7vf&#10;dZyfPsLfM/ECufoFAAD//wMAUEsBAi0AFAAGAAgAAAAhANvh9svuAAAAhQEAABMAAAAAAAAAAAAA&#10;AAAAAAAAAFtDb250ZW50X1R5cGVzXS54bWxQSwECLQAUAAYACAAAACEAWvQsW78AAAAVAQAACwAA&#10;AAAAAAAAAAAAAAAfAQAAX3JlbHMvLnJlbHNQSwECLQAUAAYACAAAACEArFEz/8MAAADcAAAADwAA&#10;AAAAAAAAAAAAAAAHAgAAZHJzL2Rvd25yZXYueG1sUEsFBgAAAAADAAMAtwAAAPcCAAAAAA==&#10;" strokecolor="black [3200]">
                    <v:stroke joinstyle="miter"/>
                  </v:line>
                  <v:line id="Straight Connector 50" o:spid="_x0000_s1075" style="position:absolute;flip:x y;visibility:visible;mso-wrap-style:square" from="87725,95" to="93630,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x2wQAAANwAAAAPAAAAZHJzL2Rvd25yZXYueG1sRE9La8JA&#10;EL4L/Q/LFLyZTRVik7pKKSg9+up9yE6zqdnZkF1j7K93BcHbfHzPWawG24ieOl87VvCWpCCIS6dr&#10;rhQcD+vJOwgfkDU2jknBlTysli+jBRbaXXhH/T5UIoawL1CBCaEtpPSlIYs+cS1x5H5dZzFE2FVS&#10;d3iJ4baR0zTNpMWaY4PBlr4Mlaf92SrI/69/Q96c5tvNz5TMOgu863Olxq/D5weIQEN4ih/ubx3n&#10;zzK4PxMvkMsbAAAA//8DAFBLAQItABQABgAIAAAAIQDb4fbL7gAAAIUBAAATAAAAAAAAAAAAAAAA&#10;AAAAAABbQ29udGVudF9UeXBlc10ueG1sUEsBAi0AFAAGAAgAAAAhAFr0LFu/AAAAFQEAAAsAAAAA&#10;AAAAAAAAAAAAHwEAAF9yZWxzLy5yZWxzUEsBAi0AFAAGAAgAAAAhAJhbTHbBAAAA3AAAAA8AAAAA&#10;AAAAAAAAAAAABwIAAGRycy9kb3ducmV2LnhtbFBLBQYAAAAAAwADALcAAAD1AgAAAAA=&#10;" strokecolor="black [3200]">
                    <v:stroke joinstyle="miter"/>
                  </v:line>
                </v:group>
                <v:group id="Group 292" o:spid="_x0000_s1076" style="position:absolute;width:100640;height:32480" coordsize="100640,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oval id="Oval 291" o:spid="_x0000_s1077" style="position:absolute;left:41052;width:18098;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G0xgAAANwAAAAPAAAAZHJzL2Rvd25yZXYueG1sRI9BT8JA&#10;EIXvJv6HzZBwky2YECwsBFGIRD2I/IBJd2gL3dnaXWj7752DibeZvDfvfbNYda5SN2pC6dnAeJSA&#10;Is68LTk3cPzePsxAhYhssfJMBnoKsFre3y0wtb7lL7odYq4khEOKBooY61TrkBXkMIx8TSzayTcO&#10;o6xNrm2DrYS7Sk+SZKodliwNBda0KSi7HK7OQHx676vr5VU/t7vPn4/+XI73L70xw0G3noOK1MV/&#10;89/1mxX8R6GVZ2QCvfwFAAD//wMAUEsBAi0AFAAGAAgAAAAhANvh9svuAAAAhQEAABMAAAAAAAAA&#10;AAAAAAAAAAAAAFtDb250ZW50X1R5cGVzXS54bWxQSwECLQAUAAYACAAAACEAWvQsW78AAAAVAQAA&#10;CwAAAAAAAAAAAAAAAAAfAQAAX3JlbHMvLnJlbHNQSwECLQAUAAYACAAAACEA1ZUhtMYAAADcAAAA&#10;DwAAAAAAAAAAAAAAAAAHAgAAZHJzL2Rvd25yZXYueG1sUEsFBgAAAAADAAMAtwAAAPoCAAAAAA==&#10;" fillcolor="white [3201]" strokecolor="black [3213]" strokeweight="1.5pt">
                    <v:stroke joinstyle="miter"/>
                    <v:textbox>
                      <w:txbxContent>
                        <w:p w14:paraId="12FDCA62" w14:textId="77777777" w:rsidR="00F47203" w:rsidRDefault="00F47203" w:rsidP="007C3391">
                          <w:pPr>
                            <w:jc w:val="center"/>
                            <w:rPr>
                              <w:rFonts w:ascii="Arial" w:hAnsi="Arial" w:cs="Arial"/>
                              <w:b/>
                              <w:bCs/>
                            </w:rPr>
                          </w:pPr>
                          <w:r>
                            <w:rPr>
                              <w:rFonts w:ascii="Arial" w:hAnsi="Arial" w:cs="Arial"/>
                              <w:b/>
                              <w:bCs/>
                            </w:rPr>
                            <w:t>Completion or Non-completion</w:t>
                          </w:r>
                        </w:p>
                      </w:txbxContent>
                    </v:textbox>
                  </v:oval>
                  <v:shape id="Text Box 2" o:spid="_x0000_s1078" type="#_x0000_t202" style="position:absolute;left:58674;top:25717;width:1329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BewQAAANwAAAAPAAAAZHJzL2Rvd25yZXYueG1sRE9La8JA&#10;EL4X+h+WKfRWN7WgNbpKEaRefUDxNmbHJJqdDbujif++KxR6m4/vObNF7xp1oxBrzwbeBxko4sLb&#10;mksD+93q7RNUFGSLjWcycKcIi/nz0wxz6zve0G0rpUohHHM0UIm0udaxqMhhHPiWOHEnHxxKgqHU&#10;NmCXwl2jh1k20g5rTg0VtrSsqLhsr87AUXg1+kb7c7gf+uH4tD52cg7GvL70X1NQQr38i//ca5vm&#10;f0zg8Uy6QM9/AQAA//8DAFBLAQItABQABgAIAAAAIQDb4fbL7gAAAIUBAAATAAAAAAAAAAAAAAAA&#10;AAAAAABbQ29udGVudF9UeXBlc10ueG1sUEsBAi0AFAAGAAgAAAAhAFr0LFu/AAAAFQEAAAsAAAAA&#10;AAAAAAAAAAAAHwEAAF9yZWxzLy5yZWxzUEsBAi0AFAAGAAgAAAAhACUOoF7BAAAA3AAAAA8AAAAA&#10;AAAAAAAAAAAABwIAAGRycy9kb3ducmV2LnhtbFBLBQYAAAAAAwADALcAAAD1AgAAAAA=&#10;" strokeweight="1.5pt">
                    <v:textbox>
                      <w:txbxContent>
                        <w:p w14:paraId="2D49DEB4" w14:textId="77777777" w:rsidR="00F47203" w:rsidRDefault="00F47203" w:rsidP="007C3391">
                          <w:pPr>
                            <w:jc w:val="center"/>
                            <w:rPr>
                              <w:rFonts w:ascii="Arial" w:hAnsi="Arial" w:cs="Arial"/>
                              <w:vertAlign w:val="superscript"/>
                            </w:rPr>
                          </w:pPr>
                          <w:r>
                            <w:rPr>
                              <w:rFonts w:ascii="Arial" w:hAnsi="Arial" w:cs="Arial"/>
                            </w:rPr>
                            <w:t>5.Influence from family</w:t>
                          </w:r>
                          <w:r>
                            <w:rPr>
                              <w:rFonts w:ascii="Arial" w:hAnsi="Arial" w:cs="Arial"/>
                              <w:vertAlign w:val="superscript"/>
                            </w:rPr>
                            <w:t>1,2</w:t>
                          </w:r>
                          <w:r>
                            <w:rPr>
                              <w:rFonts w:ascii="Arial" w:hAnsi="Arial" w:cs="Arial"/>
                            </w:rPr>
                            <w:t>, friends &amp; others</w:t>
                          </w:r>
                          <w:r>
                            <w:rPr>
                              <w:rFonts w:ascii="Arial" w:hAnsi="Arial" w:cs="Arial"/>
                              <w:vertAlign w:val="superscript"/>
                            </w:rPr>
                            <w:t xml:space="preserve">2 </w:t>
                          </w:r>
                        </w:p>
                        <w:p w14:paraId="05F175B6" w14:textId="77777777" w:rsidR="00F47203" w:rsidRDefault="00F47203" w:rsidP="007C3391">
                          <w:pPr>
                            <w:jc w:val="center"/>
                            <w:rPr>
                              <w:rFonts w:ascii="Arial" w:hAnsi="Arial" w:cs="Arial"/>
                            </w:rPr>
                          </w:pPr>
                        </w:p>
                      </w:txbxContent>
                    </v:textbox>
                  </v:shape>
                  <v:shape id="Text Box 2" o:spid="_x0000_s1079" type="#_x0000_t202" style="position:absolute;left:14287;top:25527;width:13297;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q+xAAAANwAAAAPAAAAZHJzL2Rvd25yZXYueG1sRI9BawJB&#10;DIXvBf/DEKG3OlspVlZHKQWp19qCeIs7cXfbncwyk7rrv28Ohd4S3st7X9bbMXTmSim3kR08zgow&#10;xFX0LdcOPj92D0swWZA9dpHJwY0ybDeTuzWWPg78TteD1EZDOJfooBHpS2tz1VDAPIs9sWqXmAKK&#10;rqm2PuGg4aGz86JY2IAta0ODPb02VH0ffoKDs/Bu8Yb+eLqdxvnzZX8e5Cs5dz8dX1ZghEb5N/9d&#10;773iPym+PqMT2M0vAAAA//8DAFBLAQItABQABgAIAAAAIQDb4fbL7gAAAIUBAAATAAAAAAAAAAAA&#10;AAAAAAAAAABbQ29udGVudF9UeXBlc10ueG1sUEsBAi0AFAAGAAgAAAAhAFr0LFu/AAAAFQEAAAsA&#10;AAAAAAAAAAAAAAAAHwEAAF9yZWxzLy5yZWxzUEsBAi0AFAAGAAgAAAAhAOwyer7EAAAA3AAAAA8A&#10;AAAAAAAAAAAAAAAABwIAAGRycy9kb3ducmV2LnhtbFBLBQYAAAAAAwADALcAAAD4AgAAAAA=&#10;" strokeweight="1.5pt">
                    <v:textbox>
                      <w:txbxContent>
                        <w:p w14:paraId="1B3D8430" w14:textId="77777777" w:rsidR="00F47203" w:rsidRDefault="00F47203" w:rsidP="007C3391">
                          <w:pPr>
                            <w:jc w:val="center"/>
                            <w:rPr>
                              <w:rFonts w:ascii="Arial" w:hAnsi="Arial" w:cs="Arial"/>
                            </w:rPr>
                          </w:pPr>
                          <w:r w:rsidRPr="0011089C">
                            <w:rPr>
                              <w:rFonts w:ascii="Arial" w:hAnsi="Arial" w:cs="Arial"/>
                              <w:highlight w:val="yellow"/>
                            </w:rPr>
                            <w:t>2.Illness threat</w:t>
                          </w:r>
                          <w:r>
                            <w:rPr>
                              <w:rFonts w:ascii="Arial" w:hAnsi="Arial" w:cs="Arial"/>
                            </w:rPr>
                            <w:t xml:space="preserve"> </w:t>
                          </w:r>
                        </w:p>
                        <w:p w14:paraId="2204DA57" w14:textId="77777777" w:rsidR="00F47203" w:rsidRDefault="00F47203" w:rsidP="007C3391">
                          <w:pPr>
                            <w:jc w:val="center"/>
                            <w:rPr>
                              <w:rFonts w:ascii="Arial" w:hAnsi="Arial" w:cs="Arial"/>
                            </w:rPr>
                          </w:pPr>
                        </w:p>
                      </w:txbxContent>
                    </v:textbox>
                  </v:shape>
                  <v:shape id="Text Box 2" o:spid="_x0000_s1080" type="#_x0000_t202" style="position:absolute;left:87344;top:25527;width:13296;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8lwAAAANwAAAAPAAAAZHJzL2Rvd25yZXYueG1sRE9Na8JA&#10;EL0X+h+WKfRWN0qxJXWVUhC9qgXxNmbHJJqdDbujif/eFQRv83ifM5n1rlEXCrH2bGA4yEARF97W&#10;XBr438w/vkFFQbbYeCYDV4owm76+TDC3vuMVXdZSqhTCMUcDlUibax2LihzGgW+JE3fwwaEkGEpt&#10;A3Yp3DV6lGVj7bDm1FBhS38VFaf12RnYC8/HC7Tb3XXXj74Oy30nx2DM+1v/+wNKqJen+OFe2jT/&#10;cwj3Z9IFenoDAAD//wMAUEsBAi0AFAAGAAgAAAAhANvh9svuAAAAhQEAABMAAAAAAAAAAAAAAAAA&#10;AAAAAFtDb250ZW50X1R5cGVzXS54bWxQSwECLQAUAAYACAAAACEAWvQsW78AAAAVAQAACwAAAAAA&#10;AAAAAAAAAAAfAQAAX3JlbHMvLnJlbHNQSwECLQAUAAYACAAAACEAg37fJcAAAADcAAAADwAAAAAA&#10;AAAAAAAAAAAHAgAAZHJzL2Rvd25yZXYueG1sUEsFBgAAAAADAAMAtwAAAPQCAAAAAA==&#10;" strokeweight="1.5pt">
                    <v:textbox>
                      <w:txbxContent>
                        <w:p w14:paraId="2F38F839" w14:textId="77777777" w:rsidR="00F47203" w:rsidRDefault="00F47203" w:rsidP="007C3391">
                          <w:pPr>
                            <w:jc w:val="center"/>
                            <w:rPr>
                              <w:rFonts w:ascii="Arial" w:hAnsi="Arial" w:cs="Arial"/>
                            </w:rPr>
                          </w:pPr>
                          <w:r w:rsidRPr="0011089C">
                            <w:rPr>
                              <w:rFonts w:ascii="Arial" w:hAnsi="Arial" w:cs="Arial"/>
                              <w:highlight w:val="yellow"/>
                            </w:rPr>
                            <w:t>7.Practicalities</w:t>
                          </w:r>
                          <w:r>
                            <w:rPr>
                              <w:rFonts w:ascii="Arial" w:hAnsi="Arial" w:cs="Arial"/>
                            </w:rPr>
                            <w:t xml:space="preserve"> </w:t>
                          </w:r>
                        </w:p>
                      </w:txbxContent>
                    </v:textbox>
                  </v:shape>
                  <v:shape id="Text Box 2" o:spid="_x0000_s1081" type="#_x0000_t202" style="position:absolute;left:44100;top:25622;width:13297;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FSwAAAANwAAAAPAAAAZHJzL2Rvd25yZXYueG1sRE9Na8JA&#10;EL0X+h+WKfRWNw3FltRVpCB6VQvF25gdk9TsbNgdTfz3riB4m8f7nMlscK06U4iNZwPvowwUcelt&#10;w5WB3+3i7QtUFGSLrWcycKEIs+nz0wQL63te03kjlUohHAs0UIt0hdaxrMlhHPmOOHEHHxxKgqHS&#10;NmCfwl2r8ywba4cNp4YaO/qpqTxuTs7AXngxXqL92112Q/55WO17+Q/GvL4M829QQoM8xHf3yqb5&#10;HzncnkkX6OkVAAD//wMAUEsBAi0AFAAGAAgAAAAhANvh9svuAAAAhQEAABMAAAAAAAAAAAAAAAAA&#10;AAAAAFtDb250ZW50X1R5cGVzXS54bWxQSwECLQAUAAYACAAAACEAWvQsW78AAAAVAQAACwAAAAAA&#10;AAAAAAAAAAAfAQAAX3JlbHMvLnJlbHNQSwECLQAUAAYACAAAACEAc6xBUsAAAADcAAAADwAAAAAA&#10;AAAAAAAAAAAHAgAAZHJzL2Rvd25yZXYueG1sUEsFBgAAAAADAAMAtwAAAPQCAAAAAA==&#10;" strokeweight="1.5pt">
                    <v:textbox>
                      <w:txbxContent>
                        <w:p w14:paraId="37977A86" w14:textId="77777777" w:rsidR="00F47203" w:rsidRDefault="00F47203" w:rsidP="007C3391">
                          <w:pPr>
                            <w:jc w:val="center"/>
                            <w:rPr>
                              <w:rFonts w:ascii="Arial" w:hAnsi="Arial" w:cs="Arial"/>
                            </w:rPr>
                          </w:pPr>
                          <w:r>
                            <w:rPr>
                              <w:rFonts w:ascii="Arial" w:hAnsi="Arial" w:cs="Arial"/>
                            </w:rPr>
                            <w:t>4.Communication</w:t>
                          </w:r>
                          <w:r>
                            <w:rPr>
                              <w:rFonts w:ascii="Arial" w:hAnsi="Arial" w:cs="Arial"/>
                              <w:vertAlign w:val="superscript"/>
                            </w:rPr>
                            <w:t xml:space="preserve">2 </w:t>
                          </w:r>
                        </w:p>
                      </w:txbxContent>
                    </v:textbox>
                  </v:shape>
                  <v:shape id="Text Box 2" o:spid="_x0000_s1082" type="#_x0000_t202" style="position:absolute;top:25527;width:13296;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TJwQAAANwAAAAPAAAAZHJzL2Rvd25yZXYueG1sRE9Na8JA&#10;EL0L/Q/LFHrTTbXYkrpKEUSvtULJbcyOSTQ7G3ZHE/99t1DobR7vcxarwbXqRiE2ng08TzJQxKW3&#10;DVcGDl+b8RuoKMgWW89k4E4RVsuH0QJz63v+pNteKpVCOOZooBbpcq1jWZPDOPEdceJOPjiUBEOl&#10;bcA+hbtWT7Nsrh02nBpq7GhdU3nZX52Bo/BmvkX7XdyLYfp62h17OQdjnh6Hj3dQQoP8i//cO5vm&#10;v8zg95l0gV7+AAAA//8DAFBLAQItABQABgAIAAAAIQDb4fbL7gAAAIUBAAATAAAAAAAAAAAAAAAA&#10;AAAAAABbQ29udGVudF9UeXBlc10ueG1sUEsBAi0AFAAGAAgAAAAhAFr0LFu/AAAAFQEAAAsAAAAA&#10;AAAAAAAAAAAAHwEAAF9yZWxzLy5yZWxzUEsBAi0AFAAGAAgAAAAhABzg5MnBAAAA3AAAAA8AAAAA&#10;AAAAAAAAAAAABwIAAGRycy9kb3ducmV2LnhtbFBLBQYAAAAAAwADALcAAAD1AgAAAAA=&#10;" strokeweight="1.5pt">
                    <v:textbox>
                      <w:txbxContent>
                        <w:p w14:paraId="49443C06" w14:textId="658397F1" w:rsidR="00F47203" w:rsidRDefault="00F47203" w:rsidP="007C3391">
                          <w:pPr>
                            <w:rPr>
                              <w:rFonts w:ascii="Arial" w:hAnsi="Arial" w:cs="Arial"/>
                              <w:vertAlign w:val="superscript"/>
                            </w:rPr>
                          </w:pPr>
                          <w:r>
                            <w:rPr>
                              <w:rFonts w:ascii="Arial" w:hAnsi="Arial" w:cs="Arial"/>
                            </w:rPr>
                            <w:t>1.</w:t>
                          </w:r>
                          <w:r w:rsidR="0011089C">
                            <w:rPr>
                              <w:rFonts w:ascii="Arial" w:hAnsi="Arial" w:cs="Arial"/>
                            </w:rPr>
                            <w:t xml:space="preserve"> </w:t>
                          </w:r>
                          <w:r>
                            <w:rPr>
                              <w:rFonts w:ascii="Arial" w:hAnsi="Arial" w:cs="Arial"/>
                            </w:rPr>
                            <w:t>Motivation</w:t>
                          </w:r>
                          <w:r>
                            <w:rPr>
                              <w:rFonts w:ascii="Arial" w:hAnsi="Arial" w:cs="Arial"/>
                              <w:vertAlign w:val="superscript"/>
                            </w:rPr>
                            <w:t>1</w:t>
                          </w:r>
                        </w:p>
                        <w:p w14:paraId="59BF87BF" w14:textId="77777777" w:rsidR="00F47203" w:rsidRDefault="00F47203" w:rsidP="007C3391">
                          <w:pPr>
                            <w:jc w:val="center"/>
                            <w:rPr>
                              <w:rFonts w:ascii="Arial" w:hAnsi="Arial" w:cs="Arial"/>
                            </w:rPr>
                          </w:pPr>
                        </w:p>
                      </w:txbxContent>
                    </v:textbox>
                  </v:shape>
                  <v:shape id="Text Box 2" o:spid="_x0000_s1083" type="#_x0000_t202" style="position:absolute;left:72961;top:25717;width:13291;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y9wAAAANwAAAAPAAAAZHJzL2Rvd25yZXYueG1sRE9Na8JA&#10;EL0L/odlhN50UxEtqasUQeq1VhBvY3ZMotnZsDua+O+7hUJv83ifs1z3rlEPCrH2bOB1koEiLryt&#10;uTRw+N6O30BFQbbYeCYDT4qwXg0HS8yt7/iLHnspVQrhmKOBSqTNtY5FRQ7jxLfEibv44FASDKW2&#10;AbsU7ho9zbK5dlhzaqiwpU1FxW1/dwbOwtv5J9rj6Xnqp4vL7tzJNRjzMuo/3kEJ9fIv/nPvbJo/&#10;m8HvM+kCvfoBAAD//wMAUEsBAi0AFAAGAAgAAAAhANvh9svuAAAAhQEAABMAAAAAAAAAAAAAAAAA&#10;AAAAAFtDb250ZW50X1R5cGVzXS54bWxQSwECLQAUAAYACAAAACEAWvQsW78AAAAVAQAACwAAAAAA&#10;AAAAAAAAAAAfAQAAX3JlbHMvLnJlbHNQSwECLQAUAAYACAAAACEAkwl8vcAAAADcAAAADwAAAAAA&#10;AAAAAAAAAAAHAgAAZHJzL2Rvd25yZXYueG1sUEsFBgAAAAADAAMAtwAAAPQCAAAAAA==&#10;" strokeweight="1.5pt">
                    <v:textbox>
                      <w:txbxContent>
                        <w:p w14:paraId="23C794DD" w14:textId="77777777" w:rsidR="00F47203" w:rsidRDefault="00F47203" w:rsidP="007C3391">
                          <w:pPr>
                            <w:jc w:val="center"/>
                            <w:rPr>
                              <w:rFonts w:ascii="Arial" w:hAnsi="Arial" w:cs="Arial"/>
                            </w:rPr>
                          </w:pPr>
                          <w:r w:rsidRPr="0011089C">
                            <w:rPr>
                              <w:rFonts w:ascii="Arial" w:hAnsi="Arial" w:cs="Arial"/>
                              <w:highlight w:val="yellow"/>
                            </w:rPr>
                            <w:t>6.Lifestyle changes</w:t>
                          </w:r>
                          <w:r>
                            <w:rPr>
                              <w:rFonts w:ascii="Arial" w:hAnsi="Arial" w:cs="Arial"/>
                            </w:rPr>
                            <w:t xml:space="preserve">  </w:t>
                          </w:r>
                        </w:p>
                        <w:p w14:paraId="3AA69A08" w14:textId="77777777" w:rsidR="00F47203" w:rsidRDefault="00F47203" w:rsidP="007C3391">
                          <w:pPr>
                            <w:jc w:val="center"/>
                            <w:rPr>
                              <w:rFonts w:ascii="Arial" w:hAnsi="Arial" w:cs="Arial"/>
                            </w:rPr>
                          </w:pPr>
                        </w:p>
                      </w:txbxContent>
                    </v:textbox>
                  </v:shape>
                  <v:shape id="Text Box 2" o:spid="_x0000_s1084" type="#_x0000_t202" style="position:absolute;left:29622;top:25527;width:13291;height:6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kmwQAAANwAAAAPAAAAZHJzL2Rvd25yZXYueG1sRE9Na8JA&#10;EL0L/Q/LFHrTTcXakrpKEUSvtULJbcyOSTQ7G3ZHE/99t1DobR7vcxarwbXqRiE2ng08TzJQxKW3&#10;DVcGDl+b8RuoKMgWW89k4E4RVsuH0QJz63v+pNteKpVCOOZooBbpcq1jWZPDOPEdceJOPjiUBEOl&#10;bcA+hbtWT7Nsrh02nBpq7GhdU3nZX52Bo/BmvkX7XdyLYfp62h17OQdjnh6Hj3dQQoP8i//cO5vm&#10;z17g95l0gV7+AAAA//8DAFBLAQItABQABgAIAAAAIQDb4fbL7gAAAIUBAAATAAAAAAAAAAAAAAAA&#10;AAAAAABbQ29udGVudF9UeXBlc10ueG1sUEsBAi0AFAAGAAgAAAAhAFr0LFu/AAAAFQEAAAsAAAAA&#10;AAAAAAAAAAAAHwEAAF9yZWxzLy5yZWxzUEsBAi0AFAAGAAgAAAAhAPxF2SbBAAAA3AAAAA8AAAAA&#10;AAAAAAAAAAAABwIAAGRycy9kb3ducmV2LnhtbFBLBQYAAAAAAwADALcAAAD1AgAAAAA=&#10;" strokeweight="1.5pt">
                    <v:textbox>
                      <w:txbxContent>
                        <w:p w14:paraId="24700424" w14:textId="77777777" w:rsidR="00F47203" w:rsidRDefault="00F47203" w:rsidP="007C3391">
                          <w:pPr>
                            <w:jc w:val="center"/>
                            <w:rPr>
                              <w:rFonts w:ascii="Arial" w:hAnsi="Arial" w:cs="Arial"/>
                            </w:rPr>
                          </w:pPr>
                          <w:r w:rsidRPr="0011089C">
                            <w:rPr>
                              <w:rFonts w:ascii="Arial" w:hAnsi="Arial" w:cs="Arial"/>
                              <w:highlight w:val="yellow"/>
                            </w:rPr>
                            <w:t>3.Programme perceptions</w:t>
                          </w:r>
                          <w:r>
                            <w:rPr>
                              <w:rFonts w:ascii="Arial" w:hAnsi="Arial" w:cs="Arial"/>
                            </w:rPr>
                            <w:t xml:space="preserve"> </w:t>
                          </w:r>
                        </w:p>
                      </w:txbxContent>
                    </v:textbox>
                  </v:shape>
                  <v:line id="Straight Connector 52" o:spid="_x0000_s1085" style="position:absolute;flip:x y;visibility:visible;mso-wrap-style:square" from="50387,9715" to="64960,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8LwQAAANwAAAAPAAAAZHJzL2Rvd25yZXYueG1sRE9La8JA&#10;EL4L/Q/LFLyZTUVik7pKKSg9+up9yE6zqdnZkF1j7K93BcHbfHzPWawG24ieOl87VvCWpCCIS6dr&#10;rhQcD+vJOwgfkDU2jknBlTysli+jBRbaXXhH/T5UIoawL1CBCaEtpPSlIYs+cS1x5H5dZzFE2FVS&#10;d3iJ4baR0zTNpMWaY4PBlr4Mlaf92SrI/69/Q96c5tvNz5TMOgu863Olxq/D5weIQEN4ih/ubx3n&#10;zzK4PxMvkMsbAAAA//8DAFBLAQItABQABgAIAAAAIQDb4fbL7gAAAIUBAAATAAAAAAAAAAAAAAAA&#10;AAAAAABbQ29udGVudF9UeXBlc10ueG1sUEsBAi0AFAAGAAgAAAAhAFr0LFu/AAAAFQEAAAsAAAAA&#10;AAAAAAAAAAAAHwEAAF9yZWxzLy5yZWxzUEsBAi0AFAAGAAgAAAAhAMBdPwvBAAAA3AAAAA8AAAAA&#10;AAAAAAAAAAAABwIAAGRycy9kb3ducmV2LnhtbFBLBQYAAAAAAwADALcAAAD1AgAAAAA=&#10;" strokecolor="black [3200]">
                    <v:stroke joinstyle="miter"/>
                  </v:line>
                  <v:line id="Straight Connector 53" o:spid="_x0000_s1086" style="position:absolute;flip:x y;visibility:visible;mso-wrap-style:square" from="50292,9715" to="94011,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qQwAAAANwAAAAPAAAAZHJzL2Rvd25yZXYueG1sRE9Li8Iw&#10;EL4L/ocwwt40VURt1ygiKHv0tfehmW26NpPSxFr99UZY2Nt8fM9ZrjtbiZYaXzpWMB4lIIhzp0su&#10;FFzOu+EChA/IGivHpOBBHtarfm+JmXZ3PlJ7CoWIIewzVGBCqDMpfW7Ioh+5mjhyP66xGCJsCqkb&#10;vMdwW8lJksykxZJjg8Gatoby6+lmFaTPx2+XVtf5Yf89IbObBT62qVIfg27zCSJQF/7Ff+4vHedP&#10;5/B+Jl4gVy8AAAD//wMAUEsBAi0AFAAGAAgAAAAhANvh9svuAAAAhQEAABMAAAAAAAAAAAAAAAAA&#10;AAAAAFtDb250ZW50X1R5cGVzXS54bWxQSwECLQAUAAYACAAAACEAWvQsW78AAAAVAQAACwAAAAAA&#10;AAAAAAAAAAAfAQAAX3JlbHMvLnJlbHNQSwECLQAUAAYACAAAACEArxGakMAAAADcAAAADwAAAAAA&#10;AAAAAAAAAAAHAgAAZHJzL2Rvd25yZXYueG1sUEsFBgAAAAADAAMAtwAAAPQCAAAAAA==&#10;" strokecolor="black [3200]">
                    <v:stroke joinstyle="miter"/>
                  </v:line>
                  <v:line id="Straight Connector 260" o:spid="_x0000_s1087" style="position:absolute;flip:y;visibility:visible;mso-wrap-style:square" from="6286,9715" to="50387,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qHxgAAANwAAAAPAAAAZHJzL2Rvd25yZXYueG1sRI9Ba8JA&#10;EIXvhf6HZQpeim6qpUh0lbRa6KmgFfE4ZMckbXY23V1j+u87h0JvM7w3732zXA+uVT2F2Hg28DDJ&#10;QBGX3jZcGTh8vI7noGJCtth6JgM/FGG9ur1ZYm79lXfU71OlJIRjjgbqlLpc61jW5DBOfEcs2tkH&#10;h0nWUGkb8CrhrtXTLHvSDhuWhho7eqmp/NpfnIGmCMXn+dg/T9+/Z3Z22qR73lpjRndDsQCVaEj/&#10;5r/rNyv4j0Irz8gEevULAAD//wMAUEsBAi0AFAAGAAgAAAAhANvh9svuAAAAhQEAABMAAAAAAAAA&#10;AAAAAAAAAAAAAFtDb250ZW50X1R5cGVzXS54bWxQSwECLQAUAAYACAAAACEAWvQsW78AAAAVAQAA&#10;CwAAAAAAAAAAAAAAAAAfAQAAX3JlbHMvLnJlbHNQSwECLQAUAAYACAAAACEAdRpKh8YAAADcAAAA&#10;DwAAAAAAAAAAAAAAAAAHAgAAZHJzL2Rvd25yZXYueG1sUEsFBgAAAAADAAMAtwAAAPoCAAAAAA==&#10;" strokecolor="black [3200]">
                    <v:stroke joinstyle="miter"/>
                  </v:line>
                  <v:line id="Straight Connector 265" o:spid="_x0000_s1088" style="position:absolute;flip:y;visibility:visible;mso-wrap-style:square" from="21240,9715" to="50292,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8cwwAAANwAAAAPAAAAZHJzL2Rvd25yZXYueG1sRE9Na8JA&#10;EL0L/odlBC9SN9VSbHSVtFboSaiW4nHIjkk0O5vubmP8992C4G0e73MWq87UoiXnK8sKHscJCOLc&#10;6ooLBV/7zcMMhA/IGmvLpOBKHlbLfm+BqbYX/qR2FwoRQ9inqKAMoUml9HlJBv3YNsSRO1pnMETo&#10;CqkdXmK4qeUkSZ6lwYpjQ4kNvZWUn3e/RkGVuex0/G5fJ9ufqZ4e1mHE71qp4aDL5iACdeEuvrk/&#10;dJz/9AL/z8QL5PIPAAD//wMAUEsBAi0AFAAGAAgAAAAhANvh9svuAAAAhQEAABMAAAAAAAAAAAAA&#10;AAAAAAAAAFtDb250ZW50X1R5cGVzXS54bWxQSwECLQAUAAYACAAAACEAWvQsW78AAAAVAQAACwAA&#10;AAAAAAAAAAAAAAAfAQAAX3JlbHMvLnJlbHNQSwECLQAUAAYACAAAACEAGlbvHMMAAADcAAAADwAA&#10;AAAAAAAAAAAAAAAHAgAAZHJzL2Rvd25yZXYueG1sUEsFBgAAAAADAAMAtwAAAPcCAAAAAA==&#10;" strokecolor="black [3200]">
                    <v:stroke joinstyle="miter"/>
                  </v:line>
                  <v:line id="Straight Connector 271" o:spid="_x0000_s1089" style="position:absolute;flip:y;visibility:visible;mso-wrap-style:square" from="36004,9715" to="50387,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BcxgAAANwAAAAPAAAAZHJzL2Rvd25yZXYueG1sRI9Ba8JA&#10;EIXvhf6HZQpeim6qtEh0lbRa6KmgFfE4ZMckbXY23V1j+u87h0JvM7w3732zXA+uVT2F2Hg28DDJ&#10;QBGX3jZcGTh8vI7noGJCtth6JgM/FGG9ur1ZYm79lXfU71OlJIRjjgbqlLpc61jW5DBOfEcs2tkH&#10;h0nWUGkb8CrhrtXTLHvSDhuWhho7eqmp/NpfnIGmCMXn+dg/T9+/Z3Z22qR73lpjRndDsQCVaEj/&#10;5r/rNyv4j4Ivz8gEevULAAD//wMAUEsBAi0AFAAGAAgAAAAhANvh9svuAAAAhQEAABMAAAAAAAAA&#10;AAAAAAAAAAAAAFtDb250ZW50X1R5cGVzXS54bWxQSwECLQAUAAYACAAAACEAWvQsW78AAAAVAQAA&#10;CwAAAAAAAAAAAAAAAAAfAQAAX3JlbHMvLnJlbHNQSwECLQAUAAYACAAAACEADrXQXMYAAADcAAAA&#10;DwAAAAAAAAAAAAAAAAAHAgAAZHJzL2Rvd25yZXYueG1sUEsFBgAAAAADAAMAtwAAAPoCAAAAAA==&#10;" strokecolor="black [3200]">
                    <v:stroke joinstyle="miter"/>
                  </v:line>
                  <v:line id="Straight Connector 277" o:spid="_x0000_s1090" style="position:absolute;flip:y;visibility:visible;mso-wrap-style:square" from="50292,9715" to="50292,2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HxAAAANwAAAAPAAAAZHJzL2Rvd25yZXYueG1sRE9La8JA&#10;EL4X+h+WKfRSmo2KpaSuktoKngQfiMchOyZps7Nxdxvjv3cFobf5+J4zmfWmER05X1tWMEhSEMSF&#10;1TWXCnbbxes7CB+QNTaWScGFPMymjw8TzLQ985q6TShFDGGfoYIqhDaT0hcVGfSJbYkjd7TOYIjQ&#10;lVI7PMdw08hhmr5JgzXHhgpbmldU/G7+jII6d/nPcd99DlenkR4dvsILf2ulnp/6/ANEoD78i+/u&#10;pY7zxwO4PRMvkNMrAAAA//8DAFBLAQItABQABgAIAAAAIQDb4fbL7gAAAIUBAAATAAAAAAAAAAAA&#10;AAAAAAAAAABbQ29udGVudF9UeXBlc10ueG1sUEsBAi0AFAAGAAgAAAAhAFr0LFu/AAAAFQEAAAsA&#10;AAAAAAAAAAAAAAAAHwEAAF9yZWxzLy5yZWxzUEsBAi0AFAAGAAgAAAAhAGH5dcfEAAAA3AAAAA8A&#10;AAAAAAAAAAAAAAAABwIAAGRycy9kb3ducmV2LnhtbFBLBQYAAAAAAwADALcAAAD4AgAAAAA=&#10;" strokecolor="black [3200]">
                    <v:stroke joinstyle="miter"/>
                  </v:line>
                  <v:line id="Straight Connector 28" o:spid="_x0000_s1091" style="position:absolute;flip:x y;visibility:visible;mso-wrap-style:square" from="50292,9715" to="78676,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6/VwQAAANwAAAAPAAAAZHJzL2Rvd25yZXYueG1sRE9Na8JA&#10;EL0X/A/LCL01mwZqTcwqIlh6VFvvQ3bMpsnOhuw2xv56t1DobR7vc8rNZDsx0uAbxwqekxQEceV0&#10;w7WCz4/90xKED8gaO8ek4EYeNuvZQ4mFdlc+0ngKtYgh7AtUYELoCyl9ZciiT1xPHLmLGyyGCIda&#10;6gGvMdx2MkvThbTYcGww2NPOUNWevq2C/Of2NeVd+3p4O2dk9ovAxzFX6nE+bVcgAk3hX/znftdx&#10;/ksGv8/EC+T6DgAA//8DAFBLAQItABQABgAIAAAAIQDb4fbL7gAAAIUBAAATAAAAAAAAAAAAAAAA&#10;AAAAAABbQ29udGVudF9UeXBlc10ueG1sUEsBAi0AFAAGAAgAAAAhAFr0LFu/AAAAFQEAAAsAAAAA&#10;AAAAAAAAAAAAHwEAAF9yZWxzLy5yZWxzUEsBAi0AFAAGAAgAAAAhADq/r9XBAAAA3AAAAA8AAAAA&#10;AAAAAAAAAAAABwIAAGRycy9kb3ducmV2LnhtbFBLBQYAAAAAAwADALcAAAD1AgAAAAA=&#10;" strokecolor="black [3200]">
                    <v:stroke joinstyle="miter"/>
                  </v:line>
                </v:group>
              </v:group>
            </w:pict>
          </mc:Fallback>
        </mc:AlternateContent>
      </w:r>
      <w:r w:rsidR="007C3391" w:rsidRPr="00103A0B">
        <w:rPr>
          <w:rFonts w:ascii="Arial" w:hAnsi="Arial" w:cs="Arial"/>
          <w:b/>
          <w:sz w:val="28"/>
          <w:szCs w:val="28"/>
        </w:rPr>
        <w:tab/>
      </w:r>
    </w:p>
    <w:p w14:paraId="6445FC01" w14:textId="77777777" w:rsidR="007C3391" w:rsidRPr="00103A0B" w:rsidRDefault="007C3391" w:rsidP="007C3391">
      <w:pPr>
        <w:tabs>
          <w:tab w:val="left" w:pos="8025"/>
        </w:tabs>
        <w:rPr>
          <w:rFonts w:ascii="Arial" w:hAnsi="Arial" w:cs="Arial"/>
          <w:sz w:val="16"/>
          <w:szCs w:val="16"/>
        </w:rPr>
      </w:pPr>
      <w:r w:rsidRPr="00103A0B">
        <w:rPr>
          <w:rFonts w:ascii="Arial" w:hAnsi="Arial" w:cs="Arial"/>
          <w:b/>
          <w:sz w:val="28"/>
          <w:szCs w:val="28"/>
        </w:rPr>
        <w:tab/>
      </w:r>
      <w:r w:rsidRPr="00103A0B">
        <w:rPr>
          <w:rFonts w:ascii="Arial" w:hAnsi="Arial" w:cs="Arial"/>
          <w:b/>
          <w:sz w:val="28"/>
          <w:szCs w:val="28"/>
        </w:rPr>
        <w:tab/>
      </w:r>
      <w:r w:rsidRPr="00103A0B">
        <w:rPr>
          <w:rFonts w:ascii="Arial" w:hAnsi="Arial" w:cs="Arial"/>
          <w:sz w:val="16"/>
          <w:szCs w:val="16"/>
        </w:rPr>
        <w:t>Note:</w:t>
      </w:r>
      <w:r w:rsidRPr="00103A0B">
        <w:rPr>
          <w:rFonts w:ascii="Arial" w:hAnsi="Arial" w:cs="Arial"/>
          <w:sz w:val="16"/>
          <w:szCs w:val="16"/>
          <w:vertAlign w:val="superscript"/>
        </w:rPr>
        <w:t xml:space="preserve"> 1</w:t>
      </w:r>
      <w:r w:rsidRPr="00103A0B">
        <w:rPr>
          <w:rFonts w:ascii="Arial" w:hAnsi="Arial" w:cs="Arial"/>
          <w:sz w:val="16"/>
          <w:szCs w:val="16"/>
        </w:rPr>
        <w:t xml:space="preserve">applies to completers only; </w:t>
      </w:r>
      <w:r w:rsidRPr="00103A0B">
        <w:rPr>
          <w:rFonts w:ascii="Arial" w:hAnsi="Arial" w:cs="Arial"/>
          <w:sz w:val="16"/>
          <w:szCs w:val="16"/>
          <w:vertAlign w:val="superscript"/>
        </w:rPr>
        <w:t>2</w:t>
      </w:r>
      <w:r w:rsidRPr="00103A0B">
        <w:rPr>
          <w:rFonts w:ascii="Arial" w:hAnsi="Arial" w:cs="Arial"/>
          <w:sz w:val="16"/>
          <w:szCs w:val="16"/>
        </w:rPr>
        <w:t>applies to non-completers only</w:t>
      </w:r>
    </w:p>
    <w:p w14:paraId="6BE19424" w14:textId="77777777" w:rsidR="007C3391" w:rsidRPr="00103A0B" w:rsidRDefault="007C3391" w:rsidP="007C3391">
      <w:pPr>
        <w:tabs>
          <w:tab w:val="left" w:pos="10215"/>
        </w:tabs>
        <w:spacing w:line="360" w:lineRule="auto"/>
        <w:jc w:val="both"/>
        <w:rPr>
          <w:rFonts w:ascii="Arial" w:hAnsi="Arial" w:cs="Arial"/>
          <w:b/>
          <w:sz w:val="28"/>
          <w:szCs w:val="28"/>
        </w:rPr>
      </w:pPr>
    </w:p>
    <w:p w14:paraId="47FD2ADB" w14:textId="125B35D4" w:rsidR="007C3391" w:rsidRPr="00103A0B" w:rsidRDefault="007C3391" w:rsidP="007C3391">
      <w:pPr>
        <w:spacing w:line="360" w:lineRule="auto"/>
        <w:jc w:val="both"/>
        <w:rPr>
          <w:rFonts w:ascii="Arial" w:hAnsi="Arial" w:cs="Arial"/>
          <w:b/>
          <w:sz w:val="28"/>
          <w:szCs w:val="28"/>
        </w:rPr>
      </w:pPr>
    </w:p>
    <w:p w14:paraId="5661DE1C" w14:textId="734CE6B0" w:rsidR="007C3391" w:rsidRPr="00103A0B" w:rsidRDefault="007C3391" w:rsidP="007C3391">
      <w:pPr>
        <w:spacing w:line="360" w:lineRule="auto"/>
        <w:jc w:val="both"/>
        <w:rPr>
          <w:rFonts w:ascii="Arial" w:hAnsi="Arial" w:cs="Arial"/>
          <w:b/>
          <w:sz w:val="28"/>
          <w:szCs w:val="28"/>
        </w:rPr>
      </w:pPr>
    </w:p>
    <w:p w14:paraId="0392CE1D" w14:textId="0C3FC7C5" w:rsidR="007C3391" w:rsidRPr="00103A0B" w:rsidRDefault="007C3391" w:rsidP="007C3391">
      <w:pPr>
        <w:spacing w:line="360" w:lineRule="auto"/>
        <w:jc w:val="both"/>
        <w:rPr>
          <w:rFonts w:ascii="Arial" w:hAnsi="Arial" w:cs="Arial"/>
          <w:b/>
          <w:sz w:val="28"/>
          <w:szCs w:val="28"/>
        </w:rPr>
      </w:pPr>
    </w:p>
    <w:p w14:paraId="31F9DE44" w14:textId="549C5BE4" w:rsidR="007C3391" w:rsidRPr="00103A0B" w:rsidRDefault="007C3391" w:rsidP="007C3391">
      <w:pPr>
        <w:spacing w:line="360" w:lineRule="auto"/>
        <w:jc w:val="both"/>
        <w:rPr>
          <w:rFonts w:ascii="Arial" w:hAnsi="Arial" w:cs="Arial"/>
          <w:b/>
          <w:sz w:val="28"/>
          <w:szCs w:val="28"/>
        </w:rPr>
      </w:pPr>
    </w:p>
    <w:p w14:paraId="59D0A53A" w14:textId="2C31CD79" w:rsidR="007C3391" w:rsidRPr="00103A0B" w:rsidRDefault="007C3391" w:rsidP="007C3391">
      <w:pPr>
        <w:spacing w:line="360" w:lineRule="auto"/>
        <w:jc w:val="both"/>
        <w:rPr>
          <w:rFonts w:ascii="Arial" w:hAnsi="Arial" w:cs="Arial"/>
          <w:b/>
          <w:sz w:val="28"/>
          <w:szCs w:val="28"/>
        </w:rPr>
      </w:pPr>
    </w:p>
    <w:p w14:paraId="345F89B2" w14:textId="4381621D" w:rsidR="007C3391" w:rsidRPr="00103A0B" w:rsidRDefault="007C3391" w:rsidP="007C3391">
      <w:pPr>
        <w:spacing w:line="360" w:lineRule="auto"/>
        <w:jc w:val="both"/>
        <w:rPr>
          <w:rFonts w:ascii="Arial" w:hAnsi="Arial" w:cs="Arial"/>
          <w:b/>
          <w:sz w:val="28"/>
          <w:szCs w:val="28"/>
        </w:rPr>
      </w:pPr>
    </w:p>
    <w:p w14:paraId="50325385" w14:textId="47E4D798" w:rsidR="007C3391" w:rsidRPr="00103A0B" w:rsidRDefault="007C3391" w:rsidP="007C3391">
      <w:pPr>
        <w:spacing w:line="360" w:lineRule="auto"/>
        <w:jc w:val="both"/>
        <w:rPr>
          <w:rFonts w:ascii="Arial" w:hAnsi="Arial" w:cs="Arial"/>
          <w:b/>
          <w:sz w:val="28"/>
          <w:szCs w:val="28"/>
        </w:rPr>
      </w:pPr>
    </w:p>
    <w:p w14:paraId="35BAF7B3" w14:textId="2069CD89" w:rsidR="007C3391" w:rsidRPr="00103A0B" w:rsidRDefault="007C3391" w:rsidP="007C3391">
      <w:pPr>
        <w:tabs>
          <w:tab w:val="left" w:pos="6075"/>
        </w:tabs>
        <w:spacing w:line="360" w:lineRule="auto"/>
        <w:jc w:val="both"/>
        <w:rPr>
          <w:rFonts w:ascii="Arial" w:hAnsi="Arial" w:cs="Arial"/>
          <w:b/>
          <w:sz w:val="28"/>
          <w:szCs w:val="28"/>
        </w:rPr>
      </w:pPr>
    </w:p>
    <w:p w14:paraId="60BD5475" w14:textId="77777777" w:rsidR="007C3391" w:rsidRPr="00103A0B" w:rsidRDefault="007C3391" w:rsidP="007C3391">
      <w:pPr>
        <w:tabs>
          <w:tab w:val="left" w:pos="5745"/>
        </w:tabs>
        <w:rPr>
          <w:rFonts w:ascii="Arial" w:hAnsi="Arial" w:cs="Arial"/>
          <w:b/>
          <w:sz w:val="28"/>
          <w:szCs w:val="28"/>
        </w:rPr>
      </w:pPr>
    </w:p>
    <w:p w14:paraId="5A5E02D0" w14:textId="77777777" w:rsidR="007C3391" w:rsidRPr="00103A0B" w:rsidRDefault="007C3391" w:rsidP="007C3391">
      <w:pPr>
        <w:jc w:val="both"/>
        <w:rPr>
          <w:rFonts w:ascii="Arial" w:hAnsi="Arial" w:cs="Arial"/>
          <w:sz w:val="24"/>
          <w:szCs w:val="24"/>
        </w:rPr>
      </w:pPr>
    </w:p>
    <w:p w14:paraId="468B78CE" w14:textId="74305258" w:rsidR="007C3391" w:rsidRPr="00103A0B" w:rsidRDefault="007C3391" w:rsidP="007C3391">
      <w:pPr>
        <w:rPr>
          <w:rFonts w:ascii="Arial" w:hAnsi="Arial" w:cs="Arial"/>
          <w:sz w:val="24"/>
          <w:szCs w:val="24"/>
        </w:rPr>
        <w:sectPr w:rsidR="007C3391" w:rsidRPr="00103A0B" w:rsidSect="00DE65CD">
          <w:pgSz w:w="16838" w:h="11906" w:orient="landscape"/>
          <w:pgMar w:top="1440" w:right="1440" w:bottom="1440" w:left="1440" w:header="709" w:footer="709" w:gutter="0"/>
          <w:cols w:space="708"/>
          <w:docGrid w:linePitch="360"/>
        </w:sectPr>
      </w:pPr>
    </w:p>
    <w:p w14:paraId="63EFFCF1" w14:textId="77777777" w:rsidR="007C3391" w:rsidRPr="00103A0B" w:rsidRDefault="008F2A9E" w:rsidP="00CD5919">
      <w:pPr>
        <w:pStyle w:val="Heading2"/>
        <w:numPr>
          <w:ilvl w:val="0"/>
          <w:numId w:val="0"/>
        </w:numPr>
        <w:jc w:val="both"/>
        <w:rPr>
          <w:rFonts w:ascii="Arial" w:hAnsi="Arial" w:cs="Arial"/>
          <w:sz w:val="28"/>
        </w:rPr>
      </w:pPr>
      <w:bookmarkStart w:id="371" w:name="_Toc151548328"/>
      <w:r w:rsidRPr="00103A0B">
        <w:rPr>
          <w:rFonts w:ascii="Arial" w:hAnsi="Arial" w:cs="Arial"/>
          <w:sz w:val="28"/>
        </w:rPr>
        <w:lastRenderedPageBreak/>
        <w:t xml:space="preserve">6.4 </w:t>
      </w:r>
      <w:r w:rsidR="00A54CAE" w:rsidRPr="00103A0B">
        <w:rPr>
          <w:rFonts w:ascii="Arial" w:hAnsi="Arial" w:cs="Arial"/>
          <w:sz w:val="28"/>
        </w:rPr>
        <w:t>Discussion</w:t>
      </w:r>
      <w:bookmarkEnd w:id="371"/>
    </w:p>
    <w:p w14:paraId="39E5EC86" w14:textId="09DE9085" w:rsidR="007C3391" w:rsidRPr="00103A0B" w:rsidRDefault="007C3391" w:rsidP="00F8219C">
      <w:pPr>
        <w:spacing w:line="360" w:lineRule="auto"/>
        <w:jc w:val="both"/>
        <w:rPr>
          <w:rFonts w:ascii="Arial" w:hAnsi="Arial" w:cs="Arial"/>
          <w:sz w:val="24"/>
          <w:szCs w:val="24"/>
        </w:rPr>
      </w:pPr>
      <w:r w:rsidRPr="00103A0B">
        <w:rPr>
          <w:rFonts w:ascii="Arial" w:hAnsi="Arial" w:cs="Arial"/>
          <w:sz w:val="24"/>
          <w:szCs w:val="24"/>
        </w:rPr>
        <w:t xml:space="preserve">Exploring the influences on whether people complete the NHSDPP is vital to improving retention rates and programme viability </w:t>
      </w:r>
      <w:r w:rsidRPr="00103A0B">
        <w:rPr>
          <w:rFonts w:ascii="Arial" w:hAnsi="Arial" w:cs="Arial"/>
          <w:sz w:val="24"/>
          <w:szCs w:val="24"/>
        </w:rPr>
        <w:fldChar w:fldCharType="begin" w:fldLock="1"/>
      </w:r>
      <w:r w:rsidR="008F31AE" w:rsidRPr="00103A0B">
        <w:rPr>
          <w:rFonts w:ascii="Arial" w:hAnsi="Arial" w:cs="Arial"/>
          <w:sz w:val="24"/>
          <w:szCs w:val="24"/>
        </w:rPr>
        <w:instrText>ADDIN CSL_CITATION {"citationItems":[{"id":"ITEM-1","itemData":{"ISBN":"1549-1277","ISSN":"15491676","PMID":"27404094","abstract":"BACKGROUND: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Medicine","id":"ITEM-1","issue":"7","issued":{"date-parts":[["2016"]]},"page":"e1002078","title":"Engagement, retention, and progression to type 2 diabetes: a retrospective analysis of the cluster-randomised \"Let's Prevent Diabetes\" trial","type":"article-journal","volume":"13"},"uris":["http://www.mendeley.com/documents/?uuid=34e3af29-349e-4120-a3cb-a3a7408ba3b4"]},{"id":"ITEM-2","itemData":{"DOI":"https://doi.org/10.1177/0890117119848985","author":[{"dropping-particle":"","family":"Alva","given":"M.L.","non-dropping-particle":"","parse-names":false,"suffix":""}],"container-title":"American Journal of Health Promotion","id":"ITEM-2","issue":"7","issued":{"date-parts":[["2019"]]},"page":"1067-72","title":"How much does attendance impact weight loss and health care spending in a diabetes prevention program serving older adults?","type":"article-journal","volume":"33"},"uris":["http://www.mendeley.com/documents/?uuid=ab27f0b0-3076-419f-87af-9f779434d81e"]}],"mendeley":{"formattedCitation":"(Alva, 2019a; Gray et al., 2016)","plainTextFormattedCitation":"(Alva, 2019a; Gray et al., 2016)","previouslyFormattedCitation":"(Alva, 2019a; Gray et al., 2016)"},"properties":{"noteIndex":0},"schema":"https://github.com/citation-style-language/schema/raw/master/csl-citation.json"}</w:instrText>
      </w:r>
      <w:r w:rsidRPr="00103A0B">
        <w:rPr>
          <w:rFonts w:ascii="Arial" w:hAnsi="Arial" w:cs="Arial"/>
          <w:sz w:val="24"/>
          <w:szCs w:val="24"/>
        </w:rPr>
        <w:fldChar w:fldCharType="separate"/>
      </w:r>
      <w:r w:rsidR="008F31AE" w:rsidRPr="00103A0B">
        <w:rPr>
          <w:rFonts w:ascii="Arial" w:hAnsi="Arial" w:cs="Arial"/>
          <w:noProof/>
          <w:sz w:val="24"/>
          <w:szCs w:val="24"/>
        </w:rPr>
        <w:t>(Alva, 2019a; Gray et al., 2016)</w:t>
      </w:r>
      <w:r w:rsidRPr="00103A0B">
        <w:rPr>
          <w:rFonts w:ascii="Arial" w:hAnsi="Arial" w:cs="Arial"/>
          <w:sz w:val="24"/>
          <w:szCs w:val="24"/>
        </w:rPr>
        <w:fldChar w:fldCharType="end"/>
      </w:r>
      <w:r w:rsidRPr="00103A0B">
        <w:rPr>
          <w:rFonts w:ascii="Arial" w:hAnsi="Arial" w:cs="Arial"/>
          <w:sz w:val="24"/>
          <w:szCs w:val="24"/>
        </w:rPr>
        <w:t xml:space="preserve">, especially among those from ethnically diverse backgrounds and/or from more deprived areas as they are at increased risk of developing T2DM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Open","id":"ITEM-1","issued":{"date-parts":[["2014"]]},"page":"e005002","title":"Prevalence of prediabetes in England from 2003 to 2011: population-based, cross-sectional study","type":"article-journal","volume":"4"},"uris":["http://www.mendeley.com/documents/?uuid=3d8c06b2-c467-4cfa-b523-36fc0982e568"]},{"id":"ITEM-2","itemData":{"DOI":"10.1016/j.pcd.2010.08.002","ISSN":"1751-9918","author":[{"dropping-particle":"","family":"Gholap","given":"Nitin","non-dropping-particle":"","parse-names":false,"suffix":""},{"dropping-particle":"","family":"Davies","given":"Melanie","non-dropping-particle":"","parse-names":false,"suffix":""},{"dropping-particle":"","family":"Patel","given":"Kiran","non-dropping-particle":"","parse-names":false,"suffix":""},{"dropping-particle":"","family":"Sattar","given":"Naveed","non-dropping-particle":"","parse-names":false,"suffix":""},{"dropping-particle":"","family":"Khunti","given":"Kamlesh","non-dropping-particle":"","parse-names":false,"suffix":""}],"container-title":"Primary Care Diabetes","id":"ITEM-2","issued":{"date-parts":[["2011"]]},"page":"45-56","publisher":"Primary Care Diabetes Europe","title":"Type 2 diabetes and cardiovascular disease in South Asians","type":"article-journal","volume":"5"},"uris":["http://www.mendeley.com/documents/?uuid=9d8ffa18-1c88-49ef-8e29-4ace97571aca"]}],"mendeley":{"formattedCitation":"(Gholap et al., 2011; Mainous III et al., 2014)","plainTextFormattedCitation":"(Gholap et al., 2011; Mainous III et al., 2014)","previouslyFormattedCitation":"(Gholap et al., 2011; Mainous III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(Gholap et al., 2011; Mainous III et al., 2014)</w:t>
      </w:r>
      <w:r w:rsidRPr="00103A0B">
        <w:rPr>
          <w:rFonts w:ascii="Arial" w:hAnsi="Arial" w:cs="Arial"/>
          <w:sz w:val="24"/>
          <w:szCs w:val="24"/>
        </w:rPr>
        <w:fldChar w:fldCharType="end"/>
      </w:r>
      <w:r w:rsidRPr="00103A0B">
        <w:rPr>
          <w:rFonts w:ascii="Arial" w:hAnsi="Arial" w:cs="Arial"/>
          <w:sz w:val="24"/>
          <w:szCs w:val="24"/>
        </w:rPr>
        <w:t xml:space="preserve">. The results demonstrate how having beliefs related to illness threat, perceptions of the programme, influence from family, friends, and others, making lifestyle changes, and practicalities can all influence NHSDPP completion. In addition, motivation can promote completion, and communication issues can result in non-completion. </w:t>
      </w:r>
    </w:p>
    <w:p w14:paraId="44AFADF7" w14:textId="3D2A8F2C" w:rsidR="007C3391" w:rsidRPr="00103A0B" w:rsidRDefault="007C3391" w:rsidP="00F8219C">
      <w:pPr>
        <w:spacing w:line="360" w:lineRule="auto"/>
        <w:jc w:val="both"/>
        <w:rPr>
          <w:rFonts w:ascii="Arial" w:hAnsi="Arial" w:cs="Arial"/>
          <w:sz w:val="24"/>
          <w:szCs w:val="24"/>
        </w:rPr>
      </w:pPr>
      <w:r w:rsidRPr="00103A0B">
        <w:rPr>
          <w:rFonts w:ascii="Arial" w:hAnsi="Arial" w:cs="Arial"/>
          <w:sz w:val="24"/>
          <w:szCs w:val="24"/>
        </w:rPr>
        <w:t xml:space="preserve">Completers discussed their motivation behind attending the NHSDPP due to not wanting to have </w:t>
      </w:r>
      <w:proofErr w:type="gramStart"/>
      <w:r w:rsidRPr="00103A0B">
        <w:rPr>
          <w:rFonts w:ascii="Arial" w:hAnsi="Arial" w:cs="Arial"/>
          <w:sz w:val="24"/>
          <w:szCs w:val="24"/>
        </w:rPr>
        <w:t>T2DM, and</w:t>
      </w:r>
      <w:proofErr w:type="gramEnd"/>
      <w:r w:rsidRPr="00103A0B">
        <w:rPr>
          <w:rFonts w:ascii="Arial" w:hAnsi="Arial" w:cs="Arial"/>
          <w:sz w:val="24"/>
          <w:szCs w:val="24"/>
        </w:rPr>
        <w:t xml:space="preserve"> focused on themselves making the changes to reduce risk. Non-completers did not discuss motivation. It is not surprising that completers would be more motivated to attend than non-completers as motivation is considered to be an important driver for behaviour change </w:t>
      </w:r>
      <w:r w:rsidRPr="00103A0B">
        <w:rPr>
          <w:rFonts w:ascii="Arial" w:hAnsi="Arial" w:cs="Arial"/>
          <w:sz w:val="24"/>
          <w:szCs w:val="24"/>
        </w:rPr>
        <w:fldChar w:fldCharType="begin" w:fldLock="1"/>
      </w:r>
      <w:r w:rsidR="00F8219C" w:rsidRPr="00103A0B">
        <w:rPr>
          <w:rFonts w:ascii="Arial" w:hAnsi="Arial" w:cs="Arial"/>
          <w:sz w:val="24"/>
          <w:szCs w:val="24"/>
        </w:rPr>
        <w:instrText>ADDIN CSL_CITATION {"citationItems":[{"id":"ITEM-1","itemData":{"author":[{"dropping-particle":"","family":"Michie","given":"S.","non-dropping-particle":"","parse-names":false,"suffix":""},{"dropping-particle":"","family":"Atkins","given":"L.","non-dropping-particle":"","parse-names":false,"suffix":""},{"dropping-particle":"","family":"West","given":"R.","non-dropping-particle":"","parse-names":false,"suffix":""}],"edition":"1st","id":"ITEM-1","issued":{"date-parts":[["2014"]]},"number-of-pages":"1003-10","publisher":"Silverback Publishing","publisher-place":"Great Britain","title":"The behaviour change wheel. a guide to designing interventions","type":"book"},"uris":["http://www.mendeley.com/documents/?uuid=fa4b5338-a450-4e25-bf88-a5b3be9e1c54"]}],"mendeley":{"formattedCitation":"(S. Michie et al., 2014)","manualFormatting":"(Michie et al., 2014)","plainTextFormattedCitation":"(S. Michie et al., 2014)","previouslyFormattedCitation":"(S. Michie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2014)</w:t>
      </w:r>
      <w:r w:rsidRPr="00103A0B">
        <w:rPr>
          <w:rFonts w:ascii="Arial" w:hAnsi="Arial" w:cs="Arial"/>
          <w:sz w:val="24"/>
          <w:szCs w:val="24"/>
        </w:rPr>
        <w:fldChar w:fldCharType="end"/>
      </w:r>
      <w:r w:rsidRPr="00103A0B">
        <w:rPr>
          <w:rFonts w:ascii="Arial" w:hAnsi="Arial" w:cs="Arial"/>
          <w:sz w:val="24"/>
          <w:szCs w:val="24"/>
        </w:rPr>
        <w:t xml:space="preserve">. Incentives to continue to motivate participants during the programme could be good ways to keep motivation high amongst participants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{"citationItems":[{"id":"ITEM-1","itemData":{"ISSN":"18728227","PMID":"32590009","abstract":"Background: Many countries worldwide have developed diabetes prevention programmes (DPPs) that involve lifestyle modification. Research has shown that uptake and retention of DPPs are important and by exploring recruitment strategies and behaviour change techniques (BCTs) used, factors that are most effective in promoting uptake and retention can be identified. Objectives: This review aims to identify recruitment strategies of group-based DPPs that are associated with high uptake and common BCTs associated with high retention. Methods: Papers were identified with a systematic literature search. Programmes that were predominantly group-based and involved lifestyle modification and in which uptake and/or retention could be determined, were included. Intervention details were extracted, recruitment strategies and BCTs identified, and response, uptake and retention rates were calculated. Results: A range of recruitment strategies were used making it difficult to discern associations with uptake rates. For BCTs, all programmes used a credible source, 81% used instruction on how to perform a behaviour and 71% used goal setting (behaviour). BCTs more commonly found in high retention programmes included problem-solving, demonstrating the behaviour, using behavioural practice and reducing negative emotions. Conclusions: Recommendations include that DPPs incorporate BCTs like problem-solving and demonstrating the behaviour to maximise retention.","author":[{"dropping-particle":"","family":"Begum","given":"S.","non-dropping-particle":"","parse-names":false,"suffix":""},{"dropping-particle":"","family":"Povey","given":"Rachel","non-dropping-particle":"","parse-names":false,"suffix":""},{"dropping-particle":"","family":"Ellis","given":"Naomi","non-dropping-particle":"","parse-names":false,"suffix":""},{"dropping-particle":"","family":"Gidlow","given":"Christopher","non-dropping-particle":"","parse-names":false,"suffix":""}],"container-title":"Diabetes Research and Clinical Practice","id":"ITEM-1","issued":{"date-parts":[["2020"]]},"page":"108273","publisher":"Elsevier B.V.","title":"A systematic review of recruitment strategies and behaviour change techniques in group-based diabetes prevention programmes focusing on uptake and retention","type":"article-journal","volume":"166"},"uris":["http://www.mendeley.com/documents/?uuid=03ce2dc0-3f18-4f55-8c0f-2007752fc2e2"]}],"mendeley":{"formattedCitation":"(S. Begum et al., 2020)","manualFormatting":"(Begum et al., 2020)","plainTextFormattedCitation":"(S. Begum et al., 2020)","previouslyFormattedCitation":"(Begum et al., 2020)"},"properties":{"noteIndex":0},"schema":"https://github.com/citation-style-language/schema/raw/master/csl-citation.json"}</w:instrText>
      </w:r>
      <w:r w:rsidRPr="00103A0B">
        <w:rPr>
          <w:rFonts w:ascii="Arial" w:hAnsi="Arial" w:cs="Arial"/>
          <w:sz w:val="24"/>
          <w:szCs w:val="24"/>
        </w:rPr>
        <w:fldChar w:fldCharType="separate"/>
      </w:r>
      <w:r w:rsidR="00591FE2" w:rsidRPr="00103A0B">
        <w:rPr>
          <w:rFonts w:ascii="Arial" w:hAnsi="Arial" w:cs="Arial"/>
          <w:noProof/>
          <w:sz w:val="24"/>
          <w:szCs w:val="24"/>
        </w:rPr>
        <w:t>(Begum et al., 2020)</w:t>
      </w:r>
      <w:r w:rsidRPr="00103A0B">
        <w:rPr>
          <w:rFonts w:ascii="Arial" w:hAnsi="Arial" w:cs="Arial"/>
          <w:sz w:val="24"/>
          <w:szCs w:val="24"/>
        </w:rPr>
        <w:fldChar w:fldCharType="end"/>
      </w:r>
      <w:r w:rsidRPr="00103A0B">
        <w:rPr>
          <w:rFonts w:ascii="Arial" w:hAnsi="Arial" w:cs="Arial"/>
          <w:sz w:val="24"/>
          <w:szCs w:val="24"/>
        </w:rPr>
        <w:t xml:space="preserve">. Some of the motivation for completers may come from their fear of and perceived severity of T2DM. Some fear can be helpful as a motivator to drive change, although this needs to be carefully managed. This supports research from other preventative health programmes which has found those who considered their condition as having less severe consequences are more likely to drop-out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Rehabilitation","id":"ITEM-1","issued":{"date-parts":[["2007"]]},"page":"222-229","title":"Predictors of drop-out from an outpatient cardiac rehabilitation programme","type":"article-journal","volume":"21"},"uris":["http://www.mendeley.com/documents/?uuid=1c9fcf5a-0df3-4220-a7bb-617e9a88b582"]},{"id":"ITEM-2","itemData":{"ISSN":"1359107X","PMID":"12804334","abstract":"Objective.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Psychology","id":"ITEM-2","issue":"2","issued":{"date-parts":[["2003"]]},"page":"209-221","title":"Illness perceptions, mood and coping in predicting attendance at cardiac rehabilitation","type":"article-journal","volume":"8"},"uris":["http://www.mendeley.com/documents/?uuid=2b23aeed-ebf4-4ab9-8528-f2beb3776198"]}],"mendeley":{"formattedCitation":"(Whitmarsh et al., 2003; Yohannes et al., 2007)","plainTextFormattedCitation":"(Whitmarsh et al., 2003; Yohannes et al., 2007)","previouslyFormattedCitation":"(Whitmarsh et al., 2003; Yohannes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(Whitmarsh et al., 2003; Yohannes et al., 2007)</w:t>
      </w:r>
      <w:r w:rsidRPr="00103A0B">
        <w:rPr>
          <w:rFonts w:ascii="Arial" w:hAnsi="Arial" w:cs="Arial"/>
          <w:sz w:val="24"/>
          <w:szCs w:val="24"/>
        </w:rPr>
        <w:fldChar w:fldCharType="end"/>
      </w:r>
      <w:r w:rsidRPr="00103A0B">
        <w:rPr>
          <w:rFonts w:ascii="Arial" w:hAnsi="Arial" w:cs="Arial"/>
          <w:sz w:val="24"/>
          <w:szCs w:val="24"/>
        </w:rPr>
        <w:t xml:space="preserve">. </w:t>
      </w:r>
    </w:p>
    <w:p w14:paraId="22B1BC0B" w14:textId="118242A2" w:rsidR="007C3391" w:rsidRPr="00103A0B" w:rsidRDefault="007C3391" w:rsidP="00F8219C">
      <w:pPr>
        <w:spacing w:line="360" w:lineRule="auto"/>
        <w:jc w:val="both"/>
        <w:rPr>
          <w:rFonts w:ascii="Arial" w:hAnsi="Arial" w:cs="Arial"/>
          <w:sz w:val="24"/>
          <w:szCs w:val="24"/>
        </w:rPr>
      </w:pPr>
      <w:r w:rsidRPr="00103A0B">
        <w:rPr>
          <w:rFonts w:ascii="Arial" w:hAnsi="Arial" w:cs="Arial"/>
          <w:sz w:val="24"/>
          <w:szCs w:val="24"/>
        </w:rPr>
        <w:t xml:space="preserve">Other influences on completion are associated with the programme itself. For example, both completers and non-completers expressed that they had learnt how to reduce their T2DM risk and felt their blood sugar levels had gone back to normal.  Yet despite this improvement, some people did not complete the programme. One reason may be that non-completers may have felt confident in making lifestyle changes to reduce their risk, and therefore perceived they no longer needed the programme. This would accord with evidence that participants with higher self-efficacy levels are less likely to complete diabetes prevention programmes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egum","given":"S.","non-dropping-particle":"","parse-names":false,"suffix":""},{"dropping-particle":"","family":"Gidlow","given":"C.","non-dropping-particle":"","parse-names":false,"suffix":""},{"dropping-particle":"","family":"Povey","given":"R.","non-dropping-particle":"","parse-names":false,"suffix":""},{"dropping-particle":"","family":"Chadwick","given":"P.","non-dropping-particle":"","parse-names":false,"suffix":""},{"dropping-particle":"","family":"Ellis","given":"N.","non-dropping-particle":"","parse-names":false,"suffix":""}],"container-title":"Diabetic Medicine- clinical care and other categories posters: Education and self-management","id":"ITEM-1","issued":{"date-parts":[["2021"]]},"page":"53-64","title":"The effects of illness perceptions, self-efficacy and mental wellbeing scores on uptake and completion of a diabetes prevention programme in England","type":"paper-conference"},"uris":["http://www.mendeley.com/documents/?uuid=dd2b357f-679b-4baf-844c-5e88592fb063"]}],"mendeley":{"formattedCitation":"(S. Begum et al., 2021)","manualFormatting":"(Begum et al., 2021)","plainTextFormattedCitation":"(S. Begum et al., 2021)","previouslyFormattedCitation":"(Begum et al., 2021)"},"properties":{"noteIndex":0},"schema":"https://github.com/citation-style-language/schema/raw/master/csl-citation.json"}</w:instrText>
      </w:r>
      <w:r w:rsidRPr="00103A0B">
        <w:rPr>
          <w:rFonts w:ascii="Arial" w:hAnsi="Arial" w:cs="Arial"/>
          <w:sz w:val="24"/>
          <w:szCs w:val="24"/>
        </w:rPr>
        <w:fldChar w:fldCharType="separate"/>
      </w:r>
      <w:r w:rsidR="00591FE2" w:rsidRPr="00103A0B">
        <w:rPr>
          <w:rFonts w:ascii="Arial" w:hAnsi="Arial" w:cs="Arial"/>
          <w:noProof/>
          <w:sz w:val="24"/>
          <w:szCs w:val="24"/>
        </w:rPr>
        <w:t>(Begum et al., 2021)</w:t>
      </w:r>
      <w:r w:rsidRPr="00103A0B">
        <w:rPr>
          <w:rFonts w:ascii="Arial" w:hAnsi="Arial" w:cs="Arial"/>
          <w:sz w:val="24"/>
          <w:szCs w:val="24"/>
        </w:rPr>
        <w:fldChar w:fldCharType="end"/>
      </w:r>
      <w:r w:rsidRPr="00103A0B">
        <w:rPr>
          <w:rFonts w:ascii="Arial" w:hAnsi="Arial" w:cs="Arial"/>
          <w:sz w:val="24"/>
          <w:szCs w:val="24"/>
        </w:rPr>
        <w:t xml:space="preserve">. </w:t>
      </w:r>
    </w:p>
    <w:p w14:paraId="1787A746" w14:textId="2E4C2781" w:rsidR="007C3391" w:rsidRPr="00103A0B" w:rsidRDefault="007C3391" w:rsidP="00F8219C">
      <w:pPr>
        <w:spacing w:line="360" w:lineRule="auto"/>
        <w:jc w:val="both"/>
        <w:rPr>
          <w:rFonts w:ascii="Arial" w:hAnsi="Arial" w:cs="Arial"/>
          <w:sz w:val="24"/>
          <w:szCs w:val="24"/>
        </w:rPr>
      </w:pPr>
      <w:r w:rsidRPr="00103A0B">
        <w:rPr>
          <w:rFonts w:ascii="Arial" w:hAnsi="Arial" w:cs="Arial"/>
          <w:sz w:val="24"/>
          <w:szCs w:val="24"/>
        </w:rPr>
        <w:t xml:space="preserve">Also relating to the programme, some non-completers discussed how negative experiences of their instructor, other group members or unmet programme </w:t>
      </w:r>
      <w:r w:rsidRPr="00103A0B">
        <w:rPr>
          <w:rFonts w:ascii="Arial" w:hAnsi="Arial" w:cs="Arial"/>
          <w:sz w:val="24"/>
          <w:szCs w:val="24"/>
        </w:rPr>
        <w:lastRenderedPageBreak/>
        <w:t xml:space="preserve">expectations and needs led them </w:t>
      </w:r>
      <w:proofErr w:type="gramStart"/>
      <w:r w:rsidRPr="00103A0B">
        <w:rPr>
          <w:rFonts w:ascii="Arial" w:hAnsi="Arial" w:cs="Arial"/>
          <w:sz w:val="24"/>
          <w:szCs w:val="24"/>
        </w:rPr>
        <w:t>to</w:t>
      </w:r>
      <w:proofErr w:type="gramEnd"/>
      <w:r w:rsidRPr="00103A0B">
        <w:rPr>
          <w:rFonts w:ascii="Arial" w:hAnsi="Arial" w:cs="Arial"/>
          <w:sz w:val="24"/>
          <w:szCs w:val="24"/>
        </w:rPr>
        <w:t xml:space="preserve"> not complete. This contrasts with completers in this study who had an overall positive programme experience with their groups and instructors. Positive social influences of group-based delivery such as having a supportive leader, are important influences of continued engagement in group-based weight management programmes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Gidlow","given":"C.","non-dropping-particle":"","parse-names":false,"suffix":""},{"dropping-particle":"","family":"Povey","given":"R.","non-dropping-particle":"","parse-names":false,"suffix":""},{"dropping-particle":"","family":"Ellis","given":"N.","non-dropping-particle":"","parse-names":false,"suffix":""},{"dropping-particle":"","family":"Begum","given":"S.","non-dropping-particle":"","parse-names":false,"suffix":""},{"dropping-particle":"","family":"Riley","given":"V.","non-dropping-particle":"","parse-names":false,"suffix":""},{"dropping-particle":"","family":"Chadwick","given":"P.","non-dropping-particle":"","parse-names":false,"suffix":""},{"dropping-particle":"","family":"Chadborn","given":"T.","non-dropping-particle":"","parse-names":false,"suffix":""},{"dropping-particle":"","family":"Gold","given":"N.","non-dropping-particle":"","parse-names":false,"suffix":""}],"id":"ITEM-1","issued":{"date-parts":[["2018"]]},"number-of-pages":"1-92","title":"Uptake and retention in group-based weight-management services","type":"report"},"uris":["http://www.mendeley.com/documents/?uuid=61411186-5f6d-4d8e-9f1a-27b3c50aa121"]}],"mendeley":{"formattedCitation":"(Gidlow et al., 2018)","plainTextFormattedCitation":"(Gidlow et al., 2018)","previouslyFormattedCitation":"(Gidlow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(Gidlow et al., 2018)</w:t>
      </w:r>
      <w:r w:rsidRPr="00103A0B">
        <w:rPr>
          <w:rFonts w:ascii="Arial" w:hAnsi="Arial" w:cs="Arial"/>
          <w:sz w:val="24"/>
          <w:szCs w:val="24"/>
        </w:rPr>
        <w:fldChar w:fldCharType="end"/>
      </w:r>
      <w:r w:rsidRPr="00103A0B">
        <w:rPr>
          <w:rFonts w:ascii="Arial" w:hAnsi="Arial" w:cs="Arial"/>
          <w:sz w:val="24"/>
          <w:szCs w:val="24"/>
        </w:rPr>
        <w:t xml:space="preserve">. Ensuring that the group instructor is supportive, and  activities are included that encourage support between group members is essential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Gidlow","given":"C.","non-dropping-particle":"","parse-names":false,"suffix":""},{"dropping-particle":"","family":"Povey","given":"R.","non-dropping-particle":"","parse-names":false,"suffix":""},{"dropping-particle":"","family":"Ellis","given":"N.","non-dropping-particle":"","parse-names":false,"suffix":""},{"dropping-particle":"","family":"Begum","given":"S.","non-dropping-particle":"","parse-names":false,"suffix":""},{"dropping-particle":"","family":"Riley","given":"V.","non-dropping-particle":"","parse-names":false,"suffix":""},{"dropping-particle":"","family":"Chadwick","given":"P.","non-dropping-particle":"","parse-names":false,"suffix":""},{"dropping-particle":"","family":"Chadborn","given":"T.","non-dropping-particle":"","parse-names":false,"suffix":""},{"dropping-particle":"","family":"Gold","given":"N.","non-dropping-particle":"","parse-names":false,"suffix":""}],"id":"ITEM-1","issued":{"date-parts":[["2018"]]},"number-of-pages":"1-92","title":"Uptake and retention in group-based weight-management services","type":"report"},"uris":["http://www.mendeley.com/documents/?uuid=61411186-5f6d-4d8e-9f1a-27b3c50aa121"]}],"mendeley":{"formattedCitation":"(Gidlow et al., 2018)","plainTextFormattedCitation":"(Gidlow et al., 2018)","previouslyFormattedCitation":"(Gidlow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(Gidlow et al., 2018)</w:t>
      </w:r>
      <w:r w:rsidRPr="00103A0B">
        <w:rPr>
          <w:rFonts w:ascii="Arial" w:hAnsi="Arial" w:cs="Arial"/>
          <w:sz w:val="24"/>
          <w:szCs w:val="24"/>
        </w:rPr>
        <w:fldChar w:fldCharType="end"/>
      </w:r>
      <w:r w:rsidRPr="00103A0B">
        <w:rPr>
          <w:rFonts w:ascii="Arial" w:hAnsi="Arial" w:cs="Arial"/>
          <w:sz w:val="24"/>
          <w:szCs w:val="24"/>
        </w:rPr>
        <w:t xml:space="preserve">. </w:t>
      </w:r>
    </w:p>
    <w:p w14:paraId="4A28E186" w14:textId="5E769618" w:rsidR="007C3391" w:rsidRPr="00103A0B" w:rsidRDefault="007C3391" w:rsidP="00F8219C">
      <w:pPr>
        <w:spacing w:line="360" w:lineRule="auto"/>
        <w:jc w:val="both"/>
        <w:rPr>
          <w:rFonts w:ascii="Arial" w:hAnsi="Arial" w:cs="Arial"/>
          <w:sz w:val="24"/>
          <w:szCs w:val="24"/>
        </w:rPr>
      </w:pPr>
      <w:r w:rsidRPr="00103A0B">
        <w:rPr>
          <w:rFonts w:ascii="Arial" w:hAnsi="Arial" w:cs="Arial"/>
          <w:sz w:val="24"/>
          <w:szCs w:val="24"/>
        </w:rPr>
        <w:t xml:space="preserve">Communication was an important theme for non-completers as they experienced difficulties with miscommunication with the venue or session times, reflecting other findings </w:t>
      </w:r>
      <w:r w:rsidRPr="00103A0B">
        <w:rPr>
          <w:rFonts w:ascii="Arial" w:hAnsi="Arial" w:cs="Arial"/>
          <w:sz w:val="24"/>
          <w:szCs w:val="24"/>
        </w:rPr>
        <w:fldChar w:fldCharType="begin" w:fldLock="1"/>
      </w:r>
      <w:r w:rsidR="00F8219C" w:rsidRPr="00103A0B">
        <w:rPr>
          <w:rFonts w:ascii="Arial" w:hAnsi="Arial" w:cs="Arial"/>
          <w:sz w:val="24"/>
          <w:szCs w:val="24"/>
        </w:rPr>
        <w:instrText>ADDIN CSL_CITATION {"citationItems":[{"id":"ITEM-1","itemData":{"ISSN":"14726963","PMID":"33246460","abstract":"Background: The NHS Diabetes Prevention Programme (NHS-DPP) is a nine-month, group-based behavioural intervention for adults in England at risk of developing Type 2 diabetes. Four independent providers were commissioned to deliver versions of the NHS-DPP, in line with NHS England specifications. This observational study maps NHS-DPP delivery in routine practice against the NHS specification, and compares service delivery with observed patient experiences. Methods: Researchers observed service delivery across eight complete NHS-DPP courses (118 sessions, median 14 sessions per course), consenting 455 participants (36 staff, 398 patients, 21 accompanying persons). Key features of NHS-DPP delivery were described using the Template for Intervention Description and Replication (TIDieR) framework. Researchers wrote detailed field notes during each session, including observations of patient experience. Field notes were content analysed; instances of positive and negative experiences were labelled and grouped into categories. Researchers used a novel method of comparing observed patient experiences to variations in programme delivery. Results: Delivery broadly followed NHS England’s specification and the plans set out by providers. Deviations included the scheduling and larger group sizes in some sessions. There was variation in the type and format of activities delivered by providers. Positive patient experiences included engagement, satisfaction with the programme, good within-group relationships and reported behavioural changes. Negative experiences included poor scheduling, large groups, and dissatisfaction with the venue. Where more interactive and visual activities were delivered in smaller groups of 10–15 people with good rapport, there were generally more instances of positive patient experiences, and where there were structural issues such as problems with the scheduling of sessions, poor venues and inadequate resources, there tended to be more negative patient experiences. Conclusions: Addressing issues that we have identified as being linked to negative experiences with the NHS-DPP could increase uptake, reduce patient drop-out and increase the overall effectiveness of the programme. In particular, modifying structural aspects of the NHS-DPP (e.g. reliable session scheduling, reducing group sizes, enough session resources) and increasing interaction appear particularly promising for improving these outcomes.","author":[{"dropping-particle":"","family":"Hawkes","given":"R.E.","non-dropping-particle":"","parse-names":false,"suffix":""},{"dropping-particle":"","family":"Cameron","given":"Elaine","non-dropping-particle":"","parse-names":false,"suffix":""},{"dropping-particle":"","family":"Cotterill","given":"Sarah","non-dropping-particle":"","parse-names":false,"suffix":""},{"dropping-particle":"","family":"Bower","given":"Peter","non-dropping-particle":"","parse-names":false,"suffix":""},{"dropping-particle":"","family":"French","given":"David P.","non-dropping-particle":"","parse-names":false,"suffix":""}],"container-title":"BMC Health Services Research","id":"ITEM-1","issued":{"date-parts":[["2020"]]},"page":"1098","publisher":"BMC Health Services Research","title":"The NHS diabetes prevention programme: an observational study of service delivery and patient experience","type":"article-journal","volume":"20"},"uris":["http://www.mendeley.com/documents/?uuid=144b4659-423e-454d-8d8d-99a99782d903"]}],"mendeley":{"formattedCitation":"(R.E. Hawkes et al., 2020)","manualFormatting":"(Hawkes et al., 2020)","plainTextFormattedCitation":"(R.E. Hawkes et al., 2020)","previouslyFormattedCitation":"(R.E. Hawkes et al., 2020)"},"properties":{"noteIndex":0},"schema":"https://github.com/citation-style-language/schema/raw/master/csl-citation.json"}</w:instrText>
      </w:r>
      <w:r w:rsidRPr="00103A0B">
        <w:rPr>
          <w:rFonts w:ascii="Arial" w:hAnsi="Arial" w:cs="Arial"/>
          <w:sz w:val="24"/>
          <w:szCs w:val="24"/>
        </w:rPr>
        <w:fldChar w:fldCharType="separate"/>
      </w:r>
      <w:r w:rsidR="007C66BC" w:rsidRPr="00103A0B">
        <w:rPr>
          <w:rFonts w:ascii="Arial" w:hAnsi="Arial" w:cs="Arial"/>
          <w:noProof/>
          <w:sz w:val="24"/>
          <w:szCs w:val="24"/>
        </w:rPr>
        <w:t>(Hawkes et al., 2020)</w:t>
      </w:r>
      <w:r w:rsidRPr="00103A0B">
        <w:rPr>
          <w:rFonts w:ascii="Arial" w:hAnsi="Arial" w:cs="Arial"/>
          <w:sz w:val="24"/>
          <w:szCs w:val="24"/>
        </w:rPr>
        <w:fldChar w:fldCharType="end"/>
      </w:r>
      <w:r w:rsidRPr="00103A0B">
        <w:rPr>
          <w:rFonts w:ascii="Arial" w:hAnsi="Arial" w:cs="Arial"/>
          <w:sz w:val="24"/>
          <w:szCs w:val="24"/>
        </w:rPr>
        <w:t xml:space="preserve">. Taking into consideration that participants in this study were from an ethnically diverse group, and for some, English may have not been their first language, appropriate communication is even more important for this group. Programme organisers need to ensure that communication strategies are in place and on a practical level, participants are aware in advance of any changes to sessions times and or/venue. </w:t>
      </w:r>
    </w:p>
    <w:p w14:paraId="1D60BB42" w14:textId="1FD39B4A" w:rsidR="007C3391" w:rsidRPr="00103A0B" w:rsidRDefault="007C3391" w:rsidP="00F8219C">
      <w:pPr>
        <w:spacing w:line="360" w:lineRule="auto"/>
        <w:jc w:val="both"/>
        <w:rPr>
          <w:rFonts w:ascii="Arial" w:hAnsi="Arial" w:cs="Arial"/>
          <w:sz w:val="24"/>
          <w:szCs w:val="24"/>
        </w:rPr>
      </w:pPr>
      <w:r w:rsidRPr="00103A0B">
        <w:rPr>
          <w:rFonts w:ascii="Arial" w:hAnsi="Arial" w:cs="Arial"/>
          <w:sz w:val="24"/>
          <w:szCs w:val="24"/>
        </w:rPr>
        <w:t xml:space="preserve">Completers and non-completers made positive lifestyle changes which is in line with NHSDPP research </w:t>
      </w:r>
      <w:r w:rsidRPr="00103A0B">
        <w:rPr>
          <w:rFonts w:ascii="Arial" w:hAnsi="Arial" w:cs="Arial"/>
          <w:sz w:val="24"/>
          <w:szCs w:val="24"/>
        </w:rPr>
        <w:fldChar w:fldCharType="begin" w:fldLock="1"/>
      </w:r>
      <w:r w:rsidR="007C66BC" w:rsidRPr="00103A0B">
        <w:rPr>
          <w:rFonts w:ascii="Arial" w:hAnsi="Arial" w:cs="Arial"/>
          <w:sz w:val="24"/>
          <w:szCs w:val="24"/>
        </w:rPr>
        <w:instrText>ADDIN CSL_CITATION {"citationItems":[{"id":"ITEM-1","itemData":{"ISSN":"14726963","PMID":"33246460","abstract":"Background: The NHS Diabetes Prevention Programme (NHS-DPP) is a nine-month, group-based behavioural intervention for adults in England at risk of developing Type 2 diabetes. Four independent providers were commissioned to deliver versions of the NHS-DPP, in line with NHS England specifications. This observational study maps NHS-DPP delivery in routine practice against the NHS specification, and compares service delivery with observed patient experiences. Methods: Researchers observed service delivery across eight complete NHS-DPP courses (118 sessions, median 14 sessions per course), consenting 455 participants (36 staff, 398 patients, 21 accompanying persons). Key features of NHS-DPP delivery were described using the Template for Intervention Description and Replication (TIDieR) framework. Researchers wrote detailed field notes during each session, including observations of patient experience. Field notes were content analysed; instances of positive and negative experiences were labelled and grouped into categories. Researchers used a novel method of comparing observed patient experiences to variations in programme delivery. Results: Delivery broadly followed NHS England’s specification and the plans set out by providers. Deviations included the scheduling and larger group sizes in some sessions. There was variation in the type and format of activities delivered by providers. Positive patient experiences included engagement, satisfaction with the programme, good within-group relationships and reported behavioural changes. Negative experiences included poor scheduling, large groups, and dissatisfaction with the venue. Where more interactive and visual activities were delivered in smaller groups of 10–15 people with good rapport, there were generally more instances of positive patient experiences, and where there were structural issues such as problems with the scheduling of sessions, poor venues and inadequate resources, there tended to be more negative patient experiences. Conclusions: Addressing issues that we have identified as being linked to negative experiences with the NHS-DPP could increase uptake, reduce patient drop-out and increase the overall effectiveness of the programme. In particular, modifying structural aspects of the NHS-DPP (e.g. reliable session scheduling, reducing group sizes, enough session resources) and increasing interaction appear particularly promising for improving these outcomes.","author":[{"dropping-particle":"","family":"Hawkes","given":"R.E.","non-dropping-particle":"","parse-names":false,"suffix":""},{"dropping-particle":"","family":"Cameron","given":"Elaine","non-dropping-particle":"","parse-names":false,"suffix":""},{"dropping-particle":"","family":"Cotterill","given":"Sarah","non-dropping-particle":"","parse-names":false,"suffix":""},{"dropping-particle":"","family":"Bower","given":"Peter","non-dropping-particle":"","parse-names":false,"suffix":""},{"dropping-particle":"","family":"French","given":"David P.","non-dropping-particle":"","parse-names":false,"suffix":""}],"container-title":"BMC Health Services Research","id":"ITEM-1","issued":{"date-parts":[["2020"]]},"page":"1098","publisher":"BMC Health Services Research","title":"The NHS diabetes prevention programme: an observational study of service delivery and patient experience","type":"article-journal","volume":"20"},"uris":["http://www.mendeley.com/documents/?uuid=144b4659-423e-454d-8d8d-99a99782d903"]}],"mendeley":{"formattedCitation":"(R.E. Hawkes et al., 2020)","manualFormatting":"(Hawkes, Cameron, Cotterill, et al., 2020)","plainTextFormattedCitation":"(R.E. Hawkes et al., 2020)","previouslyFormattedCitation":"(R.E. Hawkes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(Hawkes, Cameron, Cotterill, et al., 2020)</w:t>
      </w:r>
      <w:r w:rsidRPr="00103A0B">
        <w:rPr>
          <w:rFonts w:ascii="Arial" w:hAnsi="Arial" w:cs="Arial"/>
          <w:sz w:val="24"/>
          <w:szCs w:val="24"/>
        </w:rPr>
        <w:fldChar w:fldCharType="end"/>
      </w:r>
      <w:r w:rsidRPr="00103A0B">
        <w:rPr>
          <w:rFonts w:ascii="Arial" w:hAnsi="Arial" w:cs="Arial"/>
          <w:sz w:val="24"/>
          <w:szCs w:val="24"/>
        </w:rPr>
        <w:t xml:space="preserve">. Despite making these changes, it seems like completers were still motivated to continue attending the programme whereas non-completers left due to possibly feeling they have already made the required lifestyle changes, thus no longer needing to complete the programme. Instructors could emphasise during their sessions the importance of completing the programme to ensure they are able to fully benefit from it.  </w:t>
      </w:r>
    </w:p>
    <w:p w14:paraId="22FC83D5" w14:textId="4D6A2A8C" w:rsidR="007C3391" w:rsidRPr="00103A0B" w:rsidRDefault="007C3391" w:rsidP="00F8219C">
      <w:pPr>
        <w:spacing w:line="360" w:lineRule="auto"/>
        <w:jc w:val="both"/>
        <w:rPr>
          <w:rFonts w:ascii="Arial" w:hAnsi="Arial" w:cs="Arial"/>
          <w:sz w:val="24"/>
          <w:szCs w:val="24"/>
        </w:rPr>
      </w:pPr>
      <w:r w:rsidRPr="00103A0B">
        <w:rPr>
          <w:rFonts w:ascii="Arial" w:hAnsi="Arial" w:cs="Arial"/>
          <w:sz w:val="24"/>
          <w:szCs w:val="24"/>
        </w:rPr>
        <w:t xml:space="preserve">Both completers and non-completers discussed influence from their family members such as family members having T2DM, which supports evidence that family members’ T2DM affects completion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{"citationItems":[{"id":"ITEM-1","itemData":{"abstract":"It has been shown that real-life implementation studies for the prevention of type 2 diabetes (DM2) performed in different settings and populations can be effective. However, not enough information is available on factors influencing the reach of DM2 prevention programmes. This study examines the predictors of completing an intervention programme targeted at people at high risk of DM2 in Krakow, Poland as part of the DE-PLAN project.A total of 262 middle-aged people, everyday patients of 9 general practitioners' (GP) practices, at high risk of DM2 (Finnish Diabetes Risk Score (FINDRISK) &gt;14) agreed to participate in the lifestyle intervention to prevent DM2. Intervention consisted of 11 lifestyle counseling sessions, organized physical activity sessions followed by motivational phone calls and letters. Measurements were performed at baseline and 1 year after the initiation of the intervention.Seventy percent of the study participants enrolled completed the core curriculum (n = 184), 22% were men. When compared to noncompleters, completers had a healthier baseline diabetes risk profile (P &lt;.05). People who completed the intervention were less frequently employed versus noncompleters (P = .037), less often had hypertension (P = .043), and more frequently consumed vegetables and fruit daily (P = .055).In multiple logistic regression model, employment reduced the likelihood of completing the intervention 2 times (odds ratio [OR] 0.45, 95% confidence interval [CI] 0.25-0.81). Higher glucose 2 hours after glucose load and hypertension were the independent factors decreasing the chance to participate in the intervention (OR 0.79, 95% 0.69-0.92 and OR 0.52, 95% CI 0.27-0.99, respectively). Daily consumption of vegetables and fruits increased the likelihood of completing the intervention (OR 1.86, 95% 1.01-3.41).In conclusion, people with healthier behavior and risk profile are more predisposed to complete diabetes prevention interventions. Male, those who work and those with a worse health profile, are less likely to participate and complete interventions. Targeted strategies are needed in real-life diabetes prevention interventions to improve male participation and to reach those who are working as well as people with a higher risk profile.;","author":[{"dropping-particle":"","family":"Gilis-Januszewska","given":"Aleksandra","non-dropping-particle":"","parse-names":false,"suffix":""},{"dropping-particle":"","family":"Lindström","given":"Jaana","non-dropping-particle":"","parse-names":false,"suffix":""},{"dropping-particle":"","family":"Barengo","given":"Noël C","non-dropping-particle":"","parse-names":false,"suffix":""},{"dropping-particle":"","family":"Tuomilehto","given":"Jaakko","non-dropping-particle":"","parse-names":false,"suffix":""},{"dropping-particle":"","family":"Schwarz","given":"Peter Eh","non-dropping-particle":"","parse-names":false,"suffix":""},{"dropping-particle":"","family":"Wójtowicz","given":"Ewa","non-dropping-particle":"","parse-names":false,"suffix":""},{"dropping-particle":"","family":"Piwońska-Solska","given":"Beat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Medicine","id":"ITEM-1","issue":"5","issued":{"date-parts":[["2018"]]},"note":"Accession Number: 29384876. Language: English. Date Revised: 20180221. Date Created: 20180201. Date Completed: 20180209. Update Code: 20180221. Publication Type: Journal Article. Journal ID: 2985248R. Publication Model: Print. Cited Medium: Internet. NLM ISO Abbr: Medicine (Baltimore). Comment: Cites: Prim Care Diabetes. 2015 Apr;9(2):96-104. (PMID: 25128324). Cites: BMC Med Res Methodol. 2014 Jan 24;14:13. (PMID: 24461045). Cites: Scand J Work Environ Health. 2010 May;36(3):202-15. (PMID: 20066386). Cites: Diabetes Care. 2003 Dec;26(12):3230-6. (PMID: 14633807). Cites: Diabet Med. 2010 Apr;27(4):459-65. (PMID: 20536519). Cites: Horm Metab Res. 2010 Apr;42 Suppl 1:S37-55. (PMID: 20391307). Cites: Obes Rev. 2005 Feb;6(1):43-65. (PMID: 15655038). Cites: Prim Care Diabetes. 2012 Dec;6(4):277-83. (PMID: 22868007). Cites: BMC Public Health. 2017 Feb 15;17 (1):198. (PMID: 28202029). Cites: Diabetes Care. 2007 Oct;30(10):2465-70. (PMID: 17586741). Cites: Horm Metab Res. 2010 Apr;42 Suppl 1:S3-36. (PMID: 20391306). Cites: Diabetes Care. 2014 Apr;37(4):922-33. (PMID: 24652723). Cites: Am J Prev Med. 2009 Oct;37(4):340-57. (PMID: 19765507). Cites: BMC Health Serv Res. 2013 May 31;13:201. (PMID: 23725521). Cites: Exp Clin Endocrinol Diabetes. 2008 Mar;116(3):167-72. (PMID: 18350480). Cites: Metabolism. 2013 Feb;62(2):303-14. (PMID: 22959500). Cites: J Med Internet Res. 2015 Apr 10;17(4):e92. (PMID: 25863515). Cites: Am J Prev Med. 2007 May;32(5):419-34. (PMID: 17478269). Cites: BMC Health Serv Res. 2008 Feb 04;8:33. (PMID: 18248673). Cites: J Cardiovasc Nurs. 2006 Jul-Aug;21(4):251-8; quiz 259-60. (PMID: 16823276). Cites: Diabetologia. 2012 May;55(5):1319-28. (PMID: 22322921). Cites: Diabetes. 1997 Apr;46(4):701-10. (PMID: 9075814). Cites: N Engl J Med. 2001 May 3;344(18):1343-50. (PMID: 11333990). Cites: Health Educ Res. 2009 Aug;24(4):699-720. (PMID: 19286893). Cites: BMC Public Health. 2012 Sep 24;12:822. (PMID: 23006577). Cites: BMC Public Health. 2007 Sep 19;7:249. (PMID: 17877832). Cites: N Engl J Med. 2002 Feb 7;346(6):393-403. (PMID: 11832527). Cites: Addict Behav. 1996 Jul-Aug;21(4):509-13. (PMID: 8830908). Cites: Am J Prev Med. 2009 Feb;36(2):142-9. (PMID: 19062240). Cites: Diabet Med. 2013 Jan;30(1):3-15. (PMID: 22998334). Cites: Diabetes Res Clin Pract. 2016 Feb;112:13-19. (PMID: 26724186). Linking ISSN: 00257974. Subset: AIM; IM; Date of Electronic Publication: 20180201. ; Original Imprints: Publication: Hagerstown, Md : Lippincott Williams &amp;amp; Wilkins","page":"e9790","title":"Predictors of completing a primary health care diabetes prevention intervention programme in people at high risk of type 2 diabetes: experiences of the DE-PLAN project.","type":"article-journal","volume":"97"},"uris":["http://www.mendeley.com/documents/?uuid=57445cef-4f0f-4d72-8634-76a2864ec486"]}],"mendeley":{"formattedCitation":"(Gilis-Januszewska, Lindström, et al., 2018)","plainTextFormattedCitation":"(Gilis-Januszewska, Lindström, et al., 2018)","previouslyFormattedCitation":"(Gilis-Januszewska, Lindström,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(Gilis-Januszewska, Lindström, et al., 2018)</w:t>
      </w:r>
      <w:r w:rsidRPr="00103A0B">
        <w:rPr>
          <w:rFonts w:ascii="Arial" w:hAnsi="Arial" w:cs="Arial"/>
          <w:sz w:val="24"/>
          <w:szCs w:val="24"/>
        </w:rPr>
        <w:fldChar w:fldCharType="end"/>
      </w:r>
      <w:r w:rsidRPr="00103A0B">
        <w:rPr>
          <w:rFonts w:ascii="Arial" w:hAnsi="Arial" w:cs="Arial"/>
          <w:sz w:val="24"/>
          <w:szCs w:val="24"/>
        </w:rPr>
        <w:t xml:space="preserve">. Some non-completers also discussed family responsibilities which may influence practicalities of attending and feed into decisions regarding availability and timing of sessions. Non-completers expressed how friends and others do not know what T2DM is, so they are giving advice or sharing knowledge, which is positive if they feel empowered to share their learning and knowledge from the programme. However it may also suggest limited support and understanding from social networks which has been found to be a </w:t>
      </w:r>
      <w:r w:rsidRPr="00103A0B">
        <w:rPr>
          <w:rFonts w:ascii="Arial" w:hAnsi="Arial" w:cs="Arial"/>
          <w:sz w:val="24"/>
          <w:szCs w:val="24"/>
        </w:rPr>
        <w:lastRenderedPageBreak/>
        <w:t xml:space="preserve">barrier to continued engagement with group-based weight management programmes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Gidlow","given":"C.","non-dropping-particle":"","parse-names":false,"suffix":""},{"dropping-particle":"","family":"Povey","given":"R.","non-dropping-particle":"","parse-names":false,"suffix":""},{"dropping-particle":"","family":"Ellis","given":"N.","non-dropping-particle":"","parse-names":false,"suffix":""},{"dropping-particle":"","family":"Begum","given":"S.","non-dropping-particle":"","parse-names":false,"suffix":""},{"dropping-particle":"","family":"Riley","given":"V.","non-dropping-particle":"","parse-names":false,"suffix":""},{"dropping-particle":"","family":"Chadwick","given":"P.","non-dropping-particle":"","parse-names":false,"suffix":""},{"dropping-particle":"","family":"Chadborn","given":"T.","non-dropping-particle":"","parse-names":false,"suffix":""},{"dropping-particle":"","family":"Gold","given":"N.","non-dropping-particle":"","parse-names":false,"suffix":""}],"id":"ITEM-1","issued":{"date-parts":[["2018"]]},"number-of-pages":"1-92","title":"Uptake and retention in group-based weight-management services","type":"report"},"uris":["http://www.mendeley.com/documents/?uuid=61411186-5f6d-4d8e-9f1a-27b3c50aa121"]}],"mendeley":{"formattedCitation":"(Gidlow et al., 2018)","plainTextFormattedCitation":"(Gidlow et al., 2018)","previouslyFormattedCitation":"(Gidlow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(Gidlow et al., 2018)</w:t>
      </w:r>
      <w:r w:rsidRPr="00103A0B">
        <w:rPr>
          <w:rFonts w:ascii="Arial" w:hAnsi="Arial" w:cs="Arial"/>
          <w:sz w:val="24"/>
          <w:szCs w:val="24"/>
        </w:rPr>
        <w:fldChar w:fldCharType="end"/>
      </w:r>
      <w:r w:rsidRPr="00103A0B">
        <w:rPr>
          <w:rFonts w:ascii="Arial" w:hAnsi="Arial" w:cs="Arial"/>
          <w:sz w:val="24"/>
          <w:szCs w:val="24"/>
        </w:rPr>
        <w:t xml:space="preserve">. </w:t>
      </w:r>
    </w:p>
    <w:p w14:paraId="4C5A4657" w14:textId="49686629" w:rsidR="007C3391" w:rsidRPr="00103A0B" w:rsidRDefault="007C3391" w:rsidP="00F8219C">
      <w:pPr>
        <w:spacing w:line="360" w:lineRule="auto"/>
        <w:jc w:val="both"/>
        <w:rPr>
          <w:rFonts w:ascii="Arial" w:hAnsi="Arial" w:cs="Arial"/>
          <w:sz w:val="24"/>
          <w:szCs w:val="24"/>
        </w:rPr>
      </w:pPr>
      <w:r w:rsidRPr="00103A0B">
        <w:rPr>
          <w:rFonts w:ascii="Arial" w:hAnsi="Arial" w:cs="Arial"/>
          <w:sz w:val="24"/>
          <w:szCs w:val="24"/>
        </w:rPr>
        <w:t xml:space="preserve">There were some practicalities which influenced programme completion. For example, work-related issues were reported by non-completers. The difficulty with taking time “off” work in order to attend a health programme may be an important challenge, particularly for those living in a socioeconomically deprived area, where taking time off may be unpaid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{"citationItems":[{"id":"ITEM-1","itemData":{"ISSN":"15579891","abstract":"The National Diabetes Prevention Program (NDPP) has been effectively translated to various community and clinical settings; however, regardless of setting, enrollment among men and lower-income populations is low. This study presents participant perspectives on Power Up for Health, a novel NDPP pilot adaption for men residing in low-income communities in New York City. We conducted nine interviews and one focus group with seven participants after the program ended. Interview and focus group participants had positive perceptions of the program and described the all-male aspect of the program and its reliance on male coaches as major strengths. Men felt the all-male adaptation allowed for more open, in-depth conversations on eating habits, weight loss, body image, and masculinity. Participants also reported increased knowledge and changes to their dietary and physical activity habits. Recommendations for improving the program included making the sessions more interactive by, for example, adding exercise or healthy cooking demonstrations. Overall, findings from the pilot suggest this NDPP adaptation was acceptable to men and facilitated behavior change and unique discussions that would likely not have occurred in a mixed-gender NDPP implementation.","author":[{"dropping-particle":"","family":"Realmuto","given":"Lindsey","non-dropping-particle":"","parse-names":false,"suffix":""},{"dropping-particle":"","family":"Kamler","given":"Alexandra","non-dropping-particle":"","parse-names":false,"suffix":""},{"dropping-particle":"","family":"Weiss","given":"Linda","non-dropping-particle":"","parse-names":false,"suffix":""},{"dropping-particle":"","family":"Gary-Webb","given":"Tiffany L.","non-dropping-particle":"","parse-names":false,"suffix":""},{"dropping-particle":"","family":"Hodge","given":"Michael E.","non-dropping-particle":"","parse-names":false,"suffix":""},{"dropping-particle":"","family":"Pagán","given":"José A.","non-dropping-particle":"","parse-names":false,"suffix":""},{"dropping-particle":"","family":"Walker","given":"Elizabeth A.","non-dropping-particle":"","parse-names":false,"suffix":""}],"container-title":"American Journal of Men's Health","id":"ITEM-1","issue":"4","issued":{"date-parts":[["2018"]]},"page":"981-988","title":"Power up for health—participants’ perspectives on an adaptation of the national diabetes prevention program to engage men","type":"article-journal","volume":"12"},"uris":["http://www.mendeley.com/documents/?uuid=985144c7-f611-4358-afca-1893d0710190"]},{"id":"ITEM-2","itemData":{"ISSN":"0168-8227","abstract":"Aims To explore the acceptability of a telephone- or a group-delivered diabetes prevention program for women with previous gestational diabetes and to compare the characteristics associated with program engagement. Methods Postpartum women participated in a lifestyle modification program delivered by telephone (n=33) or group format (n=284). Semi-structured interviews on barriers and enablers to program engagement (defined as completing≥80% sessions) were conducted before (Group) and after (Group and Telephone) interventions. The Health Action Process Approach theory was used as the framework for inquiry. Psychological measures were compared between engagement subgroups before and after group-delivered intervention. Results In the telephone-delivered program 82% participants met the engagement criteria compared with 38% for the group-delivered program. Engaged participants (Group) had significantly higher risk perception, outcome expectancy, and activity self-efficacy at baseline (P&lt;0.05). There was a greater decrease in body weight (−1.45±3.9 vs −0.26±3.5, P=0.024) and waist circumference (−3.56±5.1 vs −1.24±5.3, P=0.002) for engaged vs non-engaged participants following group program completion. Conclusions Telephone delivery was associated with greater engagement in postpartum women. Engagement was associated with greater reduction in weight and waist circumference. Further studies are required to confirm the effectiveness of telephone-delivered program for diabetes prevention in postpartum women.","author":[{"dropping-particle":"","family":"Lim","given":"Siew","non-dropping-particle":"","parse-names":false,"suffix":""},{"dropping-particle":"","family":"Dunbar","given":"James A","non-dropping-particle":"","parse-names":false,"suffix":""},{"dropping-particle":"","family":"Versace","given":"Vincent L","non-dropping-particle":"","parse-names":false,"suffix":""},{"dropping-particle":"","family":"Janus","given":"Edward","non-dropping-particle":"","parse-names":false,"suffix":""},{"dropping-particle":"","family":"Wildey","given":"Carol","non-dropping-particle":"","parse-names":false,"suffix":""},{"dropping-particle":"","family":"Skinner","given":"Timothy","non-dropping-particle":"","parse-names":false,"suffix":""},{"dropping-particle":"","family":"O'Reilly","given":"Sharleen","non-dropping-particle":"","parse-names":false,"suffix":""}],"container-title":"Diabetes Research and Clinical Practice","id":"ITEM-2","issued":{"date-parts":[["2017"]]},"page":"254-262","title":"Comparing a telephone- and a group-delivered diabetes prevention program: characteristics of engaged and non-engaged postpartum mothers with a history of gestational diabetes","type":"article-journal","volume":"126"},"uris":["http://www.mendeley.com/documents/?uuid=1e1989aa-8480-458e-9774-bce442753e6b"]},{"id":"ITEM-3","itemData":{"abstract":"It has been shown that real-life implementation studies for the prevention of type 2 diabetes (DM2) performed in different settings and populations can be effective. However, not enough information is available on factors influencing the reach of DM2 prevention programmes. This study examines the predictors of completing an intervention programme targeted at people at high risk of DM2 in Krakow, Poland as part of the DE-PLAN project.A total of 262 middle-aged people, everyday patients of 9 general practitioners' (GP) practices, at high risk of DM2 (Finnish Diabetes Risk Score (FINDRISK) &gt;14) agreed to participate in the lifestyle intervention to prevent DM2. Intervention consisted of 11 lifestyle counseling sessions, organized physical activity sessions followed by motivational phone calls and letters. Measurements were performed at baseline and 1 year after the initiation of the intervention.Seventy percent of the study participants enrolled completed the core curriculum (n = 184), 22% were men. When compared to noncompleters, completers had a healthier baseline diabetes risk profile (P &lt;.05). People who completed the intervention were less frequently employed versus noncompleters (P = .037), less often had hypertension (P = .043), and more frequently consumed vegetables and fruit daily (P = .055).In multiple logistic regression model, employment reduced the likelihood of completing the intervention 2 times (odds ratio [OR] 0.45, 95% confidence interval [CI] 0.25-0.81). Higher glucose 2 hours after glucose load and hypertension were the independent factors decreasing the chance to participate in the intervention (OR 0.79, 95% 0.69-0.92 and OR 0.52, 95% CI 0.27-0.99, respectively). Daily consumption of vegetables and fruits increased the likelihood of completing the intervention (OR 1.86, 95% 1.01-3.41).In conclusion, people with healthier behavior and risk profile are more predisposed to complete diabetes prevention interventions. Male, those who work and those with a worse health profile, are less likely to participate and complete interventions. Targeted strategies are needed in real-life diabetes prevention interventions to improve male participation and to reach those who are working as well as people with a higher risk profile.;","author":[{"dropping-particle":"","family":"Gilis-Januszewska","given":"Aleksandra","non-dropping-particle":"","parse-names":false,"suffix":""},{"dropping-particle":"","family":"Lindström","given":"Jaana","non-dropping-particle":"","parse-names":false,"suffix":""},{"dropping-particle":"","family":"Barengo","given":"Noël C","non-dropping-particle":"","parse-names":false,"suffix":""},{"dropping-particle":"","family":"Tuomilehto","given":"Jaakko","non-dropping-particle":"","parse-names":false,"suffix":""},{"dropping-particle":"","family":"Schwarz","given":"Peter Eh","non-dropping-particle":"","parse-names":false,"suffix":""},{"dropping-particle":"","family":"Wójtowicz","given":"Ewa","non-dropping-particle":"","parse-names":false,"suffix":""},{"dropping-particle":"","family":"Piwońska-Solska","given":"Beat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Medicine","id":"ITEM-3","issue":"5","issued":{"date-parts":[["2018"]]},"note":"Accession Number: 29384876. Language: English. Date Revised: 20180221. Date Created: 20180201. Date Completed: 20180209. Update Code: 20180221. Publication Type: Journal Article. Journal ID: 2985248R. Publication Model: Print. Cited Medium: Internet. NLM ISO Abbr: Medicine (Baltimore). Comment: Cites: Prim Care Diabetes. 2015 Apr;9(2):96-104. (PMID: 25128324). Cites: BMC Med Res Methodol. 2014 Jan 24;14:13. (PMID: 24461045). Cites: Scand J Work Environ Health. 2010 May;36(3):202-15. (PMID: 20066386). Cites: Diabetes Care. 2003 Dec;26(12):3230-6. (PMID: 14633807). Cites: Diabet Med. 2010 Apr;27(4):459-65. (PMID: 20536519). Cites: Horm Metab Res. 2010 Apr;42 Suppl 1:S37-55. (PMID: 20391307). Cites: Obes Rev. 2005 Feb;6(1):43-65. (PMID: 15655038). Cites: Prim Care Diabetes. 2012 Dec;6(4):277-83. (PMID: 22868007). Cites: BMC Public Health. 2017 Feb 15;17 (1):198. (PMID: 28202029). Cites: Diabetes Care. 2007 Oct;30(10):2465-70. (PMID: 17586741). Cites: Horm Metab Res. 2010 Apr;42 Suppl 1:S3-36. (PMID: 20391306). Cites: Diabetes Care. 2014 Apr;37(4):922-33. (PMID: 24652723). Cites: Am J Prev Med. 2009 Oct;37(4):340-57. (PMID: 19765507). Cites: BMC Health Serv Res. 2013 May 31;13:201. (PMID: 23725521). Cites: Exp Clin Endocrinol Diabetes. 2008 Mar;116(3):167-72. (PMID: 18350480). Cites: Metabolism. 2013 Feb;62(2):303-14. (PMID: 22959500). Cites: J Med Internet Res. 2015 Apr 10;17(4):e92. (PMID: 25863515). Cites: Am J Prev Med. 2007 May;32(5):419-34. (PMID: 17478269). Cites: BMC Health Serv Res. 2008 Feb 04;8:33. (PMID: 18248673). Cites: J Cardiovasc Nurs. 2006 Jul-Aug;21(4):251-8; quiz 259-60. (PMID: 16823276). Cites: Diabetologia. 2012 May;55(5):1319-28. (PMID: 22322921). Cites: Diabetes. 1997 Apr;46(4):701-10. (PMID: 9075814). Cites: N Engl J Med. 2001 May 3;344(18):1343-50. (PMID: 11333990). Cites: Health Educ Res. 2009 Aug;24(4):699-720. (PMID: 19286893). Cites: BMC Public Health. 2012 Sep 24;12:822. (PMID: 23006577). Cites: BMC Public Health. 2007 Sep 19;7:249. (PMID: 17877832). Cites: N Engl J Med. 2002 Feb 7;346(6):393-403. (PMID: 11832527). Cites: Addict Behav. 1996 Jul-Aug;21(4):509-13. (PMID: 8830908). Cites: Am J Prev Med. 2009 Feb;36(2):142-9. (PMID: 19062240). Cites: Diabet Med. 2013 Jan;30(1):3-15. (PMID: 22998334). Cites: Diabetes Res Clin Pract. 2016 Feb;112:13-19. (PMID: 26724186). Linking ISSN: 00257974. Subset: AIM; IM; Date of Electronic Publication: 20180201. ; Original Imprints: Publication: Hagerstown, Md : Lippincott Williams &amp;amp; Wilkins","page":"e9790","title":"Predictors of completing a primary health care diabetes prevention intervention programme in people at high risk of type 2 diabetes: experiences of the DE-PLAN project.","type":"article-journal","volume":"97"},"uris":["http://www.mendeley.com/documents/?uuid=57445cef-4f0f-4d72-8634-76a2864ec486"]},{"id":"ITEM-4","itemData":{"ISSN":"20524897","PMID":"33303493","abstract":"Introduction Diabetes prevention programs (DPPs) are effective, in a pre-diabetic population, in reducing weight, lowering glycated hemoglobin and slowing the progression to diabetes. Little is known about the relationship between participation in DPPsand participant characteristics or service delivery. We investigated uptake and retention in England's NHS DPP, reporting on variability among patient subgroups, providers, and sites. Research design and methods This prospective cohort study included 99 473 adults with non-diabetic hyperglycemia referred to the English DPP between 2016 and 2017. The program seeks to change health behaviors by offering at least 16 hours of group education and exercise. Multilevel logistic regression models were used to analyze variation in uptake, retention, and completion. Results Uptake among 99 473 adults referred to the program was 56% (55 275). Among 55 275 who started the program, 34% (18 562) achieved the required dose and 22% (12 127) completed the full course. After adjustment for variation in case mix, substantial heterogeneity in uptake and retention was seen across four service providers (uptake OR 1.77 (1.33, 2.34), 4.30 (3.01, 6.15), and 1.45 (1.07, 1.97) compared with the reference provider) and between sites (uptake for typical individuals ranged from 0.32 to 0.78 across the middle 95% of sites, intraclass correlation coefficient (ICC) 0.07). Higher levels of retention and completion were seen where some out-of-hours provision was offered (retention OR 1.32 (1.25, 1.39)). Conclusions This study provides the first independent assessment of participation in the English DPP and the first study internationally to examine the impact of DPP service delivery on participation. When implementing a large-scale DPP, heterogeneity in service provision between different providers and sites can result in variable participation beyond that attributable to case mix, with potential consequences for effectiveness and health inequalities. Extending out-of-hours provision may improve participation in prevention programs.","author":[{"dropping-particle":"","family":"Howarth","given":"Elizabeth","non-dropping-particle":"","parse-names":false,"suffix":""},{"dropping-particle":"","family":"Bower","given":"Peter J.","non-dropping-particle":"","parse-names":false,"suffix":""},{"dropping-particle":"","family":"Kontopantelis","given":"Evangelos","non-dropping-particle":"","parse-names":false,"suffix":""},{"dropping-particle":"","family":"Soiland-Reyes","given":"Claudia","non-dropping-particle":"","parse-names":false,"suffix":""},{"dropping-particle":"","family":"Meacock","given":"Rachel","non-dropping-particle":"","parse-names":false,"suffix":""},{"dropping-particle":"","family":"Whittaker","given":"William","non-dropping-particle":"","parse-names":false,"suffix":""},{"dropping-particle":"","family":"Cotterill","given":"Sarah","non-dropping-particle":"","parse-names":false,"suffix":""}],"container-title":"BMJ Open Diabetes Research and Care","id":"ITEM-4","issued":{"date-parts":[["2020"]]},"page":"e001835","title":"'Going the distance': an independent cohort study of engagement and dropout among the first 100 000 referrals into a large-scale diabetes prevention program","type":"article-journal","volume":"8"},"uris":["http://www.mendeley.com/documents/?uuid=40d46080-9604-42ba-942c-0e13d9f1562f"]}],"mendeley":{"formattedCitation":"(Gilis-Januszewska, Lindström, et al., 2018; Howarth et al., 2020; Lim et al., 2017; Realmuto et al., 2018)","plainTextFormattedCitation":"(Gilis-Januszewska, Lindström, et al., 2018; Howarth et al., 2020; Lim et al., 2017; Realmuto et al., 2018)","previouslyFormattedCitation":"(Gilis-Januszewska, Lindström, et al., 2018; Howarth et al., 2020; Lim et al., 2017; Realmuto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(Gilis-Januszewska, Lindström, et al., 2018; Howarth et al., 2020; Lim et al., 2017; Realmuto et al., 2018)</w:t>
      </w:r>
      <w:r w:rsidRPr="00103A0B">
        <w:rPr>
          <w:rFonts w:ascii="Arial" w:hAnsi="Arial" w:cs="Arial"/>
          <w:sz w:val="24"/>
          <w:szCs w:val="24"/>
        </w:rPr>
        <w:fldChar w:fldCharType="end"/>
      </w:r>
      <w:r w:rsidRPr="00103A0B">
        <w:rPr>
          <w:rFonts w:ascii="Arial" w:hAnsi="Arial" w:cs="Arial"/>
          <w:sz w:val="24"/>
          <w:szCs w:val="24"/>
        </w:rPr>
        <w:t xml:space="preserve">. Future research could explore work challenges in greater depth, particularly for those participants from a deprived area.  Issues such as having a lack of time and venue issues were commonly discussed by non-completers, and are frequently reported reasons for non-completion in other research </w:t>
      </w:r>
      <w:r w:rsidRPr="00103A0B">
        <w:rPr>
          <w:rFonts w:ascii="Arial" w:hAnsi="Arial" w:cs="Arial"/>
          <w:sz w:val="24"/>
          <w:szCs w:val="24"/>
        </w:rPr>
        <w:fldChar w:fldCharType="begin" w:fldLock="1"/>
      </w:r>
      <w:r w:rsidR="007C66BC" w:rsidRPr="00103A0B">
        <w:rPr>
          <w:rFonts w:ascii="Arial" w:hAnsi="Arial" w:cs="Arial"/>
          <w:sz w:val="24"/>
          <w:szCs w:val="24"/>
        </w:rPr>
        <w:instrText>ADDIN CSL_CITATION {"citationItems":[{"id":"ITEM-1","itemData":{"ISSN":"0168-8227","abstract":"Aims To explore the acceptability of a telephone- or a group-delivered diabetes prevention program for women with previous gestational diabetes and to compare the characteristics associated with program engagement. Methods Postpartum women participated in a lifestyle modification program delivered by telephone (n=33) or group format (n=284). Semi-structured interviews on barriers and enablers to program engagement (defined as completing≥80% sessions) were conducted before (Group) and after (Group and Telephone) interventions. The Health Action Process Approach theory was used as the framework for inquiry. Psychological measures were compared between engagement subgroups before and after group-delivered intervention. Results In the telephone-delivered program 82% participants met the engagement criteria compared with 38% for the group-delivered program. Engaged participants (Group) had significantly higher risk perception, outcome expectancy, and activity self-efficacy at baseline (P&lt;0.05). There was a greater decrease in body weight (−1.45±3.9 vs −0.26±3.5, P=0.024) and waist circumference (−3.56±5.1 vs −1.24±5.3, P=0.002) for engaged vs non-engaged participants following group program completion. Conclusions Telephone delivery was associated with greater engagement in postpartum women. Engagement was associated with greater reduction in weight and waist circumference. Further studies are required to confirm the effectiveness of telephone-delivered program for diabetes prevention in postpartum women.","author":[{"dropping-particle":"","family":"Lim","given":"Siew","non-dropping-particle":"","parse-names":false,"suffix":""},{"dropping-particle":"","family":"Dunbar","given":"James A","non-dropping-particle":"","parse-names":false,"suffix":""},{"dropping-particle":"","family":"Versace","given":"Vincent L","non-dropping-particle":"","parse-names":false,"suffix":""},{"dropping-particle":"","family":"Janus","given":"Edward","non-dropping-particle":"","parse-names":false,"suffix":""},{"dropping-particle":"","family":"Wildey","given":"Carol","non-dropping-particle":"","parse-names":false,"suffix":""},{"dropping-particle":"","family":"Skinner","given":"Timothy","non-dropping-particle":"","parse-names":false,"suffix":""},{"dropping-particle":"","family":"O'Reilly","given":"Sharleen","non-dropping-particle":"","parse-names":false,"suffix":""}],"container-title":"Diabetes Research and Clinical Practice","id":"ITEM-1","issued":{"date-parts":[["2017"]]},"page":"254-262","title":"Comparing a telephone- and a group-delivered diabetes prevention program: characteristics of engaged and non-engaged postpartum mothers with a history of gestational diabetes","type":"article-journal","volume":"126"},"uris":["http://www.mendeley.com/documents/?uuid=1e1989aa-8480-458e-9774-bce442753e6b"]},{"id":"ITEM-2","itemData":{"abstract":"It has been shown that real-life implementation studies for the prevention of type 2 diabetes (DM2) performed in different settings and populations can be effective. However, not enough information is available on factors influencing the reach of DM2 prevention programmes. This study examines the predictors of completing an intervention programme targeted at people at high risk of DM2 in Krakow, Poland as part of the DE-PLAN project.A total of 262 middle-aged people, everyday patients of 9 general practitioners' (GP) practices, at high risk of DM2 (Finnish Diabetes Risk Score (FINDRISK) &gt;14) agreed to participate in the lifestyle intervention to prevent DM2. Intervention consisted of 11 lifestyle counseling sessions, organized physical activity sessions followed by motivational phone calls and letters. Measurements were performed at baseline and 1 year after the initiation of the intervention.Seventy percent of the study participants enrolled completed the core curriculum (n = 184), 22% were men. When compared to noncompleters, completers had a healthier baseline diabetes risk profile (P &lt;.05). People who completed the intervention were less frequently employed versus noncompleters (P = .037), less often had hypertension (P = .043), and more frequently consumed vegetables and fruit daily (P = .055).In multiple logistic regression model, employment reduced the likelihood of completing the intervention 2 times (odds ratio [OR] 0.45, 95% confidence interval [CI] 0.25-0.81). Higher glucose 2 hours after glucose load and hypertension were the independent factors decreasing the chance to participate in the intervention (OR 0.79, 95% 0.69-0.92 and OR 0.52, 95% CI 0.27-0.99, respectively). Daily consumption of vegetables and fruits increased the likelihood of completing the intervention (OR 1.86, 95% 1.01-3.41).In conclusion, people with healthier behavior and risk profile are more predisposed to complete diabetes prevention interventions. Male, those who work and those with a worse health profile, are less likely to participate and complete interventions. Targeted strategies are needed in real-life diabetes prevention interventions to improve male participation and to reach those who are working as well as people with a higher risk profile.;","author":[{"dropping-particle":"","family":"Gilis-Januszewska","given":"Aleksandra","non-dropping-particle":"","parse-names":false,"suffix":""},{"dropping-particle":"","family":"Lindström","given":"Jaana","non-dropping-particle":"","parse-names":false,"suffix":""},{"dropping-particle":"","family":"Barengo","given":"Noël C","non-dropping-particle":"","parse-names":false,"suffix":""},{"dropping-particle":"","family":"Tuomilehto","given":"Jaakko","non-dropping-particle":"","parse-names":false,"suffix":""},{"dropping-particle":"","family":"Schwarz","given":"Peter Eh","non-dropping-particle":"","parse-names":false,"suffix":""},{"dropping-particle":"","family":"Wójtowicz","given":"Ewa","non-dropping-particle":"","parse-names":false,"suffix":""},{"dropping-particle":"","family":"Piwońska-Solska","given":"Beat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Medicine","id":"ITEM-2","issue":"5","issued":{"date-parts":[["2018"]]},"note":"Accession Number: 29384876. Language: English. Date Revised: 20180221. Date Created: 20180201. Date Completed: 20180209. Update Code: 20180221. Publication Type: Journal Article. Journal ID: 2985248R. Publication Model: Print. Cited Medium: Internet. NLM ISO Abbr: Medicine (Baltimore). Comment: Cites: Prim Care Diabetes. 2015 Apr;9(2):96-104. (PMID: 25128324). Cites: BMC Med Res Methodol. 2014 Jan 24;14:13. (PMID: 24461045). Cites: Scand J Work Environ Health. 2010 May;36(3):202-15. (PMID: 20066386). Cites: Diabetes Care. 2003 Dec;26(12):3230-6. (PMID: 14633807). Cites: Diabet Med. 2010 Apr;27(4):459-65. (PMID: 20536519). Cites: Horm Metab Res. 2010 Apr;42 Suppl 1:S37-55. (PMID: 20391307). Cites: Obes Rev. 2005 Feb;6(1):43-65. (PMID: 15655038). Cites: Prim Care Diabetes. 2012 Dec;6(4):277-83. (PMID: 22868007). Cites: BMC Public Health. 2017 Feb 15;17 (1):198. (PMID: 28202029). Cites: Diabetes Care. 2007 Oct;30(10):2465-70. (PMID: 17586741). Cites: Horm Metab Res. 2010 Apr;42 Suppl 1:S3-36. (PMID: 20391306). Cites: Diabetes Care. 2014 Apr;37(4):922-33. (PMID: 24652723). Cites: Am J Prev Med. 2009 Oct;37(4):340-57. (PMID: 19765507). Cites: BMC Health Serv Res. 2013 May 31;13:201. (PMID: 23725521). Cites: Exp Clin Endocrinol Diabetes. 2008 Mar;116(3):167-72. (PMID: 18350480). Cites: Metabolism. 2013 Feb;62(2):303-14. (PMID: 22959500). Cites: J Med Internet Res. 2015 Apr 10;17(4):e92. (PMID: 25863515). Cites: Am J Prev Med. 2007 May;32(5):419-34. (PMID: 17478269). Cites: BMC Health Serv Res. 2008 Feb 04;8:33. (PMID: 18248673). Cites: J Cardiovasc Nurs. 2006 Jul-Aug;21(4):251-8; quiz 259-60. (PMID: 16823276). Cites: Diabetologia. 2012 May;55(5):1319-28. (PMID: 22322921). Cites: Diabetes. 1997 Apr;46(4):701-10. (PMID: 9075814). Cites: N Engl J Med. 2001 May 3;344(18):1343-50. (PMID: 11333990). Cites: Health Educ Res. 2009 Aug;24(4):699-720. (PMID: 19286893). Cites: BMC Public Health. 2012 Sep 24;12:822. (PMID: 23006577). Cites: BMC Public Health. 2007 Sep 19;7:249. (PMID: 17877832). Cites: N Engl J Med. 2002 Feb 7;346(6):393-403. (PMID: 11832527). Cites: Addict Behav. 1996 Jul-Aug;21(4):509-13. (PMID: 8830908). Cites: Am J Prev Med. 2009 Feb;36(2):142-9. (PMID: 19062240). Cites: Diabet Med. 2013 Jan;30(1):3-15. (PMID: 22998334). Cites: Diabetes Res Clin Pract. 2016 Feb;112:13-19. (PMID: 26724186). Linking ISSN: 00257974. Subset: AIM; IM; Date of Electronic Publication: 20180201. ; Original Imprints: Publication: Hagerstown, Md : Lippincott Williams &amp;amp; Wilkins","page":"e9790","title":"Predictors of completing a primary health care diabetes prevention intervention programme in people at high risk of type 2 diabetes: experiences of the DE-PLAN project.","type":"article-journal","volume":"97"},"uris":["http://www.mendeley.com/documents/?uuid=57445cef-4f0f-4d72-8634-76a2864ec486"]},{"id":"ITEM-3","itemData":{"ISSN":"14726963","PMID":"33246460","abstract":"Background: The NHS Diabetes Prevention Programme (NHS-DPP) is a nine-month, group-based behavioural intervention for adults in England at risk of developing Type 2 diabetes. Four independent providers were commissioned to deliver versions of the NHS-DPP, in line with NHS England specifications. This observational study maps NHS-DPP delivery in routine practice against the NHS specification, and compares service delivery with observed patient experiences. Methods: Researchers observed service delivery across eight complete NHS-DPP courses (118 sessions, median 14 sessions per course), consenting 455 participants (36 staff, 398 patients, 21 accompanying persons). Key features of NHS-DPP delivery were described using the Template for Intervention Description and Replication (TIDieR) framework. Researchers wrote detailed field notes during each session, including observations of patient experience. Field notes were content analysed; instances of positive and negative experiences were labelled and grouped into categories. Researchers used a novel method of comparing observed patient experiences to variations in programme delivery. Results: Delivery broadly followed NHS England’s specification and the plans set out by providers. Deviations included the scheduling and larger group sizes in some sessions. There was variation in the type and format of activities delivered by providers. Positive patient experiences included engagement, satisfaction with the programme, good within-group relationships and reported behavioural changes. Negative experiences included poor scheduling, large groups, and dissatisfaction with the venue. Where more interactive and visual activities were delivered in smaller groups of 10–15 people with good rapport, there were generally more instances of positive patient experiences, and where there were structural issues such as problems with the scheduling of sessions, poor venues and inadequate resources, there tended to be more negative patient experiences. Conclusions: Addressing issues that we have identified as being linked to negative experiences with the NHS-DPP could increase uptake, reduce patient drop-out and increase the overall effectiveness of the programme. In particular, modifying structural aspects of the NHS-DPP (e.g. reliable session scheduling, reducing group sizes, enough session resources) and increasing interaction appear particularly promising for improving these outcomes.","author":[{"dropping-particle":"","family":"Hawkes","given":"R.E.","non-dropping-particle":"","parse-names":false,"suffix":""},{"dropping-particle":"","family":"Cameron","given":"Elaine","non-dropping-particle":"","parse-names":false,"suffix":""},{"dropping-particle":"","family":"Cotterill","given":"Sarah","non-dropping-particle":"","parse-names":false,"suffix":""},{"dropping-particle":"","family":"Bower","given":"Peter","non-dropping-particle":"","parse-names":false,"suffix":""},{"dropping-particle":"","family":"French","given":"David P.","non-dropping-particle":"","parse-names":false,"suffix":""}],"container-title":"BMC Health Services Research","id":"ITEM-3","issued":{"date-parts":[["2020"]]},"page":"1098","publisher":"BMC Health Services Research","title":"The NHS diabetes prevention programme: an observational study of service delivery and patient experience","type":"article-journal","volume":"20"},"uris":["http://www.mendeley.com/documents/?uuid=144b4659-423e-454d-8d8d-99a99782d903"]}],"mendeley":{"formattedCitation":"(Gilis-Januszewska, Lindström, et al., 2018; R.E. Hawkes et al., 2020; Lim et al., 2017)","manualFormatting":"(Gilis-Januszewska, Lindström, et al., 2018; Hawkes, Cameron, Cotterill, et al., 2020; Lim et al., 2017)","plainTextFormattedCitation":"(Gilis-Januszewska, Lindström, et al., 2018; R.E. Hawkes et al., 2020; Lim et al., 2017)","previouslyFormattedCitation":"(Gilis-Januszewska, Lindström, et al., 2018; R.E. Hawkes et al., 2020; Lim et al., 2017)"},"properties":{"noteIndex":0},"schema":"https://github.com/citation-style-language/schema/raw/master/csl-citation.json"}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(Gilis-Januszewska, Lindström, et al., 2018; Hawkes, Cameron, Cotterill, et al., 2020; Lim et al., 2017)</w:t>
      </w:r>
      <w:r w:rsidRPr="00103A0B">
        <w:rPr>
          <w:rFonts w:ascii="Arial" w:hAnsi="Arial" w:cs="Arial"/>
          <w:sz w:val="24"/>
          <w:szCs w:val="24"/>
        </w:rPr>
        <w:fldChar w:fldCharType="end"/>
      </w:r>
      <w:r w:rsidRPr="00103A0B">
        <w:rPr>
          <w:rFonts w:ascii="Arial" w:hAnsi="Arial" w:cs="Arial"/>
          <w:sz w:val="24"/>
          <w:szCs w:val="24"/>
        </w:rPr>
        <w:t xml:space="preserve">. This demonstrates that although non-completers may have been initially motivated to attend, communication and practicality issues can prevent completion. </w:t>
      </w:r>
    </w:p>
    <w:p w14:paraId="3E4947C7" w14:textId="15589BA3" w:rsidR="007C3391" w:rsidRPr="00103A0B" w:rsidRDefault="007C3391" w:rsidP="00F821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 xml:space="preserve">Strengths of this study relate to the sample. First, this was the first study of the NHSDPP to explore the views and experiences of non-completers as well as completers. Second, the sample consisted of individuals from ethnically diverse backgrounds living in a socioeconomically deprived area, and both of these factors (ethnicity and deprivation) are known risk factors for T2DM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10.1016/j.pcd.2010.08.002","ISSN":"1751-9918","author":[{"dropping-particle":"","family":"Gholap","given":"Nitin","non-dropping-particle":"","parse-names":false,"suffix":""},{"dropping-particle":"","family":"Davies","given":"Melanie","non-dropping-particle":"","parse-names":false,"suffix":""},{"dropping-particle":"","family":"Patel","given":"Kiran","non-dropping-particle":"","parse-names":false,"suffix":""},{"dropping-particle":"","family":"Sattar","given":"Naveed","non-dropping-particle":"","parse-names":false,"suffix":""},{"dropping-particle":"","family":"Khunti","given":"Kamlesh","non-dropping-particle":"","parse-names":false,"suffix":""}],"container-title":"Primary Care Diabetes","id":"ITEM-1","issued":{"date-parts":[["2011"]]},"page":"45-56","publisher":"Primary Care Diabetes Europe","title":"Type 2 diabetes and cardiovascular disease in South Asians","type":"article-journal","volume":"5"},"uris":["http://www.mendeley.com/documents/?uuid=9d8ffa18-1c88-49ef-8e29-4ace97571aca"]},{"id":"ITEM-2","itemData":{"author":[{"dropping-particle":"","family":"Mainous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Open","id":"ITEM-2","issued":{"date-parts":[["2014"]]},"page":"e005002","title":"Prevalence of prediabetes in England from 2003 to 2011: population-based, cross-sectional study","type":"article-journal","volume":"4"},"uris":["http://www.mendeley.com/documents/?uuid=3d8c06b2-c467-4cfa-b523-36fc0982e568"]}],"mendeley":{"formattedCitation":"(Gholap et al., 2011; Mainous III et al., 2014)","plainTextFormattedCitation":"(Gholap et al., 2011; Mainous III et al., 2014)","previouslyFormattedCitation":"(Gholap et al., 2011; Mainous III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(Gholap et al., 2011; Mainous III et al., 2014)</w:t>
      </w:r>
      <w:r w:rsidRPr="00103A0B">
        <w:rPr>
          <w:rFonts w:ascii="Arial" w:hAnsi="Arial" w:cs="Arial"/>
          <w:sz w:val="24"/>
          <w:szCs w:val="24"/>
        </w:rPr>
        <w:fldChar w:fldCharType="end"/>
      </w:r>
      <w:r w:rsidRPr="00103A0B">
        <w:rPr>
          <w:rFonts w:ascii="Arial" w:hAnsi="Arial" w:cs="Arial"/>
          <w:sz w:val="24"/>
          <w:szCs w:val="24"/>
        </w:rPr>
        <w:t xml:space="preserve">. Limitations include the ethnically diverse sample presented some issues such as English speaking which may have affected participants’ abilities to fully express themselves in some cases. However, the researcher was sensitive to this and ensured questions were understood by the interviewee by repeating or rewording some questions and using appropriate prompts. </w:t>
      </w:r>
    </w:p>
    <w:p w14:paraId="1C5384C5" w14:textId="5767554E" w:rsidR="007C3391" w:rsidRPr="00103A0B" w:rsidRDefault="007C3391" w:rsidP="00F8219C">
      <w:pPr>
        <w:spacing w:line="360" w:lineRule="auto"/>
        <w:jc w:val="both"/>
        <w:rPr>
          <w:rFonts w:ascii="Arial" w:hAnsi="Arial" w:cs="Arial"/>
          <w:sz w:val="24"/>
          <w:szCs w:val="24"/>
        </w:rPr>
      </w:pPr>
      <w:r w:rsidRPr="00103A0B">
        <w:rPr>
          <w:rFonts w:ascii="Arial" w:hAnsi="Arial" w:cs="Arial"/>
          <w:sz w:val="24"/>
          <w:szCs w:val="24"/>
        </w:rPr>
        <w:t>To conclude, this research demonstrates how different beliefs and experiences influence whether participants complete the NHSDPP.</w:t>
      </w:r>
      <w:r w:rsidR="00CA3317" w:rsidRPr="00103A0B">
        <w:rPr>
          <w:rFonts w:ascii="Arial" w:hAnsi="Arial" w:cs="Arial"/>
          <w:sz w:val="24"/>
          <w:szCs w:val="24"/>
        </w:rPr>
        <w:t xml:space="preserve"> </w:t>
      </w:r>
      <w:r w:rsidRPr="00103A0B">
        <w:rPr>
          <w:rFonts w:ascii="Arial" w:hAnsi="Arial" w:cs="Arial"/>
          <w:sz w:val="24"/>
          <w:szCs w:val="24"/>
        </w:rPr>
        <w:t xml:space="preserve">Programme organisers and instructors should consider these factors when organising and delivering sessions to maximise retention and inform strategies to minimise drop-out, in turn, improving programme viability. This study highlights the important role of the instructors and programme organisers, to ensure participants are incentivised, that the group is coherent, and that practicalities and communication issues are considered. Further in-depth exploration of the views and experiences of instructors who deliver the </w:t>
      </w:r>
      <w:r w:rsidRPr="00103A0B">
        <w:rPr>
          <w:rFonts w:ascii="Arial" w:hAnsi="Arial" w:cs="Arial"/>
          <w:sz w:val="24"/>
          <w:szCs w:val="24"/>
        </w:rPr>
        <w:lastRenderedPageBreak/>
        <w:t>NHSDPP, and their experiences of facilitators and barriers of the programme would be beneficial.</w:t>
      </w:r>
    </w:p>
    <w:p w14:paraId="61224BB7" w14:textId="03934842" w:rsidR="00CA3317" w:rsidRPr="00103A0B" w:rsidRDefault="00CA3317" w:rsidP="00F8219C">
      <w:pPr>
        <w:spacing w:line="360" w:lineRule="auto"/>
        <w:jc w:val="both"/>
        <w:rPr>
          <w:rFonts w:ascii="Arial" w:hAnsi="Arial" w:cs="Arial"/>
          <w:sz w:val="24"/>
          <w:szCs w:val="24"/>
        </w:rPr>
      </w:pPr>
      <w:bookmarkStart w:id="372" w:name="_Toc41404601"/>
      <w:bookmarkEnd w:id="372"/>
      <w:r w:rsidRPr="00103A0B">
        <w:rPr>
          <w:rFonts w:ascii="Arial" w:hAnsi="Arial" w:cs="Arial"/>
          <w:sz w:val="24"/>
          <w:szCs w:val="24"/>
        </w:rPr>
        <w:t>The next chapter (Chapter 7) takes a quantitative approach and aims to explore whether modifiable, psychological factors (i.e., illness perceptions, self-efficacy, and mental wellbeing) predict uptake and/or completion of the NHSDPP, independent from other possible confounders.</w:t>
      </w:r>
      <w:r w:rsidR="00D96E4E" w:rsidRPr="00103A0B">
        <w:rPr>
          <w:rFonts w:ascii="Arial" w:hAnsi="Arial" w:cs="Arial"/>
          <w:sz w:val="24"/>
          <w:szCs w:val="24"/>
        </w:rPr>
        <w:t xml:space="preserve"> </w:t>
      </w:r>
      <w:r w:rsidRPr="00103A0B">
        <w:rPr>
          <w:rFonts w:ascii="Arial" w:hAnsi="Arial" w:cs="Arial"/>
          <w:sz w:val="24"/>
          <w:szCs w:val="24"/>
        </w:rPr>
        <w:t xml:space="preserve">This study expands beyond </w:t>
      </w:r>
      <w:proofErr w:type="gramStart"/>
      <w:r w:rsidRPr="00103A0B">
        <w:rPr>
          <w:rFonts w:ascii="Arial" w:hAnsi="Arial" w:cs="Arial"/>
          <w:sz w:val="24"/>
          <w:szCs w:val="24"/>
        </w:rPr>
        <w:t>Southwark, and</w:t>
      </w:r>
      <w:proofErr w:type="gramEnd"/>
      <w:r w:rsidRPr="00103A0B">
        <w:rPr>
          <w:rFonts w:ascii="Arial" w:hAnsi="Arial" w:cs="Arial"/>
          <w:sz w:val="24"/>
          <w:szCs w:val="24"/>
        </w:rPr>
        <w:t xml:space="preserve"> presents findings from questionnaires completed by participants living in six different areas of England.</w:t>
      </w:r>
      <w:r w:rsidR="00D96E4E" w:rsidRPr="00103A0B">
        <w:rPr>
          <w:rFonts w:ascii="Arial" w:hAnsi="Arial" w:cs="Arial"/>
          <w:sz w:val="24"/>
          <w:szCs w:val="24"/>
        </w:rPr>
        <w:t xml:space="preserve"> </w:t>
      </w:r>
      <w:r w:rsidRPr="00103A0B">
        <w:rPr>
          <w:rFonts w:ascii="Arial" w:hAnsi="Arial" w:cs="Arial"/>
          <w:sz w:val="24"/>
          <w:szCs w:val="24"/>
        </w:rPr>
        <w:t>This chapter has been written up as a paper and</w:t>
      </w:r>
      <w:r w:rsidR="00735AEF" w:rsidRPr="00103A0B">
        <w:rPr>
          <w:rFonts w:ascii="Arial" w:hAnsi="Arial" w:cs="Arial"/>
          <w:sz w:val="24"/>
          <w:szCs w:val="24"/>
        </w:rPr>
        <w:t xml:space="preserve"> </w:t>
      </w:r>
      <w:r w:rsidR="00D70B6C" w:rsidRPr="00103A0B">
        <w:rPr>
          <w:rFonts w:ascii="Arial" w:hAnsi="Arial" w:cs="Arial"/>
          <w:sz w:val="24"/>
          <w:szCs w:val="24"/>
        </w:rPr>
        <w:t xml:space="preserve">is </w:t>
      </w:r>
      <w:r w:rsidR="00735AEF" w:rsidRPr="00103A0B">
        <w:rPr>
          <w:rFonts w:ascii="Arial" w:hAnsi="Arial" w:cs="Arial"/>
          <w:sz w:val="24"/>
          <w:szCs w:val="24"/>
        </w:rPr>
        <w:t>currently being prepared to be submitted to a journal</w:t>
      </w:r>
      <w:r w:rsidRPr="00103A0B">
        <w:rPr>
          <w:rFonts w:ascii="Arial" w:hAnsi="Arial" w:cs="Arial"/>
          <w:sz w:val="24"/>
          <w:szCs w:val="24"/>
        </w:rPr>
        <w:t xml:space="preserve"> </w:t>
      </w:r>
      <w:r w:rsidR="00D96E4E" w:rsidRPr="00103A0B">
        <w:rPr>
          <w:rFonts w:ascii="Arial" w:hAnsi="Arial" w:cs="Arial"/>
          <w:sz w:val="24"/>
          <w:szCs w:val="24"/>
        </w:rPr>
        <w:t xml:space="preserve">(please </w:t>
      </w:r>
      <w:bookmarkStart w:id="373" w:name="_Hlk147249117"/>
      <w:r w:rsidR="00D96E4E" w:rsidRPr="00103A0B">
        <w:rPr>
          <w:rFonts w:ascii="Arial" w:hAnsi="Arial" w:cs="Arial"/>
          <w:sz w:val="24"/>
          <w:szCs w:val="24"/>
        </w:rPr>
        <w:t xml:space="preserve">see </w:t>
      </w:r>
      <w:r w:rsidR="00DB2EED" w:rsidRPr="00103A0B">
        <w:rPr>
          <w:rFonts w:ascii="Arial" w:hAnsi="Arial" w:cs="Arial"/>
          <w:sz w:val="24"/>
          <w:szCs w:val="24"/>
        </w:rPr>
        <w:t xml:space="preserve">pages vi – viii </w:t>
      </w:r>
      <w:r w:rsidR="00D96E4E" w:rsidRPr="00103A0B">
        <w:rPr>
          <w:rFonts w:ascii="Arial" w:hAnsi="Arial" w:cs="Arial"/>
          <w:sz w:val="24"/>
          <w:szCs w:val="24"/>
        </w:rPr>
        <w:t>(List of Outputs) for details</w:t>
      </w:r>
      <w:bookmarkEnd w:id="373"/>
      <w:r w:rsidR="00D96E4E" w:rsidRPr="00103A0B">
        <w:rPr>
          <w:rFonts w:ascii="Arial" w:hAnsi="Arial" w:cs="Arial"/>
          <w:sz w:val="24"/>
          <w:szCs w:val="24"/>
        </w:rPr>
        <w:t>)</w:t>
      </w:r>
      <w:r w:rsidRPr="00103A0B">
        <w:rPr>
          <w:rFonts w:ascii="Arial" w:hAnsi="Arial" w:cs="Arial"/>
          <w:sz w:val="24"/>
          <w:szCs w:val="24"/>
        </w:rPr>
        <w:t xml:space="preserve">. </w:t>
      </w:r>
    </w:p>
    <w:p w14:paraId="5FD1CF82" w14:textId="0F129D6C" w:rsidR="00D96E4E" w:rsidRPr="00103A0B" w:rsidRDefault="00D96E4E" w:rsidP="00CA3317">
      <w:pPr>
        <w:spacing w:line="360" w:lineRule="auto"/>
        <w:rPr>
          <w:rFonts w:ascii="Arial" w:hAnsi="Arial" w:cs="Arial"/>
          <w:sz w:val="24"/>
          <w:szCs w:val="24"/>
        </w:rPr>
      </w:pPr>
    </w:p>
    <w:p w14:paraId="582E00FD" w14:textId="66E3FFD0" w:rsidR="00D96E4E" w:rsidRPr="00103A0B" w:rsidRDefault="00D96E4E" w:rsidP="00CA3317">
      <w:pPr>
        <w:spacing w:line="360" w:lineRule="auto"/>
        <w:rPr>
          <w:rFonts w:ascii="Arial" w:hAnsi="Arial" w:cs="Arial"/>
          <w:sz w:val="24"/>
          <w:szCs w:val="24"/>
        </w:rPr>
      </w:pPr>
    </w:p>
    <w:p w14:paraId="53D9C4F3" w14:textId="0E765ADF" w:rsidR="00D96E4E" w:rsidRPr="00103A0B" w:rsidRDefault="00D96E4E" w:rsidP="00CA3317">
      <w:pPr>
        <w:spacing w:line="360" w:lineRule="auto"/>
        <w:rPr>
          <w:rFonts w:ascii="Arial" w:hAnsi="Arial" w:cs="Arial"/>
          <w:sz w:val="24"/>
          <w:szCs w:val="24"/>
        </w:rPr>
      </w:pPr>
    </w:p>
    <w:p w14:paraId="6D88C35F" w14:textId="4E9A026D" w:rsidR="00D96E4E" w:rsidRPr="00103A0B" w:rsidRDefault="00D96E4E" w:rsidP="00CA3317">
      <w:pPr>
        <w:spacing w:line="360" w:lineRule="auto"/>
        <w:rPr>
          <w:rFonts w:ascii="Arial" w:hAnsi="Arial" w:cs="Arial"/>
          <w:sz w:val="24"/>
          <w:szCs w:val="24"/>
        </w:rPr>
      </w:pPr>
    </w:p>
    <w:p w14:paraId="055C0038" w14:textId="5147886E" w:rsidR="00D96E4E" w:rsidRPr="00103A0B" w:rsidRDefault="00D96E4E" w:rsidP="00CA3317">
      <w:pPr>
        <w:spacing w:line="360" w:lineRule="auto"/>
        <w:rPr>
          <w:rFonts w:ascii="Arial" w:hAnsi="Arial" w:cs="Arial"/>
          <w:sz w:val="24"/>
          <w:szCs w:val="24"/>
        </w:rPr>
      </w:pPr>
    </w:p>
    <w:p w14:paraId="4049B34F" w14:textId="72213C37" w:rsidR="00D96E4E" w:rsidRPr="00103A0B" w:rsidRDefault="00D96E4E" w:rsidP="00CA3317">
      <w:pPr>
        <w:spacing w:line="360" w:lineRule="auto"/>
        <w:rPr>
          <w:rFonts w:ascii="Arial" w:hAnsi="Arial" w:cs="Arial"/>
          <w:sz w:val="24"/>
          <w:szCs w:val="24"/>
        </w:rPr>
      </w:pPr>
    </w:p>
    <w:p w14:paraId="000FF668" w14:textId="7EC2E8A9" w:rsidR="00D96E4E" w:rsidRPr="00103A0B" w:rsidRDefault="00D96E4E" w:rsidP="00CA3317">
      <w:pPr>
        <w:spacing w:line="360" w:lineRule="auto"/>
        <w:rPr>
          <w:rFonts w:ascii="Arial" w:hAnsi="Arial" w:cs="Arial"/>
          <w:sz w:val="24"/>
          <w:szCs w:val="24"/>
        </w:rPr>
      </w:pPr>
    </w:p>
    <w:p w14:paraId="1664A710" w14:textId="436ABC9D" w:rsidR="00D96E4E" w:rsidRPr="00103A0B" w:rsidRDefault="00D96E4E" w:rsidP="00CA3317">
      <w:pPr>
        <w:spacing w:line="360" w:lineRule="auto"/>
        <w:rPr>
          <w:rFonts w:ascii="Arial" w:hAnsi="Arial" w:cs="Arial"/>
          <w:sz w:val="24"/>
          <w:szCs w:val="24"/>
        </w:rPr>
      </w:pPr>
    </w:p>
    <w:p w14:paraId="70D29D10" w14:textId="6616610F" w:rsidR="00D96E4E" w:rsidRPr="00103A0B" w:rsidRDefault="00D96E4E" w:rsidP="00CA3317">
      <w:pPr>
        <w:spacing w:line="360" w:lineRule="auto"/>
        <w:rPr>
          <w:rFonts w:ascii="Arial" w:hAnsi="Arial" w:cs="Arial"/>
          <w:sz w:val="24"/>
          <w:szCs w:val="24"/>
        </w:rPr>
      </w:pPr>
    </w:p>
    <w:p w14:paraId="039678C2" w14:textId="5FA4D851" w:rsidR="00D96E4E" w:rsidRPr="00103A0B" w:rsidRDefault="00D96E4E" w:rsidP="00CA3317">
      <w:pPr>
        <w:spacing w:line="360" w:lineRule="auto"/>
        <w:rPr>
          <w:rFonts w:ascii="Arial" w:hAnsi="Arial" w:cs="Arial"/>
          <w:sz w:val="24"/>
          <w:szCs w:val="24"/>
        </w:rPr>
      </w:pPr>
    </w:p>
    <w:p w14:paraId="520B84D9" w14:textId="6910D01A" w:rsidR="00D96E4E" w:rsidRPr="00103A0B" w:rsidRDefault="00D96E4E" w:rsidP="00CA3317">
      <w:pPr>
        <w:spacing w:line="360" w:lineRule="auto"/>
        <w:rPr>
          <w:rFonts w:ascii="Arial" w:hAnsi="Arial" w:cs="Arial"/>
          <w:sz w:val="24"/>
          <w:szCs w:val="24"/>
        </w:rPr>
      </w:pPr>
    </w:p>
    <w:p w14:paraId="450C63F7" w14:textId="77777777" w:rsidR="00D96E4E" w:rsidRPr="00103A0B" w:rsidRDefault="00D96E4E" w:rsidP="00CA3317">
      <w:pPr>
        <w:spacing w:line="360" w:lineRule="auto"/>
        <w:rPr>
          <w:rFonts w:ascii="Arial" w:hAnsi="Arial" w:cs="Arial"/>
          <w:sz w:val="24"/>
          <w:szCs w:val="24"/>
        </w:rPr>
      </w:pPr>
    </w:p>
    <w:p w14:paraId="76689275" w14:textId="77777777" w:rsidR="00731909" w:rsidRPr="00103A0B" w:rsidRDefault="00731909" w:rsidP="00F8219C">
      <w:pPr>
        <w:pStyle w:val="Heading1"/>
        <w:keepLines/>
        <w:numPr>
          <w:ilvl w:val="0"/>
          <w:numId w:val="0"/>
        </w:numPr>
        <w:rPr>
          <w:rFonts w:ascii="Arial" w:hAnsi="Arial" w:cs="Arial"/>
        </w:rPr>
        <w:sectPr w:rsidR="00731909" w:rsidRPr="00103A0B" w:rsidSect="00731909">
          <w:footerReference w:type="default" r:id="rId26"/>
          <w:pgSz w:w="11906" w:h="16838" w:code="9"/>
          <w:pgMar w:top="1440" w:right="1440" w:bottom="1440" w:left="1440" w:header="709" w:footer="709" w:gutter="0"/>
          <w:cols w:space="708"/>
          <w:docGrid w:linePitch="360"/>
        </w:sectPr>
      </w:pPr>
    </w:p>
    <w:p w14:paraId="319C0627" w14:textId="2F236379" w:rsidR="00492C98" w:rsidRPr="00103A0B" w:rsidRDefault="00492C98" w:rsidP="00F8219C">
      <w:pPr>
        <w:pStyle w:val="Heading1"/>
        <w:keepLines/>
        <w:numPr>
          <w:ilvl w:val="0"/>
          <w:numId w:val="0"/>
        </w:numPr>
        <w:rPr>
          <w:rFonts w:ascii="Arial" w:hAnsi="Arial" w:cs="Arial"/>
        </w:rPr>
      </w:pPr>
      <w:bookmarkStart w:id="374" w:name="_Toc151548329"/>
      <w:r w:rsidRPr="00103A0B">
        <w:rPr>
          <w:rFonts w:ascii="Arial" w:hAnsi="Arial" w:cs="Arial"/>
        </w:rPr>
        <w:lastRenderedPageBreak/>
        <w:t xml:space="preserve">Chapter 7: The </w:t>
      </w:r>
      <w:r w:rsidR="008F2A9E" w:rsidRPr="00103A0B">
        <w:rPr>
          <w:rFonts w:ascii="Arial" w:hAnsi="Arial" w:cs="Arial"/>
        </w:rPr>
        <w:t>E</w:t>
      </w:r>
      <w:r w:rsidRPr="00103A0B">
        <w:rPr>
          <w:rFonts w:ascii="Arial" w:hAnsi="Arial" w:cs="Arial"/>
        </w:rPr>
        <w:t xml:space="preserve">ffects of </w:t>
      </w:r>
      <w:r w:rsidR="008F2A9E" w:rsidRPr="00103A0B">
        <w:rPr>
          <w:rFonts w:ascii="Arial" w:hAnsi="Arial" w:cs="Arial"/>
        </w:rPr>
        <w:t>I</w:t>
      </w:r>
      <w:r w:rsidRPr="00103A0B">
        <w:rPr>
          <w:rFonts w:ascii="Arial" w:hAnsi="Arial" w:cs="Arial"/>
        </w:rPr>
        <w:t xml:space="preserve">llness </w:t>
      </w:r>
      <w:r w:rsidR="008F2A9E" w:rsidRPr="00103A0B">
        <w:rPr>
          <w:rFonts w:ascii="Arial" w:hAnsi="Arial" w:cs="Arial"/>
        </w:rPr>
        <w:t>P</w:t>
      </w:r>
      <w:r w:rsidRPr="00103A0B">
        <w:rPr>
          <w:rFonts w:ascii="Arial" w:hAnsi="Arial" w:cs="Arial"/>
        </w:rPr>
        <w:t xml:space="preserve">erceptions, </w:t>
      </w:r>
      <w:r w:rsidR="008F2A9E" w:rsidRPr="00103A0B">
        <w:rPr>
          <w:rFonts w:ascii="Arial" w:hAnsi="Arial" w:cs="Arial"/>
        </w:rPr>
        <w:t>S</w:t>
      </w:r>
      <w:r w:rsidRPr="00103A0B">
        <w:rPr>
          <w:rFonts w:ascii="Arial" w:hAnsi="Arial" w:cs="Arial"/>
        </w:rPr>
        <w:t>elf-</w:t>
      </w:r>
      <w:r w:rsidR="008F2A9E" w:rsidRPr="00103A0B">
        <w:rPr>
          <w:rFonts w:ascii="Arial" w:hAnsi="Arial" w:cs="Arial"/>
        </w:rPr>
        <w:t>E</w:t>
      </w:r>
      <w:r w:rsidRPr="00103A0B">
        <w:rPr>
          <w:rFonts w:ascii="Arial" w:hAnsi="Arial" w:cs="Arial"/>
        </w:rPr>
        <w:t xml:space="preserve">fficacy and </w:t>
      </w:r>
      <w:r w:rsidR="008F2A9E" w:rsidRPr="00103A0B">
        <w:rPr>
          <w:rFonts w:ascii="Arial" w:hAnsi="Arial" w:cs="Arial"/>
        </w:rPr>
        <w:t>M</w:t>
      </w:r>
      <w:r w:rsidRPr="00103A0B">
        <w:rPr>
          <w:rFonts w:ascii="Arial" w:hAnsi="Arial" w:cs="Arial"/>
        </w:rPr>
        <w:t xml:space="preserve">ental </w:t>
      </w:r>
      <w:r w:rsidR="008F2A9E" w:rsidRPr="00103A0B">
        <w:rPr>
          <w:rFonts w:ascii="Arial" w:hAnsi="Arial" w:cs="Arial"/>
        </w:rPr>
        <w:t>W</w:t>
      </w:r>
      <w:r w:rsidRPr="00103A0B">
        <w:rPr>
          <w:rFonts w:ascii="Arial" w:hAnsi="Arial" w:cs="Arial"/>
        </w:rPr>
        <w:t xml:space="preserve">ellbeing </w:t>
      </w:r>
      <w:r w:rsidR="008F2A9E" w:rsidRPr="00103A0B">
        <w:rPr>
          <w:rFonts w:ascii="Arial" w:hAnsi="Arial" w:cs="Arial"/>
        </w:rPr>
        <w:t>S</w:t>
      </w:r>
      <w:r w:rsidRPr="00103A0B">
        <w:rPr>
          <w:rFonts w:ascii="Arial" w:hAnsi="Arial" w:cs="Arial"/>
        </w:rPr>
        <w:t xml:space="preserve">cores on </w:t>
      </w:r>
      <w:r w:rsidR="008F2A9E" w:rsidRPr="00103A0B">
        <w:rPr>
          <w:rFonts w:ascii="Arial" w:hAnsi="Arial" w:cs="Arial"/>
        </w:rPr>
        <w:t>U</w:t>
      </w:r>
      <w:r w:rsidRPr="00103A0B">
        <w:rPr>
          <w:rFonts w:ascii="Arial" w:hAnsi="Arial" w:cs="Arial"/>
        </w:rPr>
        <w:t xml:space="preserve">ptake and </w:t>
      </w:r>
      <w:r w:rsidR="008F2A9E" w:rsidRPr="00103A0B">
        <w:rPr>
          <w:rFonts w:ascii="Arial" w:hAnsi="Arial" w:cs="Arial"/>
        </w:rPr>
        <w:t>C</w:t>
      </w:r>
      <w:r w:rsidRPr="00103A0B">
        <w:rPr>
          <w:rFonts w:ascii="Arial" w:hAnsi="Arial" w:cs="Arial"/>
        </w:rPr>
        <w:t xml:space="preserve">ompletion of a </w:t>
      </w:r>
      <w:r w:rsidR="008F2A9E" w:rsidRPr="00103A0B">
        <w:rPr>
          <w:rFonts w:ascii="Arial" w:hAnsi="Arial" w:cs="Arial"/>
        </w:rPr>
        <w:t>D</w:t>
      </w:r>
      <w:r w:rsidRPr="00103A0B">
        <w:rPr>
          <w:rFonts w:ascii="Arial" w:hAnsi="Arial" w:cs="Arial"/>
        </w:rPr>
        <w:t xml:space="preserve">iabetes </w:t>
      </w:r>
      <w:r w:rsidR="008F2A9E" w:rsidRPr="00103A0B">
        <w:rPr>
          <w:rFonts w:ascii="Arial" w:hAnsi="Arial" w:cs="Arial"/>
        </w:rPr>
        <w:t>P</w:t>
      </w:r>
      <w:r w:rsidRPr="00103A0B">
        <w:rPr>
          <w:rFonts w:ascii="Arial" w:hAnsi="Arial" w:cs="Arial"/>
        </w:rPr>
        <w:t xml:space="preserve">revention </w:t>
      </w:r>
      <w:r w:rsidR="008F2A9E" w:rsidRPr="00103A0B">
        <w:rPr>
          <w:rFonts w:ascii="Arial" w:hAnsi="Arial" w:cs="Arial"/>
        </w:rPr>
        <w:t>P</w:t>
      </w:r>
      <w:r w:rsidRPr="00103A0B">
        <w:rPr>
          <w:rFonts w:ascii="Arial" w:hAnsi="Arial" w:cs="Arial"/>
        </w:rPr>
        <w:t>rogramme in England</w:t>
      </w:r>
      <w:bookmarkEnd w:id="374"/>
    </w:p>
    <w:p w14:paraId="0C7E8E8F" w14:textId="2289F717" w:rsidR="005455C5" w:rsidRPr="00103A0B" w:rsidRDefault="005455C5" w:rsidP="00CD5919">
      <w:pPr>
        <w:spacing w:line="360" w:lineRule="auto"/>
        <w:jc w:val="both"/>
        <w:rPr>
          <w:rFonts w:ascii="Arial" w:hAnsi="Arial" w:cs="Arial"/>
          <w:lang w:bidi="en-US"/>
        </w:rPr>
      </w:pPr>
    </w:p>
    <w:p w14:paraId="1ADF5E67" w14:textId="0549B1F0" w:rsidR="00492C98" w:rsidRPr="00103A0B" w:rsidRDefault="00643C08" w:rsidP="00CD5919">
      <w:pPr>
        <w:pStyle w:val="Heading2"/>
        <w:numPr>
          <w:ilvl w:val="0"/>
          <w:numId w:val="0"/>
        </w:numPr>
        <w:jc w:val="both"/>
        <w:rPr>
          <w:rFonts w:ascii="Arial" w:hAnsi="Arial" w:cs="Arial"/>
          <w:sz w:val="28"/>
        </w:rPr>
      </w:pPr>
      <w:bookmarkStart w:id="375" w:name="_Toc151548330"/>
      <w:r w:rsidRPr="00103A0B">
        <w:rPr>
          <w:rFonts w:ascii="Arial" w:hAnsi="Arial" w:cs="Arial"/>
          <w:sz w:val="28"/>
        </w:rPr>
        <w:t xml:space="preserve">7.1 </w:t>
      </w:r>
      <w:r w:rsidR="00492C98" w:rsidRPr="00103A0B">
        <w:rPr>
          <w:rFonts w:ascii="Arial" w:hAnsi="Arial" w:cs="Arial"/>
          <w:sz w:val="28"/>
        </w:rPr>
        <w:t>Introduction</w:t>
      </w:r>
      <w:bookmarkEnd w:id="375"/>
      <w:r w:rsidR="00492C98" w:rsidRPr="00103A0B">
        <w:rPr>
          <w:rFonts w:ascii="Arial" w:hAnsi="Arial" w:cs="Arial"/>
          <w:sz w:val="28"/>
        </w:rPr>
        <w:t xml:space="preserve"> </w:t>
      </w:r>
    </w:p>
    <w:p w14:paraId="1A9E804B" w14:textId="552B320E" w:rsidR="00643C08" w:rsidRPr="00103A0B" w:rsidRDefault="00643C08" w:rsidP="00CD5919">
      <w:pPr>
        <w:spacing w:line="360" w:lineRule="auto"/>
        <w:jc w:val="both"/>
        <w:rPr>
          <w:rFonts w:ascii="Arial" w:hAnsi="Arial" w:cs="Arial"/>
          <w:sz w:val="24"/>
          <w:szCs w:val="24"/>
        </w:rPr>
      </w:pPr>
      <w:r w:rsidRPr="00103A0B">
        <w:rPr>
          <w:rFonts w:ascii="Arial" w:hAnsi="Arial" w:cs="Arial"/>
          <w:sz w:val="24"/>
          <w:szCs w:val="24"/>
        </w:rPr>
        <w:t xml:space="preserve">Type 2 Diabetes Mellitus (T2DM) prevention is a global healthcare priority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Practice","id":"ITEM-1","issued":{"date-parts":[["2019"]]},"page":"107843","publisher":"Elsevier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edition","type":"article-journal","volume":"157"},"uris":["http://www.mendeley.com/documents/?uuid=d2427967-043a-4315-9977-8c46594ef56c"]}],"mendeley":{"formattedCitation":"(Saeedi et al., 2019)","plainTextFormattedCitation":"(Saeedi et al., 2019)","previouslyFormattedCitation":"(Saeedi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(Saeedi et al., 2019)</w:t>
      </w:r>
      <w:r w:rsidRPr="00103A0B">
        <w:rPr>
          <w:rFonts w:ascii="Arial" w:hAnsi="Arial" w:cs="Arial"/>
          <w:sz w:val="24"/>
          <w:szCs w:val="24"/>
        </w:rPr>
        <w:fldChar w:fldCharType="end"/>
      </w:r>
      <w:r w:rsidRPr="00103A0B">
        <w:rPr>
          <w:rFonts w:ascii="Arial" w:hAnsi="Arial" w:cs="Arial"/>
          <w:sz w:val="24"/>
          <w:szCs w:val="24"/>
        </w:rPr>
        <w:t xml:space="preserve">. Levels of prediabetes (i.e., those at high risk of T2DM) are predicted to rise from 374 million (in 2019) to 548 million by 2045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Practice","id":"ITEM-1","issued":{"date-parts":[["2019"]]},"page":"107843","publisher":"Elsevier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edition","type":"article-journal","volume":"157"},"uris":["http://www.mendeley.com/documents/?uuid=d2427967-043a-4315-9977-8c46594ef56c"]}],"mendeley":{"formattedCitation":"(Saeedi et al., 2019)","plainTextFormattedCitation":"(Saeedi et al., 2019)","previouslyFormattedCitation":"(Saeedi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(Saeedi et al., 2019)</w:t>
      </w:r>
      <w:r w:rsidRPr="00103A0B">
        <w:rPr>
          <w:rFonts w:ascii="Arial" w:hAnsi="Arial" w:cs="Arial"/>
          <w:sz w:val="24"/>
          <w:szCs w:val="24"/>
        </w:rPr>
        <w:fldChar w:fldCharType="end"/>
      </w:r>
      <w:r w:rsidRPr="00103A0B">
        <w:rPr>
          <w:rFonts w:ascii="Arial" w:hAnsi="Arial" w:cs="Arial"/>
          <w:sz w:val="24"/>
          <w:szCs w:val="24"/>
        </w:rPr>
        <w:t xml:space="preserve">. Obesity and physical inactivity are important risk factors for T2DM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0168-8227","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E","non-dropping-particle":"","parse-names":false,"suffix":""},{"dropping-particle":"","family":"Bright","given":"Dominic","non-dropping-particle":"","parse-names":false,"suffix":""}],"container-title":"Diabetes Research and Clinical Practice","id":"ITEM-1","issued":{"date-parts":[["2019"]]},"page":"107843","publisher":"Elsevier Ireland Ltd","title":"Global and regional diabetes prevalence estimates for 2019 and projections for 2030 and 2045 : results from the International Diabetes Federation Diabetes Atlas, 9th edition","type":"article-journal","volume":"157"},"uris":["http://www.mendeley.com/documents/?uuid=d2427967-043a-4315-9977-8c46594ef56c"]}],"mendeley":{"formattedCitation":"(Saeedi et al., 2019)","plainTextFormattedCitation":"(Saeedi et al., 2019)","previouslyFormattedCitation":"(Saeedi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(Saeedi et al., 2019)</w:t>
      </w:r>
      <w:r w:rsidRPr="00103A0B">
        <w:rPr>
          <w:rFonts w:ascii="Arial" w:hAnsi="Arial" w:cs="Arial"/>
          <w:sz w:val="24"/>
          <w:szCs w:val="24"/>
        </w:rPr>
        <w:fldChar w:fldCharType="end"/>
      </w:r>
      <w:r w:rsidRPr="00103A0B">
        <w:rPr>
          <w:rFonts w:ascii="Arial" w:hAnsi="Arial" w:cs="Arial"/>
          <w:sz w:val="24"/>
          <w:szCs w:val="24"/>
        </w:rPr>
        <w:t xml:space="preserve"> and in England, approximately 33% of adults are considered insufficiently active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{"citationItems":[{"id":"ITEM-1","itemData":{"author":[{"dropping-particle":"","family":"NHS Digital","given":"","non-dropping-particle":"","parse-names":false,"suffix":""}],"id":"ITEM-1","issued":{"date-parts":[["2020"]]},"number-of-pages":"1-51","title":"Statistics on obesity, physical activity and diet, england, 2020","type":"report"},"uris":["http://www.mendeley.com/documents/?uuid=9f3359a7-4712-403b-8d65-d6be495f94ad"]}],"mendeley":{"formattedCitation":"(NHS Digital, 2020b)","plainTextFormattedCitation":"(NHS Digital, 2020b)","previouslyFormattedCitation":"(NHS Digital, 2020b)"},"properties":{"noteIndex":0},"schema":"https://github.com/citation-style-language/schema/raw/master/csl-citation.json"}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Digital, 2020b)</w:t>
      </w:r>
      <w:r w:rsidRPr="00103A0B">
        <w:rPr>
          <w:rFonts w:ascii="Arial" w:hAnsi="Arial" w:cs="Arial"/>
          <w:sz w:val="24"/>
          <w:szCs w:val="24"/>
        </w:rPr>
        <w:fldChar w:fldCharType="end"/>
      </w:r>
      <w:r w:rsidRPr="00103A0B">
        <w:rPr>
          <w:rFonts w:ascii="Arial" w:hAnsi="Arial" w:cs="Arial"/>
          <w:sz w:val="24"/>
          <w:szCs w:val="24"/>
        </w:rPr>
        <w:t xml:space="preserve"> and 62% of adults are classified as overweight or obese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{"citationItems":[{"id":"ITEM-1","itemData":{"abstract":"A systematic review and meta-analysis assessing the effectiveness of pragmatic lifestyle interventions for the prevention of type 2 diabetes mellitus in routine practice 2 About Public Health England Public Health England exists to protect and improve the nation's health and wellbeing, and reduce health inequalities. It does this through world-class science, knowledge and intelligence, advocacy, partnerships and the delivery of specialist public health services. PHE is an operationally autonomous executive agency of the Department of Health.","author":[{"dropping-particle":"","family":"Nuzhat","given":"B.A.","non-dropping-particle":"","parse-names":false,"suffix":""},{"dropping-particle":"","family":"Spong","given":"R.","non-dropping-particle":"","parse-names":false,"suffix":""},{"dropping-particle":"","family":"Carter","given":"P.","non-dropping-particle":"","parse-names":false,"suffix":""},{"dropping-particle":"","family":"Davies","given":"M.","non-dropping-particle":"","parse-names":false,"suffix":""},{"dropping-particle":"","family":"Dunkley","given":"A.","non-dropping-particle":"","parse-names":false,"suffix":""},{"dropping-particle":"","family":"Gillies, C","given":"et al.","non-dropping-particle":"","parse-names":false,"suffix":""}],"container-title":"Public Health England","id":"ITEM-1","issued":{"date-parts":[["2015"]]},"number-of-pages":"1-173","title":"A systematic review and meta- analysis assessing the effectiveness of pragmatic lifestyle interventions for the prevention of type 2 diabetes mellitus in routine practice","type":"report"},"uris":["http://www.mendeley.com/documents/?uuid=7d9fa3fc-50cd-4082-b9b8-2d51de6dfb55"]}],"mendeley":{"formattedCitation":"(Nuzhat et al., 2015)","plainTextFormattedCitation":"(Nuzhat et al., 2015)","previouslyFormattedCitation":"(Nuzhat et al.,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(Nuzhat et al., 2015)</w:t>
      </w:r>
      <w:r w:rsidRPr="00103A0B">
        <w:rPr>
          <w:rFonts w:ascii="Arial" w:hAnsi="Arial" w:cs="Arial"/>
          <w:sz w:val="24"/>
          <w:szCs w:val="24"/>
        </w:rPr>
        <w:fldChar w:fldCharType="end"/>
      </w:r>
      <w:r w:rsidRPr="00103A0B">
        <w:rPr>
          <w:rFonts w:ascii="Arial" w:hAnsi="Arial" w:cs="Arial"/>
          <w:sz w:val="24"/>
          <w:szCs w:val="24"/>
        </w:rPr>
        <w:t xml:space="preserve">. By 2034, it is forecast that 1 in 3 adults will be obese and 1 in 10 will have T2DM, highlighting the need for more preventative measures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{"citationItems":[{"id":"ITEM-1","itemData":{"abstract":"We have an ambition: for people of this country to live as well as possible, for as long as possible. But on current trends, we are going to fall short because we face an epidemic of largely preventable long-term diseases. We may be living longer, but we – and future generations – risk spending many of these extra years in poor health unless we do a better job of tackling major risks such as obesity, poor diet, physical inactivity, smoking, and excessive alcohol consumption. If we fail, it will be the most vulnerable and the most deprived communities who will bear the heaviest burden. It will be neither effective nor feasible to attempt to solve these problems by ramping up our spending on hospitals, clinicians and services. Resources are scarce and all sectors, from the NHS to local authorities, are under huge pressure from constrained budgets and rising demand. What we need is a fundamentally new approach to creating and sustaining health, mental and physical, at every stage of life and across all our communities. It is an approach that acknowledges that our health is shaped by where and how we live: by our jobs, families, homes; but that also recognises the power of individuals to change their lifestyles, especially if they get the right support at the right time. We have an opportunity, with the creation of Public Health England, the NHS Five Year Forward View and the momentous return of public health to local authorities, to put this approach into practice. We have looked to the evidence to identify where we should focus our efforts. This report sets out seven key priorities where, through working closely with our partners in local and national government, with the NHS, the voluntary and community sector, and with industry and academia, we can make a significant difference over the coming five to ten years. In real time, these will not be quick wins, but in public health time, which is measured in decades, they could be. None of this is easy, but we will demonstrate that it is achievable. First, because we know what success looks like – take, for instance, the interventions that have led to dramatic falls in death rates from heart disease over the past decade 1 as proof of what is possible. 4 Foreword Contents Foreword Our health today Health drivers Protecting health Looking to the future Our seven priorities New drivers and opportunities References Second, because we have opportunities to do things differently. These we must seize because they ha…","author":[{"dropping-particle":"","family":"Public Health England","given":"","non-dropping-particle":"","parse-names":false,"suffix":""}],"id":"ITEM-1","issue":"October","issued":{"date-parts":[["2014"]]},"number-of-pages":"1-28","title":"From evidence into action: opportunities to protect and improve the nation's health","type":"report"},"uris":["http://www.mendeley.com/documents/?uuid=004c194e-8146-43ed-8328-4c1107adf1e9"]}],"mendeley":{"formattedCitation":"(Public Health England, 2014)","plainTextFormattedCitation":"(Public Health England, 2014)","previouslyFormattedCitation":"(Public Health England,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(Public Health England, 2014)</w:t>
      </w:r>
      <w:r w:rsidRPr="00103A0B">
        <w:rPr>
          <w:rFonts w:ascii="Arial" w:hAnsi="Arial" w:cs="Arial"/>
          <w:sz w:val="24"/>
          <w:szCs w:val="24"/>
        </w:rPr>
        <w:fldChar w:fldCharType="end"/>
      </w:r>
      <w:r w:rsidRPr="00103A0B">
        <w:rPr>
          <w:rFonts w:ascii="Arial" w:hAnsi="Arial" w:cs="Arial"/>
          <w:sz w:val="24"/>
          <w:szCs w:val="24"/>
        </w:rPr>
        <w:t xml:space="preserve">. The successful implementation of diabetes prevention programmes (DPPs) in countries like Finland and USA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{"citationItems":[{"id":"ITEM-1","itemData":{"DOI":"10.1016/S0140- 6736(09)61457-4","ISBN":"1474-547X (Electronic)\\n0140-6736 (Linking)","ISSN":"01406736","PMID":"19878986","abstract":"Background: In the 2·8 years of the Diabetes Prevention Program (DPP) randomised clinical trial, diabetes incidence in high-risk adults was reduced by 58% with intensive lifestyle intervention and by 31% with metformin, compared with placebo. We investigated the persistence of these effects in the long term. Methods: All active DPP participants were eligible for continued follow-up. 2766 of 3150 (88%) enrolled for a median additional follow-up of 5·7 years (IQR 5·5-5·8). 910 participants were from the lifestyle, 924 from the metformin, and 932 were from the original placebo groups. On the basis of the benefits from the intensive lifestyle intervention in the DPP, all three groups were offered group-implemented lifestyle intervention. Metformin treatment was continued in the original metformin group (850 mg twice daily as tolerated), with participants unmasked to assignment, and the original lifestyle intervention group was offered additional lifestyle support. The primary outcome was development of diabetes according to American Diabetes Association criteria. Analysis was by intention-to-treat. This study is registered with ClinicalTrials.gov, number NCT00038727. Findings: During the 10·0-year (IQR 9·0-10·5) follow-up since randomisation to DPP, the original lifestyle group lost, then partly regained weight. The modest weight loss with metformin was maintained. Diabetes incidence rates during the DPP were 4·8 cases per 100 person-years (95% CI 4·1-5·7) in the intensive lifestyle intervention group, 7·8 (6·8-8·8) in the metformin group, and 11·0 (9·8-12·3) in the placebo group. Diabetes incidence rates in this follow-up study were similar between treatment groups: 5·9 per 100 person-years (5·1-6·8) for lifestyle, 4·9 (4·2-5·7) for metformin, and 5·6 (4·8-6·5) for placebo. Diabetes incidence in the 10 years since DPP randomisation was reduced by 34% (24-42) in the lifestyle group and 18% (7-28) in the metformin group compared with placebo. Interpretation: During follow-up after DPP, incidences in the former placebo and metformin groups fell to equal those in the former lifestyle group, but the cumulative incidence of diabetes remained lowest in the lifestyle group. Prevention or delay of diabetes with lifestyle intervention or metformin can persist for at least 10 years. Funding: National Institute of Diabetes and Digestive and Kidney Diseases (NIDDK). © 2009 Elsevier Ltd. All rights reserved.","author":[{"dropping-particle":"","family":"Diabetes Prevention Program Research Group","given":"","non-dropping-particle":"","parse-names":false,"suffix":""}],"container-title":"The Lancet","id":"ITEM-1","issued":{"date-parts":[["2009"]]},"page":"1677-1686","publisher":"Elsevier Ltd","title":"10-year follow-up of diabetes incidence and weight loss in the diabetes prevention program outcomes study","type":"article-journal","volume":"374"},"uris":["http://www.mendeley.com/documents/?uuid=5beeceec-4d29-4c17-b528-7b647c5a8b77"]},{"id":"ITEM-2","itemData":{"ISBN":"0140-6736","ISSN":"1474-547X","PMID":"17098085","abstract":"SummaryBackground Lifestyle interventions can prevent the deterioration of impaired glucose tolerance to manifest type 2 diabetes, at least as long as the intervention continues. In the extended follow-up of the Finnish Diabetes Prevention Study, we assessed the extent to which the originally-achieved lifestyle changes and risk reduction remain after discontinuation of active counselling. Methods Overweight, middle-aged men (n=172) and women (n=350) with impaired glucose tolerance were randomly assigned to intensive lifestyle intervention or control group. After a median of 4 years of active intervention period, participants who were still free of diabetes were further followed up for a median of 3 years, with median total follow-up of 7 years. Diabetes incidence, bodyweight, physical activity, and dietary intakes of fat, saturated fat, and fibre were measured. Findings During the total follow-up, the incidence of type 2 diabetes was 4·3 and 7·4 per 100 person-years in the intervention and control group, respectively (log-rank test p=0·0001), indicating 43% reduction in relative risk. The risk reduction was related to the success in achieving the intervention goals of weight loss, reduced intake of total and saturated fat and increased intake of dietary fibre, and increased physical activity. Beneficial lifestyle changes achieved by participants in the intervention group were maintained after the discontinuation of the intervention, and the corresponding incidence rates during the post-intervention follow-up were 4·6 and 7·2 (p=0·0401), indicating 36% reduction in relative risk. Interpretation Lifestyle intervention in people at high risk for type 2 diabetes resulted in sustained lifestyle changes and a reduction in diabetes incidence, which remained after the individual lifestyle counselling was stopped.","author":[{"dropping-particle":"","family":"Lindstrom","given":"J","non-dropping-particle":"","parse-names":false,"suffix":""},{"dropping-particle":"","family":"Ilanne-Parikka","given":"Pirjo","non-dropping-particle":"","parse-names":false,"suffix":""},{"dropping-particle":"","family":"Peltonen","given":"Markku","non-dropping-particle":"","parse-names":false,"suffix":""},{"dropping-particle":"","family":"Aunola","given":"Sirkka","non-dropping-particle":"","parse-names":false,"suffix":""},{"dropping-particle":"","family":"Eriksson","given":"Johan G","non-dropping-particle":"","parse-names":false,"suffix":""},{"dropping-particle":"","family":"Hemio","given":"K","non-dropping-particle":"","parse-names":false,"suffix":""},{"dropping-particle":"","family":"Hamalainen","given":"H","non-dropping-particle":"","parse-names":false,"suffix":""},{"dropping-particle":"","family":"Harkonen","given":"P","non-dropping-particle":"","parse-names":false,"suffix":""},{"dropping-particle":"","family":"Keinanen-Kiukaanniemi","given":"S","non-dropping-particle":"","parse-names":false,"suffix":""},{"dropping-particle":"","family":"Laakso","given":"Mauri","non-dropping-particle":"","parse-names":false,"suffix":""},{"dropping-particle":"","family":"Louheranta","given":"Anne","non-dropping-particle":"","parse-names":false,"suffix":""},{"dropping-particle":"","family":"Mannelin","given":"Marjo","non-dropping-particle":"","parse-names":false,"suffix":""},{"dropping-particle":"","family":"Paturi","given":"Merja","non-dropping-particle":"","parse-names":false,"suffix":""},{"dropping-particle":"","family":"Sundvall","given":"Jouko","non-dropping-particle":"","parse-names":false,"suffix":""},{"dropping-particle":"","family":"Valle","given":"Timo T","non-dropping-particle":"","parse-names":false,"suffix":""},{"dropping-particle":"","family":"Uusitupa","given":"Matti","non-dropping-particle":"","parse-names":false,"suffix":""},{"dropping-particle":"","family":"Tuomilehto","given":"Jaakko","non-dropping-particle":"","parse-names":false,"suffix":""}],"container-title":"The Lancet","id":"ITEM-2","issued":{"date-parts":[["2006"]]},"page":"1673-1679","title":"Sustained reduction in the incidence of type 2 diabetes by lifestyle intervention: follow-up of the Finnish diabetes prevention study","type":"article-journal","volume":"368"},"uris":["http://www.mendeley.com/documents/?uuid=d27c96c5-e2fc-4ac6-8909-642dbf236daf"]}],"mendeley":{"formattedCitation":"(Diabetes Prevention Program Research Group, 2009; Lindstrom et al., 2006)","plainTextFormattedCitation":"(Diabetes Prevention Program Research Group, 2009; Lindstrom et al., 2006)","previouslyFormattedCitation":"(Diabetes Prevention Program Research Group, 2009; Lindstrom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Program Research Group, 2009; Lindstrom et al., 2006)</w:t>
      </w:r>
      <w:r w:rsidRPr="00103A0B">
        <w:rPr>
          <w:rFonts w:ascii="Arial" w:hAnsi="Arial" w:cs="Arial"/>
          <w:sz w:val="24"/>
          <w:szCs w:val="24"/>
        </w:rPr>
        <w:fldChar w:fldCharType="end"/>
      </w:r>
      <w:r w:rsidRPr="00103A0B">
        <w:rPr>
          <w:rFonts w:ascii="Arial" w:hAnsi="Arial" w:cs="Arial"/>
          <w:sz w:val="24"/>
          <w:szCs w:val="24"/>
        </w:rPr>
        <w:t xml:space="preserve">, has led England to develop the Healthier You: NHS Diabetes Prevention Programme (NHSDPP). </w:t>
      </w:r>
      <w:bookmarkStart w:id="376" w:name="_Hlk49163507"/>
      <w:r w:rsidRPr="00103A0B">
        <w:rPr>
          <w:rFonts w:ascii="Arial" w:hAnsi="Arial" w:cs="Arial"/>
          <w:sz w:val="24"/>
          <w:szCs w:val="24"/>
        </w:rPr>
        <w:t xml:space="preserve">This offers those with prediabetes a behaviour change programme to modify their lifestyle and reduce their T2DM risk </w:t>
      </w:r>
      <w:r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programme","type":"article-journal","volume":"43"},"uris":["http://www.mendeley.com/documents/?uuid=32a7a44a-df0b-4cde-9269-536e48e08190"]},{"id":"ITEM-3","itemData":{"ISBN":"9781528615457","abstract":"We are: announcing a smoke-free 2030 ambition, including options for revenue raising to support action on smoking cessation publishing Chapter 3 of the Childhood Obesity Strategy, including bold action on: infant feeding, clear labelling, food reformulation improving the nutritional content of foods, and support for individuals to achieve and maintain a healthier weight. In addition, driving forward policies in Chapter 2, including ending the sale of energy drinks to children launching a mental health prevention package, including the national launch of Every Mind Matters Staying active Becoming more active is good for our mental and physical health, and reduces our risk of developing a number of health conditions. For example, regular activity can reduce our risk of hip fractures by 68%, type 2 diabetes by 40%, heart disease by 35%, and depression by 30%.73","author":[{"dropping-particle":"","family":"HM Government","given":"","non-dropping-particle":"","parse-names":false,"suffix":""}],"id":"ITEM-3","issued":{"date-parts":[["2019"]]},"number-of-pages":"1-78","title":"Advancing our health: prevention in the 2020s","type":"report"},"uris":["http://www.mendeley.com/documents/?uuid=c39a4698-bcc6-4c68-8364-43a0e156dc2b"]}],"mendeley":{"formattedCitation":"(Diabetes Prevention Team, 2015; HM Government, 2019; Valabhji et al., 2020)","plainTextFormattedCitation":"(Diabetes Prevention Team, 2015; HM Government, 2019; Valabhji et al., 2020)","previouslyFormattedCitation":"(Diabetes Prevention Team, 2015; HM Government, 2019; 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 HM Government, 2019; Valabhji et al., 2020)</w:t>
      </w:r>
      <w:r w:rsidRPr="00103A0B">
        <w:rPr>
          <w:rFonts w:ascii="Arial" w:hAnsi="Arial" w:cs="Arial"/>
          <w:sz w:val="24"/>
          <w:szCs w:val="24"/>
        </w:rPr>
        <w:fldChar w:fldCharType="end"/>
      </w:r>
      <w:r w:rsidRPr="00103A0B">
        <w:rPr>
          <w:rFonts w:ascii="Arial" w:hAnsi="Arial" w:cs="Arial"/>
          <w:sz w:val="24"/>
          <w:szCs w:val="24"/>
        </w:rPr>
        <w:t xml:space="preserve">. </w:t>
      </w:r>
      <w:bookmarkEnd w:id="376"/>
    </w:p>
    <w:p w14:paraId="6C954D8E" w14:textId="69C25E6E" w:rsidR="00643C08" w:rsidRPr="00103A0B" w:rsidRDefault="00643C08" w:rsidP="00CD5919">
      <w:pPr>
        <w:spacing w:line="360" w:lineRule="auto"/>
        <w:jc w:val="both"/>
        <w:rPr>
          <w:rFonts w:ascii="Arial" w:eastAsia="Times New Roman" w:hAnsi="Arial" w:cs="Arial"/>
          <w:sz w:val="24"/>
          <w:szCs w:val="24"/>
          <w:lang w:eastAsia="en-GB"/>
        </w:rPr>
      </w:pPr>
      <w:bookmarkStart w:id="377" w:name="_Hlk49163660"/>
      <w:r w:rsidRPr="00103A0B">
        <w:rPr>
          <w:rFonts w:ascii="Arial" w:eastAsia="Times New Roman" w:hAnsi="Arial" w:cs="Arial"/>
          <w:sz w:val="24"/>
          <w:szCs w:val="24"/>
          <w:lang w:eastAsia="en-GB"/>
        </w:rPr>
        <w:t xml:space="preserve">It is important that DPPs are clinically effective and financially viable when delivered at scale </w:t>
      </w:r>
      <w:bookmarkEnd w:id="377"/>
      <w:r w:rsidRPr="00103A0B">
        <w:rPr>
          <w:rFonts w:ascii="Arial" w:eastAsia="Times New Roman" w:hAnsi="Arial" w:cs="Arial"/>
          <w:sz w:val="24"/>
          <w:szCs w:val="24"/>
          <w:lang w:eastAsia="en-GB"/>
        </w:rPr>
        <w:fldChar w:fldCharType="begin" w:fldLock="1"/>
      </w:r>
      <w:r w:rsidRPr="00103A0B">
        <w:rPr>
          <w:rFonts w:ascii="Arial" w:eastAsia="Times New Roman" w:hAnsi="Arial" w:cs="Arial"/>
          <w:sz w:val="24"/>
          <w:szCs w:val="24"/>
          <w:lang w:eastAsia="en-GB"/>
        </w:rPr>
        <w:instrText>ADDIN CSL_CITATION {"citationItems":[{"id":"ITEM-1","itemData":{"abstract":"The significant rise and projected trends in the incidence of type 2 diabetes argue for a concerted effort on prevention. The strongest currently available evidence for diabetes prevention involves people at high risk for type 2 diabetes (i.e., those with prediabetes). Randomized, controlled trials and translation studies have demonstrated that type 2 diabetes can be prevented or delayed through a structured lifestyle intervention that can be delivered cost-effectively in a variety of settings. For the first time in the United States, a coordinated, focused effort is underway to bring this effective and cost-conscious lifestyle intervention to communities across the country to ultimately reduce the incidence of type 2 diabetes.","author":[{"dropping-particle":"","family":"Albright","given":"Ann","non-dropping-particle":"","parse-names":false,"suffix":""}],"container-title":"Diabetes care Educ Newsl.","id":"ITEM-1","issue":"4","issued":{"date-parts":[["2012"]]},"page":"4-7","title":"The national diabetes prevention program: from research to reality","type":"article-journal","volume":"33"},"uris":["http://www.mendeley.com/documents/?uuid=36427db8-9c7a-4530-b370-c8e7d9de3abb"]}],"mendeley":{"formattedCitation":"(Albright, 2012)","plainTextFormattedCitation":"(Albright, 2012)","previouslyFormattedCitation":"(Albright, 2012)"},"properties":{"noteIndex":0},"schema":"https://github.com/citation-style-language/schema/raw/master/csl-citation.json"}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(Albright, 2012)</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Programme viability is dependent on reaching and retaining adequate numbers of the target population; i.e., uptake and retention </w:t>
      </w:r>
      <w:r w:rsidRPr="00103A0B">
        <w:rPr>
          <w:rFonts w:ascii="Arial" w:hAnsi="Arial" w:cs="Arial"/>
        </w:rPr>
        <w:fldChar w:fldCharType="begin" w:fldLock="1"/>
      </w:r>
      <w:r w:rsidR="008F31AE" w:rsidRPr="00103A0B">
        <w:rPr>
          <w:rFonts w:ascii="Arial" w:eastAsia="Times New Roman" w:hAnsi="Arial" w:cs="Arial"/>
          <w:sz w:val="24"/>
          <w:szCs w:val="24"/>
          <w:lang w:eastAsia="en-GB"/>
        </w:rPr>
        <w:instrText>ADDIN CSL_CITATION {"citationItems":[{"id":"ITEM-1","itemData":{"DOI":"https://doi.org/10.1177/0890117119848985","author":[{"dropping-particle":"","family":"Alva","given":"M.L.","non-dropping-particle":"","parse-names":false,"suffix":""}],"container-title":"American Journal of Health Promotion","id":"ITEM-1","issue":"7","issued":{"date-parts":[["2019"]]},"page":"1067-72","title":"How much does attendance impact weight loss and health care spending in a diabetes prevention program serving older adults?","type":"article-journal","volume":"33"},"uris":["http://www.mendeley.com/documents/?uuid=ab27f0b0-3076-419f-87af-9f779434d81e"]}],"mendeley":{"formattedCitation":"(Alva, 2019a)","plainTextFormattedCitation":"(Alva, 2019a)","previouslyFormattedCitation":"(Alva, 2019a)"},"properties":{"noteIndex":0},"schema":"https://github.com/citation-style-language/schema/raw/master/csl-citation.json"}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8F31AE" w:rsidRPr="00103A0B">
        <w:rPr>
          <w:rFonts w:ascii="Arial" w:eastAsia="Times New Roman" w:hAnsi="Arial" w:cs="Arial"/>
          <w:noProof/>
          <w:sz w:val="24"/>
          <w:szCs w:val="24"/>
          <w:lang w:eastAsia="en-GB"/>
        </w:rPr>
        <w:t>(Alva, 2019a)</w:t>
      </w:r>
      <w:r w:rsidRPr="00103A0B">
        <w:rPr>
          <w:rFonts w:ascii="Arial" w:hAnsi="Arial" w:cs="Arial"/>
        </w:rPr>
        <w:fldChar w:fldCharType="end"/>
      </w:r>
      <w:r w:rsidRPr="00103A0B">
        <w:rPr>
          <w:rFonts w:ascii="Arial" w:eastAsia="Times New Roman" w:hAnsi="Arial" w:cs="Arial"/>
          <w:sz w:val="24"/>
          <w:szCs w:val="24"/>
          <w:lang w:eastAsia="en-GB"/>
        </w:rPr>
        <w:t xml:space="preserve">. Uptake is defined as participants attending the first or at least one session of the programme, and retention refers to sustained participant involvement, ideally until programme completion </w:t>
      </w:r>
      <w:r w:rsidRPr="00103A0B">
        <w:rPr>
          <w:rFonts w:ascii="Arial" w:eastAsia="Times New Roman" w:hAnsi="Arial" w:cs="Arial"/>
          <w:sz w:val="24"/>
          <w:szCs w:val="24"/>
          <w:lang w:eastAsia="en-GB"/>
        </w:rPr>
        <w:fldChar w:fldCharType="begin" w:fldLock="1"/>
      </w:r>
      <w:r w:rsidR="00992026" w:rsidRPr="00103A0B">
        <w:rPr>
          <w:rFonts w:ascii="Arial" w:eastAsia="Times New Roman" w:hAnsi="Arial" w:cs="Arial"/>
          <w:sz w:val="24"/>
          <w:szCs w:val="24"/>
          <w:lang w:eastAsia="en-GB"/>
        </w:rPr>
        <w:instrText>ADDIN CSL_CITATION {"citationItems":[{"id":"ITEM-1","itemData":{"author":[{"dropping-particle":"","family":"NHS England","given":"","non-dropping-particle":"","parse-names":false,"suffix":""}],"id":"ITEM-1","issued":{"date-parts":[["2016"]]},"number-of-pages":"1-51","title":"NHS england impact analysis of implementing NHS diabetes prevention programme, 2016 to 2021","type":"report"},"uris":["http://www.mendeley.com/documents/?uuid=d3e6fa3e-5322-4de6-951f-0dc992882406"]},{"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programme","type":"article-journal","volume":"43"},"uris":["http://www.mendeley.com/documents/?uuid=32a7a44a-df0b-4cde-9269-536e48e08190"]}],"mendeley":{"formattedCitation":"(NHS England, 2016b; Valabhji et al., 2020)","plainTextFormattedCitation":"(NHS England, 2016b; Valabhji et al., 2020)","previouslyFormattedCitation":"(NHS England, 2016b; Valabhji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(NHS England, 2016b; Valabhji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r w:rsidRPr="00103A0B">
        <w:rPr>
          <w:rFonts w:ascii="Arial" w:hAnsi="Arial" w:cs="Arial"/>
          <w:sz w:val="24"/>
          <w:szCs w:val="24"/>
        </w:rPr>
        <w:t>The NHSDPP (</w:t>
      </w:r>
      <w:r w:rsidRPr="00103A0B">
        <w:rPr>
          <w:rFonts w:ascii="Arial" w:hAnsi="Arial" w:cs="Arial"/>
          <w:color w:val="000000" w:themeColor="text1"/>
          <w:sz w:val="24"/>
          <w:szCs w:val="24"/>
        </w:rPr>
        <w:t xml:space="preserve">2016-2018) found 63% of individuals who attended the initial assessment (IA), a short appointment they are required to attend before starting the programme, attended at least one session (i.e., ‘uptake’) </w:t>
      </w:r>
      <w:r w:rsidRPr="00103A0B">
        <w:rPr>
          <w:rFonts w:ascii="Arial" w:hAnsi="Arial" w:cs="Arial"/>
          <w:color w:val="000000" w:themeColor="text1"/>
          <w:sz w:val="24"/>
          <w:szCs w:val="24"/>
        </w:rPr>
        <w:fldChar w:fldCharType="begin" w:fldLock="1"/>
      </w:r>
      <w:r w:rsidR="00992026" w:rsidRPr="00103A0B">
        <w:rPr>
          <w:rFonts w:ascii="Arial" w:hAnsi="Arial" w:cs="Arial"/>
          <w:color w:val="000000" w:themeColor="text1"/>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programme","type":"article-journal","volume":"43"},"uris":["http://www.mendeley.com/documents/?uuid=32a7a44a-df0b-4cde-9269-536e48e08190"]}],"mendeley":{"formattedCitation":"(Valabhji et al., 2020)","plainTextFormattedCitation":"(Valabhji et al., 2020)","previouslyFormattedCitation":"(Valabhji et al., 2020)"},"properties":{"noteIndex":0},"schema":"https://github.com/citation-style-language/schema/raw/master/csl-citation.json"}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(Valabhji et al., 2020)</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Over half of those that attended the first session (53%) completed the programme, equating to an overall 19% completion rate </w:t>
      </w:r>
      <w:r w:rsidRPr="00103A0B">
        <w:rPr>
          <w:rFonts w:ascii="Arial" w:hAnsi="Arial" w:cs="Arial"/>
          <w:color w:val="000000" w:themeColor="text1"/>
          <w:sz w:val="24"/>
          <w:szCs w:val="24"/>
        </w:rPr>
        <w:fldChar w:fldCharType="begin" w:fldLock="1"/>
      </w:r>
      <w:r w:rsidR="00992026" w:rsidRPr="00103A0B">
        <w:rPr>
          <w:rFonts w:ascii="Arial" w:hAnsi="Arial" w:cs="Arial"/>
          <w:color w:val="000000" w:themeColor="text1"/>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programme","type":"article-journal","volume":"43"},"uris":["http://www.mendeley.com/documents/?uuid=32a7a44a-df0b-4cde-9269-536e48e08190"]}],"mendeley":{"formattedCitation":"(Valabhji et al., 2020)","plainTextFormattedCitation":"(Valabhji et al., 2020)","previouslyFormattedCitation":"(Valabhji et al., 2020)"},"properties":{"noteIndex":0},"schema":"https://github.com/citation-style-language/schema/raw/master/csl-citation.json"}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(Valabhji et al., 2020)</w:t>
      </w:r>
      <w:r w:rsidRPr="00103A0B">
        <w:rPr>
          <w:rFonts w:ascii="Arial" w:hAnsi="Arial" w:cs="Arial"/>
          <w:color w:val="000000" w:themeColor="text1"/>
          <w:sz w:val="24"/>
          <w:szCs w:val="24"/>
        </w:rPr>
        <w:fldChar w:fldCharType="end"/>
      </w:r>
      <w:r w:rsidRPr="00103A0B">
        <w:rPr>
          <w:rFonts w:ascii="Arial" w:hAnsi="Arial" w:cs="Arial"/>
          <w:color w:val="000000" w:themeColor="text1"/>
          <w:sz w:val="24"/>
          <w:szCs w:val="24"/>
        </w:rPr>
        <w:t xml:space="preserve">. </w:t>
      </w:r>
      <w:r w:rsidRPr="00103A0B">
        <w:rPr>
          <w:rFonts w:ascii="Arial" w:eastAsia="Times New Roman" w:hAnsi="Arial" w:cs="Arial"/>
          <w:sz w:val="24"/>
          <w:szCs w:val="24"/>
          <w:lang w:eastAsia="en-GB"/>
        </w:rPr>
        <w:t xml:space="preserve">By understanding the factors involved that affect participants’ decisions as to whether to start or complete a programme, uptake </w:t>
      </w:r>
      <w:r w:rsidRPr="00103A0B">
        <w:rPr>
          <w:rFonts w:ascii="Arial" w:eastAsia="Times New Roman" w:hAnsi="Arial" w:cs="Arial"/>
          <w:sz w:val="24"/>
          <w:szCs w:val="24"/>
          <w:lang w:eastAsia="en-GB"/>
        </w:rPr>
        <w:lastRenderedPageBreak/>
        <w:t xml:space="preserve">and retention can be further improved. When compared with uptake, completion of lifestyle behaviour change programmes has received less attention, and factors that predict uptake are not necessarily the same  for completion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Disorders","id":"ITEM-1","issued":{"date-parts":[["2012"]]},"page":"120","title":"A systematic review of patient reported factors associated with uptake and completion of cardiovascular lifestyle behaviour change","type":"article-journal","volume":"12"},"uris":["http://www.mendeley.com/documents/?uuid=8909c03f-c8a9-4dd2-84c1-a3cf90717072"]}],"mendeley":{"formattedCitation":"(Murray et al., 2012)","plainTextFormattedCitation":"(Murray et al., 2012)","previouslyFormattedCitation":"(Murray et al., 2012)"},"properties":{"noteIndex":0},"schema":"https://github.com/citation-style-language/schema/raw/master/csl-citation.json"}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(Murray et al., 2012)</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p>
    <w:p w14:paraId="7ACB3C18" w14:textId="06841DEC" w:rsidR="00643C08" w:rsidRPr="00103A0B" w:rsidRDefault="00643C08" w:rsidP="00CD5919">
      <w:pPr>
        <w:spacing w:line="360" w:lineRule="auto"/>
        <w:jc w:val="both"/>
        <w:rPr>
          <w:rFonts w:ascii="Arial" w:eastAsia="Times New Roman" w:hAnsi="Arial" w:cs="Arial"/>
          <w:sz w:val="24"/>
          <w:szCs w:val="24"/>
          <w:lang w:eastAsia="en-GB"/>
        </w:rPr>
      </w:pPr>
      <w:bookmarkStart w:id="378" w:name="_Hlk49167366"/>
      <w:r w:rsidRPr="00103A0B">
        <w:rPr>
          <w:rFonts w:ascii="Arial" w:eastAsia="Times New Roman" w:hAnsi="Arial" w:cs="Arial"/>
          <w:sz w:val="24"/>
          <w:szCs w:val="24"/>
          <w:lang w:eastAsia="en-GB"/>
        </w:rPr>
        <w:t xml:space="preserve">It is important for DPPs to identify demographic factors (i.e., non-modifiable risk factors) like ethnicity that can potentially influence uptake and completion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Open","id":"ITEM-1","issued":{"date-parts":[["2019"]]},"page":"e028491","title":"Users ’ experiences of a pragmatic diabetes prevention intervention implemented in primary care: qualitative study","type":"article-journal","volume":"9"},"uris":["http://www.mendeley.com/documents/?uuid=883930c4-afe2-4928-a344-24e5a77c114f"]},{"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programme","type":"article-journal","volume":"43"},"uris":["http://www.mendeley.com/documents/?uuid=32a7a44a-df0b-4cde-9269-536e48e08190"]}],"mendeley":{"formattedCitation":"(Aujla et al., 2019; Valabhji et al., 2020)","plainTextFormattedCitation":"(Aujla et al., 2019; Valabhji et al., 2020)","previouslyFormattedCitation":"(Aujla et al., 2019; 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(Aujla et al., 2019; Valabhji et al., 2020)</w:t>
      </w:r>
      <w:r w:rsidRPr="00103A0B">
        <w:rPr>
          <w:rFonts w:ascii="Arial" w:hAnsi="Arial" w:cs="Arial"/>
          <w:sz w:val="24"/>
          <w:szCs w:val="24"/>
        </w:rPr>
        <w:fldChar w:fldCharType="end"/>
      </w:r>
      <w:r w:rsidRPr="00103A0B">
        <w:rPr>
          <w:rFonts w:ascii="Arial" w:hAnsi="Arial" w:cs="Arial"/>
          <w:sz w:val="24"/>
          <w:szCs w:val="24"/>
        </w:rPr>
        <w:t xml:space="preserve">. </w:t>
      </w:r>
      <w:r w:rsidRPr="00103A0B">
        <w:rPr>
          <w:rFonts w:ascii="Arial" w:eastAsia="Times New Roman" w:hAnsi="Arial" w:cs="Arial"/>
          <w:sz w:val="24"/>
          <w:szCs w:val="24"/>
          <w:lang w:eastAsia="en-GB"/>
        </w:rPr>
        <w:t xml:space="preserve">Current research has shown the importance of T2DM to Coronavirus 2019 (Covid-19) outcomes </w:t>
      </w:r>
      <w:r w:rsidRPr="00103A0B">
        <w:rPr>
          <w:rFonts w:ascii="Arial" w:eastAsia="Times New Roman" w:hAnsi="Arial" w:cs="Arial"/>
          <w:sz w:val="24"/>
          <w:szCs w:val="24"/>
          <w:lang w:eastAsia="en-GB"/>
        </w:rPr>
        <w:fldChar w:fldCharType="begin" w:fldLock="1"/>
      </w:r>
      <w:r w:rsidRPr="00103A0B">
        <w:rPr>
          <w:rFonts w:ascii="Arial" w:eastAsia="Times New Roman" w:hAnsi="Arial" w:cs="Arial"/>
          <w:sz w:val="24"/>
          <w:szCs w:val="24"/>
          <w:lang w:eastAsia="en-GB"/>
        </w:rPr>
        <w:instrText>ADDIN CSL_CITATION {"citationItems":[{"id":"ITEM-1","itemData":{"DOI":"10.1016/s2213-8587(20)30238-2","ISSN":"22138587","PMID":"32687793","abstract":"Since the initial COVID-19 outbreak in China, much attention has focused on people with diabetes because of poor prognosis in those with the infection. Initial reports were mainly on people with type 2 diabetes, although recent surveys have shown that individuals with type 1 diabetes are also at risk of severe COVID-19. The reason for worse prognosis in people with diabetes is likely to be multifactorial, thus reflecting the syndromic nature of diabetes. Age, sex, ethnicity, comorbidities such as hypertension and cardiovascular disease, obesity, and a pro-inflammatory and pro-coagulative state all probably contribute to the risk of worse outcomes. Glucose-lowering agents and anti-viral treatments can modulate the risk, but limitations to their use and potential interactions with COVID-19 treatments should be carefully assessed. Finally, severe acute respiratory syndrome coronavirus 2 infection itself might represent a worsening factor for people with diabetes, as it can precipitate acute metabolic complications through direct negative effects on β-cell function. These effects on β-cell function might also cause diabetic ketoacidosis in individuals with diabetes, hyperglycaemia at hospital admission in individuals with unknown history of diabetes, and potentially new-onset diabetes.","author":[{"dropping-particle":"","family":"Apicella","given":"Matteo","non-dropping-particle":"","parse-names":false,"suffix":""},{"dropping-particle":"","family":"Campopiano","given":"Maria Cristina","non-dropping-particle":"","parse-names":false,"suffix":""},{"dropping-particle":"","family":"Mantuano","given":"Michele","non-dropping-particle":"","parse-names":false,"suffix":""},{"dropping-particle":"","family":"Mazoni","given":"Laura","non-dropping-particle":"","parse-names":false,"suffix":""},{"dropping-particle":"","family":"Coppelli","given":"Alberto","non-dropping-particle":"","parse-names":false,"suffix":""},{"dropping-particle":"","family":"Prato","given":"Stefano","non-dropping-particle":"Del","parse-names":false,"suffix":""}],"container-title":"The Lancet Diabetes and Endocrinology","id":"ITEM-1","issue":"9","issued":{"date-parts":[["2020"]]},"page":"782-792","publisher":"Elsevier Ltd","title":"COVID-19 in people with diabetes: understanding the reasons for worse outcomes","type":"article-journal","volume":"8"},"uris":["http://www.mendeley.com/documents/?uuid=a025ca6f-a3c7-45a8-ab05-a96205b9be5e"]}],"mendeley":{"formattedCitation":"(Apicella et al., 2020)","plainTextFormattedCitation":"(Apicella et al., 2020)","previouslyFormattedCitation":"(Apicella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(Apicella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and how the </w:t>
      </w:r>
      <w:r w:rsidRPr="00103A0B">
        <w:rPr>
          <w:rFonts w:ascii="Arial" w:hAnsi="Arial" w:cs="Arial"/>
          <w:color w:val="000000" w:themeColor="text1"/>
          <w:sz w:val="24"/>
          <w:szCs w:val="24"/>
        </w:rPr>
        <w:t>Black, Asian and Minority Ethnic (</w:t>
      </w:r>
      <w:r w:rsidRPr="00103A0B">
        <w:rPr>
          <w:rFonts w:ascii="Arial" w:eastAsia="Times New Roman" w:hAnsi="Arial" w:cs="Arial"/>
          <w:sz w:val="24"/>
          <w:szCs w:val="24"/>
          <w:lang w:eastAsia="en-GB"/>
        </w:rPr>
        <w:t xml:space="preserve">BAME) groups are disproportionately affected </w:t>
      </w:r>
      <w:r w:rsidRPr="00103A0B">
        <w:rPr>
          <w:rFonts w:ascii="Arial" w:hAnsi="Arial" w:cs="Arial"/>
          <w:color w:val="000000" w:themeColor="text1"/>
          <w:sz w:val="24"/>
          <w:szCs w:val="24"/>
        </w:rPr>
        <w:fldChar w:fldCharType="begin" w:fldLock="1"/>
      </w:r>
      <w:r w:rsidR="00062570" w:rsidRPr="00103A0B">
        <w:rPr>
          <w:rFonts w:ascii="Arial" w:hAnsi="Arial" w:cs="Arial"/>
          <w:color w:val="000000" w:themeColor="text1"/>
          <w:sz w:val="24"/>
          <w:szCs w:val="24"/>
        </w:rPr>
        <w:instrText>ADDIN CSL_CITATION {"citationItems":[{"id":"ITEM-1","itemData":{"DOI":"10.1016/s2213-8587(20)30238-2","ISSN":"22138587","PMID":"32687793","abstract":"Since the initial COVID-19 outbreak in China, much attention has focused on people with diabetes because of poor prognosis in those with the infection. Initial reports were mainly on people with type 2 diabetes, although recent surveys have shown that individuals with type 1 diabetes are also at risk of severe COVID-19. The reason for worse prognosis in people with diabetes is likely to be multifactorial, thus reflecting the syndromic nature of diabetes. Age, sex, ethnicity, comorbidities such as hypertension and cardiovascular disease, obesity, and a pro-inflammatory and pro-coagulative state all probably contribute to the risk of worse outcomes. Glucose-lowering agents and anti-viral treatments can modulate the risk, but limitations to their use and potential interactions with COVID-19 treatments should be carefully assessed. Finally, severe acute respiratory syndrome coronavirus 2 infection itself might represent a worsening factor for people with diabetes, as it can precipitate acute metabolic complications through direct negative effects on β-cell function. These effects on β-cell function might also cause diabetic ketoacidosis in individuals with diabetes, hyperglycaemia at hospital admission in individuals with unknown history of diabetes, and potentially new-onset diabetes.","author":[{"dropping-particle":"","family":"Apicella","given":"Matteo","non-dropping-particle":"","parse-names":false,"suffix":""},{"dropping-particle":"","family":"Campopiano","given":"Maria Cristina","non-dropping-particle":"","parse-names":false,"suffix":""},{"dropping-particle":"","family":"Mantuano","given":"Michele","non-dropping-particle":"","parse-names":false,"suffix":""},{"dropping-particle":"","family":"Mazoni","given":"Laura","non-dropping-particle":"","parse-names":false,"suffix":""},{"dropping-particle":"","family":"Coppelli","given":"Alberto","non-dropping-particle":"","parse-names":false,"suffix":""},{"dropping-particle":"","family":"Prato","given":"Stefano","non-dropping-particle":"Del","parse-names":false,"suffix":""}],"container-title":"The Lancet Diabetes and Endocrinology","id":"ITEM-1","issue":"9","issued":{"date-parts":[["2020"]]},"page":"782-792","publisher":"Elsevier Ltd","title":"COVID-19 in people with diabetes: understanding the reasons for worse outcomes","type":"article-journal","volume":"8"},"uris":["http://www.mendeley.com/documents/?uuid=a025ca6f-a3c7-45a8-ab05-a96205b9be5e"]},{"id":"ITEM-2","itemData":{"author":[{"dropping-particle":"","family":"Public Health England","given":"","non-dropping-particle":"","parse-names":false,"suffix":""}],"id":"ITEM-2","issued":{"date-parts":[["2020"]]},"number-of-pages":"89","title":"Disparities in the risk and outcomes of COVID-19","type":"report"},"uris":["http://www.mendeley.com/documents/?uuid=af3b2878-cdff-47c6-b23b-17d9d0940bb9"]}],"mendeley":{"formattedCitation":"(Apicella et al., 2020; Public Health England, 2020a)","plainTextFormattedCitation":"(Apicella et al., 2020; Public Health England, 2020a)","previouslyFormattedCitation":"(Apicella et al., 2020; Public Health England, 2020a)"},"properties":{"noteIndex":0},"schema":"https://github.com/citation-style-language/schema/raw/master/csl-citation.json"}</w:instrText>
      </w:r>
      <w:r w:rsidRPr="00103A0B">
        <w:rPr>
          <w:rFonts w:ascii="Arial" w:hAnsi="Arial" w:cs="Arial"/>
          <w:color w:val="000000" w:themeColor="text1"/>
          <w:sz w:val="24"/>
          <w:szCs w:val="24"/>
        </w:rPr>
        <w:fldChar w:fldCharType="separate"/>
      </w:r>
      <w:r w:rsidRPr="00103A0B">
        <w:rPr>
          <w:rFonts w:ascii="Arial" w:hAnsi="Arial" w:cs="Arial"/>
          <w:noProof/>
          <w:color w:val="000000" w:themeColor="text1"/>
          <w:sz w:val="24"/>
          <w:szCs w:val="24"/>
        </w:rPr>
        <w:t>(Apicella et al., 2020; Public Health England, 2020a)</w:t>
      </w:r>
      <w:r w:rsidRPr="00103A0B">
        <w:rPr>
          <w:rFonts w:ascii="Arial" w:hAnsi="Arial" w:cs="Arial"/>
          <w:color w:val="000000" w:themeColor="text1"/>
          <w:sz w:val="24"/>
          <w:szCs w:val="24"/>
        </w:rPr>
        <w:fldChar w:fldCharType="end"/>
      </w:r>
      <w:r w:rsidRPr="00103A0B">
        <w:rPr>
          <w:rFonts w:ascii="Arial" w:eastAsia="Times New Roman" w:hAnsi="Arial" w:cs="Arial"/>
          <w:sz w:val="24"/>
          <w:szCs w:val="24"/>
          <w:lang w:eastAsia="en-GB"/>
        </w:rPr>
        <w:t xml:space="preserve">. This indicates that their risk of T2DM can play a critical role, making it vital to explore demographics. In light of Covid-19, self-referral to the NHSDPP after completing an online risk assessment is now acceptable which will help increase uptake </w:t>
      </w:r>
      <w:r w:rsidRPr="00103A0B">
        <w:rPr>
          <w:rFonts w:ascii="Arial" w:eastAsia="Times New Roman" w:hAnsi="Arial" w:cs="Arial"/>
          <w:sz w:val="24"/>
          <w:szCs w:val="24"/>
          <w:lang w:eastAsia="en-GB"/>
        </w:rPr>
        <w:fldChar w:fldCharType="begin" w:fldLock="1"/>
      </w:r>
      <w:r w:rsidR="00062570" w:rsidRPr="00103A0B">
        <w:rPr>
          <w:rFonts w:ascii="Arial" w:eastAsia="Times New Roman" w:hAnsi="Arial" w:cs="Arial"/>
          <w:sz w:val="24"/>
          <w:szCs w:val="24"/>
          <w:lang w:eastAsia="en-GB"/>
        </w:rPr>
        <w:instrText>ADDIN CSL_CITATION {"citationItems":[{"id":"ITEM-1","itemData":{"URL":"https://www.england.nhs.uk/2020/07/fast-online-access-to-world-leading-nhs-weight-loss-advice/","accessed":{"date-parts":[["2020","6","26"]]},"author":[{"dropping-particle":"","family":"NHS England","given":"","non-dropping-particle":"","parse-names":false,"suffix":""}],"id":"ITEM-1","issued":{"date-parts":[["2020"]]},"title":"Fast online access to world leading NHS weight loss advice","type":"webpage"},"uris":["http://www.mendeley.com/documents/?uuid=f1c25c25-bb89-4ee2-b2eb-8df1897bb933"]}],"mendeley":{"formattedCitation":"(NHS England, 2020a)","plainTextFormattedCitation":"(NHS England, 2020a)","previouslyFormattedCitation":"(NHS England, 2020a)"},"properties":{"noteIndex":0},"schema":"https://github.com/citation-style-language/schema/raw/master/csl-citation.json"}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(NHS England, 2020a)</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Also, there are plans to double the NHSDPP </w:t>
      </w:r>
      <w:r w:rsidRPr="00103A0B">
        <w:rPr>
          <w:rFonts w:ascii="Arial" w:eastAsia="Times New Roman" w:hAnsi="Arial" w:cs="Arial"/>
          <w:sz w:val="24"/>
          <w:szCs w:val="24"/>
          <w:lang w:eastAsia="en-GB"/>
        </w:rPr>
        <w:fldChar w:fldCharType="begin" w:fldLock="1"/>
      </w:r>
      <w:r w:rsidRPr="00103A0B">
        <w:rPr>
          <w:rFonts w:ascii="Arial" w:eastAsia="Times New Roman" w:hAnsi="Arial" w:cs="Arial"/>
          <w:sz w:val="24"/>
          <w:szCs w:val="24"/>
          <w:lang w:eastAsia="en-GB"/>
        </w:rPr>
        <w:instrText>ADDIN CSL_CITATION {"citationItems":[{"id":"ITEM-1","itemData":{"ISBN":"9781528615457","abstract":"We are: announcing a smoke-free 2030 ambition, including options for revenue raising to support action on smoking cessation publishing Chapter 3 of the Childhood Obesity Strategy, including bold action on: infant feeding, clear labelling, food reformulation improving the nutritional content of foods, and support for individuals to achieve and maintain a healthier weight. In addition, driving forward policies in Chapter 2, including ending the sale of energy drinks to children launching a mental health prevention package, including the national launch of Every Mind Matters Staying active Becoming more active is good for our mental and physical health, and reduces our risk of developing a number of health conditions. For example, regular activity can reduce our risk of hip fractures by 68%, type 2 diabetes by 40%, heart disease by 35%, and depression by 30%.73","author":[{"dropping-particle":"","family":"HM Government","given":"","non-dropping-particle":"","parse-names":false,"suffix":""}],"id":"ITEM-1","issued":{"date-parts":[["2019"]]},"number-of-pages":"1-78","title":"Advancing our health: prevention in the 2020s","type":"report"},"uris":["http://www.mendeley.com/documents/?uuid=c39a4698-bcc6-4c68-8364-43a0e156dc2b"]}],"mendeley":{"formattedCitation":"(HM Government, 2019)","plainTextFormattedCitation":"(HM Government, 2019)","previouslyFormattedCitation":"(HM Government, 2019)"},"properties":{"noteIndex":0},"schema":"https://github.com/citation-style-language/schema/raw/master/csl-citation.json"}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(HM Government, 2019)</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This further highlights the need to explore factors influencing uptake and completion. </w:t>
      </w:r>
    </w:p>
    <w:bookmarkEnd w:id="378"/>
    <w:p w14:paraId="20AB17CA" w14:textId="56EDEF11" w:rsidR="00643C08" w:rsidRPr="00103A0B" w:rsidRDefault="00643C08" w:rsidP="00CD5919">
      <w:pPr>
        <w:spacing w:line="360" w:lineRule="auto"/>
        <w:jc w:val="both"/>
        <w:rPr>
          <w:rFonts w:ascii="Arial" w:hAnsi="Arial" w:cs="Arial"/>
          <w:sz w:val="24"/>
          <w:szCs w:val="24"/>
        </w:rPr>
      </w:pPr>
      <w:r w:rsidRPr="00103A0B">
        <w:rPr>
          <w:rFonts w:ascii="Arial" w:eastAsia="Times New Roman" w:hAnsi="Arial" w:cs="Arial"/>
          <w:sz w:val="24"/>
          <w:szCs w:val="24"/>
          <w:lang w:eastAsia="en-GB"/>
        </w:rPr>
        <w:t xml:space="preserve">Modifiable factors, such as psychological factors (i.e., the way people think about their condition and their ability to change), could play a role in uptake and/or completion. Illness perceptions (IPs), self-efficacy (SE) and mental wellbeing (MWB) are important factors for DPPs to consider as they have been identified as influencing uptake and/or completion for other health programmes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author":[{"dropping-particle":"","family":"Marmarà","given":"Danika","non-dropping-particle":"","parse-names":false,"suffix":""},{"dropping-particle":"","family":"Marmarà","given":"Vincent","non-dropping-particle":"","parse-names":false,"suffix":""},{"dropping-particle":"","family":"Hubbard","given":"Gill","non-dropping-particle":"","parse-names":false,"suffix":""}],"container-title":"BMC Public Health","id":"ITEM-1","issued":{"date-parts":[["2017"]]},"page":"416","publisher":"BMC Public Health","title":"Health beliefs, illness perceptions and determinants of breast screening uptake in Malta: a cross-sectional survey","type":"article-journal","volume":"17"},"uris":["http://www.mendeley.com/documents/?uuid=d11d1bdb-4b14-49bf-a95f-ebea8490047f"]},{"id":"ITEM-2","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Disorders","id":"ITEM-2","issued":{"date-parts":[["2012"]]},"page":"120","title":"A systematic review of patient reported factors associated with uptake and completion of cardiovascular lifestyle behaviour change","type":"article-journal","volume":"12"},"uris":["http://www.mendeley.com/documents/?uuid=8909c03f-c8a9-4dd2-84c1-a3cf90717072"]},{"id":"ITEM-3","itemData":{"ISSN":"00223999","abstract":"Objective: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Research","id":"ITEM-3","issue":"6","issued":{"date-parts":[["2006"]]},"page":"631-637","title":"The brief illness perception questionnaire","type":"article-journal","volume":"60"},"uris":["http://www.mendeley.com/documents/?uuid=d92e0634-c26f-4845-bdfd-de9e844e3f3b"]},{"id":"ITEM-4","itemData":{"DOI":"10.1136/hrt.82.2.234","ISSN":"13556037","PMID":"10409543","abstract":"Objective - Many patients fail to attend cardiac rehabilitation. Attempts to identify sociodemographic or clinical predictors of non- attendance have not been very successful; therefore, this study aimed to determine whether the illness beliefs held during hospitalisation by patients who had suffered acute myocardial infarction or who had undergone coronary artery bypass graft surgery could predict cardiac rehabilitation attendance. Subjects and methods - 152 patients were prospectively studied of whom 41% had attended cardiac rehabilitation at six months. Results - In addition to being older, less aware of their cholesterol values, and less likely to be employed, non-attenders were less likely to believe their condition was controllable and that their lifestyle may have contributed to their illness. Conclusion - It should now be determined whether interventions aimed at optimising certain perceptions could promote cardiac rehabilitation uptake among those patients who could benefit the most.","author":[{"dropping-particle":"","family":"Cooper","given":"A.","non-dropping-particle":"","parse-names":false,"suffix":""},{"dropping-particle":"","family":"Lloyd","given":"G.","non-dropping-particle":"","parse-names":false,"suffix":""},{"dropping-particle":"","family":"Weinman","given":"J.","non-dropping-particle":"","parse-names":false,"suffix":""},{"dropping-particle":"","family":"Jackson","given":"G.","non-dropping-particle":"","parse-names":false,"suffix":""}],"container-title":"Heart","id":"ITEM-4","issue":"2","issued":{"date-parts":[["1999"]]},"page":"234-236","title":"Why patients do not attend cardiac rehabilitation: role of intentions and illness beliefs","type":"article-journal","volume":"82"},"uris":["http://www.mendeley.com/documents/?uuid=34c09c5a-879d-422b-93bf-3ab284d34bb2"]},{"id":"ITEM-5","itemData":{"ISSN":"00223999","abstract":"Objective: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Research","id":"ITEM-5","issued":{"date-parts":[["2006"]]},"page":"757-767","title":"Illness perceptions predict attendance at cardiac rehabilitation following acute myocardial infarction: a systematic review with meta-analysis","type":"article-journal","volume":"61"},"uris":["http://www.mendeley.com/documents/?uuid=046866de-6856-4a38-87d2-91dee1be78bc"]},{"id":"ITEM-6","itemData":{"DOI":"10.1136/bmj.312.7040.1191","ISSN":"09598146","PMID":"8634561","abstract":"Objective - To examine whether patients' initial perceptions of their myocardial infarction predict subsequent attendance at a cardiac rehabilitation course, return to work, disability, and sexual dysfunction. Design - Patients' perceptions of their illness were measured at admission with their first myocardial infarction and at follow up three and six months later. Setting - Two large teaching hospitals in Auckland, New Zealand. Subjects - 143 consecutive patients aged under 65 with their first myocardial infarction. Main outcome measures - Attendance at rehabilitation course; time before returning to work; measures of disability with sickness impact profile questionnaire for sleep and rest, social interaction, recreational activity, and home management; and sexual dysfunction. Results - Attendance at the rehabilitation course was significantly related to a stronger belief during admission that the illness could be cured or controlled (t = 2.08, P = 0.04). Return to work within six weeks was significantly predicted by the perception that the illness would last a short time (t = -2.52, P = 0.01) and have less grave consequences for the patient (t = -2.87, P = 0.005). Patients' belief that their heart disease would have serious consequences was significantly related to later disability in work around the house, recreational activities, and social interaction. A strong illness identity was significantly related to greater sexual dysfunction at both three and six months. Conclusions - Patients' initial perceptions of illness are important determinants of different aspects of recovery after myocardial infarction. Specific illness perceptions need to be identified at an early stage as a basis for optimising outcomes from rehabilitation programmes.","author":[{"dropping-particle":"","family":"Petrie","given":"Keith J.","non-dropping-particle":"","parse-names":false,"suffix":""},{"dropping-particle":"","family":"Weinman","given":"John","non-dropping-particle":"","parse-names":false,"suffix":""},{"dropping-particle":"","family":"Sharpe","given":"Norman","non-dropping-particle":"","parse-names":false,"suffix":""},{"dropping-particle":"","family":"Buckley","given":"Judith","non-dropping-particle":"","parse-names":false,"suffix":""}],"container-title":"British Medical Journal","id":"ITEM-6","issued":{"date-parts":[["1996"]]},"page":"1191-1194","title":"Role of patients' view of their illness in predicting return to work and functioning after myocardial infarction: longitudinal study","type":"article-journal","volume":"312"},"uris":["http://www.mendeley.com/documents/?uuid=5a054578-2b1d-4019-a4c6-90d9fe0d8d78"]},{"id":"ITEM-7","itemData":{"ISSN":"1359107X","PMID":"12804334","abstract":"Objective.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Psychology","id":"ITEM-7","issue":"2","issued":{"date-parts":[["2003"]]},"page":"209-221","title":"Illness perceptions, mood and coping in predicting attendance at cardiac rehabilitation","type":"article-journal","volume":"8"},"uris":["http://www.mendeley.com/documents/?uuid=2b23aeed-ebf4-4ab9-8528-f2beb3776198"]},{"id":"ITEM-8","itemData":{"author":[{"dropping-particle":"","family":"Selzler","given":"Anne-marie","non-dropping-particle":"","parse-names":false,"suffix":""},{"dropping-particle":"","family":"Rodgers","given":"Wendy M","non-dropping-particle":"","parse-names":false,"suffix":""},{"dropping-particle":"","family":"Berry","given":"Tanya R","non-dropping-particle":"","parse-names":false,"suffix":""},{"dropping-particle":"","family":"Mcfadden","given":"Kimberley","non-dropping-particle":"","parse-names":false,"suffix":""},{"dropping-particle":"","family":"Husband","given":"Cassandra","non-dropping-particle":"","parse-names":false,"suffix":""},{"dropping-particle":"","family":"Hall","given":"Craig","non-dropping-particle":"","parse-names":false,"suffix":""}],"container-title":"British Journal of Health Psychology","id":"ITEM-8","issued":{"date-parts":[["2019"]]},"page":"123-140","title":"Reciprocal relationships between self-efficacy, outcome satisfaction, and attendance at an exercise programme","type":"article-journal","volume":"24"},"uris":["http://www.mendeley.com/documents/?uuid=05d67eff-5f90-4933-af30-990820fe40ed"]},{"id":"ITEM-9","itemData":{"author":[{"dropping-particle":"","family":"Bernier","given":"Michel","non-dropping-particle":"","parse-names":false,"suffix":""},{"dropping-particle":"","family":"Avard","given":"Jacqueline","non-dropping-particle":"","parse-names":false,"suffix":""}],"container-title":"Cognitive Therapy and Research","id":"ITEM-9","issue":"3","issued":{"date-parts":[["1986"]]},"page":"319-338","title":"Self-efficacy, outcome, and attrition in weight-reduction program","type":"article-journal","volume":"10"},"uris":["http://www.mendeley.com/documents/?uuid=bdc6575d-b477-48c3-90a4-7863e2488b55"]},{"id":"ITEM-10","itemData":{"ISSN":"1543267X","abstract":"This study investigated attrition in a 6-month physical activity intervention for older adults. The program was based on the social-cognitive theory incorporating self-efficacy factors. Two hundred forty-eight insufficiently active 65- to 74-year-olds were recruited from the Australian federal electoral roll. The intervention comprised walking and strength and flexibility exercises and was conducted in 30 local neighborhoods where the participants resided. Characteristics of individuals lost to attrition (n = 86, 35%) were compared with those of program completers (n = 162, 65%). Logistic-regression analysis showed that those lost to attrition came from areas of lower socioeconomic status, were overweight and less physically active, and had lower walking self-efficacy scores and higher loneliness scores. The results suggest that early assessment of these characteristics should be undertaken to identify individuals at risk of attrition, to improve retention, and to avoid potential bias. © 2007 Human Kinetics, Inc.","author":[{"dropping-particle":"","family":"Jancey","given":"Jonine","non-dropping-particle":"","parse-names":false,"suffix":""},{"dropping-particle":"","family":"Lee","given":"Andy","non-dropping-particle":"","parse-names":false,"suffix":""},{"dropping-particle":"","family":"Howat","given":"Peter","non-dropping-particle":"","parse-names":false,"suffix":""},{"dropping-particle":"","family":"Clarke","given":"Ann","non-dropping-particle":"","parse-names":false,"suffix":""},{"dropping-particle":"","family":"Wang","given":"Kui","non-dropping-particle":"","parse-names":false,"suffix":""},{"dropping-particle":"","family":"Shilton","given":"Trevor","non-dropping-particle":"","parse-names":false,"suffix":""}],"container-title":"Journal of Aging and Physical Activity","id":"ITEM-10","issue":"2","issued":{"date-parts":[["2007"]]},"page":"152-165","title":"Reducing attrition in physical activity programs for older adults","type":"article-journal","volume":"15"},"uris":["http://www.mendeley.com/documents/?uuid=92dd1e44-3c9e-4ca6-a0a5-cca50dc9df28"]},{"id":"ITEM-11","itemData":{"ISSN":"14795868","PMID":"27612561","abstract":"Background: The purpose of this study was to identify demographic, clinical, psychosocial, physical and environmental factors that are associated with participation in and adherence to a combined resistance and endurance exercise program among cancer survivors, shortly after completion of primary cancer treatment. Data from the randomized controlled Resistance and Endurance exercise After ChemoTherapy (REACT) study were used for this study. Methods: The participants of the REACT study were randomly allocated to either a high intensity (HI) or low-to-moderate intensity (LMI) exercise program. Patients' participation rate was defined as the cancer survivors' decision to participate in the REACT study. Exercise adherence reflected participants' attendance to the scheduled exercise sessions and their compliance to the prescribed exercises. High session attendance rates were defined as attending at least 80 % of the sessions. High compliance rates were defined as performing at least of 90 % of the prescribed exercise across all sessions. Correlates of exercise adherence were studied separately for HI and LMI exercise. Demographic, clinical, and physical factors were assessed using self-reported questionnaires. Relevant clinical information was extracted from medical records. Multivariable logistic regression analyses were applied to identify correlates that were significantly associated with participation, high session attendance, high compliance with resistance and high compliance with endurance exercises. Results: Participants were more likely to have higher education, be non-smokers, have lower psychological distress, higher outcome expectations, and perceive more exercise barriers than non-participants. In HI exercise, higher self-efficacy was significantly associated with high session attendance and high compliance with endurance exercises, and lower psychological distress was significantly associated with high compliance with resistance exercises. In LMI exercise, being a non-smoker was significantly associated with high compliance with resistance exercises and higher BMI was significantly associated with high compliance with resistance and endurance exercises. Furthermore, breast cancer survivors were less likely to report high compliance with resistance and endurance exercises in LMI exercise compared to survivors of other types of cancer. The discriminative ability of the multivariable models ranged from 0.62 to 0.75. Conclusion: Several demographic…","author":[{"dropping-particle":"","family":"Kampshoff","given":"Caroline S.","non-dropping-particle":"","parse-names":false,"suffix":""},{"dropping-particle":"","family":"Mechelen","given":"Willem","non-dropping-particle":"","parse-names":false,"suffix":""},{"dropping-particle":"","family":"Schep","given":"Goof","non-dropping-particle":"","parse-names":false,"suffix":""},{"dropping-particle":"","family":"Nijziel","given":"Marten R.","non-dropping-particle":"","parse-names":false,"suffix":""},{"dropping-particle":"","family":"Witlox","given":"Lenja","non-dropping-particle":"","parse-names":false,"suffix":""},{"dropping-particle":"","family":"Bosman","given":"Lisa","non-dropping-particle":"","parse-names":false,"suffix":""},{"dropping-particle":"","family":"Chinapaw","given":"Mai J.M.","non-dropping-particle":"","parse-names":false,"suffix":""},{"dropping-particle":"","family":"Brug","given":"Johannes","non-dropping-particle":"","parse-names":false,"suffix":""},{"dropping-particle":"","family":"Buffart","given":"Laurien M.","non-dropping-particle":"","parse-names":false,"suffix":""}],"container-title":"International Journal of Behavioral Nutrition and Physical Activity","id":"ITEM-11","issued":{"date-parts":[["2016"]]},"page":"100","publisher":"International Journal of Behavioral Nutrition and Physical Activity","title":"Participation in and adherence to physical exercise after completion of primary cancer treatment","type":"article-journal","volume":"13"},"uris":["http://www.mendeley.com/documents/?uuid=278d7aff-d6ba-4e39-8ace-5c16057e7469"]},{"id":"ITEM-12","itemData":{"ISSN":"2152-7180","abstract":"This paper reports the qualitative component from a pragmatic randomized controlled trial (PRCT), the quantitative component is reported in Callaghan, Khalil, Morres and Carter (2011). Exercise may be effective in treating depression, but trials testing its effect in depressed women are rare. Our previous research found that standard exercise programmes, prescribed by General Practitioners and based on national guidelines of intensity levels thought to produce health benefits, are not suitable for this group, as they find them discouraging and lonely, with many dropping out very early on. Exercise that is matched to participants’ preferred intensity improves mental health outcomes and attrition rates. Our aim was to develop such a programme. This study addressed the question: does mentored exercise of preferred intensity lead to better psychological, physiological and social wellbeing outcomes and improved adherence rates when compared with exercise of prescribed intensity in 38 depressed women? Focus groups were conducted with participants from both arms of the study, to explore their experience of the exercise programme and to gather information that might help to explain the quantitative outcomes, a technique recommended by previous researchers conducting pragmatic trials. Women in the experimental programme experienced a statistically significant improvement in their mood, physical health, sense of wellbeing, self-esteem and quality of life. They reported achieving these gains via a positive experience which encouraged continued attendance. In contrast, women who received the “exercise as usual” programme experienced no significant benefits, were less likely to continue attending, and markedly less enthusiastic.","author":[{"dropping-particle":"","family":"Khalil","given":"Elizabeth","non-dropping-particle":"","parse-names":false,"suffix":""},{"dropping-particle":"","family":"Callaghan","given":"Patrick","non-dropping-particle":"","parse-names":false,"suffix":""},{"dropping-particle":"","family":"Carter","given":"Tim","non-dropping-particle":"","parse-names":false,"suffix":""},{"dropping-particle":"","family":"Morres","given":"Ioannis","non-dropping-particle":"","parse-names":false,"suffix":""}],"container-title":"Scientific Research","id":"ITEM-12","issue":"11","issued":{"date-parts":[["2012"]]},"page":"979-986","title":"Pragmatic randomised controlled trial of an exercise programme to improve wellbeing outcomes in women with depression: findings from the qualitative component","type":"article-journal","volume":"3"},"uris":["http://www.mendeley.com/documents/?uuid=40edca00-e60c-42ba-a917-a11f3c616774"]},{"id":"ITEM-13","itemData":{"ISSN":"14799731","PMID":"24659210","abstract":"Pulmonary rehabilitation (PR) is an effective treatment for people with chronic obstructive pulmonary disease (COPD). However, uptake and adherence to rehabilitation is poor and non-adherence is associated with poorer clinical outcomes. This study investigated the factors that might predict an individual completing his/her PR programme. Demographic, physiological and psychological data were collected from routine assessment information. Non-completers (N = 213) who dropped out after initial assessment were compared with completers (N = 438) who attended all 6 weeks of PR programme. Regression analysis indicated that smoking status was the strongest predictor for completing PR programme, that is, ex-smokers were 2.6 times (95% confidence interval (CI) = 1.7-3.9) and those who had never smoked were 2.5 times (95% confidence interval (CI) = 1.1-5.7) more likely to complete in comparison with those who were current smokers. Scoring better on psychological well-being measures (odds ratio = 1.6; 95% CI = 1.2-1.9) was also a strong predictor. The findings suggest the areas that could be addressed to enhance adherence to rehabilitation, for example, targeted interventions for clients who continue to smoke and for those who require support for psychological distress. © The Author(s) 2014.","author":[{"dropping-particle":"","family":"Cassidy","given":"Susan","non-dropping-particle":"","parse-names":false,"suffix":""},{"dropping-particle":"","family":"Turnbull","given":"Sue","non-dropping-particle":"","parse-names":false,"suffix":""},{"dropping-particle":"","family":"Gardani","given":"Maria","non-dropping-particle":"","parse-names":false,"suffix":""},{"dropping-particle":"","family":"Kirkwood","given":"Kim","non-dropping-particle":"","parse-names":false,"suffix":""}],"container-title":"Chronic Respiratory Disease","id":"ITEM-13","issue":"2","issued":{"date-parts":[["2014"]]},"page":"95-102","title":"Attendance at pulmonary rehabilitation classes: an exploration of demographic, physiological and psychological factors that predict completion of treatment","type":"article-journal","volume":"11"},"uris":["http://www.mendeley.com/documents/?uuid=c69fbeec-8523-4d93-b894-8a20fbc78dfd"]},{"id":"ITEM-14","itemData":{"ISBN":"0269215506","ISSN":"02692155","PMID":"17329279","abstract":"Objective: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Rehabilitation","id":"ITEM-14","issued":{"date-parts":[["2007"]]},"page":"222-229","title":"Predictors of drop-out from an outpatient cardiac rehabilitation programme","type":"article-journal","volume":"21"},"uris":["http://www.mendeley.com/documents/?uuid=1c9fcf5a-0df3-4220-a7bb-617e9a88b582"]}],"mendeley":{"formattedCitation":"(Bernier &amp; Avard, 1986; Broadbent et al., 2006; Cassidy et al., 2014; Cooper et al., 1999; French et al., 2006; Jancey et al., 2007; Kampshoff et al., 2016; Khalil et al., 2012; Marmarà et al., 2017; Murray et al., 2012; Petrie et al., 1996; Selzler et al., 2019; Whitmarsh et al., 2003; Yohannes et al., 2007)","manualFormatting":"(Bernier &amp; Avard, 1986; Broadbent et al., 2006; Cassidy et al., 2014; Cooper et al., 1999; French et al., 2006; Jancey et al., 2007; Kampshoff et al., 2016; Khalil et al., 2012; Marmarà et al., 2017; Murray et al., 2012; Petrie et al., 1996; Selzler et al., 2019; Whitmarsh et al., 2003; Yohannes et al., 2007)","plainTextFormattedCitation":"(Bernier &amp; Avard, 1986; Broadbent et al., 2006; Cassidy et al., 2014; Cooper et al., 1999; French et al., 2006; Jancey et al., 2007; Kampshoff et al., 2016; Khalil et al., 2012; Marmarà et al., 2017; Murray et al., 2012; Petrie et al., 1996; Selzler et al., 2019; Whitmarsh et al., 2003; Yohannes et al., 2007)","previouslyFormattedCitation":"(Bernier &amp; Avard, 1986; Broadbent et al., 2006; Cassidy et al., 2014; A. Cooper et al., 1999; French et al., 2006; Jancey et al., 2007; Kampshoff et al., 2016; Khalil et al., 2012; Marmarà et al., 2017; Murray et al., 2012; Petrie et al., 1996; Selzler et al., 2019; Whitmarsh et al., 2003; Yohannes et al., 2007)"},"properties":{"noteIndex":0},"schema":"https://github.com/citation-style-language/schema/raw/master/csl-citation.json"}</w:instrText>
      </w:r>
      <w:r w:rsidRPr="00103A0B">
        <w:rPr>
          <w:rFonts w:ascii="Arial" w:hAnsi="Arial" w:cs="Arial"/>
          <w:sz w:val="24"/>
          <w:szCs w:val="24"/>
        </w:rPr>
        <w:fldChar w:fldCharType="separate"/>
      </w:r>
      <w:r w:rsidR="007C66BC" w:rsidRPr="00103A0B">
        <w:rPr>
          <w:rFonts w:ascii="Arial" w:hAnsi="Arial" w:cs="Arial"/>
          <w:noProof/>
          <w:sz w:val="24"/>
          <w:szCs w:val="24"/>
        </w:rPr>
        <w:t>(Bernier &amp; Avard, 1986; Broadbent et al., 2006; Cassidy et al., 2014; Cooper et al., 1999; French et al., 2006; Jancey et al., 2007; Kampshoff et al., 2016; Khalil et al., 2012; Marmarà et al., 2017; Murray et al., 2012; Petrie et al., 1996; Selzler et al., 2019; Whitmarsh et al., 2003; Yohannes et al., 2007)</w:t>
      </w:r>
      <w:r w:rsidRPr="00103A0B">
        <w:rPr>
          <w:rFonts w:ascii="Arial" w:hAnsi="Arial" w:cs="Arial"/>
          <w:sz w:val="24"/>
          <w:szCs w:val="24"/>
        </w:rPr>
        <w:fldChar w:fldCharType="end"/>
      </w:r>
      <w:r w:rsidRPr="00103A0B">
        <w:rPr>
          <w:rFonts w:ascii="Arial" w:eastAsia="Times New Roman" w:hAnsi="Arial" w:cs="Arial"/>
          <w:sz w:val="24"/>
          <w:szCs w:val="24"/>
          <w:lang w:eastAsia="en-GB"/>
        </w:rPr>
        <w:t xml:space="preserve">. </w:t>
      </w:r>
      <w:r w:rsidRPr="00103A0B">
        <w:rPr>
          <w:rFonts w:ascii="Arial" w:hAnsi="Arial" w:cs="Arial"/>
          <w:sz w:val="24"/>
          <w:szCs w:val="24"/>
        </w:rPr>
        <w:t xml:space="preserve">Illness perceptions are beliefs or organised cognitive and emotional perceptions held by individuals regarding their illness </w:t>
      </w:r>
      <w:r w:rsidRPr="00103A0B">
        <w:rPr>
          <w:rFonts w:ascii="Arial" w:hAnsi="Arial" w:cs="Arial"/>
          <w:sz w:val="24"/>
          <w:szCs w:val="24"/>
        </w:rPr>
        <w:fldChar w:fldCharType="begin" w:fldLock="1"/>
      </w:r>
      <w:r w:rsidR="00062570"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conditions","type":"article-journal","volume":"20"},"uris":["http://www.mendeley.com/documents/?uuid=6ab2e4be-fe8b-472d-9f8b-4708fd8304e7"]}],"mendeley":{"formattedCitation":"(Petrie et al., 2007)","plainTextFormattedCitation":"(Petrie et al., 2007)","previouslyFormattedCitation":"(Petrie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et al., 2007)</w:t>
      </w:r>
      <w:r w:rsidRPr="00103A0B">
        <w:rPr>
          <w:rFonts w:ascii="Arial" w:hAnsi="Arial" w:cs="Arial"/>
          <w:sz w:val="24"/>
          <w:szCs w:val="24"/>
        </w:rPr>
        <w:fldChar w:fldCharType="end"/>
      </w:r>
      <w:r w:rsidRPr="00103A0B">
        <w:rPr>
          <w:rFonts w:ascii="Arial" w:hAnsi="Arial" w:cs="Arial"/>
          <w:sz w:val="24"/>
          <w:szCs w:val="24"/>
        </w:rPr>
        <w:t xml:space="preserve">. </w:t>
      </w:r>
      <w:bookmarkStart w:id="379" w:name="_Hlk41932317"/>
      <w:r w:rsidRPr="00103A0B">
        <w:rPr>
          <w:rFonts w:ascii="Arial" w:hAnsi="Arial" w:cs="Arial"/>
          <w:sz w:val="24"/>
          <w:szCs w:val="24"/>
        </w:rPr>
        <w:t xml:space="preserve">These IPs include illness: consequences, timeline, personal control, treatment control, identity, coherence, concern, emotional response and causes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questionnaire","type":"article-journal","volume":"60"},"uris":["http://www.mendeley.com/documents/?uuid=d92e0634-c26f-4845-bdfd-de9e844e3f3b"]}],"mendeley":{"formattedCitation":"(Broadbent et al., 2006)","plainTextFormattedCitation":"(Broadbent et al., 2006)","previouslyFormattedCitation":"(Broadbent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(Broadbent et al., 2006)</w:t>
      </w:r>
      <w:r w:rsidRPr="00103A0B">
        <w:rPr>
          <w:rFonts w:ascii="Arial" w:hAnsi="Arial" w:cs="Arial"/>
          <w:sz w:val="24"/>
          <w:szCs w:val="24"/>
        </w:rPr>
        <w:fldChar w:fldCharType="end"/>
      </w:r>
      <w:r w:rsidRPr="00103A0B">
        <w:rPr>
          <w:rFonts w:ascii="Arial" w:hAnsi="Arial" w:cs="Arial"/>
          <w:sz w:val="24"/>
          <w:szCs w:val="24"/>
        </w:rPr>
        <w:t>.</w:t>
      </w:r>
    </w:p>
    <w:bookmarkEnd w:id="379"/>
    <w:p w14:paraId="7D39EA70" w14:textId="3027AEDE" w:rsidR="00643C08" w:rsidRPr="00103A0B" w:rsidRDefault="00643C08" w:rsidP="00CD5919">
      <w:pPr>
        <w:spacing w:line="360" w:lineRule="auto"/>
        <w:jc w:val="both"/>
        <w:rPr>
          <w:rFonts w:ascii="Arial" w:hAnsi="Arial" w:cs="Arial"/>
          <w:sz w:val="24"/>
          <w:szCs w:val="24"/>
        </w:rPr>
      </w:pPr>
      <w:r w:rsidRPr="00103A0B">
        <w:rPr>
          <w:rFonts w:ascii="Arial" w:hAnsi="Arial" w:cs="Arial"/>
          <w:sz w:val="24"/>
          <w:szCs w:val="24"/>
        </w:rPr>
        <w:t xml:space="preserve">Illness perceptions have been established as determinants of behaviour and outcomes in individuals with medical conditions like T2DM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{"citationItems":[{"id":"ITEM-1","itemData":{"author":[{"dropping-particle":"","family":"Petrie","given":"Keith J","non-dropping-particle":"","parse-names":false,"suffix":""},{"dropping-particle":"","family":"Jago","given":"Lana A","non-dropping-particle":"","parse-names":false,"suffix":""},{"dropping-particle":"","family":"Devcich","given":"Daniel A","non-dropping-particle":"","parse-names":false,"suffix":""}],"container-title":"Current Opinion in Psychiatry","id":"ITEM-1","issued":{"date-parts":[["2007"]]},"page":"163-167","title":"The role of illness perceptions in patients with medical conditions","type":"article-journal","volume":"20"},"uris":["http://www.mendeley.com/documents/?uuid=6ab2e4be-fe8b-472d-9f8b-4708fd8304e7"]}],"mendeley":{"formattedCitation":"(Petrie et al., 2007)","plainTextFormattedCitation":"(Petrie et al., 2007)","previouslyFormattedCitation":"(Petrie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et al., 2007)</w:t>
      </w:r>
      <w:r w:rsidRPr="00103A0B">
        <w:rPr>
          <w:rFonts w:ascii="Arial" w:hAnsi="Arial" w:cs="Arial"/>
          <w:sz w:val="24"/>
          <w:szCs w:val="24"/>
        </w:rPr>
        <w:fldChar w:fldCharType="end"/>
      </w:r>
      <w:r w:rsidRPr="00103A0B">
        <w:rPr>
          <w:rFonts w:ascii="Arial" w:hAnsi="Arial" w:cs="Arial"/>
          <w:sz w:val="24"/>
          <w:szCs w:val="24"/>
        </w:rPr>
        <w:t xml:space="preserve">. </w:t>
      </w:r>
      <w:bookmarkStart w:id="380" w:name="_Hlk70511919"/>
      <w:r w:rsidRPr="00103A0B">
        <w:rPr>
          <w:rFonts w:ascii="Arial" w:hAnsi="Arial" w:cs="Arial"/>
          <w:sz w:val="24"/>
          <w:szCs w:val="24"/>
        </w:rPr>
        <w:t xml:space="preserve">Research on other health preventative and lifestyle behaviour change programmes has shown some IPs, such as illness consequences or coherence, predict higher uptake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uthor":[{"dropping-particle":"","family":"Marmarà","given":"Danika","non-dropping-particle":"","parse-names":false,"suffix":""},{"dropping-particle":"","family":"Marmarà","given":"Vincent","non-dropping-particle":"","parse-names":false,"suffix":""},{"dropping-particle":"","family":"Hubbard","given":"Gill","non-dropping-particle":"","parse-names":false,"suffix":""}],"container-title":"BMC Public Health","id":"ITEM-1","issued":{"date-parts":[["2017"]]},"page":"416","publisher":"BMC Public Health","title":"Health beliefs, illness perceptions and determinants of breast screening uptake in Malta: a cross-sectional survey","type":"article-journal","volume":"17"},"uris":["http://www.mendeley.com/documents/?uuid=d11d1bdb-4b14-49bf-a95f-ebea8490047f"]},{"id":"ITEM-2","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Disorders","id":"ITEM-2","issued":{"date-parts":[["2012"]]},"page":"120","title":"A systematic review of patient reported factors associated with uptake and completion of cardiovascular lifestyle behaviour change","type":"article-journal","volume":"12"},"uris":["http://www.mendeley.com/documents/?uuid=8909c03f-c8a9-4dd2-84c1-a3cf90717072"]}],"mendeley":{"formattedCitation":"(Marmarà et al., 2017; Murray et al., 2012)","plainTextFormattedCitation":"(Marmarà et al., 2017; Murray et al., 2012)","previouslyFormattedCitation":"(Marmarà et al., 2017; Murray et al., 2012)"},"properties":{"noteIndex":0},"schema":"https://github.com/citation-style-language/schema/raw/master/csl-citation.json"}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(Marmarà et al., 2017; Murray et al., 2012)</w:t>
      </w:r>
      <w:r w:rsidRPr="00103A0B">
        <w:rPr>
          <w:rFonts w:ascii="Arial" w:hAnsi="Arial" w:cs="Arial"/>
          <w:sz w:val="24"/>
          <w:szCs w:val="24"/>
        </w:rPr>
        <w:fldChar w:fldCharType="end"/>
      </w:r>
      <w:r w:rsidRPr="00103A0B">
        <w:rPr>
          <w:rFonts w:ascii="Arial" w:hAnsi="Arial" w:cs="Arial"/>
          <w:sz w:val="24"/>
          <w:szCs w:val="24"/>
        </w:rPr>
        <w:t xml:space="preserve">. Studies have shown that attenders have higher illness identity or controllability scores than non-attenders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questionnaire","type":"article-journal","volume":"60"},"uris":["http://www.mendeley.com/documents/?uuid=d92e0634-c26f-4845-bdfd-de9e844e3f3b"]},{"id":"ITEM-2","itemData":{"DOI":"10.1136/bmj.312.7040.1191","ISSN":"09598146","PMID":"8634561","abstract":"Objective - To examine whether patients' initial perceptions of their myocardial infarction predict subsequent attendance at a cardiac rehabilitation course, return to work, disability, and sexual dysfunction. Design - Patients' perceptions of their illness were measured at admission with their first myocardial infarction and at follow up three and six months later. Setting - Two large teaching hospitals in Auckland, New Zealand. Subjects - 143 consecutive patients aged under 65 with their first myocardial infarction. Main outcome measures - Attendance at rehabilitation course; time before returning to work; measures of disability with sickness impact profile questionnaire for sleep and rest, social interaction, recreational activity, and home management; and sexual dysfunction. Results - Attendance at the rehabilitation course was significantly related to a stronger belief during admission that the illness could be cured or controlled (t = 2.08, P = 0.04). Return to work within six weeks was significantly predicted by the perception that the illness would last a short time (t = -2.52, P = 0.01) and have less grave consequences for the patient (t = -2.87, P = 0.005). Patients' belief that their heart disease would have serious consequences was significantly related to later disability in work around the house, recreational activities, and social interaction. A strong illness identity was significantly related to greater sexual dysfunction at both three and six months. Conclusions - Patients' initial perceptions of illness are important determinants of different aspects of recovery after myocardial infarction. Specific illness perceptions need to be identified at an early stage as a basis for optimising outcomes from rehabilitation programmes.","author":[{"dropping-particle":"","family":"Petrie","given":"Keith J.","non-dropping-particle":"","parse-names":false,"suffix":""},{"dropping-particle":"","family":"Weinman","given":"John","non-dropping-particle":"","parse-names":false,"suffix":""},{"dropping-particle":"","family":"Sharpe","given":"Norman","non-dropping-particle":"","parse-names":false,"suffix":""},{"dropping-particle":"","family":"Buckley","given":"Judith","non-dropping-particle":"","parse-names":false,"suffix":""}],"container-title":"British Medical Journal","id":"ITEM-2","issued":{"date-parts":[["1996"]]},"page":"1191-1194","title":"Role of patients' view of their illness in predicting return to work and functioning after myocardial infarction: longitudinal study","type":"article-journal","volume":"312"},"uris":["http://www.mendeley.com/documents/?uuid=5a054578-2b1d-4019-a4c6-90d9fe0d8d78"]},{"id":"ITEM-3","itemData":{"DOI":"10.1136/hrt.82.2.234","ISSN":"13556037","PMID":"10409543","abstract":"Objective - Many patients fail to attend cardiac rehabilitation. Attempts to identify sociodemographic or clinical predictors of non- attendance have not been very successful; therefore, this study aimed to determine whether the illness beliefs held during hospitalisation by patients who had suffered acute myocardial infarction or who had undergone coronary artery bypass graft surgery could predict cardiac rehabilitation attendance. Subjects and methods - 152 patients were prospectively studied of whom 41% had attended cardiac rehabilitation at six months. Results - In addition to being older, less aware of their cholesterol values, and less likely to be employed, non-attenders were less likely to believe their condition was controllable and that their lifestyle may have contributed to their illness. Conclusion - It should now be determined whether interventions aimed at optimising certain perceptions could promote cardiac rehabilitation uptake among those patients who could benefit the most.","author":[{"dropping-particle":"","family":"Cooper","given":"A.","non-dropping-particle":"","parse-names":false,"suffix":""},{"dropping-particle":"","family":"Lloyd","given":"G.","non-dropping-particle":"","parse-names":false,"suffix":""},{"dropping-particle":"","family":"Weinman","given":"J.","non-dropping-particle":"","parse-names":false,"suffix":""},{"dropping-particle":"","family":"Jackson","given":"G.","non-dropping-particle":"","parse-names":false,"suffix":""}],"container-title":"Heart","id":"ITEM-3","issue":"2","issued":{"date-parts":[["1999"]]},"page":"234-236","title":"Why patients do not attend cardiac rehabilitation: role of intentions and illness beliefs","type":"article-journal","volume":"82"},"uris":["http://www.mendeley.com/documents/?uuid=34c09c5a-879d-422b-93bf-3ab284d34bb2"]},{"id":"ITEM-4","itemData":{"ISSN":"00223999","abstract":"Objective: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Research","id":"ITEM-4","issued":{"date-parts":[["2006"]]},"page":"757-767","title":"Illness perceptions predict attendance at cardiac rehabilitation following acute myocardial infarction: a systematic review with meta-analysis","type":"article-journal","volume":"61"},"uris":["http://www.mendeley.com/documents/?uuid=046866de-6856-4a38-87d2-91dee1be78bc"]},{"id":"ITEM-5","itemData":{"ISSN":"1359107X","PMID":"12804334","abstract":"Objective.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Psychology","id":"ITEM-5","issue":"2","issued":{"date-parts":[["2003"]]},"page":"209-221","title":"Illness perceptions, mood and coping in predicting attendance at cardiac rehabilitation","type":"article-journal","volume":"8"},"uris":["http://www.mendeley.com/documents/?uuid=2b23aeed-ebf4-4ab9-8528-f2beb3776198"]}],"mendeley":{"formattedCitation":"(Broadbent et al., 2006; Cooper et al., 1999; French et al., 2006; Petrie et al., 1996; Whitmarsh et al., 2003)","manualFormatting":"(Broadbent et al., 2006; Cooper et al., 1999; French et al., 2006; Petrie et al., 1996; Whitmarsh et al., 2003)","plainTextFormattedCitation":"(Broadbent et al., 2006; Cooper et al., 1999; French et al., 2006; Petrie et al., 1996; Whitmarsh et al., 2003)","previouslyFormattedCitation":"(Broadbent et al., 2006; A. Cooper et al., 1999; French et al., 2006; Petrie et al., 1996; Whitmarsh et al., 2003)"},"properties":{"noteIndex":0},"schema":"https://github.com/citation-style-language/schema/raw/master/csl-citation.json"}</w:instrText>
      </w:r>
      <w:r w:rsidRPr="00103A0B">
        <w:rPr>
          <w:rFonts w:ascii="Arial" w:hAnsi="Arial" w:cs="Arial"/>
          <w:sz w:val="24"/>
          <w:szCs w:val="24"/>
        </w:rPr>
        <w:fldChar w:fldCharType="separate"/>
      </w:r>
      <w:r w:rsidR="007C66BC" w:rsidRPr="00103A0B">
        <w:rPr>
          <w:rFonts w:ascii="Arial" w:hAnsi="Arial" w:cs="Arial"/>
          <w:noProof/>
          <w:sz w:val="24"/>
          <w:szCs w:val="24"/>
        </w:rPr>
        <w:t xml:space="preserve">(Broadbent et al., </w:t>
      </w:r>
      <w:r w:rsidR="007C66BC" w:rsidRPr="00103A0B">
        <w:rPr>
          <w:rFonts w:ascii="Arial" w:hAnsi="Arial" w:cs="Arial"/>
          <w:noProof/>
          <w:sz w:val="24"/>
          <w:szCs w:val="24"/>
        </w:rPr>
        <w:lastRenderedPageBreak/>
        <w:t>2006;</w:t>
      </w:r>
      <w:r w:rsidR="00F8219C" w:rsidRPr="00103A0B">
        <w:rPr>
          <w:rFonts w:ascii="Arial" w:hAnsi="Arial" w:cs="Arial"/>
          <w:noProof/>
          <w:sz w:val="24"/>
          <w:szCs w:val="24"/>
        </w:rPr>
        <w:t xml:space="preserve"> </w:t>
      </w:r>
      <w:r w:rsidR="007C66BC" w:rsidRPr="00103A0B">
        <w:rPr>
          <w:rFonts w:ascii="Arial" w:hAnsi="Arial" w:cs="Arial"/>
          <w:noProof/>
          <w:sz w:val="24"/>
          <w:szCs w:val="24"/>
        </w:rPr>
        <w:t>Cooper et al., 1999; French et al., 2006; Petrie et al., 1996; Whitmarsh et al., 2003)</w:t>
      </w:r>
      <w:r w:rsidRPr="00103A0B">
        <w:rPr>
          <w:rFonts w:ascii="Arial" w:hAnsi="Arial" w:cs="Arial"/>
          <w:sz w:val="24"/>
          <w:szCs w:val="24"/>
        </w:rPr>
        <w:fldChar w:fldCharType="end"/>
      </w:r>
      <w:r w:rsidRPr="00103A0B">
        <w:rPr>
          <w:rFonts w:ascii="Arial" w:hAnsi="Arial" w:cs="Arial"/>
          <w:sz w:val="24"/>
          <w:szCs w:val="24"/>
        </w:rPr>
        <w:t xml:space="preserve">. </w:t>
      </w:r>
      <w:bookmarkStart w:id="381" w:name="_Hlk70512126"/>
      <w:bookmarkEnd w:id="380"/>
      <w:r w:rsidRPr="00103A0B">
        <w:rPr>
          <w:rFonts w:ascii="Arial" w:hAnsi="Arial" w:cs="Arial"/>
          <w:sz w:val="24"/>
          <w:szCs w:val="24"/>
        </w:rPr>
        <w:t xml:space="preserve">There is less evidence to support the impact of illness perceptions on completion, although two studies of cardiac rehabilitation programmes reported that non-completion was associated with a lower number of illness consequences and lower perceptions of controllability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Psychology","id":"ITEM-1","issue":"2","issued":{"date-parts":[["2003"]]},"page":"209-221","title":"Illness perceptions, mood and coping in predicting attendance at cardiac rehabilitation","type":"article-journal","volume":"8"},"uris":["http://www.mendeley.com/documents/?uuid=2b23aeed-ebf4-4ab9-8528-f2beb3776198"]},{"id":"ITEM-2","itemData":{"ISBN":"0269215506","ISSN":"02692155","PMID":"17329279","abstract":"Objective: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Rehabilitation","id":"ITEM-2","issued":{"date-parts":[["2007"]]},"page":"222-229","title":"Predictors of drop-out from an outpatient cardiac rehabilitation programme","type":"article-journal","volume":"21"},"uris":["http://www.mendeley.com/documents/?uuid=1c9fcf5a-0df3-4220-a7bb-617e9a88b582"]}],"mendeley":{"formattedCitation":"(Whitmarsh et al., 2003; Yohannes et al., 2007)","plainTextFormattedCitation":"(Whitmarsh et al., 2003; Yohannes et al., 2007)","previouslyFormattedCitation":"(Whitmarsh et al., 2003; Yohannes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(Whitmarsh et al., 2003; Yohannes et al., 2007)</w:t>
      </w:r>
      <w:r w:rsidRPr="00103A0B">
        <w:rPr>
          <w:rFonts w:ascii="Arial" w:hAnsi="Arial" w:cs="Arial"/>
          <w:sz w:val="24"/>
          <w:szCs w:val="24"/>
        </w:rPr>
        <w:fldChar w:fldCharType="end"/>
      </w:r>
      <w:r w:rsidRPr="00103A0B">
        <w:rPr>
          <w:rFonts w:ascii="Arial" w:hAnsi="Arial" w:cs="Arial"/>
          <w:sz w:val="24"/>
          <w:szCs w:val="24"/>
        </w:rPr>
        <w:t xml:space="preserve"> or treatment control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Rehabilitation","id":"ITEM-1","issued":{"date-parts":[["2007"]]},"page":"222-229","title":"Predictors of drop-out from an outpatient cardiac rehabilitation programme","type":"article-journal","volume":"21"},"uris":["http://www.mendeley.com/documents/?uuid=1c9fcf5a-0df3-4220-a7bb-617e9a88b582"]}],"mendeley":{"formattedCitation":"(Yohannes et al., 2007)","plainTextFormattedCitation":"(Yohannes et al., 2007)","previouslyFormattedCitation":"(Yohannes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(Yohannes et al., 2007)</w:t>
      </w:r>
      <w:r w:rsidRPr="00103A0B">
        <w:rPr>
          <w:rFonts w:ascii="Arial" w:hAnsi="Arial" w:cs="Arial"/>
          <w:sz w:val="24"/>
          <w:szCs w:val="24"/>
        </w:rPr>
        <w:fldChar w:fldCharType="end"/>
      </w:r>
      <w:r w:rsidRPr="00103A0B">
        <w:rPr>
          <w:rFonts w:ascii="Arial" w:hAnsi="Arial" w:cs="Arial"/>
          <w:sz w:val="24"/>
          <w:szCs w:val="24"/>
        </w:rPr>
        <w:t xml:space="preserve">, and higher levels of personal control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Rehabilitation","id":"ITEM-1","issued":{"date-parts":[["2007"]]},"page":"222-229","title":"Predictors of drop-out from an outpatient cardiac rehabilitation programme","type":"article-journal","volume":"21"},"uris":["http://www.mendeley.com/documents/?uuid=1c9fcf5a-0df3-4220-a7bb-617e9a88b582"]}],"mendeley":{"formattedCitation":"(Yohannes et al., 2007)","plainTextFormattedCitation":"(Yohannes et al., 2007)","previouslyFormattedCitation":"(Yohannes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(Yohannes et al., 2007)</w:t>
      </w:r>
      <w:r w:rsidRPr="00103A0B">
        <w:rPr>
          <w:rFonts w:ascii="Arial" w:hAnsi="Arial" w:cs="Arial"/>
          <w:sz w:val="24"/>
          <w:szCs w:val="24"/>
        </w:rPr>
        <w:fldChar w:fldCharType="end"/>
      </w:r>
      <w:r w:rsidRPr="00103A0B">
        <w:rPr>
          <w:rFonts w:ascii="Arial" w:hAnsi="Arial" w:cs="Arial"/>
          <w:sz w:val="24"/>
          <w:szCs w:val="24"/>
        </w:rPr>
        <w:t xml:space="preserve">. However, there is to date, a lack of research investigating if IPs predict uptake and/or completion of DPPs. </w:t>
      </w:r>
    </w:p>
    <w:bookmarkEnd w:id="381"/>
    <w:p w14:paraId="31E3D65B" w14:textId="79B203B4" w:rsidR="00643C08" w:rsidRPr="00103A0B" w:rsidRDefault="00643C08" w:rsidP="00CD5919">
      <w:pPr>
        <w:pStyle w:val="NormalWeb"/>
        <w:spacing w:line="360" w:lineRule="auto"/>
        <w:jc w:val="both"/>
        <w:rPr>
          <w:rFonts w:ascii="Arial" w:hAnsi="Arial" w:cs="Arial"/>
        </w:rPr>
      </w:pPr>
      <w:r w:rsidRPr="00103A0B">
        <w:rPr>
          <w:rFonts w:ascii="Arial" w:hAnsi="Arial" w:cs="Arial"/>
        </w:rPr>
        <w:t xml:space="preserve">Self-efficacy is another important factor for DPPs to consider </w:t>
      </w:r>
      <w:r w:rsidRPr="00103A0B">
        <w:rPr>
          <w:rFonts w:ascii="Arial" w:hAnsi="Arial" w:cs="Arial"/>
        </w:rPr>
        <w:fldChar w:fldCharType="begin" w:fldLock="1"/>
      </w:r>
      <w:r w:rsidR="00062570" w:rsidRPr="00103A0B">
        <w:rPr>
          <w:rFonts w:ascii="Arial" w:hAnsi="Arial" w:cs="Arial"/>
        </w:rPr>
        <w:instrText>ADDIN CSL_CITATION {"citationItems":[{"id":"ITEM-1","itemData":{"author":[{"dropping-particle":"","family":"Smith","given":"J.","non-dropping-particle":"","parse-names":false,"suffix":""},{"dropping-particle":"","family":"Gardner","given":"Benjamin","non-dropping-particle":"","parse-names":false,"suffix":""},{"dropping-particle":"","family":"Michie","given":"Susan","non-dropping-particle":"","parse-names":false,"suffix":""}],"id":"ITEM-1","issued":{"date-parts":[["2010"]]},"number-of-pages":"1-12","title":"Self efficacy guidance material for health trainer services","type":"report"},"uris":["http://www.mendeley.com/documents/?uuid=b9ae5e48-4d43-42dd-8cfc-e090b62b1d2f"]}],"mendeley":{"formattedCitation":"(J. Smith et al., 2010)","manualFormatting":"(Smith et al., 2010)","plainTextFormattedCitation":"(J. Smith et al., 2010)","previouslyFormattedCitation":"(J. Smith et al., 2010)"},"properties":{"noteIndex":0},"schema":"https://github.com/citation-style-language/schema/raw/master/csl-citation.json"}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(Smith et al., 2010)</w:t>
      </w:r>
      <w:r w:rsidRPr="00103A0B">
        <w:rPr>
          <w:rFonts w:ascii="Arial" w:hAnsi="Arial" w:cs="Arial"/>
        </w:rPr>
        <w:fldChar w:fldCharType="end"/>
      </w:r>
      <w:r w:rsidRPr="00103A0B">
        <w:rPr>
          <w:rFonts w:ascii="Arial" w:hAnsi="Arial" w:cs="Arial"/>
        </w:rPr>
        <w:t xml:space="preserve">. General SE relates to beliefs in one's overall capacity to perform tasks </w:t>
      </w:r>
      <w:r w:rsidRPr="00103A0B">
        <w:rPr>
          <w:rFonts w:ascii="Arial" w:hAnsi="Arial" w:cs="Arial"/>
        </w:rPr>
        <w:fldChar w:fldCharType="begin" w:fldLock="1"/>
      </w:r>
      <w:r w:rsidR="00062570" w:rsidRPr="00103A0B">
        <w:rPr>
          <w:rFonts w:ascii="Arial" w:hAnsi="Arial" w:cs="Arial"/>
        </w:rPr>
        <w:instrText>ADDIN CSL_CITATION {"citationItems":[{"id":"ITEM-1","itemData":{"author":[{"dropping-particle":"","family":"Smith","given":"J.","non-dropping-particle":"","parse-names":false,"suffix":""},{"dropping-particle":"","family":"Gardner","given":"Benjamin","non-dropping-particle":"","parse-names":false,"suffix":""},{"dropping-particle":"","family":"Michie","given":"Susan","non-dropping-particle":"","parse-names":false,"suffix":""}],"id":"ITEM-1","issued":{"date-parts":[["2010"]]},"number-of-pages":"1-12","title":"Self efficacy guidance material for health trainer services","type":"report"},"uris":["http://www.mendeley.com/documents/?uuid=b9ae5e48-4d43-42dd-8cfc-e090b62b1d2f"]}],"mendeley":{"formattedCitation":"(J. Smith et al., 2010)","manualFormatting":"(Smith et al., 2010)","plainTextFormattedCitation":"(J. Smith et al., 2010)","previouslyFormattedCitation":"(J. Smith et al., 2010)"},"properties":{"noteIndex":0},"schema":"https://github.com/citation-style-language/schema/raw/master/csl-citation.json"}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(Smith et al., 2010)</w:t>
      </w:r>
      <w:r w:rsidRPr="00103A0B">
        <w:rPr>
          <w:rFonts w:ascii="Arial" w:hAnsi="Arial" w:cs="Arial"/>
        </w:rPr>
        <w:fldChar w:fldCharType="end"/>
      </w:r>
      <w:r w:rsidRPr="00103A0B">
        <w:rPr>
          <w:rFonts w:ascii="Arial" w:hAnsi="Arial" w:cs="Arial"/>
        </w:rPr>
        <w:t xml:space="preserve">, and higher levels of SE have been linked to increased behavioural change </w:t>
      </w:r>
      <w:r w:rsidRPr="00103A0B">
        <w:rPr>
          <w:rFonts w:ascii="Arial" w:hAnsi="Arial" w:cs="Arial"/>
        </w:rPr>
        <w:fldChar w:fldCharType="begin" w:fldLock="1"/>
      </w:r>
      <w:r w:rsidR="00062570" w:rsidRPr="00103A0B">
        <w:rPr>
          <w:rFonts w:ascii="Arial" w:hAnsi="Arial" w:cs="Arial"/>
        </w:rPr>
        <w:instrText>ADDIN CSL_CITATION {"citationItems":[{"id":"ITEM-1","itemData":{"DOI":"10.1016/j.jneb.2015.12.002","ISBN":"1499-4046","ISSN":"14994046","PMID":"26787601","abstract":"Objective: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trial","type":"article-journal","volume":"48"},"uris":["http://www.mendeley.com/documents/?uuid=2d8c03a8-0024-4655-930b-c43e21a3fdf8"]}],"mendeley":{"formattedCitation":"(Miller et al., 2016)","plainTextFormattedCitation":"(Miller et al., 2016)","previouslyFormattedCitation":"(Miller et al., 2016)"},"properties":{"noteIndex":0},"schema":"https://github.com/citation-style-language/schema/raw/master/csl-citation.json"}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(Miller et al., 2016)</w:t>
      </w:r>
      <w:r w:rsidRPr="00103A0B">
        <w:rPr>
          <w:rFonts w:ascii="Arial" w:hAnsi="Arial" w:cs="Arial"/>
        </w:rPr>
        <w:fldChar w:fldCharType="end"/>
      </w:r>
      <w:r w:rsidRPr="00103A0B">
        <w:rPr>
          <w:rFonts w:ascii="Arial" w:hAnsi="Arial" w:cs="Arial"/>
        </w:rPr>
        <w:t xml:space="preserve">. Many DPPs have recommended and demonstrated improved levels of SE </w:t>
      </w:r>
      <w:r w:rsidRPr="00103A0B">
        <w:rPr>
          <w:rFonts w:ascii="Arial" w:hAnsi="Arial" w:cs="Arial"/>
        </w:rPr>
        <w:fldChar w:fldCharType="begin" w:fldLock="1"/>
      </w:r>
      <w:r w:rsidR="00873997" w:rsidRPr="00103A0B">
        <w:rPr>
          <w:rFonts w:ascii="Arial" w:hAnsi="Arial" w:cs="Arial"/>
        </w:rPr>
        <w:instrText>ADDIN CSL_CITATION {"citationItems":[{"id":"ITEM-1","itemData":{"DOI":"10.1111/bjhp.1","author":[{"dropping-particle":"","family":"Borek","given":"Aleksandra J","non-dropping-particle":"","parse-names":false,"suffix":""},{"dropping-particle":"","family":"Abraham","given":"Charles","non-dropping-particle":"","parse-names":false,"suffix":""},{"dropping-particle":"","family":"Greaves","given":"Colin J","non-dropping-particle":"","parse-names":false,"suffix":""},{"dropping-particle":"","family":"Tarrant","given":"Mark","non-dropping-particle":"","parse-names":false,"suffix":""},{"dropping-particle":"","family":"Garner","given":"Nikki","non-dropping-particle":"","parse-names":false,"suffix":""},{"dropping-particle":"","family":"Pascale","given":"Melanie","non-dropping-particle":"","parse-names":false,"suffix":""}],"container-title":"British Journal of Health Psychology","id":"ITEM-1","issued":{"date-parts":[["2019"]]},"page":"787-805","title":"‘ We ’re all in the same boat ’: a qualitative study on how groups work in a diabetes prevention and management programme","type":"article-journal","volume":"24"},"uris":["http://www.mendeley.com/documents/?uuid=894ef5cc-3b9e-4f33-ba76-2387fb2a3e8e"]},{"id":"ITEM-2","itemData":{"DOI":"10.1016/j.jneb.2015.12.002","ISBN":"1499-4046","ISSN":"14994046","PMID":"26787601","abstract":"Objective: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Behavior","id":"ITEM-2","issue":"3","issued":{"date-parts":[["2016"]]},"page":"160-69","publisher":"Elsevier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trial","type":"article-journal","volume":"48"},"uris":["http://www.mendeley.com/documents/?uuid=2d8c03a8-0024-4655-930b-c43e21a3fdf8"]}],"mendeley":{"formattedCitation":"(Borek et al., 2019; Miller et al., 2016)","plainTextFormattedCitation":"(Borek et al., 2019; Miller et al., 2016)","previouslyFormattedCitation":"(Borek et al., 2019; Miller et al., 2016)"},"properties":{"noteIndex":0},"schema":"https://github.com/citation-style-language/schema/raw/master/csl-citation.json"}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(Borek et al., 2019; Miller et al., 2016)</w:t>
      </w:r>
      <w:r w:rsidRPr="00103A0B">
        <w:rPr>
          <w:rFonts w:ascii="Arial" w:hAnsi="Arial" w:cs="Arial"/>
        </w:rPr>
        <w:fldChar w:fldCharType="end"/>
      </w:r>
      <w:r w:rsidRPr="00103A0B">
        <w:rPr>
          <w:rFonts w:ascii="Arial" w:hAnsi="Arial" w:cs="Arial"/>
        </w:rPr>
        <w:t xml:space="preserve"> or have found that increased SE (as a result of the programme) leads to improvements in  physical activity </w:t>
      </w:r>
      <w:r w:rsidRPr="00103A0B">
        <w:rPr>
          <w:rFonts w:ascii="Arial" w:hAnsi="Arial" w:cs="Arial"/>
        </w:rPr>
        <w:fldChar w:fldCharType="begin" w:fldLock="1"/>
      </w:r>
      <w:r w:rsidR="007E0EE7" w:rsidRPr="00103A0B">
        <w:rPr>
          <w:rFonts w:ascii="Arial" w:hAnsi="Arial" w:cs="Arial"/>
        </w:rPr>
        <w:instrText>ADDIN CSL_CITATION {"citationItems":[{"id":"ITEM-1","itemData":{"DOI":"10.1038/nutd.2016.42","author":[{"dropping-particle":"","family":"Block","given":"G","non-dropping-particle":"","parse-names":false,"suffix":""},{"dropping-particle":"","family":"Azar","given":"K M J","non-dropping-particle":"","parse-names":false,"suffix":""},{"dropping-particle":"","family":"Romanelli","given":"R J","non-dropping-particle":"","parse-names":false,"suffix":""},{"dropping-particle":"","family":"Block","given":"T J","non-dropping-particle":"","parse-names":false,"suffix":""},{"dropping-particle":"","family":"Palaniappan","given":"L P","non-dropping-particle":"","parse-names":false,"suffix":""},{"dropping-particle":"","family":"Dolginsky","given":"M","non-dropping-particle":"","parse-names":false,"suffix":""},{"dropping-particle":"","family":"Block","given":"C H","non-dropping-particle":"","parse-names":false,"suffix":""}],"container-title":"Nutrition and Diabetes","id":"ITEM-1","issued":{"date-parts":[["2016"]]},"page":"e231","publisher":"Nature Publishing Group","title":"Improving diet, activity and wellness in adults at risk of diabetes: randomized controlled trial","type":"article-journal","volume":"6"},"uris":["http://www.mendeley.com/documents/?uuid=b7e08fbf-ecdb-43bc-bcfe-04a4ba8bdfb8"]},{"id":"ITEM-2","itemData":{"DOI":"10.4162/nrp.2019.13.5.415","ISSN":"20056168","abstract":"BACKGROUND/OBJECTIVES: Existing evidence on lifestyle modification programs for weight loss is limited by the high attrition rate of such programs. Identifying predictors of adherence to a lifestyle modification program could result in program improvement. However, little is known about behavior-specific adherence and its psychological predictors. This study aimed to examine the psychological predictors of adherence after one-month participation in a community-based lifestyle modification program among Chinese overweight and obese adults in Hong Kong. SUBJECTS/METHODS: A total of 205 Chinese overweight and obese adults aged 38.9 ± 10.5 years completed the study. Data were collected at baseline and after one month using self-reported questionnaires, which assessed knowledge (self-developed scale), motivation (Treatment Self-Regulation Questionnaire), stage of change (Stage of Exercise Scale) and self-efficacy (Self-Rated Abilities for Health Practices Scale). At one month, a 4-day dietary recall and the International Physical Activity Questionnaire-Short Form were used to assess dietary and physical activity (PA) adherence. Food and PA diaries were examined to indicate self-monitoring. Program attendance was tracked between baseline and one-month follow-up. RESULTS: After one month, participants reported high dietary adherence, attendance, and adherence to self-monitoring but low PA adherence. Multiple regression analyses suggested that diet self-efficacy (baseline) and nutrition knowledge (one-month change) were independent predictors of dietary adherence score at one month, whereas autonomous PA motivation (baseline) and PA self-efficacy (both baseline and one-month change) were independent predictors of PA adherence score at one month. No significant psychological predictor was identified for attendance or self-monitoring. CONCLUSIONS: The results suggest that the effect of psychological factors on adherence differs between diet and PA adherence outcomes. To promote adherence, practitioners should assess self-efficacy, knowledge, and motivation at the beginning of a weight-loss program and explore behavior-specific strategies to improve knowledge and self-efficacy. The results of this study have direct implications for program improvements.","author":[{"dropping-particle":"","family":"Leung","given":"Alice Wai Yi","non-dropping-particle":"","parse-names":false,"suffix":""},{"dropping-particle":"","family":"Chan","given":"Ruth Suk Mei","non-dropping-particle":"","parse-names":false,"suffix":""},{"dropping-particle":"","family":"Sea","given":"Mandy Man Mei","non-dropping-particle":"","parse-names":false,"suffix":""},{"dropping-particle":"","family":"Woo","given":"Jean","non-dropping-particle":"","parse-names":false,"suffix":""}],"container-title":"Nutrition Research and Practice","id":"ITEM-2","issue":"5","issued":{"date-parts":[["2019"]]},"page":"415-424","title":"Identifying psychological predictors of adherence to a community-based lifestyle modification program for weight loss among Chinese overweight and obese adults","type":"article-journal","volume":"13"},"uris":["http://www.mendeley.com/documents/?uuid=464a0eef-ba69-4023-ac32-e71c1676e8ad"]}],"mendeley":{"formattedCitation":"(Block et al., 2016; Leung et al., 2019)","plainTextFormattedCitation":"(Block et al., 2016; Leung et al., 2019)","previouslyFormattedCitation":"(Block et al., 2016; Leung et al., 2019)"},"properties":{"noteIndex":0},"schema":"https://github.com/citation-style-language/schema/raw/master/csl-citation.json"}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(Block et al., 2016; Leung et al., 2019)</w:t>
      </w:r>
      <w:r w:rsidRPr="00103A0B">
        <w:rPr>
          <w:rFonts w:ascii="Arial" w:hAnsi="Arial" w:cs="Arial"/>
        </w:rPr>
        <w:fldChar w:fldCharType="end"/>
      </w:r>
      <w:r w:rsidRPr="00103A0B">
        <w:rPr>
          <w:rFonts w:ascii="Arial" w:hAnsi="Arial" w:cs="Arial"/>
        </w:rPr>
        <w:t xml:space="preserve">, healthy eating </w:t>
      </w:r>
      <w:r w:rsidRPr="00103A0B">
        <w:rPr>
          <w:rFonts w:ascii="Arial" w:hAnsi="Arial" w:cs="Arial"/>
        </w:rPr>
        <w:fldChar w:fldCharType="begin" w:fldLock="1"/>
      </w:r>
      <w:r w:rsidR="007E0EE7" w:rsidRPr="00103A0B">
        <w:rPr>
          <w:rFonts w:ascii="Arial" w:hAnsi="Arial" w:cs="Arial"/>
        </w:rPr>
        <w:instrText>ADDIN CSL_CITATION {"citationItems":[{"id":"ITEM-1","itemData":{"DOI":"10.1016/j.jneb.2015.12.002","ISBN":"1499-4046","ISSN":"14994046","PMID":"26787601","abstract":"Objective: To evaluate the impact of a worksite diabetes prevention intervention on secondary outcomes regarding the change in diet quality and components of the Health Action Process Approach (HAPA) theoretical framework. Design: Pretest-posttest control group design with 3-month follow-up. Setting: University worksite. Participants: Employees aged 18-65 years with prediabetes (n = 68). Intervention: A 16-week group-based intervention adapted from the Diabetes Prevention Program. Main Outcome Measures: Diet quality was assessed using the Alternative Healthy Eating Index 2010; HAPA components were assessed via written questionnaire. Analysis: Repeated-measures ANOVA compared the between- and within-group change in outcomes across time. Results: Significant difference occurred between groups for the change in consumption of nuts/legumes and red/processed meats postintervention and for fruits at 3-month follow-up (all P &lt; .05); a significant increase in total Alternative Healthy Eating Index 2010 score occurred postintervention in the experimental group (P = .002). The changes in action planning, action self-efficacy, and coping self-efficacy from HAPA were significantly different between groups after the intervention; the change in outcome expectancies was significantly different between groups at 3-month follow-up (all P &lt; .05). Conclusions and Implications: The worksite intervention facilitated improvement in diet quality and in planning and efficacious beliefs regarding diabetes prevention. Further research is needed to evaluate the long-term impact of the intervention.","author":[{"dropping-particle":"","family":"Miller","given":"Carla K.","non-dropping-particle":"","parse-names":false,"suffix":""},{"dropping-particle":"","family":"Weinhold","given":"Kellie R.","non-dropping-particle":"","parse-names":false,"suffix":""},{"dropping-particle":"","family":"Nagaraja","given":"Haikady N.","non-dropping-particle":"","parse-names":false,"suffix":""}],"container-title":"Journal of Nutrition Education and Behavior","id":"ITEM-1","issue":"3","issued":{"date-parts":[["2016"]]},"page":"160-69","publisher":"Elsevier Inc.","title":"Impact of a worksite diabetes prevention intervention on diet quality and social cognitive influences of health behavior: a randomized controlled trial","type":"article-journal","volume":"48"},"uris":["http://www.mendeley.com/documents/?uuid=2d8c03a8-0024-4655-930b-c43e21a3fdf8"]},{"id":"ITEM-2","itemData":{"DOI":"10.1038/nutd.2016.42","author":[{"dropping-particle":"","family":"Block","given":"G","non-dropping-particle":"","parse-names":false,"suffix":""},{"dropping-particle":"","family":"Azar","given":"K M J","non-dropping-particle":"","parse-names":false,"suffix":""},{"dropping-particle":"","family":"Romanelli","given":"R J","non-dropping-particle":"","parse-names":false,"suffix":""},{"dropping-particle":"","family":"Block","given":"T J","non-dropping-particle":"","parse-names":false,"suffix":""},{"dropping-particle":"","family":"Palaniappan","given":"L P","non-dropping-particle":"","parse-names":false,"suffix":""},{"dropping-particle":"","family":"Dolginsky","given":"M","non-dropping-particle":"","parse-names":false,"suffix":""},{"dropping-particle":"","family":"Block","given":"C H","non-dropping-particle":"","parse-names":false,"suffix":""}],"container-title":"Nutrition and Diabetes","id":"ITEM-2","issued":{"date-parts":[["2016"]]},"page":"e231","publisher":"Nature Publishing Group","title":"Improving diet, activity and wellness in adults at risk of diabetes: randomized controlled trial","type":"article-journal","volume":"6"},"uris":["http://www.mendeley.com/documents/?uuid=b7e08fbf-ecdb-43bc-bcfe-04a4ba8bdfb8"]},{"id":"ITEM-3","itemData":{"DOI":"10.4162/nrp.2019.13.5.415","ISSN":"20056168","abstract":"BACKGROUND/OBJECTIVES: Existing evidence on lifestyle modification programs for weight loss is limited by the high attrition rate of such programs. Identifying predictors of adherence to a lifestyle modification program could result in program improvement. However, little is known about behavior-specific adherence and its psychological predictors. This study aimed to examine the psychological predictors of adherence after one-month participation in a community-based lifestyle modification program among Chinese overweight and obese adults in Hong Kong. SUBJECTS/METHODS: A total of 205 Chinese overweight and obese adults aged 38.9 ± 10.5 years completed the study. Data were collected at baseline and after one month using self-reported questionnaires, which assessed knowledge (self-developed scale), motivation (Treatment Self-Regulation Questionnaire), stage of change (Stage of Exercise Scale) and self-efficacy (Self-Rated Abilities for Health Practices Scale). At one month, a 4-day dietary recall and the International Physical Activity Questionnaire-Short Form were used to assess dietary and physical activity (PA) adherence. Food and PA diaries were examined to indicate self-monitoring. Program attendance was tracked between baseline and one-month follow-up. RESULTS: After one month, participants reported high dietary adherence, attendance, and adherence to self-monitoring but low PA adherence. Multiple regression analyses suggested that diet self-efficacy (baseline) and nutrition knowledge (one-month change) were independent predictors of dietary adherence score at one month, whereas autonomous PA motivation (baseline) and PA self-efficacy (both baseline and one-month change) were independent predictors of PA adherence score at one month. No significant psychological predictor was identified for attendance or self-monitoring. CONCLUSIONS: The results suggest that the effect of psychological factors on adherence differs between diet and PA adherence outcomes. To promote adherence, practitioners should assess self-efficacy, knowledge, and motivation at the beginning of a weight-loss program and explore behavior-specific strategies to improve knowledge and self-efficacy. The results of this study have direct implications for program improvements.","author":[{"dropping-particle":"","family":"Leung","given":"Alice Wai Yi","non-dropping-particle":"","parse-names":false,"suffix":""},{"dropping-particle":"","family":"Chan","given":"Ruth Suk Mei","non-dropping-particle":"","parse-names":false,"suffix":""},{"dropping-particle":"","family":"Sea","given":"Mandy Man Mei","non-dropping-particle":"","parse-names":false,"suffix":""},{"dropping-particle":"","family":"Woo","given":"Jean","non-dropping-particle":"","parse-names":false,"suffix":""}],"container-title":"Nutrition Research and Practice","id":"ITEM-3","issue":"5","issued":{"date-parts":[["2019"]]},"page":"415-424","title":"Identifying psychological predictors of adherence to a community-based lifestyle modification program for weight loss among Chinese overweight and obese adults","type":"article-journal","volume":"13"},"uris":["http://www.mendeley.com/documents/?uuid=464a0eef-ba69-4023-ac32-e71c1676e8ad"]}],"mendeley":{"formattedCitation":"(Block et al., 2016; Leung et al., 2019; Miller et al., 2016)","plainTextFormattedCitation":"(Block et al., 2016; Leung et al., 2019; Miller et al., 2016)","previouslyFormattedCitation":"(Block et al., 2016; Leung et al., 2019; Miller et al., 2016)"},"properties":{"noteIndex":0},"schema":"https://github.com/citation-style-language/schema/raw/master/csl-citation.json"}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(Block et al., 2016; Leung et al., 2019; Miller et al., 2016)</w:t>
      </w:r>
      <w:r w:rsidRPr="00103A0B">
        <w:rPr>
          <w:rFonts w:ascii="Arial" w:hAnsi="Arial" w:cs="Arial"/>
        </w:rPr>
        <w:fldChar w:fldCharType="end"/>
      </w:r>
      <w:r w:rsidRPr="00103A0B">
        <w:rPr>
          <w:rFonts w:ascii="Arial" w:hAnsi="Arial" w:cs="Arial"/>
        </w:rPr>
        <w:t xml:space="preserve"> and reduction in risk of developing T2DM by promoting healthier lifestyles </w:t>
      </w:r>
      <w:r w:rsidRPr="00103A0B">
        <w:rPr>
          <w:rFonts w:ascii="Arial" w:hAnsi="Arial" w:cs="Arial"/>
        </w:rPr>
        <w:fldChar w:fldCharType="begin" w:fldLock="1"/>
      </w:r>
      <w:r w:rsidRPr="00103A0B">
        <w:rPr>
          <w:rFonts w:ascii="Arial" w:hAnsi="Arial" w:cs="Arial"/>
        </w:rPr>
        <w:instrText>ADDIN CSL_CITATION {"citationItems":[{"id":"ITEM-1","itemData":{"DOI":"10.1111/j.1365-2702.2010.03320.x","author":[{"dropping-particle":"","family":"Chen","given":"Shu-fen","non-dropping-particle":"","parse-names":false,"suffix":""},{"dropping-particle":"","family":"Lin","given":"Chiu-chu","non-dropping-particle":"","parse-names":false,"suffix":""}],"container-title":"Journal of Clinical Nursing","id":"ITEM-1","issued":{"date-parts":[["2010"]]},"page":"2713-2719","title":"The predictors of adopting a health-promoting lifestyle among work site adults with prediabetes","type":"article-journal","volume":"19"},"uris":["http://www.mendeley.com/documents/?uuid=675d487b-ed56-494f-9b5a-10e15074a964"]}],"mendeley":{"formattedCitation":"(S. Chen &amp; Lin, 2010)","manualFormatting":"(Chen &amp; Lin, 2010)","plainTextFormattedCitation":"(S. Chen &amp; Lin, 2010)","previouslyFormattedCitation":"(S. Chen &amp; Lin, 2010)"},"properties":{"noteIndex":0},"schema":"https://github.com/citation-style-language/schema/raw/master/csl-citation.json"}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(Chen &amp; Lin, 2010)</w:t>
      </w:r>
      <w:r w:rsidRPr="00103A0B">
        <w:rPr>
          <w:rFonts w:ascii="Arial" w:hAnsi="Arial" w:cs="Arial"/>
        </w:rPr>
        <w:fldChar w:fldCharType="end"/>
      </w:r>
      <w:r w:rsidRPr="00103A0B">
        <w:rPr>
          <w:rFonts w:ascii="Arial" w:hAnsi="Arial" w:cs="Arial"/>
        </w:rPr>
        <w:t xml:space="preserve">. However, there is limited research on whether SE predicts uptake and/or completion of DPPs. Research on cardiac rehabilitation and lifestyle behaviour change programmes have shown SE was related to attendance </w:t>
      </w:r>
      <w:r w:rsidRPr="00103A0B">
        <w:rPr>
          <w:rFonts w:ascii="Arial" w:hAnsi="Arial" w:cs="Arial"/>
        </w:rPr>
        <w:fldChar w:fldCharType="begin" w:fldLock="1"/>
      </w:r>
      <w:r w:rsidR="00BA4374" w:rsidRPr="00103A0B">
        <w:rPr>
          <w:rFonts w:ascii="Arial" w:hAnsi="Arial" w:cs="Arial"/>
        </w:rPr>
        <w:instrText>ADDIN CSL_CITATION {"citationItems":[{"id":"ITEM-1","itemData":{"author":[{"dropping-particle":"","family":"Selzler","given":"Anne-marie","non-dropping-particle":"","parse-names":false,"suffix":""},{"dropping-particle":"","family":"Rodgers","given":"Wendy M","non-dropping-particle":"","parse-names":false,"suffix":""},{"dropping-particle":"","family":"Berry","given":"Tanya R","non-dropping-particle":"","parse-names":false,"suffix":""},{"dropping-particle":"","family":"Mcfadden","given":"Kimberley","non-dropping-particle":"","parse-names":false,"suffix":""},{"dropping-particle":"","family":"Husband","given":"Cassandra","non-dropping-particle":"","parse-names":false,"suffix":""},{"dropping-particle":"","family":"Hall","given":"Craig","non-dropping-particle":"","parse-names":false,"suffix":""}],"container-title":"British Journal of Health Psychology","id":"ITEM-1","issued":{"date-parts":[["2019"]]},"page":"123-140","title":"Reciprocal relationships between self-efficacy, outcome satisfaction, and attendance at an exercise programme","type":"article-journal","volume":"24"},"uris":["http://www.mendeley.com/documents/?uuid=05d67eff-5f90-4933-af30-990820fe40ed"]},{"id":"ITEM-2","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Disorders","id":"ITEM-2","issued":{"date-parts":[["2012"]]},"page":"120","title":"A systematic review of patient reported factors associated with uptake and completion of cardiovascular lifestyle behaviour change","type":"article-journal","volume":"12"},"uris":["http://www.mendeley.com/documents/?uuid=971628ca-9389-4dbc-a2a8-0c22fd4f3793"]}],"mendeley":{"formattedCitation":"(Murray et al., 2012; Selzler et al., 2019)","plainTextFormattedCitation":"(Murray et al., 2012; Selzler et al., 2019)","previouslyFormattedCitation":"(Murray et al., 2012; Selzler et al., 2019)"},"properties":{"noteIndex":0},"schema":"https://github.com/citation-style-language/schema/raw/master/csl-citation.json"}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(Murray et al., 2012; Selzler et al., 2019)</w:t>
      </w:r>
      <w:r w:rsidRPr="00103A0B">
        <w:rPr>
          <w:rFonts w:ascii="Arial" w:hAnsi="Arial" w:cs="Arial"/>
        </w:rPr>
        <w:fldChar w:fldCharType="end"/>
      </w:r>
      <w:r w:rsidRPr="00103A0B">
        <w:rPr>
          <w:rFonts w:ascii="Arial" w:hAnsi="Arial" w:cs="Arial"/>
        </w:rPr>
        <w:t xml:space="preserve">, and those with lower levels of SE were more likely to become non-completers </w:t>
      </w:r>
      <w:r w:rsidRPr="00103A0B">
        <w:rPr>
          <w:rFonts w:ascii="Arial" w:hAnsi="Arial" w:cs="Arial"/>
        </w:rPr>
        <w:fldChar w:fldCharType="begin" w:fldLock="1"/>
      </w:r>
      <w:r w:rsidR="00BA4374" w:rsidRPr="00103A0B">
        <w:rPr>
          <w:rFonts w:ascii="Arial" w:hAnsi="Arial" w:cs="Arial"/>
        </w:rPr>
        <w:instrText>ADDIN CSL_CITATION {"citationItems":[{"id":"ITEM-1","itemData":{"author":[{"dropping-particle":"","family":"Bernier","given":"Michel","non-dropping-particle":"","parse-names":false,"suffix":""},{"dropping-particle":"","family":"Avard","given":"Jacqueline","non-dropping-particle":"","parse-names":false,"suffix":""}],"container-title":"Cognitive Therapy and Research","id":"ITEM-1","issue":"3","issued":{"date-parts":[["1986"]]},"page":"319-338","title":"Self-efficacy, outcome, and attrition in weight-reduction program","type":"article-journal","volume":"10"},"uris":["http://www.mendeley.com/documents/?uuid=bdc6575d-b477-48c3-90a4-7863e2488b55"]},{"id":"ITEM-2","itemData":{"ISSN":"14795868","PMID":"27612561","abstract":"Background: The purpose of this study was to identify demographic, clinical, psychosocial, physical and environmental factors that are associated with participation in and adherence to a combined resistance and endurance exercise program among cancer survivors, shortly after completion of primary cancer treatment. Data from the randomized controlled Resistance and Endurance exercise After ChemoTherapy (REACT) study were used for this study. Methods: The participants of the REACT study were randomly allocated to either a high intensity (HI) or low-to-moderate intensity (LMI) exercise program. Patients' participation rate was defined as the cancer survivors' decision to participate in the REACT study. Exercise adherence reflected participants' attendance to the scheduled exercise sessions and their compliance to the prescribed exercises. High session attendance rates were defined as attending at least 80 % of the sessions. High compliance rates were defined as performing at least of 90 % of the prescribed exercise across all sessions. Correlates of exercise adherence were studied separately for HI and LMI exercise. Demographic, clinical, and physical factors were assessed using self-reported questionnaires. Relevant clinical information was extracted from medical records. Multivariable logistic regression analyses were applied to identify correlates that were significantly associated with participation, high session attendance, high compliance with resistance and high compliance with endurance exercises. Results: Participants were more likely to have higher education, be non-smokers, have lower psychological distress, higher outcome expectations, and perceive more exercise barriers than non-participants. In HI exercise, higher self-efficacy was significantly associated with high session attendance and high compliance with endurance exercises, and lower psychological distress was significantly associated with high compliance with resistance exercises. In LMI exercise, being a non-smoker was significantly associated with high compliance with resistance exercises and higher BMI was significantly associated with high compliance with resistance and endurance exercises. Furthermore, breast cancer survivors were less likely to report high compliance with resistance and endurance exercises in LMI exercise compared to survivors of other types of cancer. The discriminative ability of the multivariable models ranged from 0.62 to 0.75. Conclusion: Several demographic…","author":[{"dropping-particle":"","family":"Kampshoff","given":"Caroline S.","non-dropping-particle":"","parse-names":false,"suffix":""},{"dropping-particle":"","family":"Mechelen","given":"Willem","non-dropping-particle":"","parse-names":false,"suffix":""},{"dropping-particle":"","family":"Schep","given":"Goof","non-dropping-particle":"","parse-names":false,"suffix":""},{"dropping-particle":"","family":"Nijziel","given":"Marten R.","non-dropping-particle":"","parse-names":false,"suffix":""},{"dropping-particle":"","family":"Witlox","given":"Lenja","non-dropping-particle":"","parse-names":false,"suffix":""},{"dropping-particle":"","family":"Bosman","given":"Lisa","non-dropping-particle":"","parse-names":false,"suffix":""},{"dropping-particle":"","family":"Chinapaw","given":"Mai J.M.","non-dropping-particle":"","parse-names":false,"suffix":""},{"dropping-particle":"","family":"Brug","given":"Johannes","non-dropping-particle":"","parse-names":false,"suffix":""},{"dropping-particle":"","family":"Buffart","given":"Laurien M.","non-dropping-particle":"","parse-names":false,"suffix":""}],"container-title":"International Journal of Behavioral Nutrition and Physical Activity","id":"ITEM-2","issued":{"date-parts":[["2016"]]},"page":"100","publisher":"International Journal of Behavioral Nutrition and Physical Activity","title":"Participation in and adherence to physical exercise after completion of primary cancer treatment","type":"article-journal","volume":"13"},"uris":["http://www.mendeley.com/documents/?uuid=278d7aff-d6ba-4e39-8ace-5c16057e7469"]},{"id":"ITEM-3","itemData":{"ISSN":"1543267X","abstract":"This study investigated attrition in a 6-month physical activity intervention for older adults. The program was based on the social-cognitive theory incorporating self-efficacy factors. Two hundred forty-eight insufficiently active 65- to 74-year-olds were recruited from the Australian federal electoral roll. The intervention comprised walking and strength and flexibility exercises and was conducted in 30 local neighborhoods where the participants resided. Characteristics of individuals lost to attrition (n = 86, 35%) were compared with those of program completers (n = 162, 65%). Logistic-regression analysis showed that those lost to attrition came from areas of lower socioeconomic status, were overweight and less physically active, and had lower walking self-efficacy scores and higher loneliness scores. The results suggest that early assessment of these characteristics should be undertaken to identify individuals at risk of attrition, to improve retention, and to avoid potential bias. © 2007 Human Kinetics, Inc.","author":[{"dropping-particle":"","family":"Jancey","given":"Jonine","non-dropping-particle":"","parse-names":false,"suffix":""},{"dropping-particle":"","family":"Lee","given":"Andy","non-dropping-particle":"","parse-names":false,"suffix":""},{"dropping-particle":"","family":"Howat","given":"Peter","non-dropping-particle":"","parse-names":false,"suffix":""},{"dropping-particle":"","family":"Clarke","given":"Ann","non-dropping-particle":"","parse-names":false,"suffix":""},{"dropping-particle":"","family":"Wang","given":"Kui","non-dropping-particle":"","parse-names":false,"suffix":""},{"dropping-particle":"","family":"Shilton","given":"Trevor","non-dropping-particle":"","parse-names":false,"suffix":""}],"container-title":"Journal of Aging and Physical Activity","id":"ITEM-3","issue":"2","issued":{"date-parts":[["2007"]]},"page":"152-165","title":"Reducing attrition in physical activity programs for older adults","type":"article-journal","volume":"15"},"uris":["http://www.mendeley.com/documents/?uuid=92dd1e44-3c9e-4ca6-a0a5-cca50dc9df28"]},{"id":"ITEM-4","itemData":{"DOI":"10.1016/S0163-8343(02)00179-2","ISSN":"01638343","PMID":"12062136","abstract":"Cardiovascular disease (CVD) is the leading cause of death and disability for women and men. Substantial health risks continue following ischemic coronary events (ICEs), but secondary prevention efforts, including cardiac rehabilitation (CR), have beneficial effects on both early and late mortality and morbidity. This prospective study examined the relationship among psychosocial factors and CR referral and participation patterns in 906 (586 men, 320 women) patients from the coronary intensive care unit (CICU) over the course of six months. Only 30% of participants were referred to CR programs, with significantly fewer women being referred. A logistic regression analysis was used to determine whether depression, anxiety, self-efficacy, or social support predicted CR participation six months following an ICE, while controlling for sociodemographic factors. Results show that higher family income, greater anxiety symptomatology, and higher self-efficacy were significantly predictive of CR participation at six months. Implications for women's recovery from an ICE are discussed. © 2002 Elsevier Science Inc. All rights reserved.","author":[{"dropping-particle":"","family":"Grace","given":"Sherry L.","non-dropping-particle":"","parse-names":false,"suffix":""},{"dropping-particle":"","family":"Abbey","given":"Susan E.","non-dropping-particle":"","parse-names":false,"suffix":""},{"dropping-particle":"","family":"Shnek","given":"Zachary M.","non-dropping-particle":"","parse-names":false,"suffix":""},{"dropping-particle":"","family":"Irvine","given":"Jane","non-dropping-particle":"","parse-names":false,"suffix":""},{"dropping-particle":"","family":"Franche","given":"Renée Louise","non-dropping-particle":"","parse-names":false,"suffix":""},{"dropping-particle":"","family":"Stewart","given":"Donna E.","non-dropping-particle":"","parse-names":false,"suffix":""}],"container-title":"General Hospital Psychiatry","id":"ITEM-4","issue":"3","issued":{"date-parts":[["2002"]]},"page":"127-134","title":"Cardiac rehabilitation II: referral and participation","type":"article-journal","volume":"24"},"uris":["http://www.mendeley.com/documents/?uuid=15b1d444-7c5e-4d66-9fc8-6746405f760a"]}],"mendeley":{"formattedCitation":"(Bernier &amp; Avard, 1986; Grace et al., 2002; Jancey et al., 2007; Kampshoff et al., 2016)","plainTextFormattedCitation":"(Bernier &amp; Avard, 1986; Grace et al., 2002; Jancey et al., 2007; Kampshoff et al., 2016)","previouslyFormattedCitation":"(Bernier &amp; Avard, 1986; Grace et al., 2002; Jancey et al., 2007; Kampshoff et al., 2016)"},"properties":{"noteIndex":0},"schema":"https://github.com/citation-style-language/schema/raw/master/csl-citation.json"}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(Bernier &amp; Avard, 1986; Grace et al., 2002; Jancey et al., 2007; Kampshoff et al., 2016)</w:t>
      </w:r>
      <w:r w:rsidRPr="00103A0B">
        <w:rPr>
          <w:rFonts w:ascii="Arial" w:hAnsi="Arial" w:cs="Arial"/>
        </w:rPr>
        <w:fldChar w:fldCharType="end"/>
      </w:r>
      <w:r w:rsidRPr="00103A0B">
        <w:rPr>
          <w:rFonts w:ascii="Arial" w:hAnsi="Arial" w:cs="Arial"/>
        </w:rPr>
        <w:t xml:space="preserve">. However, whether SE predicts uptake and/or completion of the NHSDPP is unknown.  </w:t>
      </w:r>
    </w:p>
    <w:p w14:paraId="0CA32AB7" w14:textId="2CD5EB63" w:rsidR="00643C08" w:rsidRPr="00103A0B" w:rsidRDefault="00643C08" w:rsidP="00CD5919">
      <w:pPr>
        <w:pStyle w:val="NormalWeb"/>
        <w:spacing w:before="0" w:beforeAutospacing="0" w:after="0" w:afterAutospacing="0" w:line="360" w:lineRule="auto"/>
        <w:jc w:val="both"/>
        <w:rPr>
          <w:rFonts w:ascii="Arial" w:hAnsi="Arial" w:cs="Arial"/>
        </w:rPr>
      </w:pPr>
      <w:r w:rsidRPr="00103A0B">
        <w:rPr>
          <w:rFonts w:ascii="Arial" w:hAnsi="Arial" w:cs="Arial"/>
        </w:rPr>
        <w:t xml:space="preserve">Mental wellbeing (MWB) refers to positive mental health, which includes the subjective experience of happiness and life satisfaction, positive psychological functioning and developing and sustaining good personal and social relationships </w:t>
      </w:r>
      <w:r w:rsidRPr="00103A0B">
        <w:rPr>
          <w:rFonts w:ascii="Arial" w:hAnsi="Arial" w:cs="Arial"/>
        </w:rPr>
        <w:fldChar w:fldCharType="begin" w:fldLock="1"/>
      </w:r>
      <w:r w:rsidR="00BA4374" w:rsidRPr="00103A0B">
        <w:rPr>
          <w:rFonts w:ascii="Arial" w:hAnsi="Arial" w:cs="Arial"/>
        </w:rPr>
        <w:instrText>ADDIN CSL_CITATION {"citationItems":[{"id":"ITEM-1","itemData":{"abstract":"population. The monitoring of population mental well-being and the evaluation of interventions to promote positive mental health has therefore had to be undertaken using instruments designed primarily to detect mental illness. There are two problems with such an approach. First, mental illness measures tend to have significant ceiling effects in general population samples, meaning that people with only moderately good mental health can achieve the highest possible score. As a result the instrument cannot show improvements in mental health in the healthier portion of the population distribution. Second, participants who are involved in the evaluation of interventions to promote mental health may develop the erroneous impression that the interventions are designed only to help people with mental health problems and in this way the evaluation can affect the impact of interventions. To overcome these problems NHS Health Scotland commissioned the development of the Warwick-Edinburgh Mental Well-being Scale (WEMWBS) as part of the Mental Health Indicators Programme.2 This manual is for those who want to use WEMWBS for monitoring and research purposes as well as for evaluations. Those who require information on what to consider for evaluation are referred to the NHS Health Scotland evaluation guides in the first instance (www.healthscotland.com/mental-health- publications.aspx). Ceiling","author":[{"dropping-particle":"","family":"Stewart-Brown","given":"S","non-dropping-particle":"","parse-names":false,"suffix":""},{"dropping-particle":"","family":"Janmohamed","given":"K","non-dropping-particle":"","parse-names":false,"suffix":""}],"id":"ITEM-1","issued":{"date-parts":[["2008"]]},"number-of-pages":"1-27","title":"Warwick-Edinburgh mental well-being scale user guide","type":"report"},"uris":["http://www.mendeley.com/documents/?uuid=61b420bc-f042-467d-a585-ccae2af3e570"]}],"mendeley":{"formattedCitation":"(Stewart-Brown &amp; Janmohamed, 2008)","plainTextFormattedCitation":"(Stewart-Brown &amp; Janmohamed, 2008)","previouslyFormattedCitation":"(Stewart-Brown &amp; Janmohamed, 2008)"},"properties":{"noteIndex":0},"schema":"https://github.com/citation-style-language/schema/raw/master/csl-citation.json"}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(Stewart-Brown &amp; Janmohamed, 2008)</w:t>
      </w:r>
      <w:r w:rsidRPr="00103A0B">
        <w:rPr>
          <w:rFonts w:ascii="Arial" w:hAnsi="Arial" w:cs="Arial"/>
        </w:rPr>
        <w:fldChar w:fldCharType="end"/>
      </w:r>
      <w:r w:rsidRPr="00103A0B">
        <w:rPr>
          <w:rFonts w:ascii="Arial" w:hAnsi="Arial" w:cs="Arial"/>
        </w:rPr>
        <w:t xml:space="preserve">. Maintaining a sense of autonomy, self-acceptance, personal growth and self-esteem is also incorporated in the definition of MWB </w:t>
      </w:r>
      <w:r w:rsidRPr="00103A0B">
        <w:rPr>
          <w:rFonts w:ascii="Arial" w:hAnsi="Arial" w:cs="Arial"/>
        </w:rPr>
        <w:fldChar w:fldCharType="begin" w:fldLock="1"/>
      </w:r>
      <w:r w:rsidR="00BA4374" w:rsidRPr="00103A0B">
        <w:rPr>
          <w:rFonts w:ascii="Arial" w:hAnsi="Arial" w:cs="Arial"/>
        </w:rPr>
        <w:instrText>ADDIN CSL_CITATION {"citationItems":[{"id":"ITEM-1","itemData":{"abstract":"population. The monitoring of population mental well-being and the evaluation of interventions to promote positive mental health has therefore had to be undertaken using instruments designed primarily to detect mental illness. There are two problems with such an approach. First, mental illness measures tend to have significant ceiling effects in general population samples, meaning that people with only moderately good mental health can achieve the highest possible score. As a result the instrument cannot show improvements in mental health in the healthier portion of the population distribution. Second, participants who are involved in the evaluation of interventions to promote mental health may develop the erroneous impression that the interventions are designed only to help people with mental health problems and in this way the evaluation can affect the impact of interventions. To overcome these problems NHS Health Scotland commissioned the development of the Warwick-Edinburgh Mental Well-being Scale (WEMWBS) as part of the Mental Health Indicators Programme.2 This manual is for those who want to use WEMWBS for monitoring and research purposes as well as for evaluations. Those who require information on what to consider for evaluation are referred to the NHS Health Scotland evaluation guides in the first instance (www.healthscotland.com/mental-health- publications.aspx). Ceiling","author":[{"dropping-particle":"","family":"Stewart-Brown","given":"S","non-dropping-particle":"","parse-names":false,"suffix":""},{"dropping-particle":"","family":"Janmohamed","given":"K","non-dropping-particle":"","parse-names":false,"suffix":""}],"id":"ITEM-1","issued":{"date-parts":[["2008"]]},"number-of-pages":"1-27","title":"Warwick-Edinburgh mental well-being scale user guide","type":"report"},"uris":["http://www.mendeley.com/documents/?uuid=61b420bc-f042-467d-a585-ccae2af3e570"]}],"mendeley":{"formattedCitation":"(Stewart-Brown &amp; Janmohamed, 2008)","plainTextFormattedCitation":"(Stewart-Brown &amp; Janmohamed, 2008)","previouslyFormattedCitation":"(Stewart-Brown &amp; Janmohamed, 2008)"},"properties":{"noteIndex":0},"schema":"https://github.com/citation-style-language/schema/raw/master/csl-citation.json"}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(Stewart-Brown &amp; Janmohamed, 2008)</w:t>
      </w:r>
      <w:r w:rsidRPr="00103A0B">
        <w:rPr>
          <w:rFonts w:ascii="Arial" w:hAnsi="Arial" w:cs="Arial"/>
        </w:rPr>
        <w:fldChar w:fldCharType="end"/>
      </w:r>
      <w:r w:rsidRPr="00103A0B">
        <w:rPr>
          <w:rFonts w:ascii="Arial" w:hAnsi="Arial" w:cs="Arial"/>
        </w:rPr>
        <w:t xml:space="preserve">. There have been studies showing that MWB can affect uptake and attendance of lifestyle behaviour change programmes </w:t>
      </w:r>
      <w:r w:rsidRPr="00103A0B">
        <w:rPr>
          <w:rFonts w:ascii="Arial" w:hAnsi="Arial" w:cs="Arial"/>
        </w:rPr>
        <w:fldChar w:fldCharType="begin" w:fldLock="1"/>
      </w:r>
      <w:r w:rsidR="00BA4374" w:rsidRPr="00103A0B">
        <w:rPr>
          <w:rFonts w:ascii="Arial" w:hAnsi="Arial" w:cs="Arial"/>
        </w:rPr>
        <w:instrText>ADDIN CSL_CITATION {"citationItems":[{"id":"ITEM-1","itemData":{"author":[{"dropping-particle":"","family":"Murray","given":"Jenni","non-dropping-particle":"","parse-names":false,"suffix":""},{"dropping-particle":"","family":"Craigs","given":"Cheryl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Disorders","id":"ITEM-1","issued":{"date-parts":[["2012"]]},"page":"120","title":"A systematic review of patient reported factors associated with uptake and completion of cardiovascular lifestyle behaviour change","type":"article-journal","volume":"12"},"uris":["http://www.mendeley.com/documents/?uuid=971628ca-9389-4dbc-a2a8-0c22fd4f3793"]},{"id":"ITEM-2","itemData":{"ISSN":"2152-7180","abstract":"This paper reports the qualitative component from a pragmatic randomized controlled trial (PRCT), the quantitative component is reported in Callaghan, Khalil, Morres and Carter (2011). Exercise may be effective in treating depression, but trials testing its effect in depressed women are rare. Our previous research found that standard exercise programmes, prescribed by General Practitioners and based on national guidelines of intensity levels thought to produce health benefits, are not suitable for this group, as they find them discouraging and lonely, with many dropping out very early on. Exercise that is matched to participants’ preferred intensity improves mental health outcomes and attrition rates. Our aim was to develop such a programme. This study addressed the question: does mentored exercise of preferred intensity lead to better psychological, physiological and social wellbeing outcomes and improved adherence rates when compared with exercise of prescribed intensity in 38 depressed women? Focus groups were conducted with participants from both arms of the study, to explore their experience of the exercise programme and to gather information that might help to explain the quantitative outcomes, a technique recommended by previous researchers conducting pragmatic trials. Women in the experimental programme experienced a statistically significant improvement in their mood, physical health, sense of wellbeing, self-esteem and quality of life. They reported achieving these gains via a positive experience which encouraged continued attendance. In contrast, women who received the “exercise as usual” programme experienced no significant benefits, were less likely to continue attending, and markedly less enthusiastic.","author":[{"dropping-particle":"","family":"Khalil","given":"Elizabeth","non-dropping-particle":"","parse-names":false,"suffix":""},{"dropping-particle":"","family":"Callaghan","given":"Patrick","non-dropping-particle":"","parse-names":false,"suffix":""},{"dropping-particle":"","family":"Carter","given":"Tim","non-dropping-particle":"","parse-names":false,"suffix":""},{"dropping-particle":"","family":"Morres","given":"Ioannis","non-dropping-particle":"","parse-names":false,"suffix":""}],"container-title":"Scientific Research","id":"ITEM-2","issue":"11","issued":{"date-parts":[["2012"]]},"page":"979-986","title":"Pragmatic randomised controlled trial of an exercise programme to improve wellbeing outcomes in women with depression: findings from the qualitative component","type":"article-journal","volume":"3"},"uris":["http://www.mendeley.com/documents/?uuid=40edca00-e60c-42ba-a917-a11f3c616774"]}],"mendeley":{"formattedCitation":"(Khalil et al., 2012; Murray et al., 2012)","plainTextFormattedCitation":"(Khalil et al., 2012; Murray et al., 2012)","previouslyFormattedCitation":"(Khalil et al., 2012; Murray et al., 2012)"},"properties":{"noteIndex":0},"schema":"https://github.com/citation-style-language/schema/raw/master/csl-citation.json"}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(Khalil et al., 2012; Murray et al., 2012)</w:t>
      </w:r>
      <w:r w:rsidRPr="00103A0B">
        <w:rPr>
          <w:rFonts w:ascii="Arial" w:hAnsi="Arial" w:cs="Arial"/>
        </w:rPr>
        <w:fldChar w:fldCharType="end"/>
      </w:r>
      <w:r w:rsidRPr="00103A0B">
        <w:rPr>
          <w:rFonts w:ascii="Arial" w:hAnsi="Arial" w:cs="Arial"/>
        </w:rPr>
        <w:t xml:space="preserve"> and cardiac rehabilitation programmes </w:t>
      </w:r>
      <w:r w:rsidRPr="00103A0B">
        <w:rPr>
          <w:rFonts w:ascii="Arial" w:hAnsi="Arial" w:cs="Arial"/>
        </w:rPr>
        <w:fldChar w:fldCharType="begin" w:fldLock="1"/>
      </w:r>
      <w:r w:rsidRPr="00103A0B">
        <w:rPr>
          <w:rFonts w:ascii="Arial" w:hAnsi="Arial" w:cs="Arial"/>
        </w:rPr>
        <w:instrText>ADDIN CSL_CITATION {"citationItems":[{"id":"ITEM-1","itemData":{"ISSN":"00229032","PMID":"19618319","abstract":"Background: The value of cardiac rehabilitation in patients with coronary artery disease has been well established. The main problem is a low attendance of patients qualified for rehabilitation. Aim: To assess differences between subjects attending outpatient cardiac rehabilitation (OutCR) after completing an early inpatient programme (InCR), and patients refusing participation in OutCR; to investigate factors determining patients' decisions. Methods: Seventy-two patients (mean age 57 ± 9.4 years; 53 men) 2-3 weeks after an acute coronary syndrome (ACS) treated with primary PCI were enrolled. On admission to the cardiac rehabilitation ward, the following parameters were assessed: quality of life (EuroQol-5D questionnaire), psychological status (Beck's, SOPER and STAI questionnaires), marital status, education, economic status, employment, place of living, smoking status, and comorbidities (a questionnaire prepared by the authors). Additionally, patients' opinions on outpatient and inpatient cardiac rehabilitation were noted. The inpatient programme lasted 2-3 weeks. At discharge, the assessment was repeated, and patients were proposed to enrol in a 12-week outpatient programme. In the case of refusal, patients were asked to give the reason. Results: Two men failed to complete the inpatient program. Of the remaining 70 subjects, 16 attended and completed the outpatient programme. In the group participating in OutCR, there were fewer patients with depression before InCR (12 vs. 39% in the group without OutCR, p = 0.0484). Subjects in the OutCR group had a higher score for mood after InCR (7.7 ± 1.25 vs. 6.7 ± 1.69, p = 0.0365), lower score for emotional stress before and after InCR (before InCR: 4.4 ± 1.09 vs. 5.3 ± 1.34, p = 0.0188; after InCR: 3.8 ± 1.51 vs. 4.8 ± 1.4, p = 0.0262), and lower score for anxiety before InCR (3.1 ± 1.75 vs. 4.4 ± 2.12, p = 0.0426). Patients in the two groups differed with regard to employment (p = 0.0256) and smoking status (p = 0.0517). In both groups, most patients (≥ 80%) preferred inpatient rehabilitation. Continuous medical care, lack of commuting problems, and convenience were the most frequently given advantages of inpatient rehabilitation, while commuting problems and conflict with job were the most frequently perceived barriers to outpatient rehabilitation. Conclusions: Only a small proportion of patients after an ACS decides to participate in outpatient rehabilitation after completing a short-term inpatient progra…","author":[{"dropping-particle":"","family":"Deskur-Śmielecka","given":"Ewa","non-dropping-particle":"","parse-names":false,"suffix":""},{"dropping-particle":"","family":"Borowicz-Bieńkowska","given":"Sławomira","non-dropping-particle":"","parse-names":false,"suffix":""},{"dropping-particle":"","family":"Brychcy","given":"Aleksandra","non-dropping-particle":"","parse-names":false,"suffix":""},{"dropping-particle":"","family":"Wilk","given":"Małgorzata","non-dropping-particle":"","parse-names":false,"suffix":""},{"dropping-particle":"","family":"Przywarska","given":"Izabela","non-dropping-particle":"","parse-names":false,"suffix":""},{"dropping-particle":"","family":"Dylewicz","given":"Piotr","non-dropping-particle":"","parse-names":false,"suffix":""}],"container-title":"Kardiologia Polska","id":"ITEM-1","issue":"6","issued":{"date-parts":[["2009"]]},"page":"632-638","title":"Why patients after acute coronary syndromes do not participate in an early outpatient rehabilitation programme?","type":"article-journal","volume":"67"},"uris":["http://www.mendeley.com/documents/?uuid=13ceea54-962e-43d5-bfe0-972c5fca5d22"]}],"mendeley":{"formattedCitation":"(Deskur-Śmielecka et al., 2009)","plainTextFormattedCitation":"(Deskur-Śmielecka et al., 2009)","previouslyFormattedCitation":"(Deskur-Śmielecka et al., 2009)"},"properties":{"noteIndex":0},"schema":"https://github.com/citation-style-language/schema/raw/master/csl-citation.json"}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(Deskur-Śmielecka et al., 2009)</w:t>
      </w:r>
      <w:r w:rsidRPr="00103A0B">
        <w:rPr>
          <w:rFonts w:ascii="Arial" w:hAnsi="Arial" w:cs="Arial"/>
        </w:rPr>
        <w:fldChar w:fldCharType="end"/>
      </w:r>
      <w:r w:rsidRPr="00103A0B">
        <w:rPr>
          <w:rFonts w:ascii="Arial" w:hAnsi="Arial" w:cs="Arial"/>
        </w:rPr>
        <w:t xml:space="preserve">. Some have also indicated that MWB can positively affect completion or encourage </w:t>
      </w:r>
      <w:r w:rsidRPr="00103A0B">
        <w:rPr>
          <w:rFonts w:ascii="Arial" w:hAnsi="Arial" w:cs="Arial"/>
        </w:rPr>
        <w:lastRenderedPageBreak/>
        <w:t xml:space="preserve">continued attendance </w:t>
      </w:r>
      <w:r w:rsidRPr="00103A0B">
        <w:rPr>
          <w:rFonts w:ascii="Arial" w:hAnsi="Arial" w:cs="Arial"/>
        </w:rPr>
        <w:fldChar w:fldCharType="begin" w:fldLock="1"/>
      </w:r>
      <w:r w:rsidR="00BA4374" w:rsidRPr="00103A0B">
        <w:rPr>
          <w:rFonts w:ascii="Arial" w:hAnsi="Arial" w:cs="Arial"/>
        </w:rPr>
        <w:instrText>ADDIN CSL_CITATION {"citationItems":[{"id":"ITEM-1","itemData":{"ISSN":"14799731","PMID":"24659210","abstract":"Pulmonary rehabilitation (PR) is an effective treatment for people with chronic obstructive pulmonary disease (COPD). However, uptake and adherence to rehabilitation is poor and non-adherence is associated with poorer clinical outcomes. This study investigated the factors that might predict an individual completing his/her PR programme. Demographic, physiological and psychological data were collected from routine assessment information. Non-completers (N = 213) who dropped out after initial assessment were compared with completers (N = 438) who attended all 6 weeks of PR programme. Regression analysis indicated that smoking status was the strongest predictor for completing PR programme, that is, ex-smokers were 2.6 times (95% confidence interval (CI) = 1.7-3.9) and those who had never smoked were 2.5 times (95% confidence interval (CI) = 1.1-5.7) more likely to complete in comparison with those who were current smokers. Scoring better on psychological well-being measures (odds ratio = 1.6; 95% CI = 1.2-1.9) was also a strong predictor. The findings suggest the areas that could be addressed to enhance adherence to rehabilitation, for example, targeted interventions for clients who continue to smoke and for those who require support for psychological distress. © The Author(s) 2014.","author":[{"dropping-particle":"","family":"Cassidy","given":"Susan","non-dropping-particle":"","parse-names":false,"suffix":""},{"dropping-particle":"","family":"Turnbull","given":"Sue","non-dropping-particle":"","parse-names":false,"suffix":""},{"dropping-particle":"","family":"Gardani","given":"Maria","non-dropping-particle":"","parse-names":false,"suffix":""},{"dropping-particle":"","family":"Kirkwood","given":"Kim","non-dropping-particle":"","parse-names":false,"suffix":""}],"container-title":"Chronic Respiratory Disease","id":"ITEM-1","issue":"2","issued":{"date-parts":[["2014"]]},"page":"95-102","title":"Attendance at pulmonary rehabilitation classes: an exploration of demographic, physiological and psychological factors that predict completion of treatment","type":"article-journal","volume":"11"},"uris":["http://www.mendeley.com/documents/?uuid=c69fbeec-8523-4d93-b894-8a20fbc78dfd"]},{"id":"ITEM-2","itemData":{"ISSN":"2152-7180","abstract":"This paper reports the qualitative component from a pragmatic randomized controlled trial (PRCT), the quantitative component is reported in Callaghan, Khalil, Morres and Carter (2011). Exercise may be effective in treating depression, but trials testing its effect in depressed women are rare. Our previous research found that standard exercise programmes, prescribed by General Practitioners and based on national guidelines of intensity levels thought to produce health benefits, are not suitable for this group, as they find them discouraging and lonely, with many dropping out very early on. Exercise that is matched to participants’ preferred intensity improves mental health outcomes and attrition rates. Our aim was to develop such a programme. This study addressed the question: does mentored exercise of preferred intensity lead to better psychological, physiological and social wellbeing outcomes and improved adherence rates when compared with exercise of prescribed intensity in 38 depressed women? Focus groups were conducted with participants from both arms of the study, to explore their experience of the exercise programme and to gather information that might help to explain the quantitative outcomes, a technique recommended by previous researchers conducting pragmatic trials. Women in the experimental programme experienced a statistically significant improvement in their mood, physical health, sense of wellbeing, self-esteem and quality of life. They reported achieving these gains via a positive experience which encouraged continued attendance. In contrast, women who received the “exercise as usual” programme experienced no significant benefits, were less likely to continue attending, and markedly less enthusiastic.","author":[{"dropping-particle":"","family":"Khalil","given":"Elizabeth","non-dropping-particle":"","parse-names":false,"suffix":""},{"dropping-particle":"","family":"Callaghan","given":"Patrick","non-dropping-particle":"","parse-names":false,"suffix":""},{"dropping-particle":"","family":"Carter","given":"Tim","non-dropping-particle":"","parse-names":false,"suffix":""},{"dropping-particle":"","family":"Morres","given":"Ioannis","non-dropping-particle":"","parse-names":false,"suffix":""}],"container-title":"Scientific Research","id":"ITEM-2","issue":"11","issued":{"date-parts":[["2012"]]},"page":"979-986","title":"Pragmatic randomised controlled trial of an exercise programme to improve wellbeing outcomes in women with depression: findings from the qualitative component","type":"article-journal","volume":"3"},"uris":["http://www.mendeley.com/documents/?uuid=40edca00-e60c-42ba-a917-a11f3c616774"]}],"mendeley":{"formattedCitation":"(Cassidy et al., 2014; Khalil et al., 2012)","plainTextFormattedCitation":"(Cassidy et al., 2014; Khalil et al., 2012)","previouslyFormattedCitation":"(Cassidy et al., 2014; Khalil et al., 2012)"},"properties":{"noteIndex":0},"schema":"https://github.com/citation-style-language/schema/raw/master/csl-citation.json"}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(Cassidy et al., 2014; Khalil et al., 2012)</w:t>
      </w:r>
      <w:r w:rsidRPr="00103A0B">
        <w:rPr>
          <w:rFonts w:ascii="Arial" w:hAnsi="Arial" w:cs="Arial"/>
        </w:rPr>
        <w:fldChar w:fldCharType="end"/>
      </w:r>
      <w:r w:rsidRPr="00103A0B">
        <w:rPr>
          <w:rFonts w:ascii="Arial" w:hAnsi="Arial" w:cs="Arial"/>
        </w:rPr>
        <w:t xml:space="preserve">. For DPPs, some have found that as a result of programme participation, MWB significantly improved or self-esteem increased </w:t>
      </w:r>
      <w:r w:rsidRPr="00103A0B">
        <w:rPr>
          <w:rFonts w:ascii="Arial" w:hAnsi="Arial" w:cs="Arial"/>
        </w:rPr>
        <w:fldChar w:fldCharType="begin" w:fldLock="1"/>
      </w:r>
      <w:r w:rsidR="00810F86" w:rsidRPr="00103A0B">
        <w:rPr>
          <w:rFonts w:ascii="Arial" w:hAnsi="Arial" w:cs="Arial"/>
        </w:rPr>
        <w:instrText>ADDIN CSL_CITATION {"citationItems":[{"id":"ITEM-1","itemData":{"DOI":"10.2337/dc08-2141","ISSN":"01495992","PMID":"19509014","abstract":"OBJECTIVE: To evaluate the efficacy of the group program PREDIAS for diabetes prevention.\\n\\nRESEARCH DESIGN AND METHODS: PREDIAS consists of 12 lessons and aims at lifestyle modification. The control group received written information about diabetes prevention. In this study, a total of 182 persons with an elevated diabetes risk participated (aged 56.3 +/- 10.1 years, 43% female, and BMI 31.5 +/- 5.3 kg/m(2)).\\n\\nRESULTS: After 12 months, weight loss was significantly higher (P = 0.001) in PREDIAS than in the control group (-3.8 +/- 5.2 vs. -1.4 +/- 4.09 kg). There were also significant effects (P = 0.001) on fasting glucose (control group 1.8 +/- 13.1 mg/dl vs. PREDIAS -4.3 +/- 11.3 mg/dl), duration of physical activity per week (control group 17.9 +/- 63.8 min vs. PREDIAS 46.6 +/- 95.5 min; P = 0.03), and eating behavior.\\n\\nCONCLUSIONS: PREDIAS significantly modified lifestyle factors associated with an elevated diabetes risk.","author":[{"dropping-particle":"","family":"Kulzer","given":"Bernhard","non-dropping-particle":"","parse-names":false,"suffix":""},{"dropping-particle":"","family":"Hermanns","given":"Norbert","non-dropping-particle":"","parse-names":false,"suffix":""},{"dropping-particle":"","family":"Gorges","given":"Daniela","non-dropping-particle":"","parse-names":false,"suffix":""},{"dropping-particle":"","family":"Schwarz","given":"Peter","non-dropping-particle":"","parse-names":false,"suffix":""},{"dropping-particle":"","family":"Haak","given":"Thomas","non-dropping-particle":"","parse-names":false,"suffix":""}],"container-title":"Diabetes Care","id":"ITEM-1","issue":"7","issued":{"date-parts":[["2009"]]},"page":"1143-1146","title":"Prevention of diabetes self-management program (PREDIAS): effects on weight, metabolic risk factors, and behavioral outcomes","type":"article-journal","volume":"32"},"uris":["http://www.mendeley.com/documents/?uuid=df2278a0-0ae5-40ab-bc80-f2e143b41d86"]},{"id":"ITEM-2","itemData":{"DOI":"10.1177/0898264316688791","ISBN":"0898264316","ISSN":"15526887","PMID":"28553807","abstract":"Objective: To examine the outcomes of a Medicare population who participated in a program combining digital health with human coaching for diabetes risk reduction. Method: People at risk for diabetes enrolled in a program combining digital health with human coaching. Participation and health outcomes were examined at 16 weeks and 6 and 12 months. Results: A total of 501 participants enrolled; 92% completed at least nine of 16 core lessons. Participants averaged 19 of 31 possible opportunities for weekly program engagement. At 12 months, participants lost 7.5% (SD = 7.8%) of initial body weight; among participants with clinical data, glucose control improved (glycosylated hemoglobin [HbA1c] change = −0.14%, p =.001) and total cholesterol decreased (−7.08 mg/dL, p =.008). Self-reported well-being, depression, and self-care improved (p &lt;.0001). Discussion: This Medicare population demonstrated sustained program engagement and improved weight, health, and well-being. The findings support digital programs with human coaching for reducing chronic disease risk among older adults.","author":[{"dropping-particle":"","family":"Castro Sweet","given":"Cynthia M.","non-dropping-particle":"","parse-names":false,"suffix":""},{"dropping-particle":"","family":"Chiguluri","given":"Vinay","non-dropping-particle":"","parse-names":false,"suffix":""},{"dropping-particle":"","family":"Gumpina","given":"Rajiv","non-dropping-particle":"","parse-names":false,"suffix":""},{"dropping-particle":"","family":"Abbott","given":"Paul","non-dropping-particle":"","parse-names":false,"suffix":""},{"dropping-particle":"","family":"Madero","given":"Erica N.","non-dropping-particle":"","parse-names":false,"suffix":""},{"dropping-particle":"","family":"Payne","given":"Mike","non-dropping-particle":"","parse-names":false,"suffix":""},{"dropping-particle":"","family":"Happe","given":"Laura","non-dropping-particle":"","parse-names":false,"suffix":""},{"dropping-particle":"","family":"Matanich","given":"Roger","non-dropping-particle":"","parse-names":false,"suffix":""},{"dropping-particle":"","family":"Renda","given":"Andrew","non-dropping-particle":"","parse-names":false,"suffix":""},{"dropping-particle":"","family":"Prewitt","given":"Todd","non-dropping-particle":"","parse-names":false,"suffix":""}],"container-title":"Journal of Aging and Health","id":"ITEM-2","issue":"5","issued":{"date-parts":[["2018"]]},"page":"692-710","title":"Outcomes of a digital health program with human coaching for diabetes risk reduction in a medicare population","type":"article-journal","volume":"30"},"uris":["http://www.mendeley.com/documents/?uuid=ada3a899-f9f8-4d71-a79f-523d556906fd"]},{"id":"ITEM-3","itemData":{"DOI":"10.1093/tbm/ibx064","ISSN":"1613-9860","abstract":"The Diabetes Prevention Program (DPP) is an evidence-based lifestyle intervention developed to decrease the risk for type 2 diabetes and promote weight loss in individuals at risk for diabetes. Individuals with serious mental illness have a greater risk for developing diabetes compared with the general population. In this article, the authors provide a detailed description of the adaptation process of the DPP for individuals with serious mental illness (DPP-SMI). The adaptation process was based on a cultural adaptation framework for modifying evidence-based interventions. To assess the effectiveness of the DPP-SMI, 11 individuals from a community mental health residential agency completed a 22-session pilot study of the adapted program and provided physiological measures before and after the intervention. As primary outcomes, participants were expected to report decreased body weight and increased physical activity per week. Completers had an average weight loss of 19 lbs (8%) and their physical activity increased from 161 to 405 min per week. These preliminary results together with participants' feedback informed further refinement of the DPP-SMI. This case study supports that individuals with serious mental illness can benefit from the DPP-SMI, which is tailored to meet the unique needs of this population group.;","author":[{"dropping-particle":"","family":"Quiñones","given":"Maria M","non-dropping-particle":"","parse-names":false,"suffix":""},{"dropping-particle":"","family":"Lombard-Newell","given":"Judy","non-dropping-particle":"","parse-names":false,"suffix":""},{"dropping-particle":"","family":"Sharp","given":"Daryl","non-dropping-particle":"","parse-names":false,"suffix":""},{"dropping-particle":"","family":"Way","given":"Valerie","non-dropping-particle":"","parse-names":false,"suffix":""},{"dropping-particle":"","family":"Cross","given":"Wendi","non-dropping-particle":"","parse-names":false,"suffix":""}],"container-title":"Translational Behavioral Medicine","id":"ITEM-3","issue":"2","issued":{"date-parts":[["2018"]]},"note":"Accession Number: 29346678. Language: English. Date Revised: 20181126. Date Created: 20180119. Date Completed: 20181126. Update Code: 20181127. Publication Type: Journal Article. Journal ID: 101554668. Publication Model: Print. Cited Medium: Internet. NLM ISO Abbr: Transl Behav Med. Linking ISSN: 16139860. Subset: IM; Date of Electronic Publication: 20180301. ; Original Imprints: Publication: New York : Springer","page":"195-203","publisher":"Springer","publisher-place":"School of Nursing, University of Rochester Medical Center, Rochester, NY.","title":"Case study of an adaptation and implementation of a diabetes prevention program for individuals with serious mental illness.","type":"article-journal","volume":"8"},"uris":["http://www.mendeley.com/documents/?uuid=25ddcc05-70f1-4333-9e99-b9d202b84d0d"]}],"mendeley":{"formattedCitation":"(Castro Sweet et al., 2018; Kulzer et al., 2009; Quiñones et al., 2018)","manualFormatting":"(Castro Sweet et al., 2018; Kulzer et al., 2009; Quiñones et al., 2018)","plainTextFormattedCitation":"(Castro Sweet et al., 2018; Kulzer et al., 2009; Quiñones et al., 2018)","previouslyFormattedCitation":"(Castro Sweet et al., 2018; Kulzer et al., 2009; Quiñones et al., 2018)"},"properties":{"noteIndex":0},"schema":"https://github.com/citation-style-language/schema/raw/master/csl-citation.json"}</w:instrText>
      </w:r>
      <w:r w:rsidRPr="00103A0B">
        <w:rPr>
          <w:rFonts w:ascii="Arial" w:hAnsi="Arial" w:cs="Arial"/>
        </w:rPr>
        <w:fldChar w:fldCharType="separate"/>
      </w:r>
      <w:r w:rsidRPr="00103A0B">
        <w:rPr>
          <w:rFonts w:ascii="Arial" w:hAnsi="Arial" w:cs="Arial"/>
          <w:noProof/>
        </w:rPr>
        <w:t>(Castro Sweet et al., 2018; Kulzer et al., 2009; Quiñones et al., 2018)</w:t>
      </w:r>
      <w:r w:rsidRPr="00103A0B">
        <w:rPr>
          <w:rFonts w:ascii="Arial" w:hAnsi="Arial" w:cs="Arial"/>
        </w:rPr>
        <w:fldChar w:fldCharType="end"/>
      </w:r>
      <w:r w:rsidRPr="00103A0B">
        <w:rPr>
          <w:rFonts w:ascii="Arial" w:hAnsi="Arial" w:cs="Arial"/>
        </w:rPr>
        <w:t xml:space="preserve">, but whether MWB predicts uptake and/or completion of a diabetes prevention programme like the NHSDPP remains unclear. </w:t>
      </w:r>
    </w:p>
    <w:p w14:paraId="02C77EA1" w14:textId="77777777" w:rsidR="00643C08" w:rsidRPr="00103A0B" w:rsidRDefault="00643C08" w:rsidP="00CD5919">
      <w:pPr>
        <w:pStyle w:val="NormalWeb"/>
        <w:spacing w:before="0" w:beforeAutospacing="0" w:after="0" w:afterAutospacing="0" w:line="360" w:lineRule="auto"/>
        <w:jc w:val="both"/>
        <w:rPr>
          <w:rFonts w:ascii="Arial" w:hAnsi="Arial" w:cs="Arial"/>
        </w:rPr>
      </w:pPr>
    </w:p>
    <w:p w14:paraId="28AA4114" w14:textId="00060A58" w:rsidR="00643C08" w:rsidRPr="00103A0B" w:rsidRDefault="00643C08" w:rsidP="00CD5919">
      <w:pPr>
        <w:pStyle w:val="NormalWeb"/>
        <w:spacing w:before="0" w:beforeAutospacing="0" w:after="0" w:afterAutospacing="0" w:line="360" w:lineRule="auto"/>
        <w:jc w:val="both"/>
        <w:rPr>
          <w:rFonts w:ascii="Arial" w:hAnsi="Arial" w:cs="Arial"/>
        </w:rPr>
      </w:pPr>
      <w:r w:rsidRPr="00103A0B">
        <w:rPr>
          <w:rFonts w:ascii="Arial" w:hAnsi="Arial" w:cs="Arial"/>
        </w:rPr>
        <w:t xml:space="preserve">To date, there is a lack of literature on the effects of psychological factors on uptake and/or completion of diabetes prevention programmes. This study aimed to explore whether illness perceptions, self-efficacy, and mental wellbeing predict uptake and/or completion of the NHS Diabetes Prevention Programme in England, independent from other possible confounders. </w:t>
      </w:r>
    </w:p>
    <w:p w14:paraId="268F664C" w14:textId="77777777" w:rsidR="00643C08" w:rsidRPr="00103A0B" w:rsidRDefault="00643C08" w:rsidP="00CD5919">
      <w:pPr>
        <w:pStyle w:val="NormalWeb"/>
        <w:spacing w:line="360" w:lineRule="auto"/>
        <w:jc w:val="both"/>
        <w:rPr>
          <w:rFonts w:ascii="Arial" w:hAnsi="Arial" w:cs="Arial"/>
        </w:rPr>
      </w:pPr>
      <w:r w:rsidRPr="00103A0B">
        <w:rPr>
          <w:rFonts w:ascii="Arial" w:hAnsi="Arial" w:cs="Arial"/>
        </w:rPr>
        <w:t xml:space="preserve">The research questions were: </w:t>
      </w:r>
    </w:p>
    <w:p w14:paraId="665436C4" w14:textId="77777777" w:rsidR="00643C08" w:rsidRPr="00103A0B" w:rsidRDefault="00643C08" w:rsidP="00CD5919">
      <w:pPr>
        <w:pStyle w:val="NormalWeb"/>
        <w:numPr>
          <w:ilvl w:val="0"/>
          <w:numId w:val="10"/>
        </w:numPr>
        <w:spacing w:line="360" w:lineRule="auto"/>
        <w:jc w:val="both"/>
        <w:rPr>
          <w:rFonts w:ascii="Arial" w:hAnsi="Arial" w:cs="Arial"/>
        </w:rPr>
      </w:pPr>
      <w:r w:rsidRPr="00103A0B">
        <w:rPr>
          <w:rFonts w:ascii="Arial" w:hAnsi="Arial" w:cs="Arial"/>
        </w:rPr>
        <w:t>Do certain illness perceptions predict uptake and/or completion of diabetes prevention programmes?</w:t>
      </w:r>
    </w:p>
    <w:p w14:paraId="47C5F025" w14:textId="77777777" w:rsidR="00643C08" w:rsidRPr="00103A0B" w:rsidRDefault="00643C08" w:rsidP="00CD5919">
      <w:pPr>
        <w:pStyle w:val="NormalWeb"/>
        <w:numPr>
          <w:ilvl w:val="0"/>
          <w:numId w:val="10"/>
        </w:numPr>
        <w:spacing w:line="360" w:lineRule="auto"/>
        <w:jc w:val="both"/>
        <w:rPr>
          <w:rFonts w:ascii="Arial" w:hAnsi="Arial" w:cs="Arial"/>
        </w:rPr>
      </w:pPr>
      <w:r w:rsidRPr="00103A0B">
        <w:rPr>
          <w:rFonts w:ascii="Arial" w:hAnsi="Arial" w:cs="Arial"/>
        </w:rPr>
        <w:t>Do self-efficacy scores predict uptake and/or completion of diabetes prevention programmes?</w:t>
      </w:r>
    </w:p>
    <w:p w14:paraId="0F9A8759" w14:textId="77777777" w:rsidR="00643C08" w:rsidRPr="00103A0B" w:rsidRDefault="00643C08" w:rsidP="00CD5919">
      <w:pPr>
        <w:pStyle w:val="NormalWeb"/>
        <w:numPr>
          <w:ilvl w:val="0"/>
          <w:numId w:val="10"/>
        </w:numPr>
        <w:spacing w:line="360" w:lineRule="auto"/>
        <w:jc w:val="both"/>
        <w:rPr>
          <w:rFonts w:ascii="Arial" w:hAnsi="Arial" w:cs="Arial"/>
        </w:rPr>
      </w:pPr>
      <w:r w:rsidRPr="00103A0B">
        <w:rPr>
          <w:rFonts w:ascii="Arial" w:hAnsi="Arial" w:cs="Arial"/>
        </w:rPr>
        <w:t xml:space="preserve">Do levels of mental wellbeing significantly predict uptake and/or completion of diabetes prevention programmes? </w:t>
      </w:r>
    </w:p>
    <w:p w14:paraId="048641B6" w14:textId="77777777" w:rsidR="00C42E4F" w:rsidRPr="00103A0B" w:rsidRDefault="00C42E4F" w:rsidP="00CD5919">
      <w:pPr>
        <w:pStyle w:val="NormalWeb"/>
        <w:spacing w:line="360" w:lineRule="auto"/>
        <w:jc w:val="both"/>
        <w:rPr>
          <w:rFonts w:ascii="Arial" w:hAnsi="Arial" w:cs="Arial"/>
        </w:rPr>
      </w:pPr>
    </w:p>
    <w:p w14:paraId="41F4A1E5" w14:textId="699CBACB" w:rsidR="00492C98" w:rsidRPr="00103A0B" w:rsidRDefault="00643C08" w:rsidP="00CD5919">
      <w:pPr>
        <w:pStyle w:val="Heading2"/>
        <w:numPr>
          <w:ilvl w:val="0"/>
          <w:numId w:val="0"/>
        </w:numPr>
        <w:jc w:val="both"/>
        <w:rPr>
          <w:rFonts w:ascii="Arial" w:hAnsi="Arial" w:cs="Arial"/>
          <w:sz w:val="28"/>
        </w:rPr>
      </w:pPr>
      <w:bookmarkStart w:id="382" w:name="_Toc151548331"/>
      <w:r w:rsidRPr="00103A0B">
        <w:rPr>
          <w:rFonts w:ascii="Arial" w:hAnsi="Arial" w:cs="Arial"/>
          <w:sz w:val="28"/>
        </w:rPr>
        <w:t xml:space="preserve">7.2 </w:t>
      </w:r>
      <w:r w:rsidR="00492C98" w:rsidRPr="00103A0B">
        <w:rPr>
          <w:rFonts w:ascii="Arial" w:hAnsi="Arial" w:cs="Arial"/>
          <w:sz w:val="28"/>
        </w:rPr>
        <w:t>Subjects, Materials and Methods</w:t>
      </w:r>
      <w:bookmarkEnd w:id="382"/>
    </w:p>
    <w:p w14:paraId="60F39B24" w14:textId="06AE7A81" w:rsidR="00492C98" w:rsidRPr="00103A0B" w:rsidRDefault="00643C08" w:rsidP="00CD5919">
      <w:pPr>
        <w:jc w:val="both"/>
        <w:rPr>
          <w:rFonts w:ascii="Arial" w:hAnsi="Arial" w:cs="Arial"/>
          <w:b/>
          <w:bCs/>
          <w:sz w:val="24"/>
          <w:szCs w:val="24"/>
        </w:rPr>
      </w:pPr>
      <w:r w:rsidRPr="00103A0B">
        <w:rPr>
          <w:rFonts w:ascii="Arial" w:hAnsi="Arial" w:cs="Arial"/>
          <w:b/>
          <w:bCs/>
          <w:sz w:val="24"/>
          <w:szCs w:val="24"/>
        </w:rPr>
        <w:t xml:space="preserve">7.2.1 </w:t>
      </w:r>
      <w:r w:rsidR="00492C98" w:rsidRPr="00103A0B">
        <w:rPr>
          <w:rFonts w:ascii="Arial" w:hAnsi="Arial" w:cs="Arial"/>
          <w:b/>
          <w:bCs/>
          <w:sz w:val="24"/>
          <w:szCs w:val="24"/>
        </w:rPr>
        <w:t xml:space="preserve">The </w:t>
      </w:r>
      <w:r w:rsidR="005307BF" w:rsidRPr="00103A0B">
        <w:rPr>
          <w:rFonts w:ascii="Arial" w:hAnsi="Arial" w:cs="Arial"/>
          <w:b/>
          <w:bCs/>
          <w:sz w:val="24"/>
          <w:szCs w:val="24"/>
        </w:rPr>
        <w:t>Local Provider</w:t>
      </w:r>
      <w:r w:rsidR="00492C98" w:rsidRPr="00103A0B">
        <w:rPr>
          <w:rFonts w:ascii="Arial" w:hAnsi="Arial" w:cs="Arial"/>
          <w:b/>
          <w:bCs/>
          <w:sz w:val="24"/>
          <w:szCs w:val="24"/>
        </w:rPr>
        <w:t xml:space="preserve"> Diabetes Prevention Programme</w:t>
      </w:r>
    </w:p>
    <w:p w14:paraId="46DA3DF6" w14:textId="58DA5A54" w:rsidR="00492C98" w:rsidRPr="00103A0B" w:rsidRDefault="00643C08" w:rsidP="00CD5919">
      <w:pPr>
        <w:spacing w:line="360" w:lineRule="auto"/>
        <w:jc w:val="both"/>
        <w:rPr>
          <w:rFonts w:ascii="Arial" w:hAnsi="Arial" w:cs="Arial"/>
          <w:sz w:val="24"/>
          <w:szCs w:val="24"/>
        </w:rPr>
      </w:pPr>
      <w:r w:rsidRPr="00103A0B">
        <w:rPr>
          <w:rFonts w:ascii="Arial" w:hAnsi="Arial" w:cs="Arial"/>
          <w:sz w:val="24"/>
          <w:szCs w:val="24"/>
        </w:rPr>
        <w:t xml:space="preserve">At the time of the study, the NHSDPP was delivered by four different providers under a framework agreement with NHS England </w:t>
      </w:r>
      <w:r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programme","type":"article-journal","volume":"43"},"uris":["http://www.mendeley.com/documents/?uuid=32a7a44a-df0b-4cde-9269-536e48e08190"]}],"mendeley":{"formattedCitation":"(Diabetes Prevention Team, 2015; Valabhji et al., 2020)","plainTextFormattedCitation":"(Diabetes Prevention Team, 2015; Valabhji et al., 2020)","previouslyFormattedCitation":"(Diabetes Prevention Team, 2015; 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 Valabhji et al., 2020)</w:t>
      </w:r>
      <w:r w:rsidRPr="00103A0B">
        <w:rPr>
          <w:rFonts w:ascii="Arial" w:hAnsi="Arial" w:cs="Arial"/>
          <w:sz w:val="24"/>
          <w:szCs w:val="24"/>
        </w:rPr>
        <w:fldChar w:fldCharType="end"/>
      </w:r>
      <w:r w:rsidRPr="00103A0B">
        <w:rPr>
          <w:rFonts w:ascii="Arial" w:hAnsi="Arial" w:cs="Arial"/>
          <w:sz w:val="24"/>
          <w:szCs w:val="24"/>
        </w:rPr>
        <w:t xml:space="preserve">. This study uses data from one of these providers. The programme consisted of 18 sessions delivered over nine months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Potential participants were referred to the programme from primary care and invited to an initial assessment (IA). The IA aimed to establish eligibility, allow participants to learn more about the intervention and take baseline measurements </w:t>
      </w:r>
      <w:r w:rsidRPr="00103A0B">
        <w:rPr>
          <w:rFonts w:ascii="Arial" w:hAnsi="Arial" w:cs="Arial"/>
          <w:sz w:val="24"/>
          <w:szCs w:val="24"/>
        </w:rPr>
        <w:fldChar w:fldCharType="begin" w:fldLock="1"/>
      </w:r>
      <w:r w:rsidR="0090416F"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programme","type":"report"},"uris":["http://www.mendeley.com/documents/?uuid=c5b57596-f3f8-450f-addd-2089d0b723ff"]},{"id":"ITEM-2","itemData":{"author":[{"dropping-particle":"","family":"Diabetes Prevention Team","given":"","non-dropping-particle":"","parse-names":false,"suffix":""}],"id":"ITEM-2","issued":{"date-parts":[["2015"]]},"number-of-pages":"1-32","title":"Consultation guide: national procurement for the provision of behavioural interventions for people with non-diabetic hyperglycaemia","type":"report"},"uris":["http://www.mendeley.com/documents/?uuid=00fe88c7-ca9b-4ae1-8051-3f6463f5ce57"]}],"mendeley":{"formattedCitation":"(Diabetes Prevention Team, 2015; Macmillan, 2016)","plainTextFormattedCitation":"(Diabetes Prevention Team, 2015; Macmillan, 2016)","previouslyFormattedCitation":"(Diabetes Prevention Team, 2015; 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 Macmillan, 2016)</w:t>
      </w:r>
      <w:r w:rsidRPr="00103A0B">
        <w:rPr>
          <w:rFonts w:ascii="Arial" w:hAnsi="Arial" w:cs="Arial"/>
          <w:sz w:val="24"/>
          <w:szCs w:val="24"/>
        </w:rPr>
        <w:fldChar w:fldCharType="end"/>
      </w:r>
      <w:r w:rsidRPr="00103A0B">
        <w:rPr>
          <w:rFonts w:ascii="Arial" w:hAnsi="Arial" w:cs="Arial"/>
          <w:sz w:val="24"/>
          <w:szCs w:val="24"/>
        </w:rPr>
        <w:t>.</w:t>
      </w:r>
    </w:p>
    <w:p w14:paraId="3D87E0F5" w14:textId="2B2A887D" w:rsidR="00492C98" w:rsidRPr="00103A0B" w:rsidRDefault="00643C08" w:rsidP="00CD5919">
      <w:pPr>
        <w:jc w:val="both"/>
        <w:rPr>
          <w:rFonts w:ascii="Arial" w:hAnsi="Arial" w:cs="Arial"/>
          <w:b/>
          <w:bCs/>
          <w:sz w:val="24"/>
          <w:szCs w:val="24"/>
        </w:rPr>
      </w:pPr>
      <w:r w:rsidRPr="00103A0B">
        <w:rPr>
          <w:rFonts w:ascii="Arial" w:hAnsi="Arial" w:cs="Arial"/>
          <w:b/>
          <w:bCs/>
          <w:sz w:val="24"/>
          <w:szCs w:val="24"/>
        </w:rPr>
        <w:t xml:space="preserve">7.2.2 </w:t>
      </w:r>
      <w:r w:rsidR="00492C98" w:rsidRPr="00103A0B">
        <w:rPr>
          <w:rFonts w:ascii="Arial" w:hAnsi="Arial" w:cs="Arial"/>
          <w:b/>
          <w:bCs/>
          <w:sz w:val="24"/>
          <w:szCs w:val="24"/>
        </w:rPr>
        <w:t xml:space="preserve">Design and </w:t>
      </w:r>
      <w:r w:rsidRPr="00103A0B">
        <w:rPr>
          <w:rFonts w:ascii="Arial" w:hAnsi="Arial" w:cs="Arial"/>
          <w:b/>
          <w:bCs/>
          <w:sz w:val="24"/>
          <w:szCs w:val="24"/>
        </w:rPr>
        <w:t>P</w:t>
      </w:r>
      <w:r w:rsidR="00492C98" w:rsidRPr="00103A0B">
        <w:rPr>
          <w:rFonts w:ascii="Arial" w:hAnsi="Arial" w:cs="Arial"/>
          <w:b/>
          <w:bCs/>
          <w:sz w:val="24"/>
          <w:szCs w:val="24"/>
        </w:rPr>
        <w:t xml:space="preserve">articipant </w:t>
      </w:r>
      <w:r w:rsidRPr="00103A0B">
        <w:rPr>
          <w:rFonts w:ascii="Arial" w:hAnsi="Arial" w:cs="Arial"/>
          <w:b/>
          <w:bCs/>
          <w:sz w:val="24"/>
          <w:szCs w:val="24"/>
        </w:rPr>
        <w:t>S</w:t>
      </w:r>
      <w:r w:rsidR="00492C98" w:rsidRPr="00103A0B">
        <w:rPr>
          <w:rFonts w:ascii="Arial" w:hAnsi="Arial" w:cs="Arial"/>
          <w:b/>
          <w:bCs/>
          <w:sz w:val="24"/>
          <w:szCs w:val="24"/>
        </w:rPr>
        <w:t xml:space="preserve">election </w:t>
      </w:r>
    </w:p>
    <w:p w14:paraId="1555DA66" w14:textId="5700123C" w:rsidR="00492C98" w:rsidRPr="00103A0B" w:rsidRDefault="00643C08" w:rsidP="00CD5919">
      <w:pPr>
        <w:spacing w:line="360" w:lineRule="auto"/>
        <w:jc w:val="both"/>
        <w:rPr>
          <w:rFonts w:ascii="Arial" w:hAnsi="Arial" w:cs="Arial"/>
          <w:sz w:val="24"/>
          <w:szCs w:val="24"/>
        </w:rPr>
      </w:pPr>
      <w:r w:rsidRPr="00103A0B">
        <w:rPr>
          <w:rFonts w:ascii="Arial" w:hAnsi="Arial" w:cs="Arial"/>
          <w:sz w:val="24"/>
          <w:szCs w:val="24"/>
        </w:rPr>
        <w:lastRenderedPageBreak/>
        <w:t xml:space="preserve">Data were collected by </w:t>
      </w:r>
      <w:r w:rsidR="005307BF" w:rsidRPr="00103A0B">
        <w:rPr>
          <w:rFonts w:ascii="Arial" w:hAnsi="Arial" w:cs="Arial"/>
          <w:sz w:val="24"/>
          <w:szCs w:val="24"/>
        </w:rPr>
        <w:t>the local provider</w:t>
      </w:r>
      <w:r w:rsidRPr="00103A0B">
        <w:rPr>
          <w:rFonts w:ascii="Arial" w:hAnsi="Arial" w:cs="Arial"/>
          <w:sz w:val="24"/>
          <w:szCs w:val="24"/>
        </w:rPr>
        <w:t xml:space="preserve"> as part of their service evaluation, and ethical approval was then gained from </w:t>
      </w:r>
      <w:r w:rsidR="00614AC1" w:rsidRPr="00103A0B">
        <w:rPr>
          <w:rFonts w:ascii="Arial" w:hAnsi="Arial" w:cs="Arial"/>
          <w:sz w:val="24"/>
          <w:szCs w:val="24"/>
        </w:rPr>
        <w:t>Staffordshire University</w:t>
      </w:r>
      <w:r w:rsidRPr="00103A0B">
        <w:rPr>
          <w:rFonts w:ascii="Arial" w:hAnsi="Arial" w:cs="Arial"/>
          <w:sz w:val="24"/>
          <w:szCs w:val="24"/>
        </w:rPr>
        <w:t xml:space="preserve"> to conduct this study. Data were collected from 10,739 participants attending IAs in various areas of England (April 2016 to January 2018). Convenience sampling was used whereby those who attended the IA were asked to complete measures of IPs, SE and MWB. </w:t>
      </w:r>
    </w:p>
    <w:p w14:paraId="19A826AA" w14:textId="00D8F76F" w:rsidR="00492C98" w:rsidRPr="00103A0B" w:rsidRDefault="00643C08" w:rsidP="00CD5919">
      <w:pPr>
        <w:jc w:val="both"/>
        <w:rPr>
          <w:rFonts w:ascii="Arial" w:hAnsi="Arial" w:cs="Arial"/>
          <w:b/>
          <w:bCs/>
          <w:sz w:val="24"/>
          <w:szCs w:val="24"/>
        </w:rPr>
      </w:pPr>
      <w:r w:rsidRPr="00103A0B">
        <w:rPr>
          <w:rFonts w:ascii="Arial" w:hAnsi="Arial" w:cs="Arial"/>
          <w:b/>
          <w:bCs/>
          <w:sz w:val="24"/>
          <w:szCs w:val="24"/>
        </w:rPr>
        <w:t xml:space="preserve">7.2.3 </w:t>
      </w:r>
      <w:r w:rsidR="00492C98" w:rsidRPr="00103A0B">
        <w:rPr>
          <w:rFonts w:ascii="Arial" w:hAnsi="Arial" w:cs="Arial"/>
          <w:b/>
          <w:bCs/>
          <w:sz w:val="24"/>
          <w:szCs w:val="24"/>
        </w:rPr>
        <w:t xml:space="preserve">Data </w:t>
      </w:r>
      <w:r w:rsidR="004F4591" w:rsidRPr="00103A0B">
        <w:rPr>
          <w:rFonts w:ascii="Arial" w:hAnsi="Arial" w:cs="Arial"/>
          <w:b/>
          <w:bCs/>
          <w:sz w:val="24"/>
          <w:szCs w:val="24"/>
        </w:rPr>
        <w:t>C</w:t>
      </w:r>
      <w:r w:rsidR="00492C98" w:rsidRPr="00103A0B">
        <w:rPr>
          <w:rFonts w:ascii="Arial" w:hAnsi="Arial" w:cs="Arial"/>
          <w:b/>
          <w:bCs/>
          <w:sz w:val="24"/>
          <w:szCs w:val="24"/>
        </w:rPr>
        <w:t xml:space="preserve">ollection and </w:t>
      </w:r>
      <w:r w:rsidR="004F4591" w:rsidRPr="00103A0B">
        <w:rPr>
          <w:rFonts w:ascii="Arial" w:hAnsi="Arial" w:cs="Arial"/>
          <w:b/>
          <w:bCs/>
          <w:sz w:val="24"/>
          <w:szCs w:val="24"/>
        </w:rPr>
        <w:t>V</w:t>
      </w:r>
      <w:r w:rsidR="00492C98" w:rsidRPr="00103A0B">
        <w:rPr>
          <w:rFonts w:ascii="Arial" w:hAnsi="Arial" w:cs="Arial"/>
          <w:b/>
          <w:bCs/>
          <w:sz w:val="24"/>
          <w:szCs w:val="24"/>
        </w:rPr>
        <w:t xml:space="preserve">ariables </w:t>
      </w:r>
    </w:p>
    <w:p w14:paraId="4A9AAE1B" w14:textId="77777777" w:rsidR="004F4591" w:rsidRPr="00103A0B" w:rsidRDefault="004F4591" w:rsidP="00CD5919">
      <w:pPr>
        <w:spacing w:line="360" w:lineRule="auto"/>
        <w:jc w:val="both"/>
        <w:rPr>
          <w:rFonts w:ascii="Arial" w:hAnsi="Arial" w:cs="Arial"/>
          <w:sz w:val="24"/>
          <w:szCs w:val="24"/>
        </w:rPr>
      </w:pPr>
      <w:r w:rsidRPr="00103A0B">
        <w:rPr>
          <w:rFonts w:ascii="Arial" w:hAnsi="Arial" w:cs="Arial"/>
          <w:sz w:val="24"/>
          <w:szCs w:val="24"/>
        </w:rPr>
        <w:t>At the IA, a range of data were collected for each participant:</w:t>
      </w:r>
    </w:p>
    <w:p w14:paraId="2B162697" w14:textId="77777777" w:rsidR="004F4591" w:rsidRPr="00103A0B" w:rsidRDefault="004F4591" w:rsidP="00CD5919">
      <w:pPr>
        <w:pStyle w:val="ListParagraph"/>
        <w:numPr>
          <w:ilvl w:val="0"/>
          <w:numId w:val="8"/>
        </w:numPr>
        <w:spacing w:line="360" w:lineRule="auto"/>
        <w:jc w:val="both"/>
        <w:rPr>
          <w:rFonts w:ascii="Arial" w:eastAsia="Calibri" w:hAnsi="Arial" w:cs="Arial"/>
          <w:sz w:val="24"/>
          <w:szCs w:val="24"/>
        </w:rPr>
      </w:pPr>
      <w:r w:rsidRPr="00103A0B">
        <w:rPr>
          <w:rFonts w:ascii="Arial" w:hAnsi="Arial" w:cs="Arial"/>
          <w:i/>
          <w:iCs/>
          <w:sz w:val="24"/>
          <w:szCs w:val="24"/>
        </w:rPr>
        <w:t>Blood glucose levels</w:t>
      </w:r>
      <w:r w:rsidRPr="00103A0B">
        <w:rPr>
          <w:rFonts w:ascii="Arial" w:hAnsi="Arial" w:cs="Arial"/>
          <w:sz w:val="24"/>
          <w:szCs w:val="24"/>
        </w:rPr>
        <w:t xml:space="preserve">: </w:t>
      </w:r>
      <w:r w:rsidRPr="00103A0B">
        <w:rPr>
          <w:rFonts w:ascii="Arial" w:eastAsia="Calibri" w:hAnsi="Arial" w:cs="Arial"/>
          <w:sz w:val="24"/>
          <w:szCs w:val="24"/>
        </w:rPr>
        <w:t xml:space="preserve">glycated </w:t>
      </w:r>
      <w:proofErr w:type="spellStart"/>
      <w:r w:rsidRPr="00103A0B">
        <w:rPr>
          <w:rFonts w:ascii="Arial" w:eastAsia="Calibri" w:hAnsi="Arial" w:cs="Arial"/>
          <w:sz w:val="24"/>
          <w:szCs w:val="24"/>
        </w:rPr>
        <w:t>haemoglobin</w:t>
      </w:r>
      <w:proofErr w:type="spellEnd"/>
      <w:r w:rsidRPr="00103A0B">
        <w:rPr>
          <w:rFonts w:ascii="Arial" w:eastAsia="Calibri" w:hAnsi="Arial" w:cs="Arial"/>
          <w:sz w:val="24"/>
          <w:szCs w:val="24"/>
        </w:rPr>
        <w:t xml:space="preserve"> (HbA1c) was measured using a blood finger prick test. </w:t>
      </w:r>
    </w:p>
    <w:p w14:paraId="0BD32E19" w14:textId="77777777" w:rsidR="004F4591" w:rsidRPr="00103A0B" w:rsidRDefault="004F4591" w:rsidP="00CD5919">
      <w:pPr>
        <w:pStyle w:val="ListParagraph"/>
        <w:spacing w:line="360" w:lineRule="auto"/>
        <w:jc w:val="both"/>
        <w:rPr>
          <w:rFonts w:ascii="Arial" w:eastAsia="Calibri" w:hAnsi="Arial" w:cs="Arial"/>
          <w:sz w:val="24"/>
          <w:szCs w:val="24"/>
        </w:rPr>
      </w:pPr>
    </w:p>
    <w:p w14:paraId="3F9C343F" w14:textId="77B268D5" w:rsidR="004F4591" w:rsidRPr="00103A0B" w:rsidRDefault="004F4591" w:rsidP="00CD5919">
      <w:pPr>
        <w:pStyle w:val="ListParagraph"/>
        <w:numPr>
          <w:ilvl w:val="0"/>
          <w:numId w:val="8"/>
        </w:numPr>
        <w:spacing w:line="360" w:lineRule="auto"/>
        <w:jc w:val="both"/>
        <w:rPr>
          <w:rFonts w:ascii="Arial" w:hAnsi="Arial" w:cs="Arial"/>
          <w:sz w:val="24"/>
          <w:szCs w:val="24"/>
        </w:rPr>
      </w:pPr>
      <w:r w:rsidRPr="00103A0B">
        <w:rPr>
          <w:rFonts w:ascii="Arial" w:eastAsia="Calibri" w:hAnsi="Arial" w:cs="Arial"/>
          <w:i/>
          <w:sz w:val="24"/>
          <w:szCs w:val="24"/>
        </w:rPr>
        <w:t>D</w:t>
      </w:r>
      <w:r w:rsidRPr="00103A0B">
        <w:rPr>
          <w:rFonts w:ascii="Arial" w:hAnsi="Arial" w:cs="Arial"/>
          <w:i/>
          <w:sz w:val="24"/>
          <w:szCs w:val="24"/>
        </w:rPr>
        <w:t xml:space="preserve">emographic: </w:t>
      </w:r>
      <w:r w:rsidRPr="00103A0B">
        <w:rPr>
          <w:rFonts w:ascii="Arial" w:hAnsi="Arial" w:cs="Arial"/>
          <w:sz w:val="24"/>
          <w:szCs w:val="24"/>
        </w:rPr>
        <w:t xml:space="preserve">Age, gender, ethnicity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{"citationItems":[{"id":"ITEM-1","itemData":{"URL":"https://www.ethnicity-facts-figures.service.gov.uk/uk-population-by-ethnicity/national-and-regional-populations/population-of-england-and-wales/latest#download-the-data","author":[{"dropping-particle":"","family":"UK Government","given":"","non-dropping-particle":"","parse-names":false,"suffix":""}],"id":"ITEM-1","issued":{"date-parts":[["2018"]]},"title":"Population of England and Wales","type":"webpage"},"uris":["http://www.mendeley.com/documents/?uuid=b07e63d6-3613-4f96-9a50-727e80395dc7"]}],"mendeley":{"formattedCitation":"(UK Government, 2018)","plainTextFormattedCitation":"(UK Government, 2018)","previouslyFormattedCitation":"(UK Government,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(UK Government, 2018)</w:t>
      </w:r>
      <w:r w:rsidRPr="00103A0B">
        <w:rPr>
          <w:rFonts w:ascii="Arial" w:hAnsi="Arial" w:cs="Arial"/>
          <w:sz w:val="24"/>
          <w:szCs w:val="24"/>
        </w:rPr>
        <w:fldChar w:fldCharType="end"/>
      </w:r>
      <w:r w:rsidRPr="00103A0B">
        <w:rPr>
          <w:rFonts w:ascii="Arial" w:hAnsi="Arial" w:cs="Arial"/>
          <w:sz w:val="24"/>
          <w:szCs w:val="24"/>
        </w:rPr>
        <w:t xml:space="preserve">,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 area and postcode were recorded. Deprivation was calculated using the index of multiple deprivation, derived from participant postcode and reported as quintiles </w:t>
      </w:r>
      <w:r w:rsidRPr="00103A0B">
        <w:rPr>
          <w:rFonts w:ascii="Arial" w:hAnsi="Arial" w:cs="Arial"/>
          <w:sz w:val="24"/>
          <w:szCs w:val="24"/>
        </w:rPr>
        <w:fldChar w:fldCharType="begin" w:fldLock="1"/>
      </w:r>
      <w:r w:rsidR="00062570" w:rsidRPr="00103A0B">
        <w:rPr>
          <w:rFonts w:ascii="Arial" w:hAnsi="Arial" w:cs="Arial"/>
          <w:sz w:val="24"/>
          <w:szCs w:val="24"/>
        </w:rPr>
        <w:instrText>ADDIN CSL_CITATION {"citationItems":[{"id":"ITEM-1","itemData":{"URL":"http://imd-by-postcode.opendatacommunities.org/","accessed":{"date-parts":[["2021","6","26"]]},"author":[{"dropping-particle":"","family":"Ministry of Housing","given":"Communities and Local Government","non-dropping-particle":"","parse-names":false,"suffix":""}],"id":"ITEM-1","issued":{"date-parts":[["2019"]]},"title":"English indices of deprivation 2019","type":"webpage"},"uris":["http://www.mendeley.com/documents/?uuid=0e83ec0f-2444-4b57-a412-734aa09afa96"]}],"mendeley":{"formattedCitation":"(Ministry of Housing, 2019)","plainTextFormattedCitation":"(Ministry of Housing, 2019)","previouslyFormattedCitation":"(Ministry of Housing,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(Ministry of Housing, 2019)</w:t>
      </w:r>
      <w:r w:rsidRPr="00103A0B">
        <w:rPr>
          <w:rFonts w:ascii="Arial" w:hAnsi="Arial" w:cs="Arial"/>
          <w:sz w:val="24"/>
          <w:szCs w:val="24"/>
        </w:rPr>
        <w:fldChar w:fldCharType="end"/>
      </w:r>
      <w:r w:rsidRPr="00103A0B">
        <w:rPr>
          <w:rFonts w:ascii="Arial" w:hAnsi="Arial" w:cs="Arial"/>
          <w:sz w:val="24"/>
          <w:szCs w:val="24"/>
        </w:rPr>
        <w:t>.</w:t>
      </w:r>
    </w:p>
    <w:p w14:paraId="668D3372" w14:textId="77777777" w:rsidR="004F4591" w:rsidRPr="00103A0B" w:rsidRDefault="004F4591" w:rsidP="00CD5919">
      <w:pPr>
        <w:pStyle w:val="ListParagraph"/>
        <w:spacing w:line="360" w:lineRule="auto"/>
        <w:jc w:val="both"/>
        <w:rPr>
          <w:rFonts w:ascii="Arial" w:hAnsi="Arial" w:cs="Arial"/>
          <w:sz w:val="24"/>
          <w:szCs w:val="24"/>
        </w:rPr>
      </w:pPr>
    </w:p>
    <w:p w14:paraId="51FB7F18" w14:textId="169FA350" w:rsidR="004F4591" w:rsidRPr="00103A0B" w:rsidRDefault="004F4591" w:rsidP="00CD5919">
      <w:pPr>
        <w:pStyle w:val="ListParagraph"/>
        <w:numPr>
          <w:ilvl w:val="0"/>
          <w:numId w:val="8"/>
        </w:numPr>
        <w:spacing w:after="0" w:line="360" w:lineRule="auto"/>
        <w:jc w:val="both"/>
        <w:rPr>
          <w:rFonts w:ascii="Arial" w:hAnsi="Arial" w:cs="Arial"/>
          <w:sz w:val="24"/>
          <w:szCs w:val="24"/>
        </w:rPr>
      </w:pPr>
      <w:r w:rsidRPr="00103A0B">
        <w:rPr>
          <w:rFonts w:ascii="Arial" w:hAnsi="Arial" w:cs="Arial"/>
          <w:i/>
          <w:sz w:val="24"/>
          <w:szCs w:val="24"/>
        </w:rPr>
        <w:t>Illness perceptions</w:t>
      </w:r>
      <w:r w:rsidRPr="00103A0B">
        <w:rPr>
          <w:rFonts w:ascii="Arial" w:hAnsi="Arial" w:cs="Arial"/>
          <w:sz w:val="24"/>
          <w:szCs w:val="24"/>
        </w:rPr>
        <w:t xml:space="preserve">: The nine-item Brief Illness Perception Questionnaire (Brief IPQ)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questionnaire","type":"article-journal","volume":"60"},"uris":["http://www.mendeley.com/documents/?uuid=d92e0634-c26f-4845-bdfd-de9e844e3f3b"]}],"mendeley":{"formattedCitation":"(Broadbent et al., 2006)","plainTextFormattedCitation":"(Broadbent et al., 2006)","previouslyFormattedCitation":"(Broadbent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(Broadbent et al., 2006)</w:t>
      </w:r>
      <w:r w:rsidRPr="00103A0B">
        <w:rPr>
          <w:rFonts w:ascii="Arial" w:hAnsi="Arial" w:cs="Arial"/>
          <w:sz w:val="24"/>
          <w:szCs w:val="24"/>
        </w:rPr>
        <w:fldChar w:fldCharType="end"/>
      </w:r>
      <w:r w:rsidRPr="00103A0B">
        <w:rPr>
          <w:rFonts w:ascii="Arial" w:hAnsi="Arial" w:cs="Arial"/>
          <w:sz w:val="24"/>
          <w:szCs w:val="24"/>
        </w:rPr>
        <w:t xml:space="preserve"> was used to measure IPs, with the term “illness” replaced by “prediabetes” (i.e., the illness of interest) as recommended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questionnaire","type":"article-journal","volume":"60"},"uris":["http://www.mendeley.com/documents/?uuid=d92e0634-c26f-4845-bdfd-de9e844e3f3b"]}],"mendeley":{"formattedCitation":"(Broadbent et al., 2006)","plainTextFormattedCitation":"(Broadbent et al., 2006)","previouslyFormattedCitation":"(Broadbent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(Broadbent et al., 2006)</w:t>
      </w:r>
      <w:r w:rsidRPr="00103A0B">
        <w:rPr>
          <w:rFonts w:ascii="Arial" w:hAnsi="Arial" w:cs="Arial"/>
          <w:sz w:val="24"/>
          <w:szCs w:val="24"/>
        </w:rPr>
        <w:fldChar w:fldCharType="end"/>
      </w:r>
      <w:r w:rsidRPr="00103A0B">
        <w:rPr>
          <w:rFonts w:ascii="Arial" w:hAnsi="Arial" w:cs="Arial"/>
          <w:sz w:val="24"/>
          <w:szCs w:val="24"/>
        </w:rPr>
        <w:t xml:space="preserve">. Illness perception scores were calculated for the following items of the Brief-IPQ: consequences, timeline, personal control, treatment control, identity, coherence, concern and emotional response, as well as the total scores for each item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questionnaire","type":"article-journal","volume":"60"},"uris":["http://www.mendeley.com/documents/?uuid=d92e0634-c26f-4845-bdfd-de9e844e3f3b"]}],"mendeley":{"formattedCitation":"(Broadbent et al., 2006)","plainTextFormattedCitation":"(Broadbent et al., 2006)","previouslyFormattedCitation":"(Broadbent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(Broadbent et al., 2006)</w:t>
      </w:r>
      <w:r w:rsidRPr="00103A0B">
        <w:rPr>
          <w:rFonts w:ascii="Arial" w:hAnsi="Arial" w:cs="Arial"/>
          <w:sz w:val="24"/>
          <w:szCs w:val="24"/>
        </w:rPr>
        <w:fldChar w:fldCharType="end"/>
      </w:r>
      <w:r w:rsidRPr="00103A0B">
        <w:rPr>
          <w:rFonts w:ascii="Arial" w:hAnsi="Arial" w:cs="Arial"/>
          <w:sz w:val="24"/>
          <w:szCs w:val="24"/>
        </w:rPr>
        <w:t xml:space="preserve">. </w:t>
      </w:r>
    </w:p>
    <w:p w14:paraId="38479E07" w14:textId="77777777" w:rsidR="004F4591" w:rsidRPr="00103A0B" w:rsidRDefault="004F4591" w:rsidP="00CD5919">
      <w:pPr>
        <w:spacing w:line="360" w:lineRule="auto"/>
        <w:jc w:val="both"/>
        <w:rPr>
          <w:rFonts w:ascii="Arial" w:hAnsi="Arial" w:cs="Arial"/>
          <w:sz w:val="24"/>
          <w:szCs w:val="24"/>
        </w:rPr>
      </w:pPr>
    </w:p>
    <w:p w14:paraId="2E863202" w14:textId="68619630" w:rsidR="004F4591" w:rsidRPr="00103A0B" w:rsidRDefault="004F4591" w:rsidP="00CD5919">
      <w:pPr>
        <w:pStyle w:val="ListParagraph"/>
        <w:numPr>
          <w:ilvl w:val="0"/>
          <w:numId w:val="8"/>
        </w:numPr>
        <w:spacing w:after="0" w:line="360" w:lineRule="auto"/>
        <w:jc w:val="both"/>
        <w:rPr>
          <w:rFonts w:ascii="Arial" w:hAnsi="Arial" w:cs="Arial"/>
          <w:sz w:val="24"/>
          <w:szCs w:val="24"/>
        </w:rPr>
      </w:pPr>
      <w:r w:rsidRPr="00103A0B">
        <w:rPr>
          <w:rFonts w:ascii="Arial" w:hAnsi="Arial" w:cs="Arial"/>
          <w:i/>
          <w:iCs/>
          <w:sz w:val="24"/>
          <w:szCs w:val="24"/>
        </w:rPr>
        <w:t>Self-efficacy:</w:t>
      </w:r>
      <w:r w:rsidRPr="00103A0B">
        <w:rPr>
          <w:rFonts w:ascii="Arial" w:hAnsi="Arial" w:cs="Arial"/>
          <w:sz w:val="24"/>
          <w:szCs w:val="24"/>
        </w:rPr>
        <w:t xml:space="preserve"> The eight-item New General Self-Efficacy Scale (NGS-ES)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{"citationItems":[{"id":"ITEM-1","itemData":{"author":[{"dropping-particle":"","family":"Chen","given":"Gilad","non-dropping-particle":"","parse-names":false,"suffix":""},{"dropping-particle":"","family":"Gully","given":"Stanley M","non-dropping-particle":"","parse-names":false,"suffix":""},{"dropping-particle":"","family":"Eden","given":"Dov","non-dropping-particle":"","parse-names":false,"suffix":""}],"container-title":"Organizational Research Methods","id":"ITEM-1","issue":"1","issued":{"date-parts":[["2001"]]},"page":"62-83","title":"Validation of a new general self-efficacy scale","type":"article-journal","volume":"4"},"uris":["http://www.mendeley.com/documents/?uuid=66a1bf9e-bc0f-4f1e-8098-3874dc01d669"]}],"mendeley":{"formattedCitation":"(G. Chen et al., 2001)","manualFormatting":"(Chen et al., 2001)","plainTextFormattedCitation":"(G. Chen et al., 2001)","previouslyFormattedCitation":"(G. Chen et al., 2001)"},"properties":{"noteIndex":0},"schema":"https://github.com/citation-style-language/schema/raw/master/csl-citation.json"}</w:instrText>
      </w:r>
      <w:r w:rsidRPr="00103A0B">
        <w:rPr>
          <w:rFonts w:ascii="Arial" w:hAnsi="Arial" w:cs="Arial"/>
          <w:sz w:val="24"/>
          <w:szCs w:val="24"/>
        </w:rPr>
        <w:fldChar w:fldCharType="separate"/>
      </w:r>
      <w:r w:rsidR="00062570" w:rsidRPr="00103A0B">
        <w:rPr>
          <w:rFonts w:ascii="Arial" w:hAnsi="Arial" w:cs="Arial"/>
          <w:noProof/>
          <w:sz w:val="24"/>
          <w:szCs w:val="24"/>
        </w:rPr>
        <w:t>(Chen et al., 2001)</w:t>
      </w:r>
      <w:r w:rsidRPr="00103A0B">
        <w:rPr>
          <w:rFonts w:ascii="Arial" w:hAnsi="Arial" w:cs="Arial"/>
          <w:sz w:val="24"/>
          <w:szCs w:val="24"/>
        </w:rPr>
        <w:fldChar w:fldCharType="end"/>
      </w:r>
      <w:r w:rsidRPr="00103A0B">
        <w:rPr>
          <w:rFonts w:ascii="Arial" w:hAnsi="Arial" w:cs="Arial"/>
          <w:sz w:val="24"/>
          <w:szCs w:val="24"/>
        </w:rPr>
        <w:t xml:space="preserve"> was used to measure general SE, calculated as a summary score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author":[{"dropping-particle":"","family":"Smith","given":"J.","non-dropping-particle":"","parse-names":false,"suffix":""},{"dropping-particle":"","family":"Gardner","given":"Benjamin","non-dropping-particle":"","parse-names":false,"suffix":""},{"dropping-particle":"","family":"Michie","given":"Susan","non-dropping-particle":"","parse-names":false,"suffix":""}],"id":"ITEM-1","issued":{"date-parts":[["2010"]]},"number-of-pages":"1-12","title":"Self efficacy guidance material for health trainer services","type":"report"},"uris":["http://www.mendeley.com/documents/?uuid=b9ae5e48-4d43-42dd-8cfc-e090b62b1d2f"]}],"mendeley":{"formattedCitation":"(J. Smith et al., 2010)","manualFormatting":"(Smith et al., 2010)","plainTextFormattedCitation":"(J. Smith et al., 2010)","previouslyFormattedCitation":"(J. Smith et al., 2010)"},"properties":{"noteIndex":0},"schema":"https://github.com/citation-style-language/schema/raw/master/csl-citation.json"}</w:instrText>
      </w:r>
      <w:r w:rsidRPr="00103A0B">
        <w:rPr>
          <w:rFonts w:ascii="Arial" w:hAnsi="Arial" w:cs="Arial"/>
          <w:sz w:val="24"/>
          <w:szCs w:val="24"/>
        </w:rPr>
        <w:fldChar w:fldCharType="separate"/>
      </w:r>
      <w:r w:rsidR="00062570" w:rsidRPr="00103A0B">
        <w:rPr>
          <w:rFonts w:ascii="Arial" w:hAnsi="Arial" w:cs="Arial"/>
          <w:noProof/>
          <w:sz w:val="24"/>
          <w:szCs w:val="24"/>
        </w:rPr>
        <w:t>(Smith et al., 2010)</w:t>
      </w:r>
      <w:r w:rsidRPr="00103A0B">
        <w:rPr>
          <w:rFonts w:ascii="Arial" w:hAnsi="Arial" w:cs="Arial"/>
          <w:sz w:val="24"/>
          <w:szCs w:val="24"/>
        </w:rPr>
        <w:fldChar w:fldCharType="end"/>
      </w:r>
      <w:r w:rsidRPr="00103A0B">
        <w:rPr>
          <w:rFonts w:ascii="Arial" w:hAnsi="Arial" w:cs="Arial"/>
          <w:sz w:val="24"/>
          <w:szCs w:val="24"/>
        </w:rPr>
        <w:t xml:space="preserve">. </w:t>
      </w:r>
    </w:p>
    <w:p w14:paraId="6D394ACB" w14:textId="77777777" w:rsidR="004F4591" w:rsidRPr="00103A0B" w:rsidRDefault="004F4591" w:rsidP="00CD5919">
      <w:pPr>
        <w:pStyle w:val="ListParagraph"/>
        <w:spacing w:line="360" w:lineRule="auto"/>
        <w:jc w:val="both"/>
        <w:rPr>
          <w:rFonts w:ascii="Arial" w:hAnsi="Arial" w:cs="Arial"/>
          <w:sz w:val="24"/>
          <w:szCs w:val="24"/>
        </w:rPr>
      </w:pPr>
    </w:p>
    <w:p w14:paraId="49F7464E" w14:textId="5CD77DD3" w:rsidR="004F4591" w:rsidRPr="00103A0B" w:rsidRDefault="004F4591" w:rsidP="00CD5919">
      <w:pPr>
        <w:pStyle w:val="ListParagraph"/>
        <w:numPr>
          <w:ilvl w:val="0"/>
          <w:numId w:val="8"/>
        </w:numPr>
        <w:spacing w:line="360" w:lineRule="auto"/>
        <w:jc w:val="both"/>
        <w:rPr>
          <w:rFonts w:ascii="Arial" w:hAnsi="Arial" w:cs="Arial"/>
          <w:sz w:val="24"/>
          <w:szCs w:val="24"/>
        </w:rPr>
      </w:pPr>
      <w:r w:rsidRPr="00103A0B">
        <w:rPr>
          <w:rFonts w:ascii="Arial" w:hAnsi="Arial" w:cs="Arial"/>
          <w:i/>
          <w:sz w:val="24"/>
          <w:szCs w:val="24"/>
        </w:rPr>
        <w:t>Mental wellbeing</w:t>
      </w:r>
      <w:r w:rsidRPr="00103A0B">
        <w:rPr>
          <w:rFonts w:ascii="Arial" w:hAnsi="Arial" w:cs="Arial"/>
          <w:sz w:val="24"/>
          <w:szCs w:val="24"/>
        </w:rPr>
        <w:t xml:space="preserve">: The 14-item Warwick-Edinburgh Mental Wellbeing Scale (WEMWBS)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{"citationItems":[{"id":"ITEM-1","itemData":{"abstract":"population. The monitoring of population mental well-being and the evaluation of interventions to promote positive mental health has therefore had to be undertaken using instruments designed primarily to detect mental illness. There are two problems with such an approach. First, mental illness measures tend to have significant ceiling effects in general population samples, meaning that people with only moderately good mental health can achieve the highest possible score. As a result the instrument cannot show improvements in mental health in the healthier portion of the population distribution. Second, participants who are involved in the evaluation of interventions to promote mental health may develop the erroneous impression that the interventions are designed only to help people with mental health problems and in this way the evaluation can affect the impact of interventions. To overcome these problems NHS Health Scotland commissioned the development of the Warwick-Edinburgh Mental Well-being Scale (WEMWBS) as part of the Mental Health Indicators Programme.2 This manual is for those who want to use WEMWBS for monitoring and research purposes as well as for evaluations. Those who require information on what to consider for evaluation are referred to the NHS Health Scotland evaluation guides in the first instance (www.healthscotland.com/mental-health- publications.aspx). Ceiling","author":[{"dropping-particle":"","family":"Stewart-Brown","given":"S","non-dropping-particle":"","parse-names":false,"suffix":""},{"dropping-particle":"","family":"Janmohamed","given":"K","non-dropping-particle":"","parse-names":false,"suffix":""}],"id":"ITEM-1","issued":{"date-parts":[["2008"]]},"number-of-pages":"1-27","title":"Warwick-Edinburgh mental well-being scale user guide","type":"report"},"uris":["http://www.mendeley.com/documents/?uuid=61b420bc-f042-467d-a585-ccae2af3e570"]}],"mendeley":{"formattedCitation":"(Stewart-Brown &amp; Janmohamed, 2008)","plainTextFormattedCitation":"(Stewart-Brown &amp; Janmohamed, 2008)","previouslyFormattedCitation":"(Stewart-Brown &amp; Janmohamed, 2008)"},"properties":{"noteIndex":0},"schema":"https://github.com/citation-style-language/schema/raw/master/csl-citation.json"}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(Stewart-Brown &amp; Janmohamed, 2008)</w:t>
      </w:r>
      <w:r w:rsidRPr="00103A0B">
        <w:rPr>
          <w:rFonts w:ascii="Arial" w:hAnsi="Arial" w:cs="Arial"/>
          <w:sz w:val="24"/>
          <w:szCs w:val="24"/>
        </w:rPr>
        <w:fldChar w:fldCharType="end"/>
      </w:r>
      <w:r w:rsidRPr="00103A0B">
        <w:rPr>
          <w:rFonts w:ascii="Arial" w:hAnsi="Arial" w:cs="Arial"/>
          <w:sz w:val="24"/>
          <w:szCs w:val="24"/>
        </w:rPr>
        <w:t xml:space="preserve"> was used to measure MWB. The total score was calculated and </w:t>
      </w:r>
      <w:proofErr w:type="spellStart"/>
      <w:r w:rsidRPr="00103A0B">
        <w:rPr>
          <w:rFonts w:ascii="Arial" w:hAnsi="Arial" w:cs="Arial"/>
          <w:sz w:val="24"/>
          <w:szCs w:val="24"/>
        </w:rPr>
        <w:t>categorised</w:t>
      </w:r>
      <w:proofErr w:type="spellEnd"/>
      <w:r w:rsidRPr="00103A0B">
        <w:rPr>
          <w:rFonts w:ascii="Arial" w:hAnsi="Arial" w:cs="Arial"/>
          <w:sz w:val="24"/>
          <w:szCs w:val="24"/>
        </w:rPr>
        <w:t xml:space="preserve"> as low (14-42), medium (43-59) or high (60-70) in accordance with guidelines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{"citationItems":[{"id":"ITEM-1","itemData":{"URL":"https://warwick.ac.uk/fac/sci/med/research/platform/wemwbs/using/howto/","author":[{"dropping-particle":"","family":"University of Warwick","given":"","non-dropping-particle":"","parse-names":false,"suffix":""}],"id":"ITEM-1","issued":{"date-parts":[["2020"]]},"title":"Collect, score, analyse and interpret WEMWBS","type":"webpage"},"uris":["http://www.mendeley.com/documents/?uuid=4064f514-06e1-4ec9-8ab1-31afb94f19de"]}],"mendeley":{"formattedCitation":"(University of Warwick, 2020)","plainTextFormattedCitation":"(University of Warwick, 2020)","previouslyFormattedCitation":"(University of Warwick,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 xml:space="preserve">(University of Warwick, </w:t>
      </w:r>
      <w:r w:rsidRPr="00103A0B">
        <w:rPr>
          <w:rFonts w:ascii="Arial" w:hAnsi="Arial" w:cs="Arial"/>
          <w:noProof/>
          <w:sz w:val="24"/>
          <w:szCs w:val="24"/>
        </w:rPr>
        <w:lastRenderedPageBreak/>
        <w:t>2020)</w:t>
      </w:r>
      <w:r w:rsidRPr="00103A0B">
        <w:rPr>
          <w:rFonts w:ascii="Arial" w:hAnsi="Arial" w:cs="Arial"/>
          <w:sz w:val="24"/>
          <w:szCs w:val="24"/>
        </w:rPr>
        <w:fldChar w:fldCharType="end"/>
      </w:r>
      <w:r w:rsidRPr="00103A0B">
        <w:rPr>
          <w:rFonts w:ascii="Arial" w:hAnsi="Arial" w:cs="Arial"/>
          <w:sz w:val="24"/>
          <w:szCs w:val="24"/>
        </w:rPr>
        <w:t>. This avoided violating assumptions of linearity of the logit in logistic regression</w:t>
      </w:r>
      <w:r w:rsidR="00EC68C3" w:rsidRPr="00103A0B">
        <w:rPr>
          <w:rFonts w:ascii="Arial" w:hAnsi="Arial" w:cs="Arial"/>
          <w:sz w:val="24"/>
          <w:szCs w:val="24"/>
        </w:rPr>
        <w:t xml:space="preserve"> (</w:t>
      </w:r>
      <w:r w:rsidR="00AE2E58" w:rsidRPr="00103A0B">
        <w:rPr>
          <w:rFonts w:ascii="Arial" w:hAnsi="Arial" w:cs="Arial"/>
          <w:sz w:val="24"/>
          <w:szCs w:val="24"/>
        </w:rPr>
        <w:t>s</w:t>
      </w:r>
      <w:r w:rsidR="00EC68C3" w:rsidRPr="00103A0B">
        <w:rPr>
          <w:rFonts w:ascii="Arial" w:hAnsi="Arial" w:cs="Arial"/>
          <w:sz w:val="24"/>
          <w:szCs w:val="24"/>
        </w:rPr>
        <w:t xml:space="preserve">ee Appendix </w:t>
      </w:r>
      <w:r w:rsidR="00F102D2" w:rsidRPr="00103A0B">
        <w:rPr>
          <w:rFonts w:ascii="Arial" w:hAnsi="Arial" w:cs="Arial"/>
          <w:sz w:val="24"/>
          <w:szCs w:val="24"/>
        </w:rPr>
        <w:t>5)</w:t>
      </w:r>
      <w:r w:rsidRPr="00103A0B">
        <w:rPr>
          <w:rFonts w:ascii="Arial" w:hAnsi="Arial" w:cs="Arial"/>
          <w:sz w:val="24"/>
          <w:szCs w:val="24"/>
        </w:rPr>
        <w:t>.</w:t>
      </w:r>
    </w:p>
    <w:p w14:paraId="2E510237" w14:textId="77777777" w:rsidR="004F4591" w:rsidRPr="00103A0B" w:rsidRDefault="004F4591" w:rsidP="00CD5919">
      <w:pPr>
        <w:pStyle w:val="ListParagraph"/>
        <w:spacing w:line="360" w:lineRule="auto"/>
        <w:jc w:val="both"/>
        <w:rPr>
          <w:rFonts w:ascii="Arial" w:hAnsi="Arial" w:cs="Arial"/>
          <w:sz w:val="24"/>
          <w:szCs w:val="24"/>
        </w:rPr>
      </w:pPr>
    </w:p>
    <w:p w14:paraId="74CED6B0" w14:textId="44637026" w:rsidR="004F4591" w:rsidRPr="00103A0B" w:rsidRDefault="004F4591" w:rsidP="00CD5919">
      <w:pPr>
        <w:pStyle w:val="ListParagraph"/>
        <w:numPr>
          <w:ilvl w:val="0"/>
          <w:numId w:val="8"/>
        </w:numPr>
        <w:spacing w:line="360" w:lineRule="auto"/>
        <w:jc w:val="both"/>
        <w:rPr>
          <w:rFonts w:ascii="Arial" w:hAnsi="Arial" w:cs="Arial"/>
          <w:sz w:val="24"/>
          <w:szCs w:val="24"/>
        </w:rPr>
      </w:pPr>
      <w:r w:rsidRPr="00103A0B">
        <w:rPr>
          <w:rFonts w:ascii="Arial" w:hAnsi="Arial" w:cs="Arial"/>
          <w:i/>
          <w:sz w:val="24"/>
          <w:szCs w:val="24"/>
        </w:rPr>
        <w:t>Uptake and completion</w:t>
      </w:r>
      <w:r w:rsidRPr="00103A0B">
        <w:rPr>
          <w:rFonts w:ascii="Arial" w:hAnsi="Arial" w:cs="Arial"/>
          <w:sz w:val="24"/>
          <w:szCs w:val="24"/>
        </w:rPr>
        <w:t>: Those who attended the first session (or at least one session) of the NHSDPP following their IA were classified as attenders (i.e., successful uptake). Those who attended at least 7</w:t>
      </w:r>
      <w:r w:rsidRPr="00103A0B">
        <w:rPr>
          <w:rFonts w:ascii="Arial" w:eastAsia="Times New Roman" w:hAnsi="Arial" w:cs="Arial"/>
          <w:sz w:val="24"/>
          <w:szCs w:val="24"/>
          <w:lang w:eastAsia="en-GB"/>
        </w:rPr>
        <w:t xml:space="preserve">5% of sessions (14/18) were classified as completers, in line with the criterion definition used by NHS England for payment by completion </w:t>
      </w:r>
      <w:r w:rsidRPr="00103A0B">
        <w:rPr>
          <w:rFonts w:ascii="Arial" w:eastAsia="Times New Roman" w:hAnsi="Arial" w:cs="Arial"/>
          <w:sz w:val="24"/>
          <w:szCs w:val="24"/>
          <w:lang w:eastAsia="en-GB"/>
        </w:rPr>
        <w:fldChar w:fldCharType="begin" w:fldLock="1"/>
      </w:r>
      <w:r w:rsidR="00F11C4C" w:rsidRPr="00103A0B">
        <w:rPr>
          <w:rFonts w:ascii="Arial" w:eastAsia="Times New Roman" w:hAnsi="Arial" w:cs="Arial"/>
          <w:sz w:val="24"/>
          <w:szCs w:val="24"/>
          <w:lang w:eastAsia="en-GB"/>
        </w:rPr>
        <w:instrText>ADDIN CSL_CITATION {"citationItems":[{"id":"ITEM-1","itemData":{"author":[{"dropping-particle":"","family":"NHS England","given":"","non-dropping-particle":"","parse-names":false,"suffix":""}],"id":"ITEM-1","issued":{"date-parts":[["2016"]]},"number-of-pages":"1-51","title":"NHS england impact analysis of implementing NHS diabetes prevention programme, 2016 to 2021","type":"report"},"uris":["http://www.mendeley.com/documents/?uuid=d3e6fa3e-5322-4de6-951f-0dc992882406"]}],"mendeley":{"formattedCitation":"(NHS England, 2016b)","plainTextFormattedCitation":"(NHS England, 2016b)","previouslyFormattedCitation":"(NHS England, 2016b)"},"properties":{"noteIndex":0},"schema":"https://github.com/citation-style-language/schema/raw/master/csl-citation.json"}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00062570" w:rsidRPr="00103A0B">
        <w:rPr>
          <w:rFonts w:ascii="Arial" w:eastAsia="Times New Roman" w:hAnsi="Arial" w:cs="Arial"/>
          <w:noProof/>
          <w:sz w:val="24"/>
          <w:szCs w:val="24"/>
          <w:lang w:eastAsia="en-GB"/>
        </w:rPr>
        <w:t>(NHS England, 2016b)</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This led to dichotomous outcome variables for uptake (yes/no), and completion (yes/no). </w:t>
      </w:r>
    </w:p>
    <w:p w14:paraId="1084E90D" w14:textId="77777777" w:rsidR="00492C98" w:rsidRPr="00103A0B" w:rsidRDefault="00492C98" w:rsidP="00CD5919">
      <w:pPr>
        <w:spacing w:line="360" w:lineRule="auto"/>
        <w:jc w:val="both"/>
        <w:rPr>
          <w:rFonts w:ascii="Arial" w:hAnsi="Arial" w:cs="Arial"/>
          <w:i/>
          <w:iCs/>
          <w:sz w:val="24"/>
          <w:szCs w:val="24"/>
        </w:rPr>
      </w:pPr>
    </w:p>
    <w:p w14:paraId="55ED4B92" w14:textId="640CFDF0" w:rsidR="00492C98" w:rsidRPr="00103A0B" w:rsidRDefault="004F4591" w:rsidP="00CD5919">
      <w:pPr>
        <w:jc w:val="both"/>
        <w:rPr>
          <w:rFonts w:ascii="Arial" w:hAnsi="Arial" w:cs="Arial"/>
          <w:b/>
          <w:bCs/>
          <w:sz w:val="24"/>
          <w:szCs w:val="24"/>
        </w:rPr>
      </w:pPr>
      <w:r w:rsidRPr="00103A0B">
        <w:rPr>
          <w:rFonts w:ascii="Arial" w:hAnsi="Arial" w:cs="Arial"/>
          <w:b/>
          <w:bCs/>
          <w:sz w:val="24"/>
          <w:szCs w:val="24"/>
        </w:rPr>
        <w:t xml:space="preserve">7.2.4 </w:t>
      </w:r>
      <w:r w:rsidR="00492C98" w:rsidRPr="00103A0B">
        <w:rPr>
          <w:rFonts w:ascii="Arial" w:hAnsi="Arial" w:cs="Arial"/>
          <w:b/>
          <w:bCs/>
          <w:sz w:val="24"/>
          <w:szCs w:val="24"/>
        </w:rPr>
        <w:t xml:space="preserve">Statistical analysis </w:t>
      </w:r>
    </w:p>
    <w:p w14:paraId="3F16505F" w14:textId="4ED919C4" w:rsidR="00492C98" w:rsidRPr="00103A0B" w:rsidRDefault="00492C98" w:rsidP="00CD5919">
      <w:pPr>
        <w:spacing w:line="360" w:lineRule="auto"/>
        <w:jc w:val="both"/>
        <w:rPr>
          <w:rFonts w:ascii="Arial" w:hAnsi="Arial" w:cs="Arial"/>
          <w:sz w:val="24"/>
          <w:szCs w:val="24"/>
          <w:lang w:eastAsia="en-GB"/>
        </w:rPr>
      </w:pPr>
      <w:r w:rsidRPr="00103A0B">
        <w:rPr>
          <w:rFonts w:ascii="Arial" w:hAnsi="Arial" w:cs="Arial"/>
          <w:sz w:val="24"/>
          <w:szCs w:val="24"/>
        </w:rPr>
        <w:t xml:space="preserve">Data were checked for normal distribution, </w:t>
      </w:r>
      <w:proofErr w:type="gramStart"/>
      <w:r w:rsidRPr="00103A0B">
        <w:rPr>
          <w:rFonts w:ascii="Arial" w:hAnsi="Arial" w:cs="Arial"/>
          <w:sz w:val="24"/>
          <w:szCs w:val="24"/>
        </w:rPr>
        <w:t>errors</w:t>
      </w:r>
      <w:proofErr w:type="gramEnd"/>
      <w:r w:rsidRPr="00103A0B">
        <w:rPr>
          <w:rFonts w:ascii="Arial" w:hAnsi="Arial" w:cs="Arial"/>
          <w:sz w:val="24"/>
          <w:szCs w:val="24"/>
        </w:rPr>
        <w:t xml:space="preserve"> and extreme values. Binomial logistic regression models were used to explore predictors of uptake and completion, entering variables sequentially.</w:t>
      </w:r>
      <w:r w:rsidR="00D96E4E" w:rsidRPr="00103A0B">
        <w:rPr>
          <w:rFonts w:ascii="Arial" w:hAnsi="Arial" w:cs="Arial"/>
          <w:sz w:val="24"/>
          <w:szCs w:val="24"/>
        </w:rPr>
        <w:t xml:space="preserve"> </w:t>
      </w:r>
      <w:r w:rsidRPr="00103A0B">
        <w:rPr>
          <w:rFonts w:ascii="Arial" w:hAnsi="Arial" w:cs="Arial"/>
          <w:sz w:val="24"/>
          <w:szCs w:val="24"/>
        </w:rPr>
        <w:t xml:space="preserve">Demographic variables (age, gender, ethnicity, programme area and deprivation) were included in step one, IPQ items in step two, NGS-ES total scores in step three, and WEMWBS scores in step four. </w:t>
      </w:r>
    </w:p>
    <w:p w14:paraId="56161C9C" w14:textId="071D8C9A" w:rsidR="00492C98"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 xml:space="preserve">Models were tested for assumptions of linearity, independence of errors and multicollinearity. Assumptions of linearity were tested for all three questionnaires (i.e., using the scores of the IPQ items, NGS-ES and WEMWBS). Following exploration of data transformations, variables were categorised as detailed in </w:t>
      </w:r>
      <w:r w:rsidR="00427BFE" w:rsidRPr="00103A0B">
        <w:rPr>
          <w:rFonts w:ascii="Arial" w:hAnsi="Arial" w:cs="Arial"/>
          <w:sz w:val="24"/>
          <w:szCs w:val="24"/>
        </w:rPr>
        <w:t>7.</w:t>
      </w:r>
      <w:r w:rsidRPr="00103A0B">
        <w:rPr>
          <w:rFonts w:ascii="Arial" w:hAnsi="Arial" w:cs="Arial"/>
          <w:sz w:val="24"/>
          <w:szCs w:val="24"/>
        </w:rPr>
        <w:t>2.3. The significance level used was .05%. To determine which variables to include in logistic regression, Mann-Whitney U Tests were conducted to explore differences between IPQ item scores for participants who took up the programme/completed the programme and those who did not (</w:t>
      </w:r>
      <w:r w:rsidR="00C42E4F" w:rsidRPr="00103A0B">
        <w:rPr>
          <w:rFonts w:ascii="Arial" w:hAnsi="Arial" w:cs="Arial"/>
          <w:sz w:val="24"/>
          <w:szCs w:val="24"/>
        </w:rPr>
        <w:t xml:space="preserve">see </w:t>
      </w:r>
      <w:r w:rsidR="00427BFE" w:rsidRPr="00103A0B">
        <w:rPr>
          <w:rFonts w:ascii="Arial" w:hAnsi="Arial" w:cs="Arial"/>
          <w:sz w:val="24"/>
          <w:szCs w:val="24"/>
        </w:rPr>
        <w:t>A</w:t>
      </w:r>
      <w:r w:rsidR="00C42E4F" w:rsidRPr="00103A0B">
        <w:rPr>
          <w:rFonts w:ascii="Arial" w:hAnsi="Arial" w:cs="Arial"/>
          <w:sz w:val="24"/>
          <w:szCs w:val="24"/>
        </w:rPr>
        <w:t>ppendix 2</w:t>
      </w:r>
      <w:r w:rsidR="0057544E" w:rsidRPr="00103A0B">
        <w:rPr>
          <w:rFonts w:ascii="Arial" w:hAnsi="Arial" w:cs="Arial"/>
          <w:sz w:val="24"/>
          <w:szCs w:val="24"/>
        </w:rPr>
        <w:t>7</w:t>
      </w:r>
      <w:r w:rsidR="00C42E4F" w:rsidRPr="00103A0B">
        <w:rPr>
          <w:rFonts w:ascii="Arial" w:hAnsi="Arial" w:cs="Arial"/>
          <w:sz w:val="24"/>
          <w:szCs w:val="24"/>
        </w:rPr>
        <w:t>: test for differences of IPQ item scores</w:t>
      </w:r>
      <w:r w:rsidRPr="00103A0B">
        <w:rPr>
          <w:rFonts w:ascii="Arial" w:hAnsi="Arial" w:cs="Arial"/>
          <w:sz w:val="24"/>
          <w:szCs w:val="24"/>
        </w:rPr>
        <w:t>). As a result of these tests, only those IPQ items that were found to show significant differences for uptake (consequences, timeline, treatment control, and illness concern</w:t>
      </w:r>
      <w:r w:rsidRPr="00103A0B">
        <w:rPr>
          <w:rFonts w:ascii="Arial" w:hAnsi="Arial" w:cs="Arial"/>
          <w:color w:val="010205"/>
          <w:sz w:val="24"/>
          <w:szCs w:val="24"/>
        </w:rPr>
        <w:t>,</w:t>
      </w:r>
      <w:r w:rsidRPr="00103A0B">
        <w:rPr>
          <w:rFonts w:ascii="Arial" w:hAnsi="Arial" w:cs="Arial"/>
          <w:sz w:val="24"/>
          <w:szCs w:val="24"/>
        </w:rPr>
        <w:t>) and for completion (consequences and personal control) were included in the logistical regression models respectively. Mann-Whitney U and Multi-Dimensional Chi-Square Tests were conducted to determine whether participants included in the regression versus those excluded in the regression for uptake differed in terms of key characteristics (</w:t>
      </w:r>
      <w:r w:rsidR="00D8322F" w:rsidRPr="00103A0B">
        <w:rPr>
          <w:rFonts w:ascii="Arial" w:hAnsi="Arial" w:cs="Arial"/>
          <w:sz w:val="24"/>
          <w:szCs w:val="24"/>
        </w:rPr>
        <w:t xml:space="preserve">see </w:t>
      </w:r>
      <w:r w:rsidR="00427BFE" w:rsidRPr="00103A0B">
        <w:rPr>
          <w:rFonts w:ascii="Arial" w:hAnsi="Arial" w:cs="Arial"/>
          <w:sz w:val="24"/>
          <w:szCs w:val="24"/>
        </w:rPr>
        <w:t>A</w:t>
      </w:r>
      <w:r w:rsidR="00D8322F" w:rsidRPr="00103A0B">
        <w:rPr>
          <w:rFonts w:ascii="Arial" w:hAnsi="Arial" w:cs="Arial"/>
          <w:sz w:val="24"/>
          <w:szCs w:val="24"/>
        </w:rPr>
        <w:t>ppendix 2</w:t>
      </w:r>
      <w:r w:rsidR="0057544E" w:rsidRPr="00103A0B">
        <w:rPr>
          <w:rFonts w:ascii="Arial" w:hAnsi="Arial" w:cs="Arial"/>
          <w:sz w:val="24"/>
          <w:szCs w:val="24"/>
        </w:rPr>
        <w:t>8</w:t>
      </w:r>
      <w:r w:rsidR="00D8322F" w:rsidRPr="00103A0B">
        <w:rPr>
          <w:rFonts w:ascii="Arial" w:hAnsi="Arial" w:cs="Arial"/>
          <w:sz w:val="24"/>
          <w:szCs w:val="24"/>
        </w:rPr>
        <w:t>: test for differences of variables included and excluded in LR</w:t>
      </w:r>
      <w:r w:rsidRPr="00103A0B">
        <w:rPr>
          <w:rFonts w:ascii="Arial" w:hAnsi="Arial" w:cs="Arial"/>
          <w:sz w:val="24"/>
          <w:szCs w:val="24"/>
        </w:rPr>
        <w:t>).</w:t>
      </w:r>
    </w:p>
    <w:p w14:paraId="32AAD970" w14:textId="6642ACE1" w:rsidR="006B51AF"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lastRenderedPageBreak/>
        <w:t xml:space="preserve">Multiple imputation was conducted to investigate the effect of missing data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{"citationItems":[{"id":"ITEM-1","itemData":{"DOI":"10.1186/s12874-017-0442-1","ISSN":"14712288","abstract":"Background: Missing data may seriously compromise inferences from randomised clinical trials, especially if missing data are not handled appropriately. The potential bias due to missing data depends on the mechanism causing the data to be missing, and the analytical methods applied to amend the missingness. Therefore, the analysis of trial data with missing values requires careful planning and attention. Methods: The authors had several meetings and discussions considering optimal ways of handling missing data to minimise the bias potential. We also searched PubMed (key words: missing data; randomi; statistical analysis) and reference lists of known studies for papers (theoretical papers; empirical studies; simulation studies; etc.) on how to deal with missing data when analysing randomised clinical trials. Results: Handling missing data is an important, yet difficult and complex task when analysing results of randomised clinical trials. We consider how to optimise the handling of missing data during the planning stage of a randomised clinical trial and recommend analytical approaches which may prevent bias caused by unavoidable missing data. We consider the strengths and limitations of using of best-worst and worst-best sensitivity analyses, multiple imputation, and full information maximum likelihood. We also present practical flowcharts on how to deal with missing data and an overview of the steps that always need to be considered during the analysis stage of a trial. Conclusions: We present a practical guide and flowcharts describing when and how multiple imputation should be used to handle missing data in randomised clinical.","author":[{"dropping-particle":"","family":"Jakobsen","given":"Janus Christian","non-dropping-particle":"","parse-names":false,"suffix":""},{"dropping-particle":"","family":"Gluud","given":"Christian","non-dropping-particle":"","parse-names":false,"suffix":""},{"dropping-particle":"","family":"Wetterslev","given":"Jørn","non-dropping-particle":"","parse-names":false,"suffix":""},{"dropping-particle":"","family":"Winkel","given":"Per","non-dropping-particle":"","parse-names":false,"suffix":""}],"container-title":"BMC Medical Research Methodology","id":"ITEM-1","issued":{"date-parts":[["2017"]]},"page":"162","publisher":"BMC Medical Research Methodology","title":"When and how should multiple imputation be used for handling missing data in randomised clinical trials - a practical guide with flowcharts","type":"article-journal","volume":"17"},"uris":["http://www.mendeley.com/documents/?uuid=fc91efe5-6051-46f1-b869-cf0389447b47"]},{"id":"ITEM-2","itemData":{"DOI":"10.1186/s12874-017-0404-7","ISSN":"14712288","abstract":"Background: Multiple imputation is a recommended method to handle missing data. For significance testing after multiple imputation, Rubin's Rules (RR) are easily applied to pool parameter estimates. In a logistic regression model, to consider whether a categorical covariate with more than two levels significantly contributes to the model, different methods are available. For example pooling chi-square tests with multiple degrees of freedom, pooling likelihood ratio test statistics, and pooling based on the covariance matrix of the regression model. These methods are more complex than RR and are not available in all mainstream statistical software packages. In addition, they do not always obtain optimal power levels. We argue that the median of the p-values from the overall significance tests from the analyses on the imputed datasets can be used as an alternative pooling rule for categorical variables. The aim of the current study is to compare different methods to test a categorical variable for significance after multiple imputation on applicability and power. Methods: In a large simulation study, we demonstrated the control of the type I error and power levels of different pooling methods for categorical variables. Results: This simulation study showed that for non-significant categorical covariates the type I error is controlled and the statistical power of the median pooling rule was at least equal to current multiple parameter tests. An empirical data example showed similar results. Conclusions: It can therefore be concluded that using the median of the p-values from the imputed data analyses is an attractive and easy to use alternative method for significance testing of categorical variables.","author":[{"dropping-particle":"","family":"Eekhout","given":"Iris","non-dropping-particle":"","parse-names":false,"suffix":""},{"dropping-particle":"","family":"Wiel","given":"Mark A.","non-dropping-particle":"Van De","parse-names":false,"suffix":""},{"dropping-particle":"","family":"Heymans","given":"Martijn W.","non-dropping-particle":"","parse-names":false,"suffix":""}],"container-title":"BMC Medical Research Methodology","id":"ITEM-2","issued":{"date-parts":[["2017"]]},"page":"129","publisher":"BMC Medical Research Methodology","title":"Methods for significance testing of categorical covariates in logistic regression models after multiple imputation: power and applicability analysis","type":"article-journal","volume":"17"},"uris":["http://www.mendeley.com/documents/?uuid=c055e8ff-5d8a-4797-96e1-e72027a742d1"]}],"mendeley":{"formattedCitation":"(Eekhout et al., 2017; Jakobsen et al., 2017)","plainTextFormattedCitation":"(Eekhout et al., 2017; Jakobsen et al., 2017)","previouslyFormattedCitation":"(Eekhout et al., 2017; Jakobsen et al., 2017)"},"properties":{"noteIndex":0},"schema":"https://github.com/citation-style-language/schema/raw/master/csl-citation.json"}</w:instrText>
      </w:r>
      <w:r w:rsidRPr="00103A0B">
        <w:rPr>
          <w:rFonts w:ascii="Arial" w:hAnsi="Arial" w:cs="Arial"/>
          <w:sz w:val="24"/>
          <w:szCs w:val="24"/>
        </w:rPr>
        <w:fldChar w:fldCharType="separate"/>
      </w:r>
      <w:r w:rsidR="00445FC8" w:rsidRPr="00103A0B">
        <w:rPr>
          <w:rFonts w:ascii="Arial" w:hAnsi="Arial" w:cs="Arial"/>
          <w:noProof/>
          <w:sz w:val="24"/>
          <w:szCs w:val="24"/>
        </w:rPr>
        <w:t>(Eekhout et al., 2017; Jakobsen et al., 2017)</w:t>
      </w:r>
      <w:r w:rsidRPr="00103A0B">
        <w:rPr>
          <w:rFonts w:ascii="Arial" w:hAnsi="Arial" w:cs="Arial"/>
          <w:sz w:val="24"/>
          <w:szCs w:val="24"/>
        </w:rPr>
        <w:fldChar w:fldCharType="end"/>
      </w:r>
      <w:r w:rsidRPr="00103A0B">
        <w:rPr>
          <w:rFonts w:ascii="Arial" w:hAnsi="Arial" w:cs="Arial"/>
          <w:sz w:val="24"/>
          <w:szCs w:val="24"/>
        </w:rPr>
        <w:t>.</w:t>
      </w:r>
      <w:r w:rsidR="00D96E4E" w:rsidRPr="00103A0B">
        <w:rPr>
          <w:rFonts w:ascii="Arial" w:hAnsi="Arial" w:cs="Arial"/>
          <w:sz w:val="24"/>
          <w:szCs w:val="24"/>
        </w:rPr>
        <w:t xml:space="preserve"> D</w:t>
      </w:r>
      <w:r w:rsidRPr="00103A0B">
        <w:rPr>
          <w:rFonts w:ascii="Arial" w:hAnsi="Arial" w:cs="Arial"/>
          <w:sz w:val="24"/>
          <w:szCs w:val="24"/>
        </w:rPr>
        <w:t>ata were imputed for variables with more than 10% missing</w:t>
      </w:r>
      <w:r w:rsidR="00D96E4E" w:rsidRPr="00103A0B">
        <w:rPr>
          <w:rFonts w:ascii="Arial" w:hAnsi="Arial" w:cs="Arial"/>
          <w:sz w:val="24"/>
          <w:szCs w:val="24"/>
        </w:rPr>
        <w:t xml:space="preserve">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{"citationItems":[{"id":"ITEM-1","itemData":{"ISSN":"13260200","PMID":"11688629","abstract":"Missing data in medical research is a common problem that had long been recognised by statisticians and medical researchers alike. In general, if the effect of missing data is not taken into account the results of the statistical analyses will be biased and the amount of variability in the data will not be correctly estimated. There are three main types of missing data pattern: Missing Completely At Random (MCAR), Missing At Random (MAR) and Not Missing At Random (NMAR). The type of missing data that a researcher has in their dataset determines the appropriate method to use in handling the missing data before a formal statistical analysis begins. The aim of this practice note is to describe these patterns of missing data and how they can occur, as well describing the methods of handling them. Simple and more complex methods are described, including the advantages and disadvantages of each method as well as their availability in routine software. It is good practice to perform a sensitivity analysis employing different missing data techniques in order to assess the robustness of the conclusions drawn from each approach.","author":[{"dropping-particle":"","family":"Bennett","given":"Derrick A.","non-dropping-particle":"","parse-names":false,"suffix":""}],"container-title":"Australian and New Zealand Journal of Public Health","id":"ITEM-1","issue":"5","issued":{"date-parts":[["2001"]]},"page":"464-469","title":"How can I deal with missing data in my study?","type":"article-journal","volume":"25"},"uris":["http://www.mendeley.com/documents/?uuid=1979ed81-fd8c-46f5-a4a0-54e698195a69"]},{"id":"ITEM-2","itemData":{"ISSN":"21931801","PMID":"23853744","abstract":"The impact of missing data on quantitative research can be serious, leading to biased estimates of parameters, loss of information, decreased statistical power, increased standard errors, and weakened generalizability of findings. In this paper, we discussed and demonstrated three principled missing data methods: multiple imputation, full information maximum likelihood, and expectation-maximization algorithm, applied to a real-world data set. Results were contrasted with those obtained from the complete data set and from the listwise deletion method. The relative merits of each method are noted, along with common features they share. The paper concludes with an emphasis on the importance of statistical assumptions, and recommendations for researchers. Quality of research will be enhanced if (a) researchers explicitly acknowledge missing data problems and the conditions under which they occurred, (b) principled methods are employed to handle missing data, and (c) the appropriate treatment of missing data is incorporated into review standards of manuscripts submitted for publication. © 2013 Dong and Peng; licensee Springer.","author":[{"dropping-particle":"","family":"Dong","given":"Yiran","non-dropping-particle":"","parse-names":false,"suffix":""},{"dropping-particle":"","family":"Peng","given":"Chao Ying Joanne","non-dropping-particle":"","parse-names":false,"suffix":""}],"container-title":"SpringerPlus","id":"ITEM-2","issued":{"date-parts":[["2013"]]},"page":"222","title":"Principled missing data methods for researchers","type":"article-journal","volume":"2"},"uris":["http://www.mendeley.com/documents/?uuid=c0fbd923-87bd-4ea2-85e0-5010a8f74c20"]}],"mendeley":{"formattedCitation":"(Bennett, 2001; Dong &amp; Peng, 2013)","plainTextFormattedCitation":"(Bennett, 2001; Dong &amp; Peng, 2013)","previouslyFormattedCitation":"(Bennett, 2001; Dong &amp; Peng, 2013)"},"properties":{"noteIndex":0},"schema":"https://github.com/citation-style-language/schema/raw/master/csl-citation.json"}</w:instrText>
      </w:r>
      <w:r w:rsidRPr="00103A0B">
        <w:rPr>
          <w:rFonts w:ascii="Arial" w:hAnsi="Arial" w:cs="Arial"/>
          <w:sz w:val="24"/>
          <w:szCs w:val="24"/>
        </w:rPr>
        <w:fldChar w:fldCharType="separate"/>
      </w:r>
      <w:r w:rsidR="000D70A8" w:rsidRPr="00103A0B">
        <w:rPr>
          <w:rFonts w:ascii="Arial" w:hAnsi="Arial" w:cs="Arial"/>
          <w:noProof/>
          <w:sz w:val="24"/>
          <w:szCs w:val="24"/>
        </w:rPr>
        <w:t>(Bennett, 2001; Dong &amp; Peng, 2013)</w:t>
      </w:r>
      <w:r w:rsidRPr="00103A0B">
        <w:rPr>
          <w:rFonts w:ascii="Arial" w:hAnsi="Arial" w:cs="Arial"/>
          <w:sz w:val="24"/>
          <w:szCs w:val="24"/>
        </w:rPr>
        <w:fldChar w:fldCharType="end"/>
      </w:r>
      <w:r w:rsidRPr="00103A0B">
        <w:rPr>
          <w:rFonts w:ascii="Arial" w:hAnsi="Arial" w:cs="Arial"/>
          <w:sz w:val="24"/>
          <w:szCs w:val="24"/>
        </w:rPr>
        <w:t>. Binomial logistical regression analyses were repeated using imputed data sets and these results were compared to the original analyses. SPSS version 27 was used for data analyses.</w:t>
      </w:r>
    </w:p>
    <w:p w14:paraId="2B877396" w14:textId="77777777" w:rsidR="00492C98" w:rsidRPr="00103A0B" w:rsidRDefault="00492C98" w:rsidP="00CD5919">
      <w:pPr>
        <w:spacing w:line="360" w:lineRule="auto"/>
        <w:jc w:val="both"/>
        <w:rPr>
          <w:rFonts w:ascii="Arial" w:hAnsi="Arial" w:cs="Arial"/>
          <w:sz w:val="24"/>
          <w:szCs w:val="24"/>
          <w:u w:val="single"/>
        </w:rPr>
      </w:pPr>
    </w:p>
    <w:p w14:paraId="2AA5573B" w14:textId="7300DBD8" w:rsidR="00492C98" w:rsidRPr="00103A0B" w:rsidRDefault="00427BFE" w:rsidP="00CD5919">
      <w:pPr>
        <w:pStyle w:val="Heading2"/>
        <w:numPr>
          <w:ilvl w:val="0"/>
          <w:numId w:val="0"/>
        </w:numPr>
        <w:jc w:val="both"/>
        <w:rPr>
          <w:rFonts w:ascii="Arial" w:hAnsi="Arial" w:cs="Arial"/>
          <w:sz w:val="28"/>
        </w:rPr>
      </w:pPr>
      <w:bookmarkStart w:id="383" w:name="_Toc151548332"/>
      <w:r w:rsidRPr="00103A0B">
        <w:rPr>
          <w:rFonts w:ascii="Arial" w:hAnsi="Arial" w:cs="Arial"/>
          <w:sz w:val="28"/>
        </w:rPr>
        <w:t xml:space="preserve">7.3 </w:t>
      </w:r>
      <w:r w:rsidR="00492C98" w:rsidRPr="00103A0B">
        <w:rPr>
          <w:rFonts w:ascii="Arial" w:hAnsi="Arial" w:cs="Arial"/>
          <w:sz w:val="28"/>
        </w:rPr>
        <w:t>Results</w:t>
      </w:r>
      <w:bookmarkEnd w:id="383"/>
      <w:r w:rsidR="00492C98" w:rsidRPr="00103A0B">
        <w:rPr>
          <w:rFonts w:ascii="Arial" w:hAnsi="Arial" w:cs="Arial"/>
          <w:sz w:val="28"/>
        </w:rPr>
        <w:t xml:space="preserve"> </w:t>
      </w:r>
    </w:p>
    <w:p w14:paraId="24104861" w14:textId="359FE11F" w:rsidR="00492C98" w:rsidRPr="00103A0B" w:rsidRDefault="00427BFE" w:rsidP="00CD5919">
      <w:pPr>
        <w:jc w:val="both"/>
        <w:rPr>
          <w:rFonts w:ascii="Arial" w:hAnsi="Arial" w:cs="Arial"/>
          <w:b/>
          <w:bCs/>
          <w:sz w:val="24"/>
          <w:szCs w:val="24"/>
        </w:rPr>
      </w:pPr>
      <w:r w:rsidRPr="00103A0B">
        <w:rPr>
          <w:rFonts w:ascii="Arial" w:hAnsi="Arial" w:cs="Arial"/>
          <w:b/>
          <w:bCs/>
          <w:sz w:val="24"/>
          <w:szCs w:val="24"/>
        </w:rPr>
        <w:t xml:space="preserve">7.3.1 </w:t>
      </w:r>
      <w:r w:rsidR="00492C98" w:rsidRPr="00103A0B">
        <w:rPr>
          <w:rFonts w:ascii="Arial" w:hAnsi="Arial" w:cs="Arial"/>
          <w:b/>
          <w:bCs/>
          <w:sz w:val="24"/>
          <w:szCs w:val="24"/>
        </w:rPr>
        <w:t xml:space="preserve">Demographic and </w:t>
      </w:r>
      <w:r w:rsidRPr="00103A0B">
        <w:rPr>
          <w:rFonts w:ascii="Arial" w:hAnsi="Arial" w:cs="Arial"/>
          <w:b/>
          <w:bCs/>
          <w:sz w:val="24"/>
          <w:szCs w:val="24"/>
        </w:rPr>
        <w:t>C</w:t>
      </w:r>
      <w:r w:rsidR="00492C98" w:rsidRPr="00103A0B">
        <w:rPr>
          <w:rFonts w:ascii="Arial" w:hAnsi="Arial" w:cs="Arial"/>
          <w:b/>
          <w:bCs/>
          <w:sz w:val="24"/>
          <w:szCs w:val="24"/>
        </w:rPr>
        <w:t xml:space="preserve">linical </w:t>
      </w:r>
      <w:r w:rsidRPr="00103A0B">
        <w:rPr>
          <w:rFonts w:ascii="Arial" w:hAnsi="Arial" w:cs="Arial"/>
          <w:b/>
          <w:bCs/>
          <w:sz w:val="24"/>
          <w:szCs w:val="24"/>
        </w:rPr>
        <w:t>C</w:t>
      </w:r>
      <w:r w:rsidR="00492C98" w:rsidRPr="00103A0B">
        <w:rPr>
          <w:rFonts w:ascii="Arial" w:hAnsi="Arial" w:cs="Arial"/>
          <w:b/>
          <w:bCs/>
          <w:sz w:val="24"/>
          <w:szCs w:val="24"/>
        </w:rPr>
        <w:t>haracteristics</w:t>
      </w:r>
    </w:p>
    <w:p w14:paraId="1FB571D4" w14:textId="722EA71A" w:rsidR="00492C98"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 xml:space="preserve">From the available data (before analyses), 5,387 started the NHSDPP (56.9% uptake, excluding missing data) and 791 participants completed the programme (14.7% completion). Out of the 10,739 individuals referred to the NHSDPP who attended the IA across six areas, complete outcome data were available for 3,756 participants; (5,026 participants were missing brief-IPQ data, </w:t>
      </w:r>
      <w:r w:rsidRPr="00103A0B">
        <w:rPr>
          <w:rFonts w:ascii="Arial" w:hAnsi="Arial" w:cs="Arial"/>
          <w:color w:val="010205"/>
          <w:sz w:val="24"/>
          <w:szCs w:val="24"/>
        </w:rPr>
        <w:t xml:space="preserve">4,506 were </w:t>
      </w:r>
      <w:r w:rsidRPr="00103A0B">
        <w:rPr>
          <w:rFonts w:ascii="Arial" w:hAnsi="Arial" w:cs="Arial"/>
          <w:sz w:val="24"/>
          <w:szCs w:val="24"/>
        </w:rPr>
        <w:t xml:space="preserve">missing NGS-ES data, 2,392 were missing ethnicity data and 1,272 were missing uptake data). </w:t>
      </w:r>
    </w:p>
    <w:p w14:paraId="1F7E0738" w14:textId="48CC98A2" w:rsidR="00DE65CD"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 xml:space="preserve">The only statistically significant differences between the 3,756 participants included in the logistic regression for uptake and the 6,983 excluded due to missing data were for programme area, WEMWBS and the IPQ item timeline </w:t>
      </w:r>
      <w:r w:rsidRPr="00103A0B">
        <w:rPr>
          <w:rFonts w:ascii="Arial" w:hAnsi="Arial" w:cs="Arial"/>
          <w:color w:val="010205"/>
          <w:sz w:val="24"/>
          <w:szCs w:val="24"/>
        </w:rPr>
        <w:t>(</w:t>
      </w:r>
      <w:r w:rsidRPr="00103A0B">
        <w:rPr>
          <w:rFonts w:ascii="Arial" w:hAnsi="Arial" w:cs="Arial"/>
          <w:sz w:val="24"/>
          <w:szCs w:val="24"/>
        </w:rPr>
        <w:t>Appendix 2</w:t>
      </w:r>
      <w:r w:rsidR="0057544E" w:rsidRPr="00103A0B">
        <w:rPr>
          <w:rFonts w:ascii="Arial" w:hAnsi="Arial" w:cs="Arial"/>
          <w:sz w:val="24"/>
          <w:szCs w:val="24"/>
        </w:rPr>
        <w:t>7</w:t>
      </w:r>
      <w:r w:rsidRPr="00103A0B">
        <w:rPr>
          <w:rFonts w:ascii="Arial" w:hAnsi="Arial" w:cs="Arial"/>
          <w:sz w:val="24"/>
          <w:szCs w:val="24"/>
        </w:rPr>
        <w:t>)</w:t>
      </w:r>
      <w:r w:rsidRPr="00103A0B">
        <w:rPr>
          <w:rFonts w:ascii="Arial" w:hAnsi="Arial" w:cs="Arial"/>
          <w:color w:val="010205"/>
          <w:sz w:val="24"/>
          <w:szCs w:val="24"/>
        </w:rPr>
        <w:t xml:space="preserve">. </w:t>
      </w:r>
      <w:r w:rsidRPr="00103A0B">
        <w:rPr>
          <w:rFonts w:ascii="Arial" w:hAnsi="Arial" w:cs="Arial"/>
          <w:sz w:val="24"/>
          <w:szCs w:val="24"/>
        </w:rPr>
        <w:t xml:space="preserve">A total of 2,344 participants were included in the logistic regression analysis for completion from a total of 3,756 (Table </w:t>
      </w:r>
      <w:r w:rsidR="00DE65CD" w:rsidRPr="00103A0B">
        <w:rPr>
          <w:rFonts w:ascii="Arial" w:hAnsi="Arial" w:cs="Arial"/>
          <w:sz w:val="24"/>
          <w:szCs w:val="24"/>
        </w:rPr>
        <w:t>7</w:t>
      </w:r>
      <w:r w:rsidRPr="00103A0B">
        <w:rPr>
          <w:rFonts w:ascii="Arial" w:hAnsi="Arial" w:cs="Arial"/>
          <w:sz w:val="24"/>
          <w:szCs w:val="24"/>
        </w:rPr>
        <w:t xml:space="preserve">). </w:t>
      </w:r>
    </w:p>
    <w:p w14:paraId="0EF5330B" w14:textId="77777777" w:rsidR="00D96E4E" w:rsidRPr="00103A0B" w:rsidRDefault="00D96E4E" w:rsidP="00CD5919">
      <w:pPr>
        <w:spacing w:line="360" w:lineRule="auto"/>
        <w:jc w:val="both"/>
        <w:rPr>
          <w:rFonts w:ascii="Arial" w:hAnsi="Arial" w:cs="Arial"/>
          <w:sz w:val="24"/>
          <w:szCs w:val="24"/>
        </w:rPr>
      </w:pPr>
    </w:p>
    <w:p w14:paraId="11E32CD8" w14:textId="77777777" w:rsidR="00F7467C" w:rsidRPr="00103A0B" w:rsidRDefault="00F7467C">
      <w:pPr>
        <w:rPr>
          <w:rFonts w:ascii="Arial" w:hAnsi="Arial" w:cs="Arial"/>
          <w:i/>
          <w:sz w:val="24"/>
          <w:szCs w:val="24"/>
        </w:rPr>
      </w:pPr>
      <w:bookmarkStart w:id="384" w:name="_Hlk75195903"/>
      <w:r w:rsidRPr="00103A0B">
        <w:rPr>
          <w:rFonts w:ascii="Arial" w:hAnsi="Arial" w:cs="Arial"/>
          <w:i/>
          <w:sz w:val="24"/>
          <w:szCs w:val="24"/>
        </w:rPr>
        <w:br w:type="page"/>
      </w:r>
    </w:p>
    <w:p w14:paraId="55C9BCE2" w14:textId="581AA971" w:rsidR="00DE65CD" w:rsidRPr="00103A0B" w:rsidRDefault="00DE65CD" w:rsidP="00CD5919">
      <w:pPr>
        <w:spacing w:line="360" w:lineRule="auto"/>
        <w:jc w:val="both"/>
        <w:rPr>
          <w:rFonts w:ascii="Arial" w:hAnsi="Arial" w:cs="Arial"/>
          <w:i/>
          <w:sz w:val="24"/>
          <w:szCs w:val="24"/>
        </w:rPr>
      </w:pPr>
      <w:r w:rsidRPr="00103A0B">
        <w:rPr>
          <w:rFonts w:ascii="Arial" w:hAnsi="Arial" w:cs="Arial"/>
          <w:i/>
          <w:sz w:val="24"/>
          <w:szCs w:val="24"/>
        </w:rPr>
        <w:lastRenderedPageBreak/>
        <w:t xml:space="preserve">Table 7: Sample characteristics </w:t>
      </w:r>
    </w:p>
    <w:bookmarkEnd w:id="384"/>
    <w:tbl>
      <w:tblPr>
        <w:tblW w:w="10491"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7"/>
        <w:gridCol w:w="1708"/>
        <w:gridCol w:w="2835"/>
        <w:gridCol w:w="1984"/>
        <w:gridCol w:w="2127"/>
      </w:tblGrid>
      <w:tr w:rsidR="00DE65CD" w:rsidRPr="00103A0B" w14:paraId="598F5CCF" w14:textId="77777777" w:rsidTr="00BB2420">
        <w:trPr>
          <w:trHeight w:val="263"/>
        </w:trPr>
        <w:tc>
          <w:tcPr>
            <w:tcW w:w="0" w:type="auto"/>
          </w:tcPr>
          <w:p w14:paraId="375FFB53" w14:textId="77777777" w:rsidR="00DE65CD" w:rsidRPr="00103A0B" w:rsidRDefault="00DE65CD" w:rsidP="00CD5919">
            <w:pPr>
              <w:contextualSpacing/>
              <w:jc w:val="both"/>
              <w:rPr>
                <w:rFonts w:ascii="Arial" w:hAnsi="Arial" w:cs="Arial"/>
                <w:sz w:val="24"/>
                <w:szCs w:val="24"/>
              </w:rPr>
            </w:pPr>
          </w:p>
        </w:tc>
        <w:tc>
          <w:tcPr>
            <w:tcW w:w="1678" w:type="dxa"/>
          </w:tcPr>
          <w:p w14:paraId="78397518" w14:textId="77777777" w:rsidR="00DE65CD" w:rsidRPr="00103A0B" w:rsidRDefault="00DE65CD" w:rsidP="00CD5919">
            <w:pPr>
              <w:contextualSpacing/>
              <w:jc w:val="both"/>
              <w:rPr>
                <w:rFonts w:ascii="Arial" w:hAnsi="Arial" w:cs="Arial"/>
                <w:sz w:val="24"/>
                <w:szCs w:val="24"/>
              </w:rPr>
            </w:pPr>
          </w:p>
        </w:tc>
        <w:tc>
          <w:tcPr>
            <w:tcW w:w="2835" w:type="dxa"/>
          </w:tcPr>
          <w:p w14:paraId="4F4E00AB" w14:textId="77777777" w:rsidR="00DE65CD" w:rsidRPr="00103A0B" w:rsidRDefault="00DE65CD" w:rsidP="00CD5919">
            <w:pPr>
              <w:contextualSpacing/>
              <w:jc w:val="both"/>
              <w:rPr>
                <w:rFonts w:ascii="Arial" w:hAnsi="Arial" w:cs="Arial"/>
                <w:sz w:val="24"/>
                <w:szCs w:val="24"/>
              </w:rPr>
            </w:pPr>
          </w:p>
        </w:tc>
        <w:tc>
          <w:tcPr>
            <w:tcW w:w="1984" w:type="dxa"/>
          </w:tcPr>
          <w:p w14:paraId="7E7C9023" w14:textId="77777777" w:rsidR="00DE65CD" w:rsidRPr="00103A0B" w:rsidRDefault="00DE65CD" w:rsidP="00CD5919">
            <w:pPr>
              <w:contextualSpacing/>
              <w:jc w:val="both"/>
              <w:rPr>
                <w:rFonts w:ascii="Arial" w:hAnsi="Arial" w:cs="Arial"/>
                <w:b/>
                <w:sz w:val="24"/>
                <w:szCs w:val="24"/>
              </w:rPr>
            </w:pPr>
            <w:r w:rsidRPr="00103A0B">
              <w:rPr>
                <w:rFonts w:ascii="Arial" w:hAnsi="Arial" w:cs="Arial"/>
                <w:b/>
                <w:sz w:val="24"/>
                <w:szCs w:val="24"/>
              </w:rPr>
              <w:t>Included in LR for uptake (n=3,756)</w:t>
            </w:r>
          </w:p>
        </w:tc>
        <w:tc>
          <w:tcPr>
            <w:tcW w:w="2127" w:type="dxa"/>
          </w:tcPr>
          <w:p w14:paraId="0BB27DC3" w14:textId="77777777" w:rsidR="00DE65CD" w:rsidRPr="00103A0B" w:rsidRDefault="00DE65CD" w:rsidP="00CD5919">
            <w:pPr>
              <w:contextualSpacing/>
              <w:jc w:val="both"/>
              <w:rPr>
                <w:rFonts w:ascii="Arial" w:hAnsi="Arial" w:cs="Arial"/>
                <w:b/>
                <w:sz w:val="24"/>
                <w:szCs w:val="24"/>
              </w:rPr>
            </w:pPr>
            <w:r w:rsidRPr="00103A0B">
              <w:rPr>
                <w:rFonts w:ascii="Arial" w:hAnsi="Arial" w:cs="Arial"/>
                <w:b/>
                <w:sz w:val="24"/>
                <w:szCs w:val="24"/>
              </w:rPr>
              <w:t xml:space="preserve">Included in LR for completion (n=2,344) </w:t>
            </w:r>
          </w:p>
        </w:tc>
      </w:tr>
      <w:tr w:rsidR="00DE65CD" w:rsidRPr="00103A0B" w14:paraId="56A08CE1" w14:textId="77777777" w:rsidTr="00BB2420">
        <w:trPr>
          <w:trHeight w:val="263"/>
        </w:trPr>
        <w:tc>
          <w:tcPr>
            <w:tcW w:w="0" w:type="auto"/>
          </w:tcPr>
          <w:p w14:paraId="6BE8492A" w14:textId="77777777" w:rsidR="00DE65CD" w:rsidRPr="00103A0B" w:rsidRDefault="00DE65CD" w:rsidP="00CD5919">
            <w:pPr>
              <w:contextualSpacing/>
              <w:jc w:val="both"/>
              <w:rPr>
                <w:rFonts w:ascii="Arial" w:hAnsi="Arial" w:cs="Arial"/>
                <w:sz w:val="24"/>
                <w:szCs w:val="24"/>
              </w:rPr>
            </w:pPr>
          </w:p>
        </w:tc>
        <w:tc>
          <w:tcPr>
            <w:tcW w:w="1678" w:type="dxa"/>
          </w:tcPr>
          <w:p w14:paraId="494BB38A" w14:textId="77777777" w:rsidR="00DE65CD" w:rsidRPr="00103A0B" w:rsidRDefault="00DE65CD" w:rsidP="00CD5919">
            <w:pPr>
              <w:contextualSpacing/>
              <w:jc w:val="both"/>
              <w:rPr>
                <w:rFonts w:ascii="Arial" w:hAnsi="Arial" w:cs="Arial"/>
                <w:sz w:val="24"/>
                <w:szCs w:val="24"/>
              </w:rPr>
            </w:pPr>
          </w:p>
        </w:tc>
        <w:tc>
          <w:tcPr>
            <w:tcW w:w="2835" w:type="dxa"/>
          </w:tcPr>
          <w:p w14:paraId="78338288" w14:textId="77777777" w:rsidR="00DE65CD" w:rsidRPr="00103A0B" w:rsidRDefault="00DE65CD" w:rsidP="00CD5919">
            <w:pPr>
              <w:contextualSpacing/>
              <w:jc w:val="both"/>
              <w:rPr>
                <w:rFonts w:ascii="Arial" w:hAnsi="Arial" w:cs="Arial"/>
                <w:sz w:val="24"/>
                <w:szCs w:val="24"/>
              </w:rPr>
            </w:pPr>
          </w:p>
        </w:tc>
        <w:tc>
          <w:tcPr>
            <w:tcW w:w="1984" w:type="dxa"/>
          </w:tcPr>
          <w:p w14:paraId="6B238D98" w14:textId="77777777" w:rsidR="00DE65CD" w:rsidRPr="00103A0B" w:rsidRDefault="00DE65CD" w:rsidP="00CD5919">
            <w:pPr>
              <w:contextualSpacing/>
              <w:jc w:val="both"/>
              <w:rPr>
                <w:rFonts w:ascii="Arial" w:hAnsi="Arial" w:cs="Arial"/>
                <w:b/>
                <w:sz w:val="24"/>
                <w:szCs w:val="24"/>
              </w:rPr>
            </w:pPr>
            <w:r w:rsidRPr="00103A0B">
              <w:rPr>
                <w:rFonts w:ascii="Arial" w:hAnsi="Arial" w:cs="Arial"/>
                <w:b/>
                <w:sz w:val="24"/>
                <w:szCs w:val="24"/>
              </w:rPr>
              <w:t>Frequency (%)</w:t>
            </w:r>
          </w:p>
        </w:tc>
        <w:tc>
          <w:tcPr>
            <w:tcW w:w="2127" w:type="dxa"/>
          </w:tcPr>
          <w:p w14:paraId="4DFBF987" w14:textId="77777777" w:rsidR="00DE65CD" w:rsidRPr="00103A0B" w:rsidRDefault="00DE65CD" w:rsidP="00CD5919">
            <w:pPr>
              <w:contextualSpacing/>
              <w:jc w:val="both"/>
              <w:rPr>
                <w:rFonts w:ascii="Arial" w:hAnsi="Arial" w:cs="Arial"/>
                <w:b/>
                <w:sz w:val="24"/>
                <w:szCs w:val="24"/>
              </w:rPr>
            </w:pPr>
            <w:r w:rsidRPr="00103A0B">
              <w:rPr>
                <w:rFonts w:ascii="Arial" w:hAnsi="Arial" w:cs="Arial"/>
                <w:b/>
                <w:sz w:val="24"/>
                <w:szCs w:val="24"/>
              </w:rPr>
              <w:t>Frequency (%)</w:t>
            </w:r>
          </w:p>
        </w:tc>
      </w:tr>
      <w:tr w:rsidR="00DE65CD" w:rsidRPr="00103A0B" w14:paraId="5D1B3FDE" w14:textId="77777777" w:rsidTr="00BB2420">
        <w:trPr>
          <w:trHeight w:val="320"/>
        </w:trPr>
        <w:tc>
          <w:tcPr>
            <w:tcW w:w="0" w:type="auto"/>
            <w:vMerge w:val="restart"/>
          </w:tcPr>
          <w:p w14:paraId="68496F99"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Participant </w:t>
            </w:r>
          </w:p>
          <w:p w14:paraId="644B34F2"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Characteristics </w:t>
            </w:r>
          </w:p>
        </w:tc>
        <w:tc>
          <w:tcPr>
            <w:tcW w:w="1678" w:type="dxa"/>
            <w:vMerge w:val="restart"/>
          </w:tcPr>
          <w:p w14:paraId="343B0520"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Gender</w:t>
            </w:r>
          </w:p>
        </w:tc>
        <w:tc>
          <w:tcPr>
            <w:tcW w:w="2835" w:type="dxa"/>
          </w:tcPr>
          <w:p w14:paraId="574074F7"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Female</w:t>
            </w:r>
          </w:p>
        </w:tc>
        <w:tc>
          <w:tcPr>
            <w:tcW w:w="1984" w:type="dxa"/>
          </w:tcPr>
          <w:p w14:paraId="5ED4077D"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2,047 (54.5)</w:t>
            </w:r>
          </w:p>
        </w:tc>
        <w:tc>
          <w:tcPr>
            <w:tcW w:w="2127" w:type="dxa"/>
          </w:tcPr>
          <w:p w14:paraId="0730257F"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1,318 (56.2)</w:t>
            </w:r>
          </w:p>
        </w:tc>
      </w:tr>
      <w:tr w:rsidR="00DE65CD" w:rsidRPr="00103A0B" w14:paraId="37B87BAE" w14:textId="77777777" w:rsidTr="00BB2420">
        <w:trPr>
          <w:trHeight w:val="282"/>
        </w:trPr>
        <w:tc>
          <w:tcPr>
            <w:tcW w:w="0" w:type="auto"/>
            <w:vMerge/>
          </w:tcPr>
          <w:p w14:paraId="796E1378" w14:textId="77777777" w:rsidR="00DE65CD" w:rsidRPr="00103A0B" w:rsidRDefault="00DE65CD" w:rsidP="00CD5919">
            <w:pPr>
              <w:contextualSpacing/>
              <w:jc w:val="both"/>
              <w:rPr>
                <w:rFonts w:ascii="Arial" w:hAnsi="Arial" w:cs="Arial"/>
                <w:sz w:val="24"/>
                <w:szCs w:val="24"/>
              </w:rPr>
            </w:pPr>
          </w:p>
        </w:tc>
        <w:tc>
          <w:tcPr>
            <w:tcW w:w="1678" w:type="dxa"/>
            <w:vMerge/>
          </w:tcPr>
          <w:p w14:paraId="0EEDCB0C" w14:textId="77777777" w:rsidR="00DE65CD" w:rsidRPr="00103A0B" w:rsidRDefault="00DE65CD" w:rsidP="00CD5919">
            <w:pPr>
              <w:contextualSpacing/>
              <w:jc w:val="both"/>
              <w:rPr>
                <w:rFonts w:ascii="Arial" w:hAnsi="Arial" w:cs="Arial"/>
                <w:sz w:val="24"/>
                <w:szCs w:val="24"/>
              </w:rPr>
            </w:pPr>
          </w:p>
        </w:tc>
        <w:tc>
          <w:tcPr>
            <w:tcW w:w="2835" w:type="dxa"/>
          </w:tcPr>
          <w:p w14:paraId="539346ED"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Male</w:t>
            </w:r>
          </w:p>
        </w:tc>
        <w:tc>
          <w:tcPr>
            <w:tcW w:w="1984" w:type="dxa"/>
          </w:tcPr>
          <w:p w14:paraId="5414DB72"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1,709 (45.5)</w:t>
            </w:r>
          </w:p>
        </w:tc>
        <w:tc>
          <w:tcPr>
            <w:tcW w:w="2127" w:type="dxa"/>
          </w:tcPr>
          <w:p w14:paraId="3F338D17"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1,026 (43.8)</w:t>
            </w:r>
          </w:p>
        </w:tc>
      </w:tr>
      <w:tr w:rsidR="00DE65CD" w:rsidRPr="00103A0B" w14:paraId="7305C067" w14:textId="77777777" w:rsidTr="00BB2420">
        <w:trPr>
          <w:trHeight w:val="271"/>
        </w:trPr>
        <w:tc>
          <w:tcPr>
            <w:tcW w:w="0" w:type="auto"/>
            <w:vMerge/>
          </w:tcPr>
          <w:p w14:paraId="3B6D9143" w14:textId="77777777" w:rsidR="00DE65CD" w:rsidRPr="00103A0B" w:rsidRDefault="00DE65CD" w:rsidP="00CD5919">
            <w:pPr>
              <w:contextualSpacing/>
              <w:jc w:val="both"/>
              <w:rPr>
                <w:rFonts w:ascii="Arial" w:hAnsi="Arial" w:cs="Arial"/>
                <w:sz w:val="24"/>
                <w:szCs w:val="24"/>
              </w:rPr>
            </w:pPr>
          </w:p>
        </w:tc>
        <w:tc>
          <w:tcPr>
            <w:tcW w:w="1678" w:type="dxa"/>
            <w:vMerge w:val="restart"/>
          </w:tcPr>
          <w:p w14:paraId="756A8304"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Age</w:t>
            </w:r>
          </w:p>
        </w:tc>
        <w:tc>
          <w:tcPr>
            <w:tcW w:w="2835" w:type="dxa"/>
          </w:tcPr>
          <w:p w14:paraId="12311BD4"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Mean (SD)</w:t>
            </w:r>
          </w:p>
        </w:tc>
        <w:tc>
          <w:tcPr>
            <w:tcW w:w="1984" w:type="dxa"/>
          </w:tcPr>
          <w:p w14:paraId="010552BC"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62.5 (12.5)</w:t>
            </w:r>
          </w:p>
        </w:tc>
        <w:tc>
          <w:tcPr>
            <w:tcW w:w="2127" w:type="dxa"/>
          </w:tcPr>
          <w:p w14:paraId="4443AB0C"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64.1 (11.7)</w:t>
            </w:r>
          </w:p>
        </w:tc>
      </w:tr>
      <w:tr w:rsidR="00DE65CD" w:rsidRPr="00103A0B" w14:paraId="1237582E" w14:textId="77777777" w:rsidTr="00BB2420">
        <w:trPr>
          <w:trHeight w:val="290"/>
        </w:trPr>
        <w:tc>
          <w:tcPr>
            <w:tcW w:w="0" w:type="auto"/>
            <w:vMerge/>
          </w:tcPr>
          <w:p w14:paraId="3EB31AF1" w14:textId="77777777" w:rsidR="00DE65CD" w:rsidRPr="00103A0B" w:rsidRDefault="00DE65CD" w:rsidP="00CD5919">
            <w:pPr>
              <w:contextualSpacing/>
              <w:jc w:val="both"/>
              <w:rPr>
                <w:rFonts w:ascii="Arial" w:hAnsi="Arial" w:cs="Arial"/>
                <w:sz w:val="24"/>
                <w:szCs w:val="24"/>
              </w:rPr>
            </w:pPr>
          </w:p>
        </w:tc>
        <w:tc>
          <w:tcPr>
            <w:tcW w:w="1678" w:type="dxa"/>
            <w:vMerge/>
          </w:tcPr>
          <w:p w14:paraId="781D5C33" w14:textId="77777777" w:rsidR="00DE65CD" w:rsidRPr="00103A0B" w:rsidRDefault="00DE65CD" w:rsidP="00CD5919">
            <w:pPr>
              <w:contextualSpacing/>
              <w:jc w:val="both"/>
              <w:rPr>
                <w:rFonts w:ascii="Arial" w:hAnsi="Arial" w:cs="Arial"/>
                <w:sz w:val="24"/>
                <w:szCs w:val="24"/>
              </w:rPr>
            </w:pPr>
          </w:p>
        </w:tc>
        <w:tc>
          <w:tcPr>
            <w:tcW w:w="2835" w:type="dxa"/>
          </w:tcPr>
          <w:p w14:paraId="196709C4"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&lt;40</w:t>
            </w:r>
          </w:p>
        </w:tc>
        <w:tc>
          <w:tcPr>
            <w:tcW w:w="1984" w:type="dxa"/>
          </w:tcPr>
          <w:p w14:paraId="20EE53C9"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166 (4.4)</w:t>
            </w:r>
          </w:p>
        </w:tc>
        <w:tc>
          <w:tcPr>
            <w:tcW w:w="2127" w:type="dxa"/>
          </w:tcPr>
          <w:p w14:paraId="7211069B"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65 (2.8)</w:t>
            </w:r>
          </w:p>
        </w:tc>
      </w:tr>
      <w:tr w:rsidR="00DE65CD" w:rsidRPr="00103A0B" w14:paraId="20F04E47" w14:textId="77777777" w:rsidTr="00BB2420">
        <w:trPr>
          <w:trHeight w:val="266"/>
        </w:trPr>
        <w:tc>
          <w:tcPr>
            <w:tcW w:w="0" w:type="auto"/>
            <w:vMerge/>
          </w:tcPr>
          <w:p w14:paraId="703E9787" w14:textId="77777777" w:rsidR="00DE65CD" w:rsidRPr="00103A0B" w:rsidRDefault="00DE65CD" w:rsidP="00CD5919">
            <w:pPr>
              <w:contextualSpacing/>
              <w:jc w:val="both"/>
              <w:rPr>
                <w:rFonts w:ascii="Arial" w:hAnsi="Arial" w:cs="Arial"/>
                <w:sz w:val="24"/>
                <w:szCs w:val="24"/>
              </w:rPr>
            </w:pPr>
          </w:p>
        </w:tc>
        <w:tc>
          <w:tcPr>
            <w:tcW w:w="1678" w:type="dxa"/>
            <w:vMerge/>
          </w:tcPr>
          <w:p w14:paraId="2C480670" w14:textId="77777777" w:rsidR="00DE65CD" w:rsidRPr="00103A0B" w:rsidRDefault="00DE65CD" w:rsidP="00CD5919">
            <w:pPr>
              <w:contextualSpacing/>
              <w:jc w:val="both"/>
              <w:rPr>
                <w:rFonts w:ascii="Arial" w:hAnsi="Arial" w:cs="Arial"/>
                <w:sz w:val="24"/>
                <w:szCs w:val="24"/>
              </w:rPr>
            </w:pPr>
          </w:p>
        </w:tc>
        <w:tc>
          <w:tcPr>
            <w:tcW w:w="2835" w:type="dxa"/>
          </w:tcPr>
          <w:p w14:paraId="622BBBD8"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40-44</w:t>
            </w:r>
          </w:p>
        </w:tc>
        <w:tc>
          <w:tcPr>
            <w:tcW w:w="1984" w:type="dxa"/>
          </w:tcPr>
          <w:p w14:paraId="42D24069"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166 (4.4)</w:t>
            </w:r>
          </w:p>
        </w:tc>
        <w:tc>
          <w:tcPr>
            <w:tcW w:w="2127" w:type="dxa"/>
          </w:tcPr>
          <w:p w14:paraId="16FDC80D"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74 (3.2)</w:t>
            </w:r>
          </w:p>
        </w:tc>
      </w:tr>
      <w:tr w:rsidR="00DE65CD" w:rsidRPr="00103A0B" w14:paraId="6267DB61" w14:textId="77777777" w:rsidTr="00BB2420">
        <w:trPr>
          <w:trHeight w:val="270"/>
        </w:trPr>
        <w:tc>
          <w:tcPr>
            <w:tcW w:w="0" w:type="auto"/>
            <w:vMerge/>
          </w:tcPr>
          <w:p w14:paraId="3DF7AC12" w14:textId="77777777" w:rsidR="00DE65CD" w:rsidRPr="00103A0B" w:rsidRDefault="00DE65CD" w:rsidP="00CD5919">
            <w:pPr>
              <w:contextualSpacing/>
              <w:jc w:val="both"/>
              <w:rPr>
                <w:rFonts w:ascii="Arial" w:hAnsi="Arial" w:cs="Arial"/>
                <w:sz w:val="24"/>
                <w:szCs w:val="24"/>
              </w:rPr>
            </w:pPr>
          </w:p>
        </w:tc>
        <w:tc>
          <w:tcPr>
            <w:tcW w:w="1678" w:type="dxa"/>
            <w:vMerge/>
          </w:tcPr>
          <w:p w14:paraId="619103CE" w14:textId="77777777" w:rsidR="00DE65CD" w:rsidRPr="00103A0B" w:rsidRDefault="00DE65CD" w:rsidP="00CD5919">
            <w:pPr>
              <w:contextualSpacing/>
              <w:jc w:val="both"/>
              <w:rPr>
                <w:rFonts w:ascii="Arial" w:hAnsi="Arial" w:cs="Arial"/>
                <w:sz w:val="24"/>
                <w:szCs w:val="24"/>
              </w:rPr>
            </w:pPr>
          </w:p>
        </w:tc>
        <w:tc>
          <w:tcPr>
            <w:tcW w:w="2835" w:type="dxa"/>
          </w:tcPr>
          <w:p w14:paraId="134BEACD"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45-49</w:t>
            </w:r>
          </w:p>
        </w:tc>
        <w:tc>
          <w:tcPr>
            <w:tcW w:w="1984" w:type="dxa"/>
          </w:tcPr>
          <w:p w14:paraId="627B82B4"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245 (6.5)</w:t>
            </w:r>
          </w:p>
        </w:tc>
        <w:tc>
          <w:tcPr>
            <w:tcW w:w="2127" w:type="dxa"/>
          </w:tcPr>
          <w:p w14:paraId="37521120"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126 (5.4)</w:t>
            </w:r>
          </w:p>
        </w:tc>
      </w:tr>
      <w:tr w:rsidR="00DE65CD" w:rsidRPr="00103A0B" w14:paraId="057557FE" w14:textId="77777777" w:rsidTr="00BB2420">
        <w:trPr>
          <w:trHeight w:val="274"/>
        </w:trPr>
        <w:tc>
          <w:tcPr>
            <w:tcW w:w="0" w:type="auto"/>
            <w:vMerge/>
          </w:tcPr>
          <w:p w14:paraId="45580183" w14:textId="77777777" w:rsidR="00DE65CD" w:rsidRPr="00103A0B" w:rsidRDefault="00DE65CD" w:rsidP="00CD5919">
            <w:pPr>
              <w:contextualSpacing/>
              <w:jc w:val="both"/>
              <w:rPr>
                <w:rFonts w:ascii="Arial" w:hAnsi="Arial" w:cs="Arial"/>
                <w:sz w:val="24"/>
                <w:szCs w:val="24"/>
              </w:rPr>
            </w:pPr>
          </w:p>
        </w:tc>
        <w:tc>
          <w:tcPr>
            <w:tcW w:w="1678" w:type="dxa"/>
            <w:vMerge/>
          </w:tcPr>
          <w:p w14:paraId="5C3EE04C" w14:textId="77777777" w:rsidR="00DE65CD" w:rsidRPr="00103A0B" w:rsidRDefault="00DE65CD" w:rsidP="00CD5919">
            <w:pPr>
              <w:contextualSpacing/>
              <w:jc w:val="both"/>
              <w:rPr>
                <w:rFonts w:ascii="Arial" w:hAnsi="Arial" w:cs="Arial"/>
                <w:sz w:val="24"/>
                <w:szCs w:val="24"/>
              </w:rPr>
            </w:pPr>
          </w:p>
        </w:tc>
        <w:tc>
          <w:tcPr>
            <w:tcW w:w="2835" w:type="dxa"/>
          </w:tcPr>
          <w:p w14:paraId="732F980D"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50-54</w:t>
            </w:r>
          </w:p>
        </w:tc>
        <w:tc>
          <w:tcPr>
            <w:tcW w:w="1984" w:type="dxa"/>
          </w:tcPr>
          <w:p w14:paraId="03E91FC4"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405 (10.8)</w:t>
            </w:r>
          </w:p>
        </w:tc>
        <w:tc>
          <w:tcPr>
            <w:tcW w:w="2127" w:type="dxa"/>
          </w:tcPr>
          <w:p w14:paraId="21744B31"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236 (10.1)</w:t>
            </w:r>
          </w:p>
        </w:tc>
      </w:tr>
      <w:tr w:rsidR="00DE65CD" w:rsidRPr="00103A0B" w14:paraId="65CD31BF" w14:textId="77777777" w:rsidTr="00BB2420">
        <w:trPr>
          <w:trHeight w:val="278"/>
        </w:trPr>
        <w:tc>
          <w:tcPr>
            <w:tcW w:w="0" w:type="auto"/>
            <w:vMerge/>
          </w:tcPr>
          <w:p w14:paraId="01BD5FCD" w14:textId="77777777" w:rsidR="00DE65CD" w:rsidRPr="00103A0B" w:rsidRDefault="00DE65CD" w:rsidP="00CD5919">
            <w:pPr>
              <w:contextualSpacing/>
              <w:jc w:val="both"/>
              <w:rPr>
                <w:rFonts w:ascii="Arial" w:hAnsi="Arial" w:cs="Arial"/>
                <w:sz w:val="24"/>
                <w:szCs w:val="24"/>
              </w:rPr>
            </w:pPr>
          </w:p>
        </w:tc>
        <w:tc>
          <w:tcPr>
            <w:tcW w:w="1678" w:type="dxa"/>
            <w:vMerge/>
          </w:tcPr>
          <w:p w14:paraId="5910FB9C" w14:textId="77777777" w:rsidR="00DE65CD" w:rsidRPr="00103A0B" w:rsidRDefault="00DE65CD" w:rsidP="00CD5919">
            <w:pPr>
              <w:contextualSpacing/>
              <w:jc w:val="both"/>
              <w:rPr>
                <w:rFonts w:ascii="Arial" w:hAnsi="Arial" w:cs="Arial"/>
                <w:sz w:val="24"/>
                <w:szCs w:val="24"/>
              </w:rPr>
            </w:pPr>
          </w:p>
        </w:tc>
        <w:tc>
          <w:tcPr>
            <w:tcW w:w="2835" w:type="dxa"/>
          </w:tcPr>
          <w:p w14:paraId="7B917C18"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55-59</w:t>
            </w:r>
          </w:p>
        </w:tc>
        <w:tc>
          <w:tcPr>
            <w:tcW w:w="1984" w:type="dxa"/>
          </w:tcPr>
          <w:p w14:paraId="17528F32"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480 (12.8)</w:t>
            </w:r>
          </w:p>
        </w:tc>
        <w:tc>
          <w:tcPr>
            <w:tcW w:w="2127" w:type="dxa"/>
          </w:tcPr>
          <w:p w14:paraId="554C28FC"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292 (12.5)</w:t>
            </w:r>
          </w:p>
        </w:tc>
      </w:tr>
      <w:tr w:rsidR="00DE65CD" w:rsidRPr="00103A0B" w14:paraId="700AF865" w14:textId="77777777" w:rsidTr="00BB2420">
        <w:trPr>
          <w:trHeight w:val="278"/>
        </w:trPr>
        <w:tc>
          <w:tcPr>
            <w:tcW w:w="0" w:type="auto"/>
            <w:vMerge/>
          </w:tcPr>
          <w:p w14:paraId="0BFA634D" w14:textId="77777777" w:rsidR="00DE65CD" w:rsidRPr="00103A0B" w:rsidRDefault="00DE65CD" w:rsidP="00CD5919">
            <w:pPr>
              <w:contextualSpacing/>
              <w:jc w:val="both"/>
              <w:rPr>
                <w:rFonts w:ascii="Arial" w:hAnsi="Arial" w:cs="Arial"/>
                <w:sz w:val="24"/>
                <w:szCs w:val="24"/>
              </w:rPr>
            </w:pPr>
          </w:p>
        </w:tc>
        <w:tc>
          <w:tcPr>
            <w:tcW w:w="1678" w:type="dxa"/>
            <w:vMerge/>
          </w:tcPr>
          <w:p w14:paraId="1FC03E91" w14:textId="77777777" w:rsidR="00DE65CD" w:rsidRPr="00103A0B" w:rsidRDefault="00DE65CD" w:rsidP="00CD5919">
            <w:pPr>
              <w:contextualSpacing/>
              <w:jc w:val="both"/>
              <w:rPr>
                <w:rFonts w:ascii="Arial" w:hAnsi="Arial" w:cs="Arial"/>
                <w:sz w:val="24"/>
                <w:szCs w:val="24"/>
              </w:rPr>
            </w:pPr>
          </w:p>
        </w:tc>
        <w:tc>
          <w:tcPr>
            <w:tcW w:w="2835" w:type="dxa"/>
          </w:tcPr>
          <w:p w14:paraId="2D2CFFFE"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60-64</w:t>
            </w:r>
          </w:p>
        </w:tc>
        <w:tc>
          <w:tcPr>
            <w:tcW w:w="1984" w:type="dxa"/>
          </w:tcPr>
          <w:p w14:paraId="32657968"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473 (12.6)</w:t>
            </w:r>
          </w:p>
        </w:tc>
        <w:tc>
          <w:tcPr>
            <w:tcW w:w="2127" w:type="dxa"/>
          </w:tcPr>
          <w:p w14:paraId="79EF6537"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289 (12.3)</w:t>
            </w:r>
          </w:p>
        </w:tc>
      </w:tr>
      <w:tr w:rsidR="00DE65CD" w:rsidRPr="00103A0B" w14:paraId="74579437" w14:textId="77777777" w:rsidTr="00BB2420">
        <w:trPr>
          <w:trHeight w:val="278"/>
        </w:trPr>
        <w:tc>
          <w:tcPr>
            <w:tcW w:w="0" w:type="auto"/>
            <w:vMerge/>
          </w:tcPr>
          <w:p w14:paraId="6FE83FFC" w14:textId="77777777" w:rsidR="00DE65CD" w:rsidRPr="00103A0B" w:rsidRDefault="00DE65CD" w:rsidP="00CD5919">
            <w:pPr>
              <w:contextualSpacing/>
              <w:jc w:val="both"/>
              <w:rPr>
                <w:rFonts w:ascii="Arial" w:hAnsi="Arial" w:cs="Arial"/>
                <w:sz w:val="24"/>
                <w:szCs w:val="24"/>
              </w:rPr>
            </w:pPr>
          </w:p>
        </w:tc>
        <w:tc>
          <w:tcPr>
            <w:tcW w:w="1678" w:type="dxa"/>
            <w:vMerge/>
          </w:tcPr>
          <w:p w14:paraId="3BEBAC25" w14:textId="77777777" w:rsidR="00DE65CD" w:rsidRPr="00103A0B" w:rsidRDefault="00DE65CD" w:rsidP="00CD5919">
            <w:pPr>
              <w:contextualSpacing/>
              <w:jc w:val="both"/>
              <w:rPr>
                <w:rFonts w:ascii="Arial" w:hAnsi="Arial" w:cs="Arial"/>
                <w:sz w:val="24"/>
                <w:szCs w:val="24"/>
              </w:rPr>
            </w:pPr>
          </w:p>
        </w:tc>
        <w:tc>
          <w:tcPr>
            <w:tcW w:w="2835" w:type="dxa"/>
          </w:tcPr>
          <w:p w14:paraId="5B37DC2F"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65-69</w:t>
            </w:r>
          </w:p>
        </w:tc>
        <w:tc>
          <w:tcPr>
            <w:tcW w:w="1984" w:type="dxa"/>
          </w:tcPr>
          <w:p w14:paraId="0906E1A0"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609 (16.2)</w:t>
            </w:r>
          </w:p>
        </w:tc>
        <w:tc>
          <w:tcPr>
            <w:tcW w:w="2127" w:type="dxa"/>
          </w:tcPr>
          <w:p w14:paraId="680A75D6"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416 (17.7)</w:t>
            </w:r>
          </w:p>
        </w:tc>
      </w:tr>
      <w:tr w:rsidR="00DE65CD" w:rsidRPr="00103A0B" w14:paraId="12809BE0" w14:textId="77777777" w:rsidTr="00BB2420">
        <w:trPr>
          <w:trHeight w:val="278"/>
        </w:trPr>
        <w:tc>
          <w:tcPr>
            <w:tcW w:w="0" w:type="auto"/>
            <w:vMerge/>
          </w:tcPr>
          <w:p w14:paraId="5EDDFD63" w14:textId="77777777" w:rsidR="00DE65CD" w:rsidRPr="00103A0B" w:rsidRDefault="00DE65CD" w:rsidP="00CD5919">
            <w:pPr>
              <w:contextualSpacing/>
              <w:jc w:val="both"/>
              <w:rPr>
                <w:rFonts w:ascii="Arial" w:hAnsi="Arial" w:cs="Arial"/>
                <w:sz w:val="24"/>
                <w:szCs w:val="24"/>
              </w:rPr>
            </w:pPr>
          </w:p>
        </w:tc>
        <w:tc>
          <w:tcPr>
            <w:tcW w:w="1678" w:type="dxa"/>
            <w:vMerge/>
          </w:tcPr>
          <w:p w14:paraId="054E9F1A" w14:textId="77777777" w:rsidR="00DE65CD" w:rsidRPr="00103A0B" w:rsidRDefault="00DE65CD" w:rsidP="00CD5919">
            <w:pPr>
              <w:contextualSpacing/>
              <w:jc w:val="both"/>
              <w:rPr>
                <w:rFonts w:ascii="Arial" w:hAnsi="Arial" w:cs="Arial"/>
                <w:sz w:val="24"/>
                <w:szCs w:val="24"/>
              </w:rPr>
            </w:pPr>
          </w:p>
        </w:tc>
        <w:tc>
          <w:tcPr>
            <w:tcW w:w="2835" w:type="dxa"/>
          </w:tcPr>
          <w:p w14:paraId="343A5DA5"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70-74</w:t>
            </w:r>
          </w:p>
        </w:tc>
        <w:tc>
          <w:tcPr>
            <w:tcW w:w="1984" w:type="dxa"/>
          </w:tcPr>
          <w:p w14:paraId="3E275B6F"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583 (15.5)</w:t>
            </w:r>
          </w:p>
        </w:tc>
        <w:tc>
          <w:tcPr>
            <w:tcW w:w="2127" w:type="dxa"/>
          </w:tcPr>
          <w:p w14:paraId="06EB78A9"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419 (17.9)</w:t>
            </w:r>
          </w:p>
        </w:tc>
      </w:tr>
      <w:tr w:rsidR="00DE65CD" w:rsidRPr="00103A0B" w14:paraId="6FA76FEF" w14:textId="77777777" w:rsidTr="00BB2420">
        <w:trPr>
          <w:trHeight w:val="278"/>
        </w:trPr>
        <w:tc>
          <w:tcPr>
            <w:tcW w:w="0" w:type="auto"/>
            <w:vMerge/>
          </w:tcPr>
          <w:p w14:paraId="6AE8A7DB" w14:textId="77777777" w:rsidR="00DE65CD" w:rsidRPr="00103A0B" w:rsidRDefault="00DE65CD" w:rsidP="00CD5919">
            <w:pPr>
              <w:contextualSpacing/>
              <w:jc w:val="both"/>
              <w:rPr>
                <w:rFonts w:ascii="Arial" w:hAnsi="Arial" w:cs="Arial"/>
                <w:sz w:val="24"/>
                <w:szCs w:val="24"/>
              </w:rPr>
            </w:pPr>
          </w:p>
        </w:tc>
        <w:tc>
          <w:tcPr>
            <w:tcW w:w="1678" w:type="dxa"/>
            <w:vMerge/>
          </w:tcPr>
          <w:p w14:paraId="7A7C6155" w14:textId="77777777" w:rsidR="00DE65CD" w:rsidRPr="00103A0B" w:rsidRDefault="00DE65CD" w:rsidP="00CD5919">
            <w:pPr>
              <w:contextualSpacing/>
              <w:jc w:val="both"/>
              <w:rPr>
                <w:rFonts w:ascii="Arial" w:hAnsi="Arial" w:cs="Arial"/>
                <w:sz w:val="24"/>
                <w:szCs w:val="24"/>
              </w:rPr>
            </w:pPr>
          </w:p>
        </w:tc>
        <w:tc>
          <w:tcPr>
            <w:tcW w:w="2835" w:type="dxa"/>
          </w:tcPr>
          <w:p w14:paraId="10AF05EC"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75</w:t>
            </w:r>
          </w:p>
        </w:tc>
        <w:tc>
          <w:tcPr>
            <w:tcW w:w="1984" w:type="dxa"/>
          </w:tcPr>
          <w:p w14:paraId="2582F4F2"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629 (16.7)</w:t>
            </w:r>
          </w:p>
        </w:tc>
        <w:tc>
          <w:tcPr>
            <w:tcW w:w="2127" w:type="dxa"/>
          </w:tcPr>
          <w:p w14:paraId="2BFBA2F6"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427 (18.2)</w:t>
            </w:r>
          </w:p>
        </w:tc>
      </w:tr>
      <w:tr w:rsidR="00DE65CD" w:rsidRPr="00103A0B" w14:paraId="7AF8B094" w14:textId="77777777" w:rsidTr="00BB2420">
        <w:trPr>
          <w:trHeight w:val="278"/>
        </w:trPr>
        <w:tc>
          <w:tcPr>
            <w:tcW w:w="0" w:type="auto"/>
            <w:vMerge/>
          </w:tcPr>
          <w:p w14:paraId="057E295A" w14:textId="77777777" w:rsidR="00DE65CD" w:rsidRPr="00103A0B" w:rsidRDefault="00DE65CD" w:rsidP="00CD5919">
            <w:pPr>
              <w:contextualSpacing/>
              <w:jc w:val="both"/>
              <w:rPr>
                <w:rFonts w:ascii="Arial" w:hAnsi="Arial" w:cs="Arial"/>
                <w:sz w:val="24"/>
                <w:szCs w:val="24"/>
              </w:rPr>
            </w:pPr>
          </w:p>
        </w:tc>
        <w:tc>
          <w:tcPr>
            <w:tcW w:w="1678" w:type="dxa"/>
            <w:vMerge w:val="restart"/>
          </w:tcPr>
          <w:p w14:paraId="5405092E"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Ethnicity </w:t>
            </w:r>
          </w:p>
        </w:tc>
        <w:tc>
          <w:tcPr>
            <w:tcW w:w="2835" w:type="dxa"/>
          </w:tcPr>
          <w:p w14:paraId="603E1F59"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White British/White </w:t>
            </w:r>
          </w:p>
        </w:tc>
        <w:tc>
          <w:tcPr>
            <w:tcW w:w="1984" w:type="dxa"/>
          </w:tcPr>
          <w:p w14:paraId="4A4579EA"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2,378 (63.3)</w:t>
            </w:r>
          </w:p>
        </w:tc>
        <w:tc>
          <w:tcPr>
            <w:tcW w:w="2127" w:type="dxa"/>
          </w:tcPr>
          <w:p w14:paraId="6662E504"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1,571 (67.0)</w:t>
            </w:r>
          </w:p>
        </w:tc>
      </w:tr>
      <w:tr w:rsidR="00DE65CD" w:rsidRPr="00103A0B" w14:paraId="391BCBA4" w14:textId="77777777" w:rsidTr="00BB2420">
        <w:trPr>
          <w:trHeight w:val="278"/>
        </w:trPr>
        <w:tc>
          <w:tcPr>
            <w:tcW w:w="0" w:type="auto"/>
            <w:vMerge/>
          </w:tcPr>
          <w:p w14:paraId="319B0DB6" w14:textId="77777777" w:rsidR="00DE65CD" w:rsidRPr="00103A0B" w:rsidRDefault="00DE65CD" w:rsidP="00CD5919">
            <w:pPr>
              <w:contextualSpacing/>
              <w:jc w:val="both"/>
              <w:rPr>
                <w:rFonts w:ascii="Arial" w:hAnsi="Arial" w:cs="Arial"/>
                <w:sz w:val="24"/>
                <w:szCs w:val="24"/>
              </w:rPr>
            </w:pPr>
          </w:p>
        </w:tc>
        <w:tc>
          <w:tcPr>
            <w:tcW w:w="1678" w:type="dxa"/>
            <w:vMerge/>
          </w:tcPr>
          <w:p w14:paraId="2469C0FB" w14:textId="77777777" w:rsidR="00DE65CD" w:rsidRPr="00103A0B" w:rsidRDefault="00DE65CD" w:rsidP="00CD5919">
            <w:pPr>
              <w:contextualSpacing/>
              <w:jc w:val="both"/>
              <w:rPr>
                <w:rFonts w:ascii="Arial" w:hAnsi="Arial" w:cs="Arial"/>
                <w:sz w:val="24"/>
                <w:szCs w:val="24"/>
              </w:rPr>
            </w:pPr>
          </w:p>
        </w:tc>
        <w:tc>
          <w:tcPr>
            <w:tcW w:w="2835" w:type="dxa"/>
          </w:tcPr>
          <w:p w14:paraId="081D2A10"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Black </w:t>
            </w:r>
          </w:p>
        </w:tc>
        <w:tc>
          <w:tcPr>
            <w:tcW w:w="1984" w:type="dxa"/>
          </w:tcPr>
          <w:p w14:paraId="61E36939"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701 (18.7)</w:t>
            </w:r>
          </w:p>
        </w:tc>
        <w:tc>
          <w:tcPr>
            <w:tcW w:w="2127" w:type="dxa"/>
          </w:tcPr>
          <w:p w14:paraId="6C489F7F"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414 (17.7)</w:t>
            </w:r>
          </w:p>
        </w:tc>
      </w:tr>
      <w:tr w:rsidR="00DE65CD" w:rsidRPr="00103A0B" w14:paraId="084577AD" w14:textId="77777777" w:rsidTr="00BB2420">
        <w:trPr>
          <w:trHeight w:val="278"/>
        </w:trPr>
        <w:tc>
          <w:tcPr>
            <w:tcW w:w="0" w:type="auto"/>
            <w:vMerge/>
          </w:tcPr>
          <w:p w14:paraId="7A6019D5" w14:textId="77777777" w:rsidR="00DE65CD" w:rsidRPr="00103A0B" w:rsidRDefault="00DE65CD" w:rsidP="00CD5919">
            <w:pPr>
              <w:contextualSpacing/>
              <w:jc w:val="both"/>
              <w:rPr>
                <w:rFonts w:ascii="Arial" w:hAnsi="Arial" w:cs="Arial"/>
                <w:sz w:val="24"/>
                <w:szCs w:val="24"/>
              </w:rPr>
            </w:pPr>
          </w:p>
        </w:tc>
        <w:tc>
          <w:tcPr>
            <w:tcW w:w="1678" w:type="dxa"/>
            <w:vMerge/>
          </w:tcPr>
          <w:p w14:paraId="53CBF69D" w14:textId="77777777" w:rsidR="00DE65CD" w:rsidRPr="00103A0B" w:rsidRDefault="00DE65CD" w:rsidP="00CD5919">
            <w:pPr>
              <w:contextualSpacing/>
              <w:jc w:val="both"/>
              <w:rPr>
                <w:rFonts w:ascii="Arial" w:hAnsi="Arial" w:cs="Arial"/>
                <w:sz w:val="24"/>
                <w:szCs w:val="24"/>
              </w:rPr>
            </w:pPr>
          </w:p>
        </w:tc>
        <w:tc>
          <w:tcPr>
            <w:tcW w:w="2835" w:type="dxa"/>
          </w:tcPr>
          <w:p w14:paraId="52C0D726"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Asian</w:t>
            </w:r>
          </w:p>
        </w:tc>
        <w:tc>
          <w:tcPr>
            <w:tcW w:w="1984" w:type="dxa"/>
          </w:tcPr>
          <w:p w14:paraId="4B0ABF25"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505 (13.4)</w:t>
            </w:r>
          </w:p>
        </w:tc>
        <w:tc>
          <w:tcPr>
            <w:tcW w:w="2127" w:type="dxa"/>
          </w:tcPr>
          <w:p w14:paraId="7653CF52"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260 (11.1)</w:t>
            </w:r>
          </w:p>
        </w:tc>
      </w:tr>
      <w:tr w:rsidR="00DE65CD" w:rsidRPr="00103A0B" w14:paraId="2BF7F291" w14:textId="77777777" w:rsidTr="00BB2420">
        <w:trPr>
          <w:trHeight w:val="278"/>
        </w:trPr>
        <w:tc>
          <w:tcPr>
            <w:tcW w:w="0" w:type="auto"/>
            <w:vMerge/>
          </w:tcPr>
          <w:p w14:paraId="6C0CD720" w14:textId="77777777" w:rsidR="00DE65CD" w:rsidRPr="00103A0B" w:rsidRDefault="00DE65CD" w:rsidP="00CD5919">
            <w:pPr>
              <w:contextualSpacing/>
              <w:jc w:val="both"/>
              <w:rPr>
                <w:rFonts w:ascii="Arial" w:hAnsi="Arial" w:cs="Arial"/>
                <w:sz w:val="24"/>
                <w:szCs w:val="24"/>
              </w:rPr>
            </w:pPr>
          </w:p>
        </w:tc>
        <w:tc>
          <w:tcPr>
            <w:tcW w:w="1678" w:type="dxa"/>
            <w:vMerge/>
          </w:tcPr>
          <w:p w14:paraId="43A5D811" w14:textId="77777777" w:rsidR="00DE65CD" w:rsidRPr="00103A0B" w:rsidRDefault="00DE65CD" w:rsidP="00CD5919">
            <w:pPr>
              <w:contextualSpacing/>
              <w:jc w:val="both"/>
              <w:rPr>
                <w:rFonts w:ascii="Arial" w:hAnsi="Arial" w:cs="Arial"/>
                <w:sz w:val="24"/>
                <w:szCs w:val="24"/>
              </w:rPr>
            </w:pPr>
          </w:p>
        </w:tc>
        <w:tc>
          <w:tcPr>
            <w:tcW w:w="2835" w:type="dxa"/>
          </w:tcPr>
          <w:p w14:paraId="4C5EDE50"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Mixed</w:t>
            </w:r>
          </w:p>
        </w:tc>
        <w:tc>
          <w:tcPr>
            <w:tcW w:w="1984" w:type="dxa"/>
          </w:tcPr>
          <w:p w14:paraId="6E83909B"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96 (2.6)</w:t>
            </w:r>
          </w:p>
        </w:tc>
        <w:tc>
          <w:tcPr>
            <w:tcW w:w="2127" w:type="dxa"/>
          </w:tcPr>
          <w:p w14:paraId="484F7994"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66 (2.8)</w:t>
            </w:r>
          </w:p>
        </w:tc>
      </w:tr>
      <w:tr w:rsidR="00DE65CD" w:rsidRPr="00103A0B" w14:paraId="47F30EAF" w14:textId="77777777" w:rsidTr="00BB2420">
        <w:trPr>
          <w:trHeight w:val="278"/>
        </w:trPr>
        <w:tc>
          <w:tcPr>
            <w:tcW w:w="0" w:type="auto"/>
            <w:vMerge/>
          </w:tcPr>
          <w:p w14:paraId="6221694F" w14:textId="77777777" w:rsidR="00DE65CD" w:rsidRPr="00103A0B" w:rsidRDefault="00DE65CD" w:rsidP="00CD5919">
            <w:pPr>
              <w:contextualSpacing/>
              <w:jc w:val="both"/>
              <w:rPr>
                <w:rFonts w:ascii="Arial" w:hAnsi="Arial" w:cs="Arial"/>
                <w:sz w:val="24"/>
                <w:szCs w:val="24"/>
              </w:rPr>
            </w:pPr>
          </w:p>
        </w:tc>
        <w:tc>
          <w:tcPr>
            <w:tcW w:w="1678" w:type="dxa"/>
            <w:vMerge/>
          </w:tcPr>
          <w:p w14:paraId="36D1E43A" w14:textId="77777777" w:rsidR="00DE65CD" w:rsidRPr="00103A0B" w:rsidRDefault="00DE65CD" w:rsidP="00CD5919">
            <w:pPr>
              <w:contextualSpacing/>
              <w:jc w:val="both"/>
              <w:rPr>
                <w:rFonts w:ascii="Arial" w:hAnsi="Arial" w:cs="Arial"/>
                <w:sz w:val="24"/>
                <w:szCs w:val="24"/>
              </w:rPr>
            </w:pPr>
          </w:p>
        </w:tc>
        <w:tc>
          <w:tcPr>
            <w:tcW w:w="2835" w:type="dxa"/>
          </w:tcPr>
          <w:p w14:paraId="2D2D4775"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Other</w:t>
            </w:r>
          </w:p>
        </w:tc>
        <w:tc>
          <w:tcPr>
            <w:tcW w:w="1984" w:type="dxa"/>
          </w:tcPr>
          <w:p w14:paraId="3D1B2ACC"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76 (2.0)</w:t>
            </w:r>
          </w:p>
        </w:tc>
        <w:tc>
          <w:tcPr>
            <w:tcW w:w="2127" w:type="dxa"/>
          </w:tcPr>
          <w:p w14:paraId="56459F09"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33 (1.4)</w:t>
            </w:r>
          </w:p>
        </w:tc>
      </w:tr>
      <w:tr w:rsidR="00DE65CD" w:rsidRPr="00103A0B" w14:paraId="79A8E382" w14:textId="77777777" w:rsidTr="00BB2420">
        <w:trPr>
          <w:trHeight w:val="278"/>
        </w:trPr>
        <w:tc>
          <w:tcPr>
            <w:tcW w:w="0" w:type="auto"/>
            <w:vMerge/>
          </w:tcPr>
          <w:p w14:paraId="5287376D" w14:textId="77777777" w:rsidR="00DE65CD" w:rsidRPr="00103A0B" w:rsidRDefault="00DE65CD" w:rsidP="00CD5919">
            <w:pPr>
              <w:contextualSpacing/>
              <w:jc w:val="both"/>
              <w:rPr>
                <w:rFonts w:ascii="Arial" w:hAnsi="Arial" w:cs="Arial"/>
                <w:sz w:val="24"/>
                <w:szCs w:val="24"/>
              </w:rPr>
            </w:pPr>
          </w:p>
        </w:tc>
        <w:tc>
          <w:tcPr>
            <w:tcW w:w="1678" w:type="dxa"/>
            <w:vMerge w:val="restart"/>
          </w:tcPr>
          <w:p w14:paraId="286620FF"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Programme area </w:t>
            </w:r>
          </w:p>
        </w:tc>
        <w:tc>
          <w:tcPr>
            <w:tcW w:w="2835" w:type="dxa"/>
          </w:tcPr>
          <w:p w14:paraId="710CACA7"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South London </w:t>
            </w:r>
          </w:p>
        </w:tc>
        <w:tc>
          <w:tcPr>
            <w:tcW w:w="1984" w:type="dxa"/>
          </w:tcPr>
          <w:p w14:paraId="0E487097"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1,627 (43.3)</w:t>
            </w:r>
          </w:p>
        </w:tc>
        <w:tc>
          <w:tcPr>
            <w:tcW w:w="2127" w:type="dxa"/>
          </w:tcPr>
          <w:p w14:paraId="0C141651"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992 (42.3)</w:t>
            </w:r>
          </w:p>
        </w:tc>
      </w:tr>
      <w:tr w:rsidR="00DE65CD" w:rsidRPr="00103A0B" w14:paraId="31C0982A" w14:textId="77777777" w:rsidTr="00BB2420">
        <w:trPr>
          <w:trHeight w:val="278"/>
        </w:trPr>
        <w:tc>
          <w:tcPr>
            <w:tcW w:w="0" w:type="auto"/>
            <w:vMerge/>
          </w:tcPr>
          <w:p w14:paraId="5F2CFA5F" w14:textId="77777777" w:rsidR="00DE65CD" w:rsidRPr="00103A0B" w:rsidRDefault="00DE65CD" w:rsidP="00CD5919">
            <w:pPr>
              <w:contextualSpacing/>
              <w:jc w:val="both"/>
              <w:rPr>
                <w:rFonts w:ascii="Arial" w:hAnsi="Arial" w:cs="Arial"/>
                <w:sz w:val="24"/>
                <w:szCs w:val="24"/>
              </w:rPr>
            </w:pPr>
          </w:p>
        </w:tc>
        <w:tc>
          <w:tcPr>
            <w:tcW w:w="1678" w:type="dxa"/>
            <w:vMerge/>
          </w:tcPr>
          <w:p w14:paraId="5B8DE9FF" w14:textId="77777777" w:rsidR="00DE65CD" w:rsidRPr="00103A0B" w:rsidRDefault="00DE65CD" w:rsidP="00CD5919">
            <w:pPr>
              <w:contextualSpacing/>
              <w:jc w:val="both"/>
              <w:rPr>
                <w:rFonts w:ascii="Arial" w:hAnsi="Arial" w:cs="Arial"/>
                <w:sz w:val="24"/>
                <w:szCs w:val="24"/>
              </w:rPr>
            </w:pPr>
          </w:p>
        </w:tc>
        <w:tc>
          <w:tcPr>
            <w:tcW w:w="2835" w:type="dxa"/>
          </w:tcPr>
          <w:p w14:paraId="6E56D385" w14:textId="77777777" w:rsidR="00DE65CD" w:rsidRPr="00103A0B" w:rsidRDefault="00DE65CD" w:rsidP="00CD5919">
            <w:pPr>
              <w:contextualSpacing/>
              <w:jc w:val="both"/>
              <w:rPr>
                <w:rFonts w:ascii="Arial" w:hAnsi="Arial" w:cs="Arial"/>
                <w:sz w:val="24"/>
                <w:szCs w:val="24"/>
              </w:rPr>
            </w:pPr>
            <w:proofErr w:type="gramStart"/>
            <w:r w:rsidRPr="00103A0B">
              <w:rPr>
                <w:rFonts w:ascii="Arial" w:hAnsi="Arial" w:cs="Arial"/>
                <w:sz w:val="24"/>
                <w:szCs w:val="24"/>
              </w:rPr>
              <w:t>North East</w:t>
            </w:r>
            <w:proofErr w:type="gramEnd"/>
            <w:r w:rsidRPr="00103A0B">
              <w:rPr>
                <w:rFonts w:ascii="Arial" w:hAnsi="Arial" w:cs="Arial"/>
                <w:sz w:val="24"/>
                <w:szCs w:val="24"/>
              </w:rPr>
              <w:t xml:space="preserve"> London</w:t>
            </w:r>
          </w:p>
        </w:tc>
        <w:tc>
          <w:tcPr>
            <w:tcW w:w="1984" w:type="dxa"/>
          </w:tcPr>
          <w:p w14:paraId="13FD8723"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354 (9.4)</w:t>
            </w:r>
          </w:p>
        </w:tc>
        <w:tc>
          <w:tcPr>
            <w:tcW w:w="2127" w:type="dxa"/>
          </w:tcPr>
          <w:p w14:paraId="0035F9E6"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174 (7.4)</w:t>
            </w:r>
          </w:p>
        </w:tc>
      </w:tr>
      <w:tr w:rsidR="00DE65CD" w:rsidRPr="00103A0B" w14:paraId="7936498B" w14:textId="77777777" w:rsidTr="00BB2420">
        <w:trPr>
          <w:trHeight w:val="278"/>
        </w:trPr>
        <w:tc>
          <w:tcPr>
            <w:tcW w:w="0" w:type="auto"/>
            <w:vMerge/>
          </w:tcPr>
          <w:p w14:paraId="449A5229" w14:textId="77777777" w:rsidR="00DE65CD" w:rsidRPr="00103A0B" w:rsidRDefault="00DE65CD" w:rsidP="00CD5919">
            <w:pPr>
              <w:contextualSpacing/>
              <w:jc w:val="both"/>
              <w:rPr>
                <w:rFonts w:ascii="Arial" w:hAnsi="Arial" w:cs="Arial"/>
                <w:sz w:val="24"/>
                <w:szCs w:val="24"/>
              </w:rPr>
            </w:pPr>
          </w:p>
        </w:tc>
        <w:tc>
          <w:tcPr>
            <w:tcW w:w="1678" w:type="dxa"/>
            <w:vMerge/>
          </w:tcPr>
          <w:p w14:paraId="6F4EBB05" w14:textId="77777777" w:rsidR="00DE65CD" w:rsidRPr="00103A0B" w:rsidRDefault="00DE65CD" w:rsidP="00CD5919">
            <w:pPr>
              <w:contextualSpacing/>
              <w:jc w:val="both"/>
              <w:rPr>
                <w:rFonts w:ascii="Arial" w:hAnsi="Arial" w:cs="Arial"/>
                <w:sz w:val="24"/>
                <w:szCs w:val="24"/>
              </w:rPr>
            </w:pPr>
          </w:p>
        </w:tc>
        <w:tc>
          <w:tcPr>
            <w:tcW w:w="2835" w:type="dxa"/>
          </w:tcPr>
          <w:p w14:paraId="3A699DA3"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Berkshire </w:t>
            </w:r>
          </w:p>
        </w:tc>
        <w:tc>
          <w:tcPr>
            <w:tcW w:w="1984" w:type="dxa"/>
          </w:tcPr>
          <w:p w14:paraId="00D14292"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569 (15.1)</w:t>
            </w:r>
          </w:p>
        </w:tc>
        <w:tc>
          <w:tcPr>
            <w:tcW w:w="2127" w:type="dxa"/>
          </w:tcPr>
          <w:p w14:paraId="76F39209"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331 (14.1)</w:t>
            </w:r>
          </w:p>
        </w:tc>
      </w:tr>
      <w:tr w:rsidR="00DE65CD" w:rsidRPr="00103A0B" w14:paraId="4F51B37D" w14:textId="77777777" w:rsidTr="00BB2420">
        <w:trPr>
          <w:trHeight w:val="278"/>
        </w:trPr>
        <w:tc>
          <w:tcPr>
            <w:tcW w:w="0" w:type="auto"/>
            <w:vMerge/>
          </w:tcPr>
          <w:p w14:paraId="32B062FE" w14:textId="77777777" w:rsidR="00DE65CD" w:rsidRPr="00103A0B" w:rsidRDefault="00DE65CD" w:rsidP="00CD5919">
            <w:pPr>
              <w:contextualSpacing/>
              <w:jc w:val="both"/>
              <w:rPr>
                <w:rFonts w:ascii="Arial" w:hAnsi="Arial" w:cs="Arial"/>
                <w:sz w:val="24"/>
                <w:szCs w:val="24"/>
              </w:rPr>
            </w:pPr>
          </w:p>
        </w:tc>
        <w:tc>
          <w:tcPr>
            <w:tcW w:w="1678" w:type="dxa"/>
            <w:vMerge/>
          </w:tcPr>
          <w:p w14:paraId="33D269BD" w14:textId="77777777" w:rsidR="00DE65CD" w:rsidRPr="00103A0B" w:rsidRDefault="00DE65CD" w:rsidP="00CD5919">
            <w:pPr>
              <w:contextualSpacing/>
              <w:jc w:val="both"/>
              <w:rPr>
                <w:rFonts w:ascii="Arial" w:hAnsi="Arial" w:cs="Arial"/>
                <w:sz w:val="24"/>
                <w:szCs w:val="24"/>
              </w:rPr>
            </w:pPr>
          </w:p>
        </w:tc>
        <w:tc>
          <w:tcPr>
            <w:tcW w:w="2835" w:type="dxa"/>
          </w:tcPr>
          <w:p w14:paraId="2A2F4BBB"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Cumbria </w:t>
            </w:r>
          </w:p>
        </w:tc>
        <w:tc>
          <w:tcPr>
            <w:tcW w:w="1984" w:type="dxa"/>
          </w:tcPr>
          <w:p w14:paraId="73791721"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548 (14.6)</w:t>
            </w:r>
          </w:p>
        </w:tc>
        <w:tc>
          <w:tcPr>
            <w:tcW w:w="2127" w:type="dxa"/>
          </w:tcPr>
          <w:p w14:paraId="077930CC"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398 (17.0)</w:t>
            </w:r>
          </w:p>
        </w:tc>
      </w:tr>
      <w:tr w:rsidR="00DE65CD" w:rsidRPr="00103A0B" w14:paraId="37009F92" w14:textId="77777777" w:rsidTr="00BB2420">
        <w:trPr>
          <w:trHeight w:val="278"/>
        </w:trPr>
        <w:tc>
          <w:tcPr>
            <w:tcW w:w="0" w:type="auto"/>
            <w:vMerge/>
          </w:tcPr>
          <w:p w14:paraId="0C5F90CA" w14:textId="77777777" w:rsidR="00DE65CD" w:rsidRPr="00103A0B" w:rsidRDefault="00DE65CD" w:rsidP="00CD5919">
            <w:pPr>
              <w:contextualSpacing/>
              <w:jc w:val="both"/>
              <w:rPr>
                <w:rFonts w:ascii="Arial" w:hAnsi="Arial" w:cs="Arial"/>
                <w:sz w:val="24"/>
                <w:szCs w:val="24"/>
              </w:rPr>
            </w:pPr>
          </w:p>
        </w:tc>
        <w:tc>
          <w:tcPr>
            <w:tcW w:w="1678" w:type="dxa"/>
            <w:vMerge/>
          </w:tcPr>
          <w:p w14:paraId="494248B5" w14:textId="77777777" w:rsidR="00DE65CD" w:rsidRPr="00103A0B" w:rsidRDefault="00DE65CD" w:rsidP="00CD5919">
            <w:pPr>
              <w:contextualSpacing/>
              <w:jc w:val="both"/>
              <w:rPr>
                <w:rFonts w:ascii="Arial" w:hAnsi="Arial" w:cs="Arial"/>
                <w:sz w:val="24"/>
                <w:szCs w:val="24"/>
              </w:rPr>
            </w:pPr>
          </w:p>
        </w:tc>
        <w:tc>
          <w:tcPr>
            <w:tcW w:w="2835" w:type="dxa"/>
          </w:tcPr>
          <w:p w14:paraId="0EEC31DB"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Herefordshire </w:t>
            </w:r>
          </w:p>
        </w:tc>
        <w:tc>
          <w:tcPr>
            <w:tcW w:w="1984" w:type="dxa"/>
          </w:tcPr>
          <w:p w14:paraId="164159D4"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451 (12.0)</w:t>
            </w:r>
          </w:p>
        </w:tc>
        <w:tc>
          <w:tcPr>
            <w:tcW w:w="2127" w:type="dxa"/>
          </w:tcPr>
          <w:p w14:paraId="641FE77D"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297 (12.7)</w:t>
            </w:r>
          </w:p>
        </w:tc>
      </w:tr>
      <w:tr w:rsidR="00DE65CD" w:rsidRPr="00103A0B" w14:paraId="0C354F10" w14:textId="77777777" w:rsidTr="00BB2420">
        <w:trPr>
          <w:trHeight w:val="278"/>
        </w:trPr>
        <w:tc>
          <w:tcPr>
            <w:tcW w:w="0" w:type="auto"/>
            <w:vMerge/>
          </w:tcPr>
          <w:p w14:paraId="2DF672DD" w14:textId="77777777" w:rsidR="00DE65CD" w:rsidRPr="00103A0B" w:rsidRDefault="00DE65CD" w:rsidP="00CD5919">
            <w:pPr>
              <w:contextualSpacing/>
              <w:jc w:val="both"/>
              <w:rPr>
                <w:rFonts w:ascii="Arial" w:hAnsi="Arial" w:cs="Arial"/>
                <w:sz w:val="24"/>
                <w:szCs w:val="24"/>
              </w:rPr>
            </w:pPr>
          </w:p>
        </w:tc>
        <w:tc>
          <w:tcPr>
            <w:tcW w:w="1678" w:type="dxa"/>
            <w:vMerge/>
          </w:tcPr>
          <w:p w14:paraId="62A1656B" w14:textId="77777777" w:rsidR="00DE65CD" w:rsidRPr="00103A0B" w:rsidRDefault="00DE65CD" w:rsidP="00CD5919">
            <w:pPr>
              <w:contextualSpacing/>
              <w:jc w:val="both"/>
              <w:rPr>
                <w:rFonts w:ascii="Arial" w:hAnsi="Arial" w:cs="Arial"/>
                <w:sz w:val="24"/>
                <w:szCs w:val="24"/>
              </w:rPr>
            </w:pPr>
          </w:p>
        </w:tc>
        <w:tc>
          <w:tcPr>
            <w:tcW w:w="2835" w:type="dxa"/>
          </w:tcPr>
          <w:p w14:paraId="64BCB19B"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West Yorkshire </w:t>
            </w:r>
          </w:p>
        </w:tc>
        <w:tc>
          <w:tcPr>
            <w:tcW w:w="1984" w:type="dxa"/>
          </w:tcPr>
          <w:p w14:paraId="35F66B30"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207 (5.5)</w:t>
            </w:r>
          </w:p>
        </w:tc>
        <w:tc>
          <w:tcPr>
            <w:tcW w:w="2127" w:type="dxa"/>
          </w:tcPr>
          <w:p w14:paraId="497AEF26"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152 (6.5)</w:t>
            </w:r>
          </w:p>
        </w:tc>
      </w:tr>
      <w:tr w:rsidR="00DE65CD" w:rsidRPr="00103A0B" w14:paraId="6418866F" w14:textId="77777777" w:rsidTr="00BB2420">
        <w:trPr>
          <w:trHeight w:val="278"/>
        </w:trPr>
        <w:tc>
          <w:tcPr>
            <w:tcW w:w="0" w:type="auto"/>
            <w:vMerge/>
          </w:tcPr>
          <w:p w14:paraId="7426CC83" w14:textId="77777777" w:rsidR="00DE65CD" w:rsidRPr="00103A0B" w:rsidRDefault="00DE65CD" w:rsidP="00CD5919">
            <w:pPr>
              <w:contextualSpacing/>
              <w:jc w:val="both"/>
              <w:rPr>
                <w:rFonts w:ascii="Arial" w:hAnsi="Arial" w:cs="Arial"/>
                <w:sz w:val="24"/>
                <w:szCs w:val="24"/>
              </w:rPr>
            </w:pPr>
          </w:p>
        </w:tc>
        <w:tc>
          <w:tcPr>
            <w:tcW w:w="1678" w:type="dxa"/>
            <w:vMerge w:val="restart"/>
          </w:tcPr>
          <w:p w14:paraId="0F80A42C"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Deprivation quintile </w:t>
            </w:r>
          </w:p>
        </w:tc>
        <w:tc>
          <w:tcPr>
            <w:tcW w:w="2835" w:type="dxa"/>
          </w:tcPr>
          <w:p w14:paraId="5526D2B9"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1 (most deprived)</w:t>
            </w:r>
          </w:p>
        </w:tc>
        <w:tc>
          <w:tcPr>
            <w:tcW w:w="1984" w:type="dxa"/>
          </w:tcPr>
          <w:p w14:paraId="4D6ED986"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865 (23.0)</w:t>
            </w:r>
          </w:p>
        </w:tc>
        <w:tc>
          <w:tcPr>
            <w:tcW w:w="2127" w:type="dxa"/>
          </w:tcPr>
          <w:p w14:paraId="309BCD1C"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492 (21.0)</w:t>
            </w:r>
          </w:p>
        </w:tc>
      </w:tr>
      <w:tr w:rsidR="00DE65CD" w:rsidRPr="00103A0B" w14:paraId="02D910A5" w14:textId="77777777" w:rsidTr="00BB2420">
        <w:trPr>
          <w:trHeight w:val="278"/>
        </w:trPr>
        <w:tc>
          <w:tcPr>
            <w:tcW w:w="0" w:type="auto"/>
            <w:vMerge/>
          </w:tcPr>
          <w:p w14:paraId="1BEA334F" w14:textId="77777777" w:rsidR="00DE65CD" w:rsidRPr="00103A0B" w:rsidRDefault="00DE65CD" w:rsidP="00CD5919">
            <w:pPr>
              <w:contextualSpacing/>
              <w:jc w:val="both"/>
              <w:rPr>
                <w:rFonts w:ascii="Arial" w:hAnsi="Arial" w:cs="Arial"/>
                <w:sz w:val="24"/>
                <w:szCs w:val="24"/>
              </w:rPr>
            </w:pPr>
          </w:p>
        </w:tc>
        <w:tc>
          <w:tcPr>
            <w:tcW w:w="1678" w:type="dxa"/>
            <w:vMerge/>
          </w:tcPr>
          <w:p w14:paraId="02BF0F28" w14:textId="77777777" w:rsidR="00DE65CD" w:rsidRPr="00103A0B" w:rsidRDefault="00DE65CD" w:rsidP="00CD5919">
            <w:pPr>
              <w:contextualSpacing/>
              <w:jc w:val="both"/>
              <w:rPr>
                <w:rFonts w:ascii="Arial" w:hAnsi="Arial" w:cs="Arial"/>
                <w:sz w:val="24"/>
                <w:szCs w:val="24"/>
              </w:rPr>
            </w:pPr>
          </w:p>
        </w:tc>
        <w:tc>
          <w:tcPr>
            <w:tcW w:w="2835" w:type="dxa"/>
          </w:tcPr>
          <w:p w14:paraId="76B52082"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2</w:t>
            </w:r>
          </w:p>
        </w:tc>
        <w:tc>
          <w:tcPr>
            <w:tcW w:w="1984" w:type="dxa"/>
          </w:tcPr>
          <w:p w14:paraId="1DAD172A"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899 (23.9)</w:t>
            </w:r>
          </w:p>
        </w:tc>
        <w:tc>
          <w:tcPr>
            <w:tcW w:w="2127" w:type="dxa"/>
          </w:tcPr>
          <w:p w14:paraId="145E5B16"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509 (21.7)</w:t>
            </w:r>
          </w:p>
        </w:tc>
      </w:tr>
      <w:tr w:rsidR="00DE65CD" w:rsidRPr="00103A0B" w14:paraId="58FCE4B1" w14:textId="77777777" w:rsidTr="00BB2420">
        <w:trPr>
          <w:trHeight w:val="278"/>
        </w:trPr>
        <w:tc>
          <w:tcPr>
            <w:tcW w:w="0" w:type="auto"/>
            <w:vMerge/>
          </w:tcPr>
          <w:p w14:paraId="5C603F84" w14:textId="77777777" w:rsidR="00DE65CD" w:rsidRPr="00103A0B" w:rsidRDefault="00DE65CD" w:rsidP="00CD5919">
            <w:pPr>
              <w:contextualSpacing/>
              <w:jc w:val="both"/>
              <w:rPr>
                <w:rFonts w:ascii="Arial" w:hAnsi="Arial" w:cs="Arial"/>
                <w:sz w:val="24"/>
                <w:szCs w:val="24"/>
              </w:rPr>
            </w:pPr>
          </w:p>
        </w:tc>
        <w:tc>
          <w:tcPr>
            <w:tcW w:w="1678" w:type="dxa"/>
            <w:vMerge/>
          </w:tcPr>
          <w:p w14:paraId="73717FEC" w14:textId="77777777" w:rsidR="00DE65CD" w:rsidRPr="00103A0B" w:rsidRDefault="00DE65CD" w:rsidP="00CD5919">
            <w:pPr>
              <w:contextualSpacing/>
              <w:jc w:val="both"/>
              <w:rPr>
                <w:rFonts w:ascii="Arial" w:hAnsi="Arial" w:cs="Arial"/>
                <w:sz w:val="24"/>
                <w:szCs w:val="24"/>
              </w:rPr>
            </w:pPr>
          </w:p>
        </w:tc>
        <w:tc>
          <w:tcPr>
            <w:tcW w:w="2835" w:type="dxa"/>
          </w:tcPr>
          <w:p w14:paraId="644570D3"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3</w:t>
            </w:r>
          </w:p>
        </w:tc>
        <w:tc>
          <w:tcPr>
            <w:tcW w:w="1984" w:type="dxa"/>
          </w:tcPr>
          <w:p w14:paraId="570644AA"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801 (21.3)</w:t>
            </w:r>
          </w:p>
        </w:tc>
        <w:tc>
          <w:tcPr>
            <w:tcW w:w="2127" w:type="dxa"/>
          </w:tcPr>
          <w:p w14:paraId="26850AD2"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499 (21.3)</w:t>
            </w:r>
          </w:p>
        </w:tc>
      </w:tr>
      <w:tr w:rsidR="00DE65CD" w:rsidRPr="00103A0B" w14:paraId="7E582C10" w14:textId="77777777" w:rsidTr="00BB2420">
        <w:trPr>
          <w:trHeight w:val="278"/>
        </w:trPr>
        <w:tc>
          <w:tcPr>
            <w:tcW w:w="0" w:type="auto"/>
            <w:vMerge/>
          </w:tcPr>
          <w:p w14:paraId="78DE424C" w14:textId="77777777" w:rsidR="00DE65CD" w:rsidRPr="00103A0B" w:rsidRDefault="00DE65CD" w:rsidP="00CD5919">
            <w:pPr>
              <w:contextualSpacing/>
              <w:jc w:val="both"/>
              <w:rPr>
                <w:rFonts w:ascii="Arial" w:hAnsi="Arial" w:cs="Arial"/>
                <w:sz w:val="24"/>
                <w:szCs w:val="24"/>
              </w:rPr>
            </w:pPr>
          </w:p>
        </w:tc>
        <w:tc>
          <w:tcPr>
            <w:tcW w:w="1678" w:type="dxa"/>
            <w:vMerge/>
          </w:tcPr>
          <w:p w14:paraId="01A26250" w14:textId="77777777" w:rsidR="00DE65CD" w:rsidRPr="00103A0B" w:rsidRDefault="00DE65CD" w:rsidP="00CD5919">
            <w:pPr>
              <w:contextualSpacing/>
              <w:jc w:val="both"/>
              <w:rPr>
                <w:rFonts w:ascii="Arial" w:hAnsi="Arial" w:cs="Arial"/>
                <w:sz w:val="24"/>
                <w:szCs w:val="24"/>
              </w:rPr>
            </w:pPr>
          </w:p>
        </w:tc>
        <w:tc>
          <w:tcPr>
            <w:tcW w:w="2835" w:type="dxa"/>
          </w:tcPr>
          <w:p w14:paraId="4DA23E8D"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4</w:t>
            </w:r>
          </w:p>
        </w:tc>
        <w:tc>
          <w:tcPr>
            <w:tcW w:w="1984" w:type="dxa"/>
          </w:tcPr>
          <w:p w14:paraId="6446767F"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579 (15.4)</w:t>
            </w:r>
          </w:p>
        </w:tc>
        <w:tc>
          <w:tcPr>
            <w:tcW w:w="2127" w:type="dxa"/>
          </w:tcPr>
          <w:p w14:paraId="7E3CD22E"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397 (16.9)</w:t>
            </w:r>
          </w:p>
        </w:tc>
      </w:tr>
      <w:tr w:rsidR="00DE65CD" w:rsidRPr="00103A0B" w14:paraId="0A1251A8" w14:textId="77777777" w:rsidTr="00BB2420">
        <w:trPr>
          <w:trHeight w:val="278"/>
        </w:trPr>
        <w:tc>
          <w:tcPr>
            <w:tcW w:w="0" w:type="auto"/>
            <w:vMerge/>
          </w:tcPr>
          <w:p w14:paraId="179F5DAC" w14:textId="77777777" w:rsidR="00DE65CD" w:rsidRPr="00103A0B" w:rsidRDefault="00DE65CD" w:rsidP="00CD5919">
            <w:pPr>
              <w:contextualSpacing/>
              <w:jc w:val="both"/>
              <w:rPr>
                <w:rFonts w:ascii="Arial" w:hAnsi="Arial" w:cs="Arial"/>
                <w:sz w:val="24"/>
                <w:szCs w:val="24"/>
              </w:rPr>
            </w:pPr>
          </w:p>
        </w:tc>
        <w:tc>
          <w:tcPr>
            <w:tcW w:w="1678" w:type="dxa"/>
            <w:vMerge/>
          </w:tcPr>
          <w:p w14:paraId="57D94CB3" w14:textId="77777777" w:rsidR="00DE65CD" w:rsidRPr="00103A0B" w:rsidRDefault="00DE65CD" w:rsidP="00CD5919">
            <w:pPr>
              <w:contextualSpacing/>
              <w:jc w:val="both"/>
              <w:rPr>
                <w:rFonts w:ascii="Arial" w:hAnsi="Arial" w:cs="Arial"/>
                <w:sz w:val="24"/>
                <w:szCs w:val="24"/>
              </w:rPr>
            </w:pPr>
          </w:p>
        </w:tc>
        <w:tc>
          <w:tcPr>
            <w:tcW w:w="2835" w:type="dxa"/>
          </w:tcPr>
          <w:p w14:paraId="4660583A"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5 (least deprived)</w:t>
            </w:r>
          </w:p>
        </w:tc>
        <w:tc>
          <w:tcPr>
            <w:tcW w:w="1984" w:type="dxa"/>
          </w:tcPr>
          <w:p w14:paraId="792583CE"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612 (16.3)</w:t>
            </w:r>
          </w:p>
        </w:tc>
        <w:tc>
          <w:tcPr>
            <w:tcW w:w="2127" w:type="dxa"/>
          </w:tcPr>
          <w:p w14:paraId="2F3E74C4"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447 (19.1)</w:t>
            </w:r>
          </w:p>
        </w:tc>
      </w:tr>
      <w:tr w:rsidR="00DE65CD" w:rsidRPr="00103A0B" w14:paraId="0B2EB0F0" w14:textId="77777777" w:rsidTr="00BB2420">
        <w:trPr>
          <w:trHeight w:val="278"/>
        </w:trPr>
        <w:tc>
          <w:tcPr>
            <w:tcW w:w="3545" w:type="dxa"/>
            <w:gridSpan w:val="2"/>
            <w:vMerge w:val="restart"/>
          </w:tcPr>
          <w:p w14:paraId="7BD35452"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Uptake </w:t>
            </w:r>
          </w:p>
          <w:p w14:paraId="7556DA20" w14:textId="77777777" w:rsidR="00DE65CD" w:rsidRPr="00103A0B" w:rsidRDefault="00DE65CD" w:rsidP="00CD5919">
            <w:pPr>
              <w:contextualSpacing/>
              <w:jc w:val="both"/>
              <w:rPr>
                <w:rFonts w:ascii="Arial" w:hAnsi="Arial" w:cs="Arial"/>
                <w:sz w:val="24"/>
                <w:szCs w:val="24"/>
              </w:rPr>
            </w:pPr>
          </w:p>
        </w:tc>
        <w:tc>
          <w:tcPr>
            <w:tcW w:w="2835" w:type="dxa"/>
          </w:tcPr>
          <w:p w14:paraId="1FFB0612"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Yes</w:t>
            </w:r>
          </w:p>
        </w:tc>
        <w:tc>
          <w:tcPr>
            <w:tcW w:w="1984" w:type="dxa"/>
          </w:tcPr>
          <w:p w14:paraId="7C24B188"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2,263 (60.3)</w:t>
            </w:r>
          </w:p>
        </w:tc>
        <w:tc>
          <w:tcPr>
            <w:tcW w:w="2127" w:type="dxa"/>
          </w:tcPr>
          <w:p w14:paraId="26BBBC2C"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w:t>
            </w:r>
          </w:p>
        </w:tc>
      </w:tr>
      <w:tr w:rsidR="00DE65CD" w:rsidRPr="00103A0B" w14:paraId="7EBDB16F" w14:textId="77777777" w:rsidTr="00BB2420">
        <w:trPr>
          <w:trHeight w:val="278"/>
        </w:trPr>
        <w:tc>
          <w:tcPr>
            <w:tcW w:w="3545" w:type="dxa"/>
            <w:gridSpan w:val="2"/>
            <w:vMerge/>
          </w:tcPr>
          <w:p w14:paraId="1946AF92" w14:textId="77777777" w:rsidR="00DE65CD" w:rsidRPr="00103A0B" w:rsidRDefault="00DE65CD" w:rsidP="00CD5919">
            <w:pPr>
              <w:contextualSpacing/>
              <w:jc w:val="both"/>
              <w:rPr>
                <w:rFonts w:ascii="Arial" w:hAnsi="Arial" w:cs="Arial"/>
                <w:sz w:val="24"/>
                <w:szCs w:val="24"/>
              </w:rPr>
            </w:pPr>
          </w:p>
        </w:tc>
        <w:tc>
          <w:tcPr>
            <w:tcW w:w="2835" w:type="dxa"/>
          </w:tcPr>
          <w:p w14:paraId="47CA3959"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No</w:t>
            </w:r>
          </w:p>
        </w:tc>
        <w:tc>
          <w:tcPr>
            <w:tcW w:w="1984" w:type="dxa"/>
          </w:tcPr>
          <w:p w14:paraId="3406E5D9"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1,493 (39.7)</w:t>
            </w:r>
          </w:p>
        </w:tc>
        <w:tc>
          <w:tcPr>
            <w:tcW w:w="2127" w:type="dxa"/>
          </w:tcPr>
          <w:p w14:paraId="07AC797F"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w:t>
            </w:r>
          </w:p>
        </w:tc>
      </w:tr>
      <w:tr w:rsidR="00DE65CD" w:rsidRPr="00103A0B" w14:paraId="0812F288" w14:textId="77777777" w:rsidTr="00BB2420">
        <w:trPr>
          <w:trHeight w:val="278"/>
        </w:trPr>
        <w:tc>
          <w:tcPr>
            <w:tcW w:w="3545" w:type="dxa"/>
            <w:gridSpan w:val="2"/>
            <w:vMerge w:val="restart"/>
          </w:tcPr>
          <w:p w14:paraId="4E4CE749"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 xml:space="preserve">Number of Completers </w:t>
            </w:r>
          </w:p>
        </w:tc>
        <w:tc>
          <w:tcPr>
            <w:tcW w:w="2835" w:type="dxa"/>
          </w:tcPr>
          <w:p w14:paraId="7751AE03"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Yes</w:t>
            </w:r>
          </w:p>
        </w:tc>
        <w:tc>
          <w:tcPr>
            <w:tcW w:w="1984" w:type="dxa"/>
          </w:tcPr>
          <w:p w14:paraId="138DA8C5"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w:t>
            </w:r>
          </w:p>
        </w:tc>
        <w:tc>
          <w:tcPr>
            <w:tcW w:w="2127" w:type="dxa"/>
          </w:tcPr>
          <w:p w14:paraId="3C9054D3"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515 (22.0)</w:t>
            </w:r>
          </w:p>
        </w:tc>
      </w:tr>
      <w:tr w:rsidR="00DE65CD" w:rsidRPr="00103A0B" w14:paraId="46DF7B19" w14:textId="77777777" w:rsidTr="00BB2420">
        <w:trPr>
          <w:trHeight w:val="278"/>
        </w:trPr>
        <w:tc>
          <w:tcPr>
            <w:tcW w:w="3545" w:type="dxa"/>
            <w:gridSpan w:val="2"/>
            <w:vMerge/>
          </w:tcPr>
          <w:p w14:paraId="59EEF0A5" w14:textId="77777777" w:rsidR="00DE65CD" w:rsidRPr="00103A0B" w:rsidRDefault="00DE65CD" w:rsidP="00CD5919">
            <w:pPr>
              <w:contextualSpacing/>
              <w:jc w:val="both"/>
              <w:rPr>
                <w:rFonts w:ascii="Arial" w:hAnsi="Arial" w:cs="Arial"/>
                <w:sz w:val="24"/>
                <w:szCs w:val="24"/>
              </w:rPr>
            </w:pPr>
          </w:p>
        </w:tc>
        <w:tc>
          <w:tcPr>
            <w:tcW w:w="2835" w:type="dxa"/>
          </w:tcPr>
          <w:p w14:paraId="3E92CE59"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No</w:t>
            </w:r>
          </w:p>
        </w:tc>
        <w:tc>
          <w:tcPr>
            <w:tcW w:w="1984" w:type="dxa"/>
          </w:tcPr>
          <w:p w14:paraId="2102EF18" w14:textId="77777777" w:rsidR="00DE65CD" w:rsidRPr="00103A0B" w:rsidRDefault="00DE65CD" w:rsidP="00CD5919">
            <w:pPr>
              <w:contextualSpacing/>
              <w:jc w:val="both"/>
              <w:rPr>
                <w:rFonts w:ascii="Arial" w:hAnsi="Arial" w:cs="Arial"/>
                <w:sz w:val="24"/>
                <w:szCs w:val="24"/>
              </w:rPr>
            </w:pPr>
            <w:r w:rsidRPr="00103A0B">
              <w:rPr>
                <w:rFonts w:ascii="Arial" w:hAnsi="Arial" w:cs="Arial"/>
                <w:sz w:val="24"/>
                <w:szCs w:val="24"/>
              </w:rPr>
              <w:t>-</w:t>
            </w:r>
          </w:p>
        </w:tc>
        <w:tc>
          <w:tcPr>
            <w:tcW w:w="2127" w:type="dxa"/>
          </w:tcPr>
          <w:p w14:paraId="089B3F7E" w14:textId="77777777" w:rsidR="00DE65CD" w:rsidRPr="00103A0B" w:rsidRDefault="00DE65CD" w:rsidP="00CD5919">
            <w:pPr>
              <w:contextualSpacing/>
              <w:jc w:val="both"/>
              <w:rPr>
                <w:rFonts w:ascii="Arial" w:hAnsi="Arial" w:cs="Arial"/>
                <w:sz w:val="24"/>
                <w:szCs w:val="24"/>
              </w:rPr>
            </w:pPr>
            <w:r w:rsidRPr="00103A0B">
              <w:rPr>
                <w:rFonts w:ascii="Arial" w:hAnsi="Arial" w:cs="Arial"/>
                <w:color w:val="010205"/>
                <w:sz w:val="24"/>
                <w:szCs w:val="24"/>
              </w:rPr>
              <w:t>1,829 (78.0)</w:t>
            </w:r>
          </w:p>
        </w:tc>
      </w:tr>
    </w:tbl>
    <w:p w14:paraId="06823C03" w14:textId="77777777" w:rsidR="00DE65CD" w:rsidRPr="00103A0B" w:rsidRDefault="00DE65CD" w:rsidP="00CD5919">
      <w:pPr>
        <w:jc w:val="both"/>
        <w:rPr>
          <w:rFonts w:ascii="Arial" w:hAnsi="Arial" w:cs="Arial"/>
          <w:sz w:val="16"/>
          <w:szCs w:val="16"/>
        </w:rPr>
      </w:pPr>
      <w:r w:rsidRPr="00103A0B">
        <w:rPr>
          <w:rFonts w:ascii="Arial" w:hAnsi="Arial" w:cs="Arial"/>
          <w:sz w:val="16"/>
          <w:szCs w:val="16"/>
        </w:rPr>
        <w:t xml:space="preserve">Key: LR=binomial logistic regression </w:t>
      </w:r>
    </w:p>
    <w:p w14:paraId="681D1EF5" w14:textId="77777777" w:rsidR="00492C98" w:rsidRPr="00103A0B" w:rsidRDefault="00492C98" w:rsidP="00CD5919">
      <w:pPr>
        <w:spacing w:line="360" w:lineRule="auto"/>
        <w:jc w:val="both"/>
        <w:rPr>
          <w:rFonts w:ascii="Arial" w:hAnsi="Arial" w:cs="Arial"/>
          <w:i/>
          <w:sz w:val="24"/>
          <w:szCs w:val="24"/>
        </w:rPr>
        <w:sectPr w:rsidR="00492C98" w:rsidRPr="00103A0B" w:rsidSect="00731909">
          <w:pgSz w:w="11906" w:h="16838" w:code="9"/>
          <w:pgMar w:top="1440" w:right="1440" w:bottom="1440" w:left="1440" w:header="709" w:footer="709" w:gutter="0"/>
          <w:cols w:space="708"/>
          <w:docGrid w:linePitch="360"/>
        </w:sectPr>
      </w:pPr>
    </w:p>
    <w:p w14:paraId="365F1373" w14:textId="66961127" w:rsidR="00427BFE" w:rsidRPr="00103A0B" w:rsidRDefault="00427BFE" w:rsidP="00CD5919">
      <w:pPr>
        <w:spacing w:line="360" w:lineRule="auto"/>
        <w:jc w:val="both"/>
        <w:rPr>
          <w:rFonts w:ascii="Arial" w:hAnsi="Arial" w:cs="Arial"/>
          <w:b/>
          <w:bCs/>
          <w:sz w:val="24"/>
          <w:szCs w:val="24"/>
        </w:rPr>
      </w:pPr>
      <w:r w:rsidRPr="00103A0B">
        <w:rPr>
          <w:rFonts w:ascii="Arial" w:hAnsi="Arial" w:cs="Arial"/>
          <w:b/>
          <w:bCs/>
          <w:sz w:val="24"/>
          <w:szCs w:val="24"/>
        </w:rPr>
        <w:lastRenderedPageBreak/>
        <w:t>7.3.2 Predictors for Uptake</w:t>
      </w:r>
    </w:p>
    <w:p w14:paraId="7CDDD118" w14:textId="6BF5F93E" w:rsidR="00492C98"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Data were checked for independence from errors. For uptake, the chi-squared goodness-of-fit statistic showed there was no overdispersion (</w:t>
      </w:r>
      <w:r w:rsidRPr="00103A0B">
        <w:rPr>
          <w:rFonts w:ascii="Arial" w:hAnsi="Arial" w:cs="Arial"/>
          <w:sz w:val="24"/>
          <w:szCs w:val="24"/>
        </w:rPr>
        <w:sym w:font="Symbol" w:char="F063"/>
      </w:r>
      <w:r w:rsidRPr="00103A0B">
        <w:rPr>
          <w:rFonts w:ascii="Arial" w:hAnsi="Arial" w:cs="Arial"/>
          <w:sz w:val="24"/>
          <w:szCs w:val="24"/>
          <w:vertAlign w:val="superscript"/>
        </w:rPr>
        <w:t>2</w:t>
      </w:r>
      <w:r w:rsidRPr="00103A0B">
        <w:rPr>
          <w:rFonts w:ascii="Arial" w:hAnsi="Arial" w:cs="Arial"/>
          <w:sz w:val="24"/>
          <w:szCs w:val="24"/>
        </w:rPr>
        <w:t xml:space="preserve"> (8): 4.844, </w:t>
      </w:r>
      <w:r w:rsidRPr="00103A0B">
        <w:rPr>
          <w:rFonts w:ascii="Arial" w:hAnsi="Arial" w:cs="Arial"/>
          <w:i/>
          <w:iCs/>
          <w:sz w:val="24"/>
          <w:szCs w:val="24"/>
        </w:rPr>
        <w:t>p</w:t>
      </w:r>
      <w:r w:rsidRPr="00103A0B">
        <w:rPr>
          <w:rFonts w:ascii="Arial" w:hAnsi="Arial" w:cs="Arial"/>
          <w:sz w:val="24"/>
          <w:szCs w:val="24"/>
        </w:rPr>
        <w:t xml:space="preserve"> = .774). There was no evidence of collinearity between the predictor variables. Assumptions of linearity between the continuous predictors (IPQ, GS-ES) and the logit of the outcome variable were met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author":[{"dropping-particle":"","family":"Field","given":"Andy","non-dropping-particle":"","parse-names":false,"suffix":""}],"edition":"5th","id":"ITEM-1","issued":{"date-parts":[["2018"]]},"number-of-pages":"1-993","publisher":"SAGE Publications Ltd","publisher-place":"London","title":"Discovering statistics using IBM SPSS statistics","type":"book"},"uris":["http://www.mendeley.com/documents/?uuid=b6b61249-2488-454d-86b7-e13b9b38504b"]}],"mendeley":{"formattedCitation":"(Field, 2018)","plainTextFormattedCitation":"(Field, 2018)","previouslyFormattedCitation":"(Field,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(Field, 2018)</w:t>
      </w:r>
      <w:r w:rsidRPr="00103A0B">
        <w:rPr>
          <w:rFonts w:ascii="Arial" w:hAnsi="Arial" w:cs="Arial"/>
          <w:sz w:val="24"/>
          <w:szCs w:val="24"/>
        </w:rPr>
        <w:fldChar w:fldCharType="end"/>
      </w:r>
      <w:r w:rsidRPr="00103A0B">
        <w:rPr>
          <w:rFonts w:ascii="Arial" w:hAnsi="Arial" w:cs="Arial"/>
          <w:sz w:val="24"/>
          <w:szCs w:val="24"/>
        </w:rPr>
        <w:t>. The programme area with the lowest uptake was used as the reference category (</w:t>
      </w:r>
      <w:proofErr w:type="gramStart"/>
      <w:r w:rsidRPr="00103A0B">
        <w:rPr>
          <w:rFonts w:ascii="Arial" w:hAnsi="Arial" w:cs="Arial"/>
          <w:sz w:val="24"/>
          <w:szCs w:val="24"/>
        </w:rPr>
        <w:t>North East</w:t>
      </w:r>
      <w:proofErr w:type="gramEnd"/>
      <w:r w:rsidRPr="00103A0B">
        <w:rPr>
          <w:rFonts w:ascii="Arial" w:hAnsi="Arial" w:cs="Arial"/>
          <w:sz w:val="24"/>
          <w:szCs w:val="24"/>
        </w:rPr>
        <w:t xml:space="preserve"> London: 51.2%, n=608). Overall, the model had a good fit against the null model (</w:t>
      </w:r>
      <w:r w:rsidRPr="00103A0B">
        <w:rPr>
          <w:rFonts w:ascii="Arial" w:hAnsi="Arial" w:cs="Arial"/>
          <w:sz w:val="24"/>
          <w:szCs w:val="24"/>
        </w:rPr>
        <w:sym w:font="Symbol" w:char="F063"/>
      </w:r>
      <w:r w:rsidRPr="00103A0B">
        <w:rPr>
          <w:rFonts w:ascii="Arial" w:hAnsi="Arial" w:cs="Arial"/>
          <w:sz w:val="24"/>
          <w:szCs w:val="24"/>
          <w:vertAlign w:val="superscript"/>
        </w:rPr>
        <w:t>2</w:t>
      </w:r>
      <w:r w:rsidRPr="00103A0B">
        <w:rPr>
          <w:rFonts w:ascii="Arial" w:hAnsi="Arial" w:cs="Arial"/>
          <w:sz w:val="24"/>
          <w:szCs w:val="24"/>
        </w:rPr>
        <w:t xml:space="preserve"> (29): 223.931, </w:t>
      </w:r>
      <w:r w:rsidRPr="00103A0B">
        <w:rPr>
          <w:rFonts w:ascii="Arial" w:hAnsi="Arial" w:cs="Arial"/>
          <w:i/>
          <w:iCs/>
          <w:sz w:val="24"/>
          <w:szCs w:val="24"/>
        </w:rPr>
        <w:t>p</w:t>
      </w:r>
      <w:r w:rsidRPr="00103A0B">
        <w:rPr>
          <w:rFonts w:ascii="Arial" w:hAnsi="Arial" w:cs="Arial"/>
          <w:sz w:val="24"/>
          <w:szCs w:val="24"/>
        </w:rPr>
        <w:t xml:space="preserve"> =&lt;.001), but explained just 8% of variance (</w:t>
      </w:r>
      <w:proofErr w:type="spellStart"/>
      <w:r w:rsidRPr="00103A0B">
        <w:rPr>
          <w:rFonts w:ascii="Arial" w:hAnsi="Arial" w:cs="Arial"/>
          <w:sz w:val="24"/>
          <w:szCs w:val="24"/>
        </w:rPr>
        <w:t>Nagelkerke</w:t>
      </w:r>
      <w:proofErr w:type="spellEnd"/>
      <w:r w:rsidRPr="00103A0B">
        <w:rPr>
          <w:rFonts w:ascii="Arial" w:hAnsi="Arial" w:cs="Arial"/>
          <w:sz w:val="24"/>
          <w:szCs w:val="24"/>
        </w:rPr>
        <w:t xml:space="preserve"> R</w:t>
      </w:r>
      <w:r w:rsidRPr="00103A0B">
        <w:rPr>
          <w:rFonts w:ascii="Arial" w:hAnsi="Arial" w:cs="Arial"/>
          <w:sz w:val="24"/>
          <w:szCs w:val="24"/>
          <w:vertAlign w:val="superscript"/>
        </w:rPr>
        <w:t>2</w:t>
      </w:r>
      <w:r w:rsidRPr="00103A0B">
        <w:rPr>
          <w:rFonts w:ascii="Arial" w:hAnsi="Arial" w:cs="Arial"/>
          <w:sz w:val="24"/>
          <w:szCs w:val="24"/>
        </w:rPr>
        <w:t xml:space="preserve">=.078). </w:t>
      </w:r>
    </w:p>
    <w:p w14:paraId="24E12D9A" w14:textId="63E2ACA8" w:rsidR="00492C98"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Higher scores on the IPQ item related to treatment control (view treatment as being effective in controlling their prediabetes) and illness concern (more concerned about their prediabetes), were associated with significantly increased odds of starting the NHSDPP (treatment control OR=1.03; CI=1.01-1.06</w:t>
      </w:r>
      <w:r w:rsidRPr="00103A0B">
        <w:rPr>
          <w:rFonts w:ascii="Arial" w:hAnsi="Arial" w:cs="Arial"/>
          <w:color w:val="010205"/>
          <w:sz w:val="24"/>
          <w:szCs w:val="24"/>
        </w:rPr>
        <w:t xml:space="preserve">; illness concern </w:t>
      </w:r>
      <w:r w:rsidRPr="00103A0B">
        <w:rPr>
          <w:rFonts w:ascii="Arial" w:hAnsi="Arial" w:cs="Arial"/>
          <w:sz w:val="24"/>
          <w:szCs w:val="24"/>
        </w:rPr>
        <w:t xml:space="preserve">OR=1.06; CI=1.04-1.09) (Table </w:t>
      </w:r>
      <w:r w:rsidR="00DE65CD" w:rsidRPr="00103A0B">
        <w:rPr>
          <w:rFonts w:ascii="Arial" w:hAnsi="Arial" w:cs="Arial"/>
          <w:sz w:val="24"/>
          <w:szCs w:val="24"/>
        </w:rPr>
        <w:t>8</w:t>
      </w:r>
      <w:r w:rsidRPr="00103A0B">
        <w:rPr>
          <w:rFonts w:ascii="Arial" w:hAnsi="Arial" w:cs="Arial"/>
          <w:sz w:val="24"/>
          <w:szCs w:val="24"/>
        </w:rPr>
        <w:t xml:space="preserve">). Compared with individuals with high WEMWBS scores, those with medium WEMWBS scores (moderate </w:t>
      </w:r>
      <w:r w:rsidRPr="00103A0B">
        <w:rPr>
          <w:rFonts w:ascii="Arial" w:eastAsia="Times New Roman" w:hAnsi="Arial" w:cs="Arial"/>
          <w:sz w:val="24"/>
          <w:szCs w:val="24"/>
          <w:lang w:eastAsia="en-GB"/>
        </w:rPr>
        <w:t>MWB</w:t>
      </w:r>
      <w:r w:rsidRPr="00103A0B">
        <w:rPr>
          <w:rFonts w:ascii="Arial" w:hAnsi="Arial" w:cs="Arial"/>
          <w:sz w:val="24"/>
          <w:szCs w:val="24"/>
        </w:rPr>
        <w:t xml:space="preserve">), had </w:t>
      </w:r>
      <w:proofErr w:type="gramStart"/>
      <w:r w:rsidRPr="00103A0B">
        <w:rPr>
          <w:rFonts w:ascii="Arial" w:hAnsi="Arial" w:cs="Arial"/>
          <w:sz w:val="24"/>
          <w:szCs w:val="24"/>
        </w:rPr>
        <w:t>an 18% higher odds</w:t>
      </w:r>
      <w:proofErr w:type="gramEnd"/>
      <w:r w:rsidRPr="00103A0B">
        <w:rPr>
          <w:rFonts w:ascii="Arial" w:hAnsi="Arial" w:cs="Arial"/>
          <w:sz w:val="24"/>
          <w:szCs w:val="24"/>
        </w:rPr>
        <w:t xml:space="preserve"> of starting (OR=1.18; CI=1.01-1.39). There were no associations between uptake and low WEMWBS, or self-efficacy. </w:t>
      </w:r>
    </w:p>
    <w:p w14:paraId="462707DC" w14:textId="77777777" w:rsidR="00DB1444"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 xml:space="preserve">Compared to participants living in </w:t>
      </w:r>
      <w:proofErr w:type="gramStart"/>
      <w:r w:rsidRPr="00103A0B">
        <w:rPr>
          <w:rFonts w:ascii="Arial" w:hAnsi="Arial" w:cs="Arial"/>
          <w:sz w:val="24"/>
          <w:szCs w:val="24"/>
        </w:rPr>
        <w:t>North East</w:t>
      </w:r>
      <w:proofErr w:type="gramEnd"/>
      <w:r w:rsidRPr="00103A0B">
        <w:rPr>
          <w:rFonts w:ascii="Arial" w:hAnsi="Arial" w:cs="Arial"/>
          <w:sz w:val="24"/>
          <w:szCs w:val="24"/>
        </w:rPr>
        <w:t xml:space="preserve"> London, the odds of starting the NHSDPP was significantly higher in those living in Cumbria (OR=1.69; CI=1.22-2.34), and West Yorkshire (OR=1.80; CI=1.20-2.69). As age increased, there was a significant increase in the odds of a person starting the NHSDPP when compared to the under-40s. Those who were ≥75 years of age had a significant 187% increased odds of starting when compared to the under-40s (OR= 2.87; CI=1.95-4.22). Compared with participants classified as White British/White, the odds of starting </w:t>
      </w:r>
      <w:proofErr w:type="gramStart"/>
      <w:r w:rsidRPr="00103A0B">
        <w:rPr>
          <w:rFonts w:ascii="Arial" w:hAnsi="Arial" w:cs="Arial"/>
          <w:sz w:val="24"/>
          <w:szCs w:val="24"/>
        </w:rPr>
        <w:t>was</w:t>
      </w:r>
      <w:proofErr w:type="gramEnd"/>
      <w:r w:rsidRPr="00103A0B">
        <w:rPr>
          <w:rFonts w:ascii="Arial" w:hAnsi="Arial" w:cs="Arial"/>
          <w:sz w:val="24"/>
          <w:szCs w:val="24"/>
        </w:rPr>
        <w:t xml:space="preserve"> 34% significantly higher in those from a Black ethnic group (OR=1.34; CI=1.07-1.68), and higher in those from a mixed ethnic group (borderline significant) (OR=1.60; CI=1.00-2.54). Compared with participants from more deprived areas (quintile 1), the odds of starting </w:t>
      </w:r>
      <w:proofErr w:type="gramStart"/>
      <w:r w:rsidRPr="00103A0B">
        <w:rPr>
          <w:rFonts w:ascii="Arial" w:hAnsi="Arial" w:cs="Arial"/>
          <w:sz w:val="24"/>
          <w:szCs w:val="24"/>
        </w:rPr>
        <w:t>was</w:t>
      </w:r>
      <w:proofErr w:type="gramEnd"/>
      <w:r w:rsidRPr="00103A0B">
        <w:rPr>
          <w:rFonts w:ascii="Arial" w:hAnsi="Arial" w:cs="Arial"/>
          <w:sz w:val="24"/>
          <w:szCs w:val="24"/>
        </w:rPr>
        <w:t xml:space="preserve"> higher in those who lived in more affluent areas (quintile 4 - OR=1.34; CI=1.05-1.73</w:t>
      </w:r>
      <w:r w:rsidRPr="00103A0B">
        <w:rPr>
          <w:rFonts w:ascii="Arial" w:hAnsi="Arial" w:cs="Arial"/>
          <w:color w:val="010205"/>
          <w:sz w:val="24"/>
          <w:szCs w:val="24"/>
        </w:rPr>
        <w:t xml:space="preserve">; </w:t>
      </w:r>
      <w:r w:rsidRPr="00103A0B">
        <w:rPr>
          <w:rFonts w:ascii="Arial" w:hAnsi="Arial" w:cs="Arial"/>
          <w:sz w:val="24"/>
          <w:szCs w:val="24"/>
        </w:rPr>
        <w:t xml:space="preserve">quintile 5 - OR=1.62; CI=1.25-2.10). </w:t>
      </w:r>
    </w:p>
    <w:p w14:paraId="1330C57F" w14:textId="77777777" w:rsidR="00DB1444" w:rsidRPr="00103A0B" w:rsidRDefault="00DB1444" w:rsidP="00960B76">
      <w:pPr>
        <w:keepNext/>
        <w:keepLines/>
        <w:spacing w:line="360" w:lineRule="auto"/>
        <w:jc w:val="both"/>
        <w:rPr>
          <w:rFonts w:ascii="Arial" w:hAnsi="Arial" w:cs="Arial"/>
          <w:i/>
          <w:iCs/>
          <w:sz w:val="24"/>
          <w:szCs w:val="24"/>
        </w:rPr>
        <w:sectPr w:rsidR="00DB1444" w:rsidRPr="00103A0B" w:rsidSect="00DB1444">
          <w:pgSz w:w="11906" w:h="16838"/>
          <w:pgMar w:top="1440" w:right="1440" w:bottom="1440" w:left="1440" w:header="709" w:footer="709" w:gutter="0"/>
          <w:cols w:space="708"/>
          <w:docGrid w:linePitch="360"/>
        </w:sectPr>
      </w:pPr>
    </w:p>
    <w:tbl>
      <w:tblPr>
        <w:tblStyle w:val="TableGrid"/>
        <w:tblW w:w="14537" w:type="dxa"/>
        <w:tblLayout w:type="fixed"/>
        <w:tblLook w:val="04A0" w:firstRow="1" w:lastRow="0" w:firstColumn="1" w:lastColumn="0" w:noHBand="0" w:noVBand="1"/>
      </w:tblPr>
      <w:tblGrid>
        <w:gridCol w:w="5495"/>
        <w:gridCol w:w="2410"/>
        <w:gridCol w:w="2268"/>
        <w:gridCol w:w="2268"/>
        <w:gridCol w:w="2096"/>
      </w:tblGrid>
      <w:tr w:rsidR="00C22ED7" w:rsidRPr="00103A0B" w14:paraId="3D24F19D" w14:textId="77777777" w:rsidTr="00803D36">
        <w:trPr>
          <w:trHeight w:val="281"/>
          <w:tblHeader/>
        </w:trPr>
        <w:tc>
          <w:tcPr>
            <w:tcW w:w="14537" w:type="dxa"/>
            <w:gridSpan w:val="5"/>
          </w:tcPr>
          <w:p w14:paraId="2397A364" w14:textId="34117242" w:rsidR="00C22ED7" w:rsidRPr="00103A0B" w:rsidRDefault="00C22ED7" w:rsidP="00C22ED7">
            <w:pPr>
              <w:keepNext/>
              <w:keepLines/>
              <w:spacing w:line="360" w:lineRule="auto"/>
              <w:rPr>
                <w:rFonts w:ascii="Arial" w:hAnsi="Arial" w:cs="Arial"/>
                <w:i/>
                <w:iCs/>
                <w:sz w:val="24"/>
                <w:szCs w:val="24"/>
              </w:rPr>
            </w:pPr>
            <w:bookmarkStart w:id="385" w:name="_Hlk75196140"/>
            <w:r w:rsidRPr="00103A0B">
              <w:rPr>
                <w:rFonts w:ascii="Arial" w:hAnsi="Arial" w:cs="Arial"/>
                <w:i/>
                <w:iCs/>
                <w:sz w:val="24"/>
                <w:szCs w:val="24"/>
              </w:rPr>
              <w:lastRenderedPageBreak/>
              <w:t xml:space="preserve">Table 8: Results of the binomial logistic regression model exploring predictors of uptake of the </w:t>
            </w:r>
            <w:proofErr w:type="gramStart"/>
            <w:r w:rsidRPr="00103A0B">
              <w:rPr>
                <w:rFonts w:ascii="Arial" w:hAnsi="Arial" w:cs="Arial"/>
                <w:i/>
                <w:iCs/>
                <w:sz w:val="24"/>
                <w:szCs w:val="24"/>
              </w:rPr>
              <w:t>NHSDPP</w:t>
            </w:r>
            <w:proofErr w:type="gramEnd"/>
          </w:p>
          <w:bookmarkEnd w:id="385"/>
          <w:p w14:paraId="46802554" w14:textId="77777777" w:rsidR="00C22ED7" w:rsidRPr="00103A0B" w:rsidRDefault="00C22ED7" w:rsidP="00C22ED7">
            <w:pPr>
              <w:keepNext/>
              <w:keepLines/>
              <w:spacing w:line="276" w:lineRule="auto"/>
              <w:rPr>
                <w:rFonts w:ascii="Arial" w:hAnsi="Arial" w:cs="Arial"/>
                <w:sz w:val="24"/>
                <w:szCs w:val="24"/>
              </w:rPr>
            </w:pPr>
          </w:p>
        </w:tc>
      </w:tr>
      <w:tr w:rsidR="00DB1444" w:rsidRPr="00103A0B" w14:paraId="4E4B3C20" w14:textId="77777777" w:rsidTr="00FA3E6E">
        <w:trPr>
          <w:trHeight w:val="281"/>
          <w:tblHeader/>
        </w:trPr>
        <w:tc>
          <w:tcPr>
            <w:tcW w:w="5495" w:type="dxa"/>
          </w:tcPr>
          <w:p w14:paraId="5115626A" w14:textId="77777777" w:rsidR="00DB1444" w:rsidRPr="00103A0B" w:rsidRDefault="00DB1444" w:rsidP="00960B76">
            <w:pPr>
              <w:keepNext/>
              <w:keepLines/>
              <w:spacing w:line="276" w:lineRule="auto"/>
              <w:jc w:val="both"/>
              <w:rPr>
                <w:rFonts w:ascii="Arial" w:hAnsi="Arial" w:cs="Arial"/>
                <w:sz w:val="24"/>
                <w:szCs w:val="24"/>
              </w:rPr>
            </w:pPr>
            <w:bookmarkStart w:id="386" w:name="_Hlk36753867"/>
          </w:p>
        </w:tc>
        <w:tc>
          <w:tcPr>
            <w:tcW w:w="2410" w:type="dxa"/>
          </w:tcPr>
          <w:p w14:paraId="3C6D6F13" w14:textId="77777777" w:rsidR="00DB1444" w:rsidRPr="00103A0B" w:rsidRDefault="00DB1444" w:rsidP="00960B76">
            <w:pPr>
              <w:keepNext/>
              <w:keepLines/>
              <w:spacing w:line="276" w:lineRule="auto"/>
              <w:jc w:val="both"/>
              <w:rPr>
                <w:rFonts w:ascii="Arial" w:hAnsi="Arial" w:cs="Arial"/>
                <w:sz w:val="24"/>
                <w:szCs w:val="24"/>
              </w:rPr>
            </w:pPr>
            <w:r w:rsidRPr="00103A0B">
              <w:rPr>
                <w:rFonts w:ascii="Arial" w:hAnsi="Arial" w:cs="Arial"/>
                <w:sz w:val="24"/>
                <w:szCs w:val="24"/>
              </w:rPr>
              <w:t>Step 1</w:t>
            </w:r>
          </w:p>
        </w:tc>
        <w:tc>
          <w:tcPr>
            <w:tcW w:w="2268" w:type="dxa"/>
          </w:tcPr>
          <w:p w14:paraId="4D4AFB53" w14:textId="77777777" w:rsidR="00DB1444" w:rsidRPr="00103A0B" w:rsidRDefault="00DB1444" w:rsidP="00960B76">
            <w:pPr>
              <w:keepNext/>
              <w:keepLines/>
              <w:spacing w:line="276" w:lineRule="auto"/>
              <w:jc w:val="both"/>
              <w:rPr>
                <w:rFonts w:ascii="Arial" w:hAnsi="Arial" w:cs="Arial"/>
                <w:sz w:val="24"/>
                <w:szCs w:val="24"/>
              </w:rPr>
            </w:pPr>
            <w:r w:rsidRPr="00103A0B">
              <w:rPr>
                <w:rFonts w:ascii="Arial" w:hAnsi="Arial" w:cs="Arial"/>
                <w:sz w:val="24"/>
                <w:szCs w:val="24"/>
              </w:rPr>
              <w:t>Step 2</w:t>
            </w:r>
          </w:p>
        </w:tc>
        <w:tc>
          <w:tcPr>
            <w:tcW w:w="2268" w:type="dxa"/>
          </w:tcPr>
          <w:p w14:paraId="50988DAC" w14:textId="77777777" w:rsidR="00DB1444" w:rsidRPr="00103A0B" w:rsidRDefault="00DB1444" w:rsidP="00960B76">
            <w:pPr>
              <w:keepNext/>
              <w:keepLines/>
              <w:spacing w:line="276" w:lineRule="auto"/>
              <w:jc w:val="both"/>
              <w:rPr>
                <w:rFonts w:ascii="Arial" w:hAnsi="Arial" w:cs="Arial"/>
                <w:sz w:val="24"/>
                <w:szCs w:val="24"/>
              </w:rPr>
            </w:pPr>
            <w:r w:rsidRPr="00103A0B">
              <w:rPr>
                <w:rFonts w:ascii="Arial" w:hAnsi="Arial" w:cs="Arial"/>
                <w:sz w:val="24"/>
                <w:szCs w:val="24"/>
              </w:rPr>
              <w:t>Step 3</w:t>
            </w:r>
          </w:p>
        </w:tc>
        <w:tc>
          <w:tcPr>
            <w:tcW w:w="2096" w:type="dxa"/>
          </w:tcPr>
          <w:p w14:paraId="077FD641" w14:textId="77777777" w:rsidR="00DB1444" w:rsidRPr="00103A0B" w:rsidRDefault="00DB1444" w:rsidP="00960B76">
            <w:pPr>
              <w:keepNext/>
              <w:keepLines/>
              <w:spacing w:line="276" w:lineRule="auto"/>
              <w:jc w:val="both"/>
              <w:rPr>
                <w:rFonts w:ascii="Arial" w:hAnsi="Arial" w:cs="Arial"/>
                <w:sz w:val="24"/>
                <w:szCs w:val="24"/>
              </w:rPr>
            </w:pPr>
            <w:r w:rsidRPr="00103A0B">
              <w:rPr>
                <w:rFonts w:ascii="Arial" w:hAnsi="Arial" w:cs="Arial"/>
                <w:sz w:val="24"/>
                <w:szCs w:val="24"/>
              </w:rPr>
              <w:t>Step 4</w:t>
            </w:r>
          </w:p>
        </w:tc>
      </w:tr>
      <w:tr w:rsidR="00DB1444" w:rsidRPr="00103A0B" w14:paraId="3C42A255" w14:textId="77777777" w:rsidTr="00FA3E6E">
        <w:trPr>
          <w:trHeight w:val="281"/>
        </w:trPr>
        <w:tc>
          <w:tcPr>
            <w:tcW w:w="5495" w:type="dxa"/>
          </w:tcPr>
          <w:p w14:paraId="374E8087" w14:textId="77777777" w:rsidR="00DB1444" w:rsidRPr="00103A0B" w:rsidRDefault="00DB1444" w:rsidP="00C10D64">
            <w:pPr>
              <w:spacing w:line="276" w:lineRule="auto"/>
              <w:jc w:val="both"/>
              <w:rPr>
                <w:rFonts w:ascii="Arial" w:hAnsi="Arial" w:cs="Arial"/>
                <w:sz w:val="24"/>
                <w:szCs w:val="24"/>
              </w:rPr>
            </w:pPr>
          </w:p>
        </w:tc>
        <w:tc>
          <w:tcPr>
            <w:tcW w:w="9042" w:type="dxa"/>
            <w:gridSpan w:val="4"/>
          </w:tcPr>
          <w:p w14:paraId="59A579E8" w14:textId="77777777" w:rsidR="00DB1444" w:rsidRPr="00103A0B" w:rsidRDefault="00DB1444" w:rsidP="00C10D64">
            <w:pPr>
              <w:spacing w:line="276" w:lineRule="auto"/>
              <w:jc w:val="both"/>
              <w:rPr>
                <w:rFonts w:ascii="Arial" w:hAnsi="Arial" w:cs="Arial"/>
                <w:i/>
                <w:iCs/>
                <w:sz w:val="24"/>
                <w:szCs w:val="24"/>
              </w:rPr>
            </w:pPr>
            <w:r w:rsidRPr="00103A0B">
              <w:rPr>
                <w:rFonts w:ascii="Arial" w:hAnsi="Arial" w:cs="Arial"/>
                <w:sz w:val="24"/>
                <w:szCs w:val="24"/>
              </w:rPr>
              <w:t>OR (95% CI)</w:t>
            </w:r>
          </w:p>
        </w:tc>
      </w:tr>
      <w:tr w:rsidR="00DB1444" w:rsidRPr="00103A0B" w14:paraId="626BF5A0" w14:textId="77777777" w:rsidTr="00FA3E6E">
        <w:trPr>
          <w:trHeight w:val="281"/>
        </w:trPr>
        <w:tc>
          <w:tcPr>
            <w:tcW w:w="5495" w:type="dxa"/>
          </w:tcPr>
          <w:p w14:paraId="635A63AE"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b/>
                <w:bCs/>
                <w:sz w:val="24"/>
                <w:szCs w:val="24"/>
              </w:rPr>
              <w:t>Programme area</w:t>
            </w:r>
            <w:r w:rsidRPr="00103A0B">
              <w:rPr>
                <w:rFonts w:ascii="Arial" w:hAnsi="Arial" w:cs="Arial"/>
                <w:sz w:val="24"/>
                <w:szCs w:val="24"/>
              </w:rPr>
              <w:t xml:space="preserve"> [</w:t>
            </w:r>
            <w:proofErr w:type="gramStart"/>
            <w:r w:rsidRPr="00103A0B">
              <w:rPr>
                <w:rFonts w:ascii="Arial" w:hAnsi="Arial" w:cs="Arial"/>
                <w:sz w:val="24"/>
                <w:szCs w:val="24"/>
              </w:rPr>
              <w:t>North East</w:t>
            </w:r>
            <w:proofErr w:type="gramEnd"/>
            <w:r w:rsidRPr="00103A0B">
              <w:rPr>
                <w:rFonts w:ascii="Arial" w:hAnsi="Arial" w:cs="Arial"/>
                <w:sz w:val="24"/>
                <w:szCs w:val="24"/>
              </w:rPr>
              <w:t xml:space="preserve"> London]</w:t>
            </w:r>
          </w:p>
        </w:tc>
        <w:tc>
          <w:tcPr>
            <w:tcW w:w="2410" w:type="dxa"/>
            <w:vAlign w:val="center"/>
          </w:tcPr>
          <w:p w14:paraId="1DAEEB05" w14:textId="77777777" w:rsidR="00DB1444" w:rsidRPr="00103A0B" w:rsidRDefault="00DB1444" w:rsidP="00C10D64">
            <w:pPr>
              <w:spacing w:line="276" w:lineRule="auto"/>
              <w:jc w:val="both"/>
              <w:rPr>
                <w:rFonts w:ascii="Arial" w:hAnsi="Arial" w:cs="Arial"/>
              </w:rPr>
            </w:pPr>
          </w:p>
        </w:tc>
        <w:tc>
          <w:tcPr>
            <w:tcW w:w="2268" w:type="dxa"/>
            <w:vAlign w:val="center"/>
          </w:tcPr>
          <w:p w14:paraId="5A7AEC5E" w14:textId="77777777" w:rsidR="00DB1444" w:rsidRPr="00103A0B" w:rsidRDefault="00DB1444" w:rsidP="00C10D64">
            <w:pPr>
              <w:spacing w:line="276" w:lineRule="auto"/>
              <w:jc w:val="both"/>
              <w:rPr>
                <w:rFonts w:ascii="Arial" w:hAnsi="Arial" w:cs="Arial"/>
              </w:rPr>
            </w:pPr>
          </w:p>
        </w:tc>
        <w:tc>
          <w:tcPr>
            <w:tcW w:w="2268" w:type="dxa"/>
          </w:tcPr>
          <w:p w14:paraId="38CAABEA" w14:textId="77777777" w:rsidR="00DB1444" w:rsidRPr="00103A0B" w:rsidRDefault="00DB1444" w:rsidP="00C10D64">
            <w:pPr>
              <w:spacing w:line="276" w:lineRule="auto"/>
              <w:jc w:val="both"/>
              <w:rPr>
                <w:rFonts w:ascii="Arial" w:hAnsi="Arial" w:cs="Arial"/>
              </w:rPr>
            </w:pPr>
          </w:p>
        </w:tc>
        <w:tc>
          <w:tcPr>
            <w:tcW w:w="2096" w:type="dxa"/>
          </w:tcPr>
          <w:p w14:paraId="5231FAB6" w14:textId="77777777" w:rsidR="00DB1444" w:rsidRPr="00103A0B" w:rsidRDefault="00DB1444" w:rsidP="00C10D64">
            <w:pPr>
              <w:spacing w:line="276" w:lineRule="auto"/>
              <w:jc w:val="both"/>
              <w:rPr>
                <w:rFonts w:ascii="Arial" w:hAnsi="Arial" w:cs="Arial"/>
              </w:rPr>
            </w:pPr>
          </w:p>
        </w:tc>
      </w:tr>
      <w:tr w:rsidR="00DB1444" w:rsidRPr="00103A0B" w14:paraId="7C3680BD" w14:textId="77777777" w:rsidTr="00FA3E6E">
        <w:trPr>
          <w:trHeight w:val="281"/>
        </w:trPr>
        <w:tc>
          <w:tcPr>
            <w:tcW w:w="5495" w:type="dxa"/>
          </w:tcPr>
          <w:p w14:paraId="62BAEF56" w14:textId="77777777" w:rsidR="00DB1444" w:rsidRPr="00103A0B" w:rsidRDefault="00DB1444" w:rsidP="00C10D64">
            <w:pPr>
              <w:spacing w:line="276" w:lineRule="auto"/>
              <w:jc w:val="both"/>
              <w:rPr>
                <w:rFonts w:ascii="Arial" w:hAnsi="Arial" w:cs="Arial"/>
                <w:sz w:val="24"/>
                <w:szCs w:val="24"/>
              </w:rPr>
            </w:pPr>
            <w:bookmarkStart w:id="387" w:name="_Hlk36748432"/>
            <w:r w:rsidRPr="00103A0B">
              <w:rPr>
                <w:rFonts w:ascii="Arial" w:hAnsi="Arial" w:cs="Arial"/>
                <w:sz w:val="24"/>
                <w:szCs w:val="24"/>
              </w:rPr>
              <w:t xml:space="preserve">Cumbria </w:t>
            </w:r>
          </w:p>
        </w:tc>
        <w:tc>
          <w:tcPr>
            <w:tcW w:w="2410" w:type="dxa"/>
          </w:tcPr>
          <w:p w14:paraId="387CABE1"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1.56 (1.13-2.</w:t>
            </w:r>
            <w:proofErr w:type="gramStart"/>
            <w:r w:rsidRPr="00103A0B">
              <w:rPr>
                <w:rFonts w:ascii="Arial" w:hAnsi="Arial" w:cs="Arial"/>
                <w:color w:val="010205"/>
              </w:rPr>
              <w:t>15)*</w:t>
            </w:r>
            <w:proofErr w:type="gramEnd"/>
            <w:r w:rsidRPr="00103A0B">
              <w:rPr>
                <w:rFonts w:ascii="Arial" w:hAnsi="Arial" w:cs="Arial"/>
                <w:color w:val="010205"/>
              </w:rPr>
              <w:t>*</w:t>
            </w:r>
          </w:p>
        </w:tc>
        <w:tc>
          <w:tcPr>
            <w:tcW w:w="2268" w:type="dxa"/>
          </w:tcPr>
          <w:p w14:paraId="21DAB753"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1.68 (1.21-2.</w:t>
            </w:r>
            <w:proofErr w:type="gramStart"/>
            <w:r w:rsidRPr="00103A0B">
              <w:rPr>
                <w:rFonts w:ascii="Arial" w:hAnsi="Arial" w:cs="Arial"/>
                <w:color w:val="010205"/>
              </w:rPr>
              <w:t>33)*</w:t>
            </w:r>
            <w:proofErr w:type="gramEnd"/>
            <w:r w:rsidRPr="00103A0B">
              <w:rPr>
                <w:rFonts w:ascii="Arial" w:hAnsi="Arial" w:cs="Arial"/>
                <w:color w:val="010205"/>
              </w:rPr>
              <w:t>*</w:t>
            </w:r>
          </w:p>
        </w:tc>
        <w:tc>
          <w:tcPr>
            <w:tcW w:w="2268" w:type="dxa"/>
          </w:tcPr>
          <w:p w14:paraId="5EB7A3CC"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1.67 (1.21-2.</w:t>
            </w:r>
            <w:proofErr w:type="gramStart"/>
            <w:r w:rsidRPr="00103A0B">
              <w:rPr>
                <w:rFonts w:ascii="Arial" w:hAnsi="Arial" w:cs="Arial"/>
                <w:color w:val="010205"/>
              </w:rPr>
              <w:t>32)*</w:t>
            </w:r>
            <w:proofErr w:type="gramEnd"/>
            <w:r w:rsidRPr="00103A0B">
              <w:rPr>
                <w:rFonts w:ascii="Arial" w:hAnsi="Arial" w:cs="Arial"/>
                <w:color w:val="010205"/>
              </w:rPr>
              <w:t>*</w:t>
            </w:r>
          </w:p>
        </w:tc>
        <w:tc>
          <w:tcPr>
            <w:tcW w:w="2096" w:type="dxa"/>
          </w:tcPr>
          <w:p w14:paraId="4613AF3D"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1.69 (1.22-2.</w:t>
            </w:r>
            <w:proofErr w:type="gramStart"/>
            <w:r w:rsidRPr="00103A0B">
              <w:rPr>
                <w:rFonts w:ascii="Arial" w:hAnsi="Arial" w:cs="Arial"/>
                <w:color w:val="010205"/>
              </w:rPr>
              <w:t>34)*</w:t>
            </w:r>
            <w:proofErr w:type="gramEnd"/>
            <w:r w:rsidRPr="00103A0B">
              <w:rPr>
                <w:rFonts w:ascii="Arial" w:hAnsi="Arial" w:cs="Arial"/>
                <w:color w:val="010205"/>
              </w:rPr>
              <w:t>*</w:t>
            </w:r>
          </w:p>
        </w:tc>
      </w:tr>
      <w:bookmarkEnd w:id="387"/>
      <w:tr w:rsidR="00DB1444" w:rsidRPr="00103A0B" w14:paraId="2A012740" w14:textId="77777777" w:rsidTr="00FA3E6E">
        <w:trPr>
          <w:trHeight w:val="281"/>
        </w:trPr>
        <w:tc>
          <w:tcPr>
            <w:tcW w:w="5495" w:type="dxa"/>
          </w:tcPr>
          <w:p w14:paraId="51F5BABC"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 xml:space="preserve">Herefordshire </w:t>
            </w:r>
          </w:p>
        </w:tc>
        <w:tc>
          <w:tcPr>
            <w:tcW w:w="2410" w:type="dxa"/>
          </w:tcPr>
          <w:p w14:paraId="5B09A3AC"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1.18 (0.84-1.65)</w:t>
            </w:r>
          </w:p>
        </w:tc>
        <w:tc>
          <w:tcPr>
            <w:tcW w:w="2268" w:type="dxa"/>
          </w:tcPr>
          <w:p w14:paraId="1BD8F479"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1.23 (0.88-1.72)</w:t>
            </w:r>
          </w:p>
        </w:tc>
        <w:tc>
          <w:tcPr>
            <w:tcW w:w="2268" w:type="dxa"/>
          </w:tcPr>
          <w:p w14:paraId="6D278A84"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1.21 (0.86-1.70)</w:t>
            </w:r>
          </w:p>
        </w:tc>
        <w:tc>
          <w:tcPr>
            <w:tcW w:w="2096" w:type="dxa"/>
          </w:tcPr>
          <w:p w14:paraId="20F9CB83"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1.21 (0.86-1.71)</w:t>
            </w:r>
          </w:p>
        </w:tc>
      </w:tr>
      <w:tr w:rsidR="00DB1444" w:rsidRPr="00103A0B" w14:paraId="33D0F573" w14:textId="77777777" w:rsidTr="00FA3E6E">
        <w:trPr>
          <w:trHeight w:val="281"/>
        </w:trPr>
        <w:tc>
          <w:tcPr>
            <w:tcW w:w="5495" w:type="dxa"/>
          </w:tcPr>
          <w:p w14:paraId="094B80BE"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 xml:space="preserve">Berkshire </w:t>
            </w:r>
          </w:p>
        </w:tc>
        <w:tc>
          <w:tcPr>
            <w:tcW w:w="2410" w:type="dxa"/>
          </w:tcPr>
          <w:p w14:paraId="3096BF3C"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0.92 (0.68-1.26)</w:t>
            </w:r>
          </w:p>
        </w:tc>
        <w:tc>
          <w:tcPr>
            <w:tcW w:w="2268" w:type="dxa"/>
          </w:tcPr>
          <w:p w14:paraId="22331BD8"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0.95 (0.70-1.30)</w:t>
            </w:r>
          </w:p>
        </w:tc>
        <w:tc>
          <w:tcPr>
            <w:tcW w:w="2268" w:type="dxa"/>
          </w:tcPr>
          <w:p w14:paraId="1DBFE60B"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0.95 (0.69-1.29)</w:t>
            </w:r>
          </w:p>
        </w:tc>
        <w:tc>
          <w:tcPr>
            <w:tcW w:w="2096" w:type="dxa"/>
          </w:tcPr>
          <w:p w14:paraId="65E8ECCA"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0.96 (0.70-1.31)</w:t>
            </w:r>
          </w:p>
        </w:tc>
      </w:tr>
      <w:tr w:rsidR="00DB1444" w:rsidRPr="00103A0B" w14:paraId="079EC714" w14:textId="77777777" w:rsidTr="00FA3E6E">
        <w:trPr>
          <w:trHeight w:val="281"/>
        </w:trPr>
        <w:tc>
          <w:tcPr>
            <w:tcW w:w="5495" w:type="dxa"/>
          </w:tcPr>
          <w:p w14:paraId="7264FE1D"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 xml:space="preserve">South London </w:t>
            </w:r>
          </w:p>
        </w:tc>
        <w:tc>
          <w:tcPr>
            <w:tcW w:w="2410" w:type="dxa"/>
          </w:tcPr>
          <w:p w14:paraId="2775875D"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1.15 (0.89-1.48)</w:t>
            </w:r>
          </w:p>
        </w:tc>
        <w:tc>
          <w:tcPr>
            <w:tcW w:w="2268" w:type="dxa"/>
          </w:tcPr>
          <w:p w14:paraId="62D6B2C1"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1.15 (0.89-1.49)</w:t>
            </w:r>
          </w:p>
        </w:tc>
        <w:tc>
          <w:tcPr>
            <w:tcW w:w="2268" w:type="dxa"/>
          </w:tcPr>
          <w:p w14:paraId="61948A40"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1.14 (0.88-1.48)</w:t>
            </w:r>
          </w:p>
        </w:tc>
        <w:tc>
          <w:tcPr>
            <w:tcW w:w="2096" w:type="dxa"/>
          </w:tcPr>
          <w:p w14:paraId="1A88A7EC"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1.15 (0.89-1.49)</w:t>
            </w:r>
          </w:p>
        </w:tc>
      </w:tr>
      <w:tr w:rsidR="00DB1444" w:rsidRPr="00103A0B" w14:paraId="5EED2A36" w14:textId="77777777" w:rsidTr="00FA3E6E">
        <w:trPr>
          <w:trHeight w:val="281"/>
        </w:trPr>
        <w:tc>
          <w:tcPr>
            <w:tcW w:w="5495" w:type="dxa"/>
          </w:tcPr>
          <w:p w14:paraId="71480289" w14:textId="77777777" w:rsidR="00DB1444" w:rsidRPr="00103A0B" w:rsidRDefault="00DB1444" w:rsidP="00C10D64">
            <w:pPr>
              <w:spacing w:line="276" w:lineRule="auto"/>
              <w:jc w:val="both"/>
              <w:rPr>
                <w:rFonts w:ascii="Arial" w:hAnsi="Arial" w:cs="Arial"/>
                <w:sz w:val="24"/>
                <w:szCs w:val="24"/>
              </w:rPr>
            </w:pPr>
            <w:bookmarkStart w:id="388" w:name="_Hlk37938175"/>
            <w:r w:rsidRPr="00103A0B">
              <w:rPr>
                <w:rFonts w:ascii="Arial" w:hAnsi="Arial" w:cs="Arial"/>
                <w:sz w:val="24"/>
                <w:szCs w:val="24"/>
              </w:rPr>
              <w:t xml:space="preserve">West Yorkshire </w:t>
            </w:r>
          </w:p>
        </w:tc>
        <w:tc>
          <w:tcPr>
            <w:tcW w:w="2410" w:type="dxa"/>
          </w:tcPr>
          <w:p w14:paraId="72962B6A"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1.61 (1.08-2.</w:t>
            </w:r>
            <w:proofErr w:type="gramStart"/>
            <w:r w:rsidRPr="00103A0B">
              <w:rPr>
                <w:rFonts w:ascii="Arial" w:hAnsi="Arial" w:cs="Arial"/>
                <w:color w:val="010205"/>
              </w:rPr>
              <w:t>40)*</w:t>
            </w:r>
            <w:proofErr w:type="gramEnd"/>
            <w:r w:rsidRPr="00103A0B">
              <w:rPr>
                <w:rFonts w:ascii="Arial" w:hAnsi="Arial" w:cs="Arial"/>
                <w:color w:val="010205"/>
              </w:rPr>
              <w:t>*</w:t>
            </w:r>
          </w:p>
        </w:tc>
        <w:tc>
          <w:tcPr>
            <w:tcW w:w="2268" w:type="dxa"/>
          </w:tcPr>
          <w:p w14:paraId="060C8636"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1.80 (1.20-2.</w:t>
            </w:r>
            <w:proofErr w:type="gramStart"/>
            <w:r w:rsidRPr="00103A0B">
              <w:rPr>
                <w:rFonts w:ascii="Arial" w:hAnsi="Arial" w:cs="Arial"/>
                <w:color w:val="010205"/>
              </w:rPr>
              <w:t>69)*</w:t>
            </w:r>
            <w:proofErr w:type="gramEnd"/>
            <w:r w:rsidRPr="00103A0B">
              <w:rPr>
                <w:rFonts w:ascii="Arial" w:hAnsi="Arial" w:cs="Arial"/>
                <w:color w:val="010205"/>
              </w:rPr>
              <w:t>*</w:t>
            </w:r>
          </w:p>
        </w:tc>
        <w:tc>
          <w:tcPr>
            <w:tcW w:w="2268" w:type="dxa"/>
          </w:tcPr>
          <w:p w14:paraId="29856D1B"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1.80 (1.20-2.</w:t>
            </w:r>
            <w:proofErr w:type="gramStart"/>
            <w:r w:rsidRPr="00103A0B">
              <w:rPr>
                <w:rFonts w:ascii="Arial" w:hAnsi="Arial" w:cs="Arial"/>
                <w:color w:val="010205"/>
              </w:rPr>
              <w:t>69)*</w:t>
            </w:r>
            <w:proofErr w:type="gramEnd"/>
            <w:r w:rsidRPr="00103A0B">
              <w:rPr>
                <w:rFonts w:ascii="Arial" w:hAnsi="Arial" w:cs="Arial"/>
                <w:color w:val="010205"/>
              </w:rPr>
              <w:t>*</w:t>
            </w:r>
          </w:p>
        </w:tc>
        <w:tc>
          <w:tcPr>
            <w:tcW w:w="2096" w:type="dxa"/>
          </w:tcPr>
          <w:p w14:paraId="7EB77414"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1.80 (1.20-2.</w:t>
            </w:r>
            <w:proofErr w:type="gramStart"/>
            <w:r w:rsidRPr="00103A0B">
              <w:rPr>
                <w:rFonts w:ascii="Arial" w:hAnsi="Arial" w:cs="Arial"/>
                <w:color w:val="010205"/>
              </w:rPr>
              <w:t>69)*</w:t>
            </w:r>
            <w:proofErr w:type="gramEnd"/>
            <w:r w:rsidRPr="00103A0B">
              <w:rPr>
                <w:rFonts w:ascii="Arial" w:hAnsi="Arial" w:cs="Arial"/>
                <w:color w:val="010205"/>
              </w:rPr>
              <w:t>*</w:t>
            </w:r>
          </w:p>
        </w:tc>
      </w:tr>
      <w:bookmarkEnd w:id="388"/>
      <w:tr w:rsidR="00DB1444" w:rsidRPr="00103A0B" w14:paraId="38D6CFC6" w14:textId="77777777" w:rsidTr="00FA3E6E">
        <w:trPr>
          <w:trHeight w:val="281"/>
        </w:trPr>
        <w:tc>
          <w:tcPr>
            <w:tcW w:w="5495" w:type="dxa"/>
          </w:tcPr>
          <w:p w14:paraId="4B7938B3"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b/>
                <w:bCs/>
                <w:sz w:val="24"/>
                <w:szCs w:val="24"/>
              </w:rPr>
              <w:t>Gender</w:t>
            </w:r>
            <w:r w:rsidRPr="00103A0B">
              <w:rPr>
                <w:rFonts w:ascii="Arial" w:hAnsi="Arial" w:cs="Arial"/>
                <w:sz w:val="24"/>
                <w:szCs w:val="24"/>
              </w:rPr>
              <w:t xml:space="preserve"> [Male]:  Female</w:t>
            </w:r>
          </w:p>
        </w:tc>
        <w:tc>
          <w:tcPr>
            <w:tcW w:w="2410" w:type="dxa"/>
          </w:tcPr>
          <w:p w14:paraId="04811820"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1.14 (1.00-1.</w:t>
            </w:r>
            <w:proofErr w:type="gramStart"/>
            <w:r w:rsidRPr="00103A0B">
              <w:rPr>
                <w:rFonts w:ascii="Arial" w:hAnsi="Arial" w:cs="Arial"/>
                <w:color w:val="010205"/>
              </w:rPr>
              <w:t>31)*</w:t>
            </w:r>
            <w:proofErr w:type="gramEnd"/>
          </w:p>
        </w:tc>
        <w:tc>
          <w:tcPr>
            <w:tcW w:w="2268" w:type="dxa"/>
          </w:tcPr>
          <w:p w14:paraId="67874915"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1.09 (0.95-1.25)</w:t>
            </w:r>
          </w:p>
        </w:tc>
        <w:tc>
          <w:tcPr>
            <w:tcW w:w="2268" w:type="dxa"/>
          </w:tcPr>
          <w:p w14:paraId="4C0B9314"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1.09 (0.95-1.25)</w:t>
            </w:r>
          </w:p>
        </w:tc>
        <w:tc>
          <w:tcPr>
            <w:tcW w:w="2096" w:type="dxa"/>
          </w:tcPr>
          <w:p w14:paraId="7316480B"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1.08 (0.94-1.24)</w:t>
            </w:r>
          </w:p>
        </w:tc>
      </w:tr>
      <w:tr w:rsidR="00DB1444" w:rsidRPr="00103A0B" w14:paraId="0BCFC85D" w14:textId="77777777" w:rsidTr="00FA3E6E">
        <w:trPr>
          <w:trHeight w:val="281"/>
        </w:trPr>
        <w:tc>
          <w:tcPr>
            <w:tcW w:w="5495" w:type="dxa"/>
          </w:tcPr>
          <w:p w14:paraId="23EDA97C"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b/>
                <w:bCs/>
                <w:sz w:val="24"/>
                <w:szCs w:val="24"/>
              </w:rPr>
              <w:t>Age</w:t>
            </w:r>
            <w:r w:rsidRPr="00103A0B">
              <w:rPr>
                <w:rFonts w:ascii="Arial" w:hAnsi="Arial" w:cs="Arial"/>
                <w:sz w:val="24"/>
                <w:szCs w:val="24"/>
              </w:rPr>
              <w:t xml:space="preserve"> [&lt;40]</w:t>
            </w:r>
          </w:p>
        </w:tc>
        <w:tc>
          <w:tcPr>
            <w:tcW w:w="2410" w:type="dxa"/>
            <w:vAlign w:val="center"/>
          </w:tcPr>
          <w:p w14:paraId="6F8BC99E" w14:textId="77777777" w:rsidR="00DB1444" w:rsidRPr="00103A0B" w:rsidRDefault="00DB1444" w:rsidP="00C10D64">
            <w:pPr>
              <w:spacing w:line="276" w:lineRule="auto"/>
              <w:jc w:val="both"/>
              <w:rPr>
                <w:rFonts w:ascii="Arial" w:hAnsi="Arial" w:cs="Arial"/>
              </w:rPr>
            </w:pPr>
          </w:p>
        </w:tc>
        <w:tc>
          <w:tcPr>
            <w:tcW w:w="2268" w:type="dxa"/>
            <w:vAlign w:val="center"/>
          </w:tcPr>
          <w:p w14:paraId="60C2AEDA" w14:textId="77777777" w:rsidR="00DB1444" w:rsidRPr="00103A0B" w:rsidRDefault="00DB1444" w:rsidP="00C10D64">
            <w:pPr>
              <w:spacing w:line="276" w:lineRule="auto"/>
              <w:jc w:val="both"/>
              <w:rPr>
                <w:rFonts w:ascii="Arial" w:hAnsi="Arial" w:cs="Arial"/>
              </w:rPr>
            </w:pPr>
          </w:p>
        </w:tc>
        <w:tc>
          <w:tcPr>
            <w:tcW w:w="2268" w:type="dxa"/>
            <w:vAlign w:val="center"/>
          </w:tcPr>
          <w:p w14:paraId="27BAD629" w14:textId="77777777" w:rsidR="00DB1444" w:rsidRPr="00103A0B" w:rsidRDefault="00DB1444" w:rsidP="00C10D64">
            <w:pPr>
              <w:spacing w:line="276" w:lineRule="auto"/>
              <w:jc w:val="both"/>
              <w:rPr>
                <w:rFonts w:ascii="Arial" w:hAnsi="Arial" w:cs="Arial"/>
              </w:rPr>
            </w:pPr>
          </w:p>
        </w:tc>
        <w:tc>
          <w:tcPr>
            <w:tcW w:w="2096" w:type="dxa"/>
            <w:vAlign w:val="center"/>
          </w:tcPr>
          <w:p w14:paraId="45B6AB20" w14:textId="77777777" w:rsidR="00DB1444" w:rsidRPr="00103A0B" w:rsidRDefault="00DB1444" w:rsidP="00C10D64">
            <w:pPr>
              <w:spacing w:line="276" w:lineRule="auto"/>
              <w:jc w:val="both"/>
              <w:rPr>
                <w:rFonts w:ascii="Arial" w:hAnsi="Arial" w:cs="Arial"/>
              </w:rPr>
            </w:pPr>
          </w:p>
        </w:tc>
      </w:tr>
      <w:tr w:rsidR="00DB1444" w:rsidRPr="00103A0B" w14:paraId="08C7EFE7" w14:textId="77777777" w:rsidTr="00FA3E6E">
        <w:trPr>
          <w:trHeight w:val="281"/>
        </w:trPr>
        <w:tc>
          <w:tcPr>
            <w:tcW w:w="5495" w:type="dxa"/>
          </w:tcPr>
          <w:p w14:paraId="3D46542E"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40-44</w:t>
            </w:r>
          </w:p>
        </w:tc>
        <w:tc>
          <w:tcPr>
            <w:tcW w:w="2410" w:type="dxa"/>
          </w:tcPr>
          <w:p w14:paraId="4E182B9F"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1.19 (0.77-1.86)</w:t>
            </w:r>
          </w:p>
        </w:tc>
        <w:tc>
          <w:tcPr>
            <w:tcW w:w="2268" w:type="dxa"/>
          </w:tcPr>
          <w:p w14:paraId="104E5479"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1.23 (0.79-1.91)</w:t>
            </w:r>
          </w:p>
        </w:tc>
        <w:tc>
          <w:tcPr>
            <w:tcW w:w="2268" w:type="dxa"/>
          </w:tcPr>
          <w:p w14:paraId="280B540A"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1.23 (0.79-1.92)</w:t>
            </w:r>
          </w:p>
        </w:tc>
        <w:tc>
          <w:tcPr>
            <w:tcW w:w="2096" w:type="dxa"/>
          </w:tcPr>
          <w:p w14:paraId="55A3D24E"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1.22 (0.78-1.91)</w:t>
            </w:r>
          </w:p>
        </w:tc>
      </w:tr>
      <w:tr w:rsidR="00DB1444" w:rsidRPr="00103A0B" w14:paraId="626659FD" w14:textId="77777777" w:rsidTr="00FA3E6E">
        <w:trPr>
          <w:trHeight w:val="281"/>
        </w:trPr>
        <w:tc>
          <w:tcPr>
            <w:tcW w:w="5495" w:type="dxa"/>
          </w:tcPr>
          <w:p w14:paraId="794B242A"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45-49</w:t>
            </w:r>
          </w:p>
        </w:tc>
        <w:tc>
          <w:tcPr>
            <w:tcW w:w="2410" w:type="dxa"/>
          </w:tcPr>
          <w:p w14:paraId="52B768C0"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1.55 (1.03-2.</w:t>
            </w:r>
            <w:proofErr w:type="gramStart"/>
            <w:r w:rsidRPr="00103A0B">
              <w:rPr>
                <w:rFonts w:ascii="Arial" w:hAnsi="Arial" w:cs="Arial"/>
                <w:color w:val="010205"/>
              </w:rPr>
              <w:t>33)*</w:t>
            </w:r>
            <w:proofErr w:type="gramEnd"/>
            <w:r w:rsidRPr="00103A0B">
              <w:rPr>
                <w:rFonts w:ascii="Arial" w:hAnsi="Arial" w:cs="Arial"/>
                <w:color w:val="010205"/>
              </w:rPr>
              <w:t>*</w:t>
            </w:r>
          </w:p>
        </w:tc>
        <w:tc>
          <w:tcPr>
            <w:tcW w:w="2268" w:type="dxa"/>
          </w:tcPr>
          <w:p w14:paraId="613A7393"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1.59 (1.05-2.</w:t>
            </w:r>
            <w:proofErr w:type="gramStart"/>
            <w:r w:rsidRPr="00103A0B">
              <w:rPr>
                <w:rFonts w:ascii="Arial" w:hAnsi="Arial" w:cs="Arial"/>
                <w:color w:val="010205"/>
              </w:rPr>
              <w:t>39)*</w:t>
            </w:r>
            <w:proofErr w:type="gramEnd"/>
            <w:r w:rsidRPr="00103A0B">
              <w:rPr>
                <w:rFonts w:ascii="Arial" w:hAnsi="Arial" w:cs="Arial"/>
                <w:color w:val="010205"/>
              </w:rPr>
              <w:t>*</w:t>
            </w:r>
          </w:p>
        </w:tc>
        <w:tc>
          <w:tcPr>
            <w:tcW w:w="2268" w:type="dxa"/>
          </w:tcPr>
          <w:p w14:paraId="1A70C8D6"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1.59 (1.05-2.</w:t>
            </w:r>
            <w:proofErr w:type="gramStart"/>
            <w:r w:rsidRPr="00103A0B">
              <w:rPr>
                <w:rFonts w:ascii="Arial" w:hAnsi="Arial" w:cs="Arial"/>
                <w:color w:val="010205"/>
              </w:rPr>
              <w:t>39)*</w:t>
            </w:r>
            <w:proofErr w:type="gramEnd"/>
            <w:r w:rsidRPr="00103A0B">
              <w:rPr>
                <w:rFonts w:ascii="Arial" w:hAnsi="Arial" w:cs="Arial"/>
                <w:color w:val="010205"/>
              </w:rPr>
              <w:t>*</w:t>
            </w:r>
          </w:p>
        </w:tc>
        <w:tc>
          <w:tcPr>
            <w:tcW w:w="2096" w:type="dxa"/>
          </w:tcPr>
          <w:p w14:paraId="73D58BF0"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1.59 (1.05-2.</w:t>
            </w:r>
            <w:proofErr w:type="gramStart"/>
            <w:r w:rsidRPr="00103A0B">
              <w:rPr>
                <w:rFonts w:ascii="Arial" w:hAnsi="Arial" w:cs="Arial"/>
                <w:color w:val="010205"/>
              </w:rPr>
              <w:t>39)*</w:t>
            </w:r>
            <w:proofErr w:type="gramEnd"/>
            <w:r w:rsidRPr="00103A0B">
              <w:rPr>
                <w:rFonts w:ascii="Arial" w:hAnsi="Arial" w:cs="Arial"/>
                <w:color w:val="010205"/>
              </w:rPr>
              <w:t>*</w:t>
            </w:r>
          </w:p>
        </w:tc>
      </w:tr>
      <w:tr w:rsidR="00DB1444" w:rsidRPr="00103A0B" w14:paraId="02415D7A" w14:textId="77777777" w:rsidTr="00FA3E6E">
        <w:trPr>
          <w:trHeight w:val="281"/>
        </w:trPr>
        <w:tc>
          <w:tcPr>
            <w:tcW w:w="5495" w:type="dxa"/>
          </w:tcPr>
          <w:p w14:paraId="0B973D05"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50-54</w:t>
            </w:r>
          </w:p>
        </w:tc>
        <w:tc>
          <w:tcPr>
            <w:tcW w:w="2410" w:type="dxa"/>
          </w:tcPr>
          <w:p w14:paraId="440C90D4"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2.03 (1.39-2.</w:t>
            </w:r>
            <w:proofErr w:type="gramStart"/>
            <w:r w:rsidRPr="00103A0B">
              <w:rPr>
                <w:rFonts w:ascii="Arial" w:hAnsi="Arial" w:cs="Arial"/>
                <w:color w:val="010205"/>
              </w:rPr>
              <w:t>96)*</w:t>
            </w:r>
            <w:proofErr w:type="gramEnd"/>
            <w:r w:rsidRPr="00103A0B">
              <w:rPr>
                <w:rFonts w:ascii="Arial" w:hAnsi="Arial" w:cs="Arial"/>
                <w:color w:val="010205"/>
              </w:rPr>
              <w:t>**</w:t>
            </w:r>
          </w:p>
        </w:tc>
        <w:tc>
          <w:tcPr>
            <w:tcW w:w="2268" w:type="dxa"/>
          </w:tcPr>
          <w:p w14:paraId="311CEEB5"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2.05 (1.40-3.</w:t>
            </w:r>
            <w:proofErr w:type="gramStart"/>
            <w:r w:rsidRPr="00103A0B">
              <w:rPr>
                <w:rFonts w:ascii="Arial" w:hAnsi="Arial" w:cs="Arial"/>
                <w:color w:val="010205"/>
              </w:rPr>
              <w:t>01)*</w:t>
            </w:r>
            <w:proofErr w:type="gramEnd"/>
            <w:r w:rsidRPr="00103A0B">
              <w:rPr>
                <w:rFonts w:ascii="Arial" w:hAnsi="Arial" w:cs="Arial"/>
                <w:color w:val="010205"/>
              </w:rPr>
              <w:t>**</w:t>
            </w:r>
          </w:p>
        </w:tc>
        <w:tc>
          <w:tcPr>
            <w:tcW w:w="2268" w:type="dxa"/>
          </w:tcPr>
          <w:p w14:paraId="3DFE597D"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2.05 (1.40-3.</w:t>
            </w:r>
            <w:proofErr w:type="gramStart"/>
            <w:r w:rsidRPr="00103A0B">
              <w:rPr>
                <w:rFonts w:ascii="Arial" w:hAnsi="Arial" w:cs="Arial"/>
                <w:color w:val="010205"/>
              </w:rPr>
              <w:t>01)*</w:t>
            </w:r>
            <w:proofErr w:type="gramEnd"/>
            <w:r w:rsidRPr="00103A0B">
              <w:rPr>
                <w:rFonts w:ascii="Arial" w:hAnsi="Arial" w:cs="Arial"/>
                <w:color w:val="010205"/>
              </w:rPr>
              <w:t>**</w:t>
            </w:r>
          </w:p>
        </w:tc>
        <w:tc>
          <w:tcPr>
            <w:tcW w:w="2096" w:type="dxa"/>
          </w:tcPr>
          <w:p w14:paraId="61BBF20A"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2.05 (1.40-3.</w:t>
            </w:r>
            <w:proofErr w:type="gramStart"/>
            <w:r w:rsidRPr="00103A0B">
              <w:rPr>
                <w:rFonts w:ascii="Arial" w:hAnsi="Arial" w:cs="Arial"/>
                <w:color w:val="010205"/>
              </w:rPr>
              <w:t>00)*</w:t>
            </w:r>
            <w:proofErr w:type="gramEnd"/>
            <w:r w:rsidRPr="00103A0B">
              <w:rPr>
                <w:rFonts w:ascii="Arial" w:hAnsi="Arial" w:cs="Arial"/>
                <w:color w:val="010205"/>
              </w:rPr>
              <w:t>**</w:t>
            </w:r>
          </w:p>
        </w:tc>
      </w:tr>
      <w:tr w:rsidR="00DB1444" w:rsidRPr="00103A0B" w14:paraId="0B1366B1" w14:textId="77777777" w:rsidTr="00FA3E6E">
        <w:trPr>
          <w:trHeight w:val="281"/>
        </w:trPr>
        <w:tc>
          <w:tcPr>
            <w:tcW w:w="5495" w:type="dxa"/>
          </w:tcPr>
          <w:p w14:paraId="20ABBDC1"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55-59</w:t>
            </w:r>
          </w:p>
        </w:tc>
        <w:tc>
          <w:tcPr>
            <w:tcW w:w="2410" w:type="dxa"/>
          </w:tcPr>
          <w:p w14:paraId="779B63F0"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2.09 (1.44-3.</w:t>
            </w:r>
            <w:proofErr w:type="gramStart"/>
            <w:r w:rsidRPr="00103A0B">
              <w:rPr>
                <w:rFonts w:ascii="Arial" w:hAnsi="Arial" w:cs="Arial"/>
                <w:color w:val="010205"/>
              </w:rPr>
              <w:t>04)*</w:t>
            </w:r>
            <w:proofErr w:type="gramEnd"/>
            <w:r w:rsidRPr="00103A0B">
              <w:rPr>
                <w:rFonts w:ascii="Arial" w:hAnsi="Arial" w:cs="Arial"/>
                <w:color w:val="010205"/>
              </w:rPr>
              <w:t>**</w:t>
            </w:r>
          </w:p>
        </w:tc>
        <w:tc>
          <w:tcPr>
            <w:tcW w:w="2268" w:type="dxa"/>
          </w:tcPr>
          <w:p w14:paraId="1F55E254"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2.11 (1.45-3.</w:t>
            </w:r>
            <w:proofErr w:type="gramStart"/>
            <w:r w:rsidRPr="00103A0B">
              <w:rPr>
                <w:rFonts w:ascii="Arial" w:hAnsi="Arial" w:cs="Arial"/>
                <w:color w:val="010205"/>
              </w:rPr>
              <w:t>07)*</w:t>
            </w:r>
            <w:proofErr w:type="gramEnd"/>
            <w:r w:rsidRPr="00103A0B">
              <w:rPr>
                <w:rFonts w:ascii="Arial" w:hAnsi="Arial" w:cs="Arial"/>
                <w:color w:val="010205"/>
              </w:rPr>
              <w:t>**</w:t>
            </w:r>
          </w:p>
        </w:tc>
        <w:tc>
          <w:tcPr>
            <w:tcW w:w="2268" w:type="dxa"/>
          </w:tcPr>
          <w:p w14:paraId="3CD878F9"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2.11 (1.45-3.</w:t>
            </w:r>
            <w:proofErr w:type="gramStart"/>
            <w:r w:rsidRPr="00103A0B">
              <w:rPr>
                <w:rFonts w:ascii="Arial" w:hAnsi="Arial" w:cs="Arial"/>
                <w:color w:val="010205"/>
              </w:rPr>
              <w:t>07)*</w:t>
            </w:r>
            <w:proofErr w:type="gramEnd"/>
            <w:r w:rsidRPr="00103A0B">
              <w:rPr>
                <w:rFonts w:ascii="Arial" w:hAnsi="Arial" w:cs="Arial"/>
                <w:color w:val="010205"/>
              </w:rPr>
              <w:t>**</w:t>
            </w:r>
          </w:p>
        </w:tc>
        <w:tc>
          <w:tcPr>
            <w:tcW w:w="2096" w:type="dxa"/>
          </w:tcPr>
          <w:p w14:paraId="57A5B4BC"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2.10 (1.45-3.</w:t>
            </w:r>
            <w:proofErr w:type="gramStart"/>
            <w:r w:rsidRPr="00103A0B">
              <w:rPr>
                <w:rFonts w:ascii="Arial" w:hAnsi="Arial" w:cs="Arial"/>
                <w:color w:val="010205"/>
              </w:rPr>
              <w:t>06)*</w:t>
            </w:r>
            <w:proofErr w:type="gramEnd"/>
            <w:r w:rsidRPr="00103A0B">
              <w:rPr>
                <w:rFonts w:ascii="Arial" w:hAnsi="Arial" w:cs="Arial"/>
                <w:color w:val="010205"/>
              </w:rPr>
              <w:t>**</w:t>
            </w:r>
          </w:p>
        </w:tc>
      </w:tr>
      <w:tr w:rsidR="00DB1444" w:rsidRPr="00103A0B" w14:paraId="1E20B4E3" w14:textId="77777777" w:rsidTr="00FA3E6E">
        <w:trPr>
          <w:trHeight w:val="281"/>
        </w:trPr>
        <w:tc>
          <w:tcPr>
            <w:tcW w:w="5495" w:type="dxa"/>
          </w:tcPr>
          <w:p w14:paraId="02575857"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60-64</w:t>
            </w:r>
          </w:p>
        </w:tc>
        <w:tc>
          <w:tcPr>
            <w:tcW w:w="2410" w:type="dxa"/>
          </w:tcPr>
          <w:p w14:paraId="6BE4B262"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2.00 (1.38-2.</w:t>
            </w:r>
            <w:proofErr w:type="gramStart"/>
            <w:r w:rsidRPr="00103A0B">
              <w:rPr>
                <w:rFonts w:ascii="Arial" w:hAnsi="Arial" w:cs="Arial"/>
                <w:color w:val="010205"/>
              </w:rPr>
              <w:t>92)*</w:t>
            </w:r>
            <w:proofErr w:type="gramEnd"/>
            <w:r w:rsidRPr="00103A0B">
              <w:rPr>
                <w:rFonts w:ascii="Arial" w:hAnsi="Arial" w:cs="Arial"/>
                <w:color w:val="010205"/>
              </w:rPr>
              <w:t>**</w:t>
            </w:r>
          </w:p>
        </w:tc>
        <w:tc>
          <w:tcPr>
            <w:tcW w:w="2268" w:type="dxa"/>
          </w:tcPr>
          <w:p w14:paraId="3F9C3CF6"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2.09 (1.43-3.</w:t>
            </w:r>
            <w:proofErr w:type="gramStart"/>
            <w:r w:rsidRPr="00103A0B">
              <w:rPr>
                <w:rFonts w:ascii="Arial" w:hAnsi="Arial" w:cs="Arial"/>
                <w:color w:val="010205"/>
              </w:rPr>
              <w:t>06)*</w:t>
            </w:r>
            <w:proofErr w:type="gramEnd"/>
            <w:r w:rsidRPr="00103A0B">
              <w:rPr>
                <w:rFonts w:ascii="Arial" w:hAnsi="Arial" w:cs="Arial"/>
                <w:color w:val="010205"/>
              </w:rPr>
              <w:t>**</w:t>
            </w:r>
          </w:p>
        </w:tc>
        <w:tc>
          <w:tcPr>
            <w:tcW w:w="2268" w:type="dxa"/>
          </w:tcPr>
          <w:p w14:paraId="67DB6E60"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2.09 (1.43-3.</w:t>
            </w:r>
            <w:proofErr w:type="gramStart"/>
            <w:r w:rsidRPr="00103A0B">
              <w:rPr>
                <w:rFonts w:ascii="Arial" w:hAnsi="Arial" w:cs="Arial"/>
                <w:color w:val="010205"/>
              </w:rPr>
              <w:t>06)*</w:t>
            </w:r>
            <w:proofErr w:type="gramEnd"/>
            <w:r w:rsidRPr="00103A0B">
              <w:rPr>
                <w:rFonts w:ascii="Arial" w:hAnsi="Arial" w:cs="Arial"/>
                <w:color w:val="010205"/>
              </w:rPr>
              <w:t>**</w:t>
            </w:r>
          </w:p>
        </w:tc>
        <w:tc>
          <w:tcPr>
            <w:tcW w:w="2096" w:type="dxa"/>
          </w:tcPr>
          <w:p w14:paraId="68263DE0"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2.09 (1.43-3.</w:t>
            </w:r>
            <w:proofErr w:type="gramStart"/>
            <w:r w:rsidRPr="00103A0B">
              <w:rPr>
                <w:rFonts w:ascii="Arial" w:hAnsi="Arial" w:cs="Arial"/>
                <w:color w:val="010205"/>
              </w:rPr>
              <w:t>06)*</w:t>
            </w:r>
            <w:proofErr w:type="gramEnd"/>
            <w:r w:rsidRPr="00103A0B">
              <w:rPr>
                <w:rFonts w:ascii="Arial" w:hAnsi="Arial" w:cs="Arial"/>
                <w:color w:val="010205"/>
              </w:rPr>
              <w:t>**</w:t>
            </w:r>
          </w:p>
        </w:tc>
      </w:tr>
      <w:tr w:rsidR="00DB1444" w:rsidRPr="00103A0B" w14:paraId="0CCAED43" w14:textId="77777777" w:rsidTr="00FA3E6E">
        <w:trPr>
          <w:trHeight w:val="281"/>
        </w:trPr>
        <w:tc>
          <w:tcPr>
            <w:tcW w:w="5495" w:type="dxa"/>
          </w:tcPr>
          <w:p w14:paraId="67C81B44"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65-69</w:t>
            </w:r>
          </w:p>
        </w:tc>
        <w:tc>
          <w:tcPr>
            <w:tcW w:w="2410" w:type="dxa"/>
          </w:tcPr>
          <w:p w14:paraId="02CADF64"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2.75 (1.89-4.</w:t>
            </w:r>
            <w:proofErr w:type="gramStart"/>
            <w:r w:rsidRPr="00103A0B">
              <w:rPr>
                <w:rFonts w:ascii="Arial" w:hAnsi="Arial" w:cs="Arial"/>
                <w:color w:val="010205"/>
              </w:rPr>
              <w:t>00)*</w:t>
            </w:r>
            <w:proofErr w:type="gramEnd"/>
            <w:r w:rsidRPr="00103A0B">
              <w:rPr>
                <w:rFonts w:ascii="Arial" w:hAnsi="Arial" w:cs="Arial"/>
                <w:color w:val="010205"/>
              </w:rPr>
              <w:t>**</w:t>
            </w:r>
          </w:p>
        </w:tc>
        <w:tc>
          <w:tcPr>
            <w:tcW w:w="2268" w:type="dxa"/>
          </w:tcPr>
          <w:p w14:paraId="3BE8B115"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2.87 (1.97-4.</w:t>
            </w:r>
            <w:proofErr w:type="gramStart"/>
            <w:r w:rsidRPr="00103A0B">
              <w:rPr>
                <w:rFonts w:ascii="Arial" w:hAnsi="Arial" w:cs="Arial"/>
                <w:color w:val="010205"/>
              </w:rPr>
              <w:t>20)*</w:t>
            </w:r>
            <w:proofErr w:type="gramEnd"/>
            <w:r w:rsidRPr="00103A0B">
              <w:rPr>
                <w:rFonts w:ascii="Arial" w:hAnsi="Arial" w:cs="Arial"/>
                <w:color w:val="010205"/>
              </w:rPr>
              <w:t>**</w:t>
            </w:r>
          </w:p>
        </w:tc>
        <w:tc>
          <w:tcPr>
            <w:tcW w:w="2268" w:type="dxa"/>
          </w:tcPr>
          <w:p w14:paraId="68DE3D7C"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2.87 (1.97-4.</w:t>
            </w:r>
            <w:proofErr w:type="gramStart"/>
            <w:r w:rsidRPr="00103A0B">
              <w:rPr>
                <w:rFonts w:ascii="Arial" w:hAnsi="Arial" w:cs="Arial"/>
                <w:color w:val="010205"/>
              </w:rPr>
              <w:t>20)*</w:t>
            </w:r>
            <w:proofErr w:type="gramEnd"/>
            <w:r w:rsidRPr="00103A0B">
              <w:rPr>
                <w:rFonts w:ascii="Arial" w:hAnsi="Arial" w:cs="Arial"/>
                <w:color w:val="010205"/>
              </w:rPr>
              <w:t>**</w:t>
            </w:r>
          </w:p>
        </w:tc>
        <w:tc>
          <w:tcPr>
            <w:tcW w:w="2096" w:type="dxa"/>
          </w:tcPr>
          <w:p w14:paraId="30E99A23"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2.89 (1.98-4.</w:t>
            </w:r>
            <w:proofErr w:type="gramStart"/>
            <w:r w:rsidRPr="00103A0B">
              <w:rPr>
                <w:rFonts w:ascii="Arial" w:hAnsi="Arial" w:cs="Arial"/>
                <w:color w:val="010205"/>
              </w:rPr>
              <w:t>23)*</w:t>
            </w:r>
            <w:proofErr w:type="gramEnd"/>
            <w:r w:rsidRPr="00103A0B">
              <w:rPr>
                <w:rFonts w:ascii="Arial" w:hAnsi="Arial" w:cs="Arial"/>
                <w:color w:val="010205"/>
              </w:rPr>
              <w:t>**</w:t>
            </w:r>
          </w:p>
        </w:tc>
      </w:tr>
      <w:tr w:rsidR="00DB1444" w:rsidRPr="00103A0B" w14:paraId="0D082FDF" w14:textId="77777777" w:rsidTr="00FA3E6E">
        <w:trPr>
          <w:trHeight w:val="281"/>
        </w:trPr>
        <w:tc>
          <w:tcPr>
            <w:tcW w:w="5495" w:type="dxa"/>
          </w:tcPr>
          <w:p w14:paraId="5FFCCDD3"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70-74</w:t>
            </w:r>
          </w:p>
        </w:tc>
        <w:tc>
          <w:tcPr>
            <w:tcW w:w="2410" w:type="dxa"/>
          </w:tcPr>
          <w:p w14:paraId="0070F11F"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2.85 (1.94-4.</w:t>
            </w:r>
            <w:proofErr w:type="gramStart"/>
            <w:r w:rsidRPr="00103A0B">
              <w:rPr>
                <w:rFonts w:ascii="Arial" w:hAnsi="Arial" w:cs="Arial"/>
                <w:color w:val="010205"/>
              </w:rPr>
              <w:t>18)*</w:t>
            </w:r>
            <w:proofErr w:type="gramEnd"/>
            <w:r w:rsidRPr="00103A0B">
              <w:rPr>
                <w:rFonts w:ascii="Arial" w:hAnsi="Arial" w:cs="Arial"/>
                <w:color w:val="010205"/>
              </w:rPr>
              <w:t>**</w:t>
            </w:r>
          </w:p>
        </w:tc>
        <w:tc>
          <w:tcPr>
            <w:tcW w:w="2268" w:type="dxa"/>
          </w:tcPr>
          <w:p w14:paraId="07DEE118"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3.14 (2.13-4.</w:t>
            </w:r>
            <w:proofErr w:type="gramStart"/>
            <w:r w:rsidRPr="00103A0B">
              <w:rPr>
                <w:rFonts w:ascii="Arial" w:hAnsi="Arial" w:cs="Arial"/>
                <w:color w:val="010205"/>
              </w:rPr>
              <w:t>63)*</w:t>
            </w:r>
            <w:proofErr w:type="gramEnd"/>
            <w:r w:rsidRPr="00103A0B">
              <w:rPr>
                <w:rFonts w:ascii="Arial" w:hAnsi="Arial" w:cs="Arial"/>
                <w:color w:val="010205"/>
              </w:rPr>
              <w:t>**</w:t>
            </w:r>
          </w:p>
        </w:tc>
        <w:tc>
          <w:tcPr>
            <w:tcW w:w="2268" w:type="dxa"/>
          </w:tcPr>
          <w:p w14:paraId="0C6E1D5B"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3.14 (2.13-4.</w:t>
            </w:r>
            <w:proofErr w:type="gramStart"/>
            <w:r w:rsidRPr="00103A0B">
              <w:rPr>
                <w:rFonts w:ascii="Arial" w:hAnsi="Arial" w:cs="Arial"/>
                <w:color w:val="010205"/>
              </w:rPr>
              <w:t>63)*</w:t>
            </w:r>
            <w:proofErr w:type="gramEnd"/>
            <w:r w:rsidRPr="00103A0B">
              <w:rPr>
                <w:rFonts w:ascii="Arial" w:hAnsi="Arial" w:cs="Arial"/>
                <w:color w:val="010205"/>
              </w:rPr>
              <w:t>**</w:t>
            </w:r>
          </w:p>
        </w:tc>
        <w:tc>
          <w:tcPr>
            <w:tcW w:w="2096" w:type="dxa"/>
          </w:tcPr>
          <w:p w14:paraId="7768DD8C"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3.17 (2.15-4.</w:t>
            </w:r>
            <w:proofErr w:type="gramStart"/>
            <w:r w:rsidRPr="00103A0B">
              <w:rPr>
                <w:rFonts w:ascii="Arial" w:hAnsi="Arial" w:cs="Arial"/>
                <w:color w:val="010205"/>
              </w:rPr>
              <w:t>68)*</w:t>
            </w:r>
            <w:proofErr w:type="gramEnd"/>
            <w:r w:rsidRPr="00103A0B">
              <w:rPr>
                <w:rFonts w:ascii="Arial" w:hAnsi="Arial" w:cs="Arial"/>
                <w:color w:val="010205"/>
              </w:rPr>
              <w:t>**</w:t>
            </w:r>
          </w:p>
        </w:tc>
      </w:tr>
      <w:tr w:rsidR="00DB1444" w:rsidRPr="00103A0B" w14:paraId="571985A2" w14:textId="77777777" w:rsidTr="00FA3E6E">
        <w:trPr>
          <w:trHeight w:val="281"/>
        </w:trPr>
        <w:tc>
          <w:tcPr>
            <w:tcW w:w="5495" w:type="dxa"/>
          </w:tcPr>
          <w:p w14:paraId="0E213E61"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 xml:space="preserve"> ≥75</w:t>
            </w:r>
          </w:p>
        </w:tc>
        <w:tc>
          <w:tcPr>
            <w:tcW w:w="2410" w:type="dxa"/>
          </w:tcPr>
          <w:p w14:paraId="2C62C3D7"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2.52 (1.73-3.</w:t>
            </w:r>
            <w:proofErr w:type="gramStart"/>
            <w:r w:rsidRPr="00103A0B">
              <w:rPr>
                <w:rFonts w:ascii="Arial" w:hAnsi="Arial" w:cs="Arial"/>
                <w:color w:val="010205"/>
              </w:rPr>
              <w:t>68)*</w:t>
            </w:r>
            <w:proofErr w:type="gramEnd"/>
            <w:r w:rsidRPr="00103A0B">
              <w:rPr>
                <w:rFonts w:ascii="Arial" w:hAnsi="Arial" w:cs="Arial"/>
                <w:color w:val="010205"/>
              </w:rPr>
              <w:t>**</w:t>
            </w:r>
          </w:p>
        </w:tc>
        <w:tc>
          <w:tcPr>
            <w:tcW w:w="2268" w:type="dxa"/>
          </w:tcPr>
          <w:p w14:paraId="63FFD636"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2.85 (1.94-4.</w:t>
            </w:r>
            <w:proofErr w:type="gramStart"/>
            <w:r w:rsidRPr="00103A0B">
              <w:rPr>
                <w:rFonts w:ascii="Arial" w:hAnsi="Arial" w:cs="Arial"/>
                <w:color w:val="010205"/>
              </w:rPr>
              <w:t>19)*</w:t>
            </w:r>
            <w:proofErr w:type="gramEnd"/>
            <w:r w:rsidRPr="00103A0B">
              <w:rPr>
                <w:rFonts w:ascii="Arial" w:hAnsi="Arial" w:cs="Arial"/>
                <w:color w:val="010205"/>
              </w:rPr>
              <w:t>**</w:t>
            </w:r>
          </w:p>
        </w:tc>
        <w:tc>
          <w:tcPr>
            <w:tcW w:w="2268" w:type="dxa"/>
          </w:tcPr>
          <w:p w14:paraId="68C9BDEA"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2.85 (1.94-4.</w:t>
            </w:r>
            <w:proofErr w:type="gramStart"/>
            <w:r w:rsidRPr="00103A0B">
              <w:rPr>
                <w:rFonts w:ascii="Arial" w:hAnsi="Arial" w:cs="Arial"/>
                <w:color w:val="010205"/>
              </w:rPr>
              <w:t>19)*</w:t>
            </w:r>
            <w:proofErr w:type="gramEnd"/>
            <w:r w:rsidRPr="00103A0B">
              <w:rPr>
                <w:rFonts w:ascii="Arial" w:hAnsi="Arial" w:cs="Arial"/>
                <w:color w:val="010205"/>
              </w:rPr>
              <w:t>**</w:t>
            </w:r>
          </w:p>
        </w:tc>
        <w:tc>
          <w:tcPr>
            <w:tcW w:w="2096" w:type="dxa"/>
          </w:tcPr>
          <w:p w14:paraId="1E87B438"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2.87 (1.95-4.</w:t>
            </w:r>
            <w:proofErr w:type="gramStart"/>
            <w:r w:rsidRPr="00103A0B">
              <w:rPr>
                <w:rFonts w:ascii="Arial" w:hAnsi="Arial" w:cs="Arial"/>
                <w:color w:val="010205"/>
              </w:rPr>
              <w:t>22)*</w:t>
            </w:r>
            <w:proofErr w:type="gramEnd"/>
            <w:r w:rsidRPr="00103A0B">
              <w:rPr>
                <w:rFonts w:ascii="Arial" w:hAnsi="Arial" w:cs="Arial"/>
                <w:color w:val="010205"/>
              </w:rPr>
              <w:t>**</w:t>
            </w:r>
          </w:p>
        </w:tc>
      </w:tr>
      <w:tr w:rsidR="00DB1444" w:rsidRPr="00103A0B" w14:paraId="77E97E06" w14:textId="77777777" w:rsidTr="00FA3E6E">
        <w:trPr>
          <w:trHeight w:val="281"/>
        </w:trPr>
        <w:tc>
          <w:tcPr>
            <w:tcW w:w="5495" w:type="dxa"/>
          </w:tcPr>
          <w:p w14:paraId="09288806"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b/>
                <w:bCs/>
                <w:sz w:val="24"/>
                <w:szCs w:val="24"/>
              </w:rPr>
              <w:t>Ethnicity</w:t>
            </w:r>
            <w:r w:rsidRPr="00103A0B">
              <w:rPr>
                <w:rFonts w:ascii="Arial" w:hAnsi="Arial" w:cs="Arial"/>
                <w:sz w:val="24"/>
                <w:szCs w:val="24"/>
              </w:rPr>
              <w:t xml:space="preserve"> [White]</w:t>
            </w:r>
          </w:p>
        </w:tc>
        <w:tc>
          <w:tcPr>
            <w:tcW w:w="2410" w:type="dxa"/>
            <w:vAlign w:val="center"/>
          </w:tcPr>
          <w:p w14:paraId="72F6FE6E" w14:textId="77777777" w:rsidR="00DB1444" w:rsidRPr="00103A0B" w:rsidRDefault="00DB1444" w:rsidP="00C10D64">
            <w:pPr>
              <w:spacing w:line="276" w:lineRule="auto"/>
              <w:jc w:val="both"/>
              <w:rPr>
                <w:rFonts w:ascii="Arial" w:hAnsi="Arial" w:cs="Arial"/>
              </w:rPr>
            </w:pPr>
          </w:p>
        </w:tc>
        <w:tc>
          <w:tcPr>
            <w:tcW w:w="2268" w:type="dxa"/>
            <w:vAlign w:val="center"/>
          </w:tcPr>
          <w:p w14:paraId="088BC145" w14:textId="77777777" w:rsidR="00DB1444" w:rsidRPr="00103A0B" w:rsidRDefault="00DB1444" w:rsidP="00C10D64">
            <w:pPr>
              <w:spacing w:line="276" w:lineRule="auto"/>
              <w:jc w:val="both"/>
              <w:rPr>
                <w:rFonts w:ascii="Arial" w:hAnsi="Arial" w:cs="Arial"/>
              </w:rPr>
            </w:pPr>
          </w:p>
        </w:tc>
        <w:tc>
          <w:tcPr>
            <w:tcW w:w="2268" w:type="dxa"/>
            <w:vAlign w:val="center"/>
          </w:tcPr>
          <w:p w14:paraId="7482188E" w14:textId="77777777" w:rsidR="00DB1444" w:rsidRPr="00103A0B" w:rsidRDefault="00DB1444" w:rsidP="00C10D64">
            <w:pPr>
              <w:spacing w:line="276" w:lineRule="auto"/>
              <w:jc w:val="both"/>
              <w:rPr>
                <w:rFonts w:ascii="Arial" w:hAnsi="Arial" w:cs="Arial"/>
              </w:rPr>
            </w:pPr>
          </w:p>
        </w:tc>
        <w:tc>
          <w:tcPr>
            <w:tcW w:w="2096" w:type="dxa"/>
            <w:vAlign w:val="center"/>
          </w:tcPr>
          <w:p w14:paraId="3DF4EB09" w14:textId="77777777" w:rsidR="00DB1444" w:rsidRPr="00103A0B" w:rsidRDefault="00DB1444" w:rsidP="00C10D64">
            <w:pPr>
              <w:spacing w:line="276" w:lineRule="auto"/>
              <w:jc w:val="both"/>
              <w:rPr>
                <w:rFonts w:ascii="Arial" w:hAnsi="Arial" w:cs="Arial"/>
              </w:rPr>
            </w:pPr>
          </w:p>
        </w:tc>
      </w:tr>
      <w:tr w:rsidR="00DB1444" w:rsidRPr="00103A0B" w14:paraId="14707232" w14:textId="77777777" w:rsidTr="00FA3E6E">
        <w:trPr>
          <w:trHeight w:val="281"/>
        </w:trPr>
        <w:tc>
          <w:tcPr>
            <w:tcW w:w="5495" w:type="dxa"/>
          </w:tcPr>
          <w:p w14:paraId="5394B081" w14:textId="77777777" w:rsidR="00DB1444" w:rsidRPr="00103A0B" w:rsidRDefault="00DB1444" w:rsidP="00C10D64">
            <w:pPr>
              <w:spacing w:line="276" w:lineRule="auto"/>
              <w:jc w:val="both"/>
              <w:rPr>
                <w:rFonts w:ascii="Arial" w:hAnsi="Arial" w:cs="Arial"/>
                <w:sz w:val="24"/>
                <w:szCs w:val="24"/>
              </w:rPr>
            </w:pPr>
            <w:bookmarkStart w:id="389" w:name="_Hlk38381631"/>
            <w:r w:rsidRPr="00103A0B">
              <w:rPr>
                <w:rFonts w:ascii="Arial" w:hAnsi="Arial" w:cs="Arial"/>
                <w:sz w:val="24"/>
                <w:szCs w:val="24"/>
              </w:rPr>
              <w:t>Black</w:t>
            </w:r>
          </w:p>
        </w:tc>
        <w:tc>
          <w:tcPr>
            <w:tcW w:w="2410" w:type="dxa"/>
          </w:tcPr>
          <w:p w14:paraId="0A441650"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1.30 (1.05-1.</w:t>
            </w:r>
            <w:proofErr w:type="gramStart"/>
            <w:r w:rsidRPr="00103A0B">
              <w:rPr>
                <w:rFonts w:ascii="Arial" w:hAnsi="Arial" w:cs="Arial"/>
                <w:color w:val="010205"/>
              </w:rPr>
              <w:t>62)*</w:t>
            </w:r>
            <w:proofErr w:type="gramEnd"/>
            <w:r w:rsidRPr="00103A0B">
              <w:rPr>
                <w:rFonts w:ascii="Arial" w:hAnsi="Arial" w:cs="Arial"/>
                <w:color w:val="010205"/>
              </w:rPr>
              <w:t>*</w:t>
            </w:r>
          </w:p>
        </w:tc>
        <w:tc>
          <w:tcPr>
            <w:tcW w:w="2268" w:type="dxa"/>
          </w:tcPr>
          <w:p w14:paraId="7118BF8B"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1.30 (1.04-1.</w:t>
            </w:r>
            <w:proofErr w:type="gramStart"/>
            <w:r w:rsidRPr="00103A0B">
              <w:rPr>
                <w:rFonts w:ascii="Arial" w:hAnsi="Arial" w:cs="Arial"/>
                <w:color w:val="010205"/>
              </w:rPr>
              <w:t>63)*</w:t>
            </w:r>
            <w:proofErr w:type="gramEnd"/>
            <w:r w:rsidRPr="00103A0B">
              <w:rPr>
                <w:rFonts w:ascii="Arial" w:hAnsi="Arial" w:cs="Arial"/>
                <w:color w:val="010205"/>
              </w:rPr>
              <w:t>*</w:t>
            </w:r>
          </w:p>
        </w:tc>
        <w:tc>
          <w:tcPr>
            <w:tcW w:w="2268" w:type="dxa"/>
          </w:tcPr>
          <w:p w14:paraId="5D793872"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1.31 (1.05-1.63)</w:t>
            </w:r>
          </w:p>
        </w:tc>
        <w:tc>
          <w:tcPr>
            <w:tcW w:w="2096" w:type="dxa"/>
          </w:tcPr>
          <w:p w14:paraId="0E775E7C"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1.34 (1.07-1.68)</w:t>
            </w:r>
          </w:p>
        </w:tc>
      </w:tr>
      <w:tr w:rsidR="00DB1444" w:rsidRPr="00103A0B" w14:paraId="47317AFA" w14:textId="77777777" w:rsidTr="00FA3E6E">
        <w:trPr>
          <w:trHeight w:val="281"/>
        </w:trPr>
        <w:tc>
          <w:tcPr>
            <w:tcW w:w="5495" w:type="dxa"/>
          </w:tcPr>
          <w:p w14:paraId="38D9B604"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Asian</w:t>
            </w:r>
          </w:p>
        </w:tc>
        <w:tc>
          <w:tcPr>
            <w:tcW w:w="2410" w:type="dxa"/>
          </w:tcPr>
          <w:p w14:paraId="132886BB"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0.95 (0.76-1.20)</w:t>
            </w:r>
          </w:p>
        </w:tc>
        <w:tc>
          <w:tcPr>
            <w:tcW w:w="2268" w:type="dxa"/>
          </w:tcPr>
          <w:p w14:paraId="14C56E28"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0.94 (0.75-1.19)</w:t>
            </w:r>
          </w:p>
        </w:tc>
        <w:tc>
          <w:tcPr>
            <w:tcW w:w="2268" w:type="dxa"/>
          </w:tcPr>
          <w:p w14:paraId="751FAD2D"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0.94 (0.75-1.19)</w:t>
            </w:r>
          </w:p>
        </w:tc>
        <w:tc>
          <w:tcPr>
            <w:tcW w:w="2096" w:type="dxa"/>
          </w:tcPr>
          <w:p w14:paraId="5B437D79"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0.95 (0.75-1.20)</w:t>
            </w:r>
          </w:p>
        </w:tc>
      </w:tr>
      <w:tr w:rsidR="00DB1444" w:rsidRPr="00103A0B" w14:paraId="7F85CDE2" w14:textId="77777777" w:rsidTr="00FA3E6E">
        <w:trPr>
          <w:trHeight w:val="281"/>
        </w:trPr>
        <w:tc>
          <w:tcPr>
            <w:tcW w:w="5495" w:type="dxa"/>
          </w:tcPr>
          <w:p w14:paraId="50479180"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Mixed</w:t>
            </w:r>
          </w:p>
        </w:tc>
        <w:tc>
          <w:tcPr>
            <w:tcW w:w="2410" w:type="dxa"/>
          </w:tcPr>
          <w:p w14:paraId="64A5BCAE"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1.63 (1.03-2.</w:t>
            </w:r>
            <w:proofErr w:type="gramStart"/>
            <w:r w:rsidRPr="00103A0B">
              <w:rPr>
                <w:rFonts w:ascii="Arial" w:hAnsi="Arial" w:cs="Arial"/>
                <w:color w:val="010205"/>
              </w:rPr>
              <w:t>56)*</w:t>
            </w:r>
            <w:proofErr w:type="gramEnd"/>
            <w:r w:rsidRPr="00103A0B">
              <w:rPr>
                <w:rFonts w:ascii="Arial" w:hAnsi="Arial" w:cs="Arial"/>
                <w:color w:val="010205"/>
              </w:rPr>
              <w:t>*</w:t>
            </w:r>
          </w:p>
        </w:tc>
        <w:tc>
          <w:tcPr>
            <w:tcW w:w="2268" w:type="dxa"/>
          </w:tcPr>
          <w:p w14:paraId="45444F9A"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1.59 (1.00-2.</w:t>
            </w:r>
            <w:proofErr w:type="gramStart"/>
            <w:r w:rsidRPr="00103A0B">
              <w:rPr>
                <w:rFonts w:ascii="Arial" w:hAnsi="Arial" w:cs="Arial"/>
                <w:color w:val="010205"/>
              </w:rPr>
              <w:t>53)*</w:t>
            </w:r>
            <w:proofErr w:type="gramEnd"/>
          </w:p>
        </w:tc>
        <w:tc>
          <w:tcPr>
            <w:tcW w:w="2268" w:type="dxa"/>
          </w:tcPr>
          <w:p w14:paraId="68AEB277"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1.59 (1.00-2.</w:t>
            </w:r>
            <w:proofErr w:type="gramStart"/>
            <w:r w:rsidRPr="00103A0B">
              <w:rPr>
                <w:rFonts w:ascii="Arial" w:hAnsi="Arial" w:cs="Arial"/>
                <w:color w:val="010205"/>
              </w:rPr>
              <w:t>52)*</w:t>
            </w:r>
            <w:proofErr w:type="gramEnd"/>
          </w:p>
        </w:tc>
        <w:tc>
          <w:tcPr>
            <w:tcW w:w="2096" w:type="dxa"/>
          </w:tcPr>
          <w:p w14:paraId="1101722C"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1.60 (1.00-2.</w:t>
            </w:r>
            <w:proofErr w:type="gramStart"/>
            <w:r w:rsidRPr="00103A0B">
              <w:rPr>
                <w:rFonts w:ascii="Arial" w:hAnsi="Arial" w:cs="Arial"/>
                <w:color w:val="010205"/>
              </w:rPr>
              <w:t>54)*</w:t>
            </w:r>
            <w:proofErr w:type="gramEnd"/>
          </w:p>
        </w:tc>
      </w:tr>
      <w:bookmarkEnd w:id="389"/>
      <w:tr w:rsidR="00DB1444" w:rsidRPr="00103A0B" w14:paraId="4E0C531F" w14:textId="77777777" w:rsidTr="00FA3E6E">
        <w:trPr>
          <w:trHeight w:val="281"/>
        </w:trPr>
        <w:tc>
          <w:tcPr>
            <w:tcW w:w="5495" w:type="dxa"/>
          </w:tcPr>
          <w:p w14:paraId="4B385761"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Other</w:t>
            </w:r>
          </w:p>
        </w:tc>
        <w:tc>
          <w:tcPr>
            <w:tcW w:w="2410" w:type="dxa"/>
          </w:tcPr>
          <w:p w14:paraId="4B7CFCE1"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0.71 (0.44-1.15)</w:t>
            </w:r>
          </w:p>
        </w:tc>
        <w:tc>
          <w:tcPr>
            <w:tcW w:w="2268" w:type="dxa"/>
          </w:tcPr>
          <w:p w14:paraId="14FE1902"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0.75 (0.46-1.22)</w:t>
            </w:r>
          </w:p>
        </w:tc>
        <w:tc>
          <w:tcPr>
            <w:tcW w:w="2268" w:type="dxa"/>
          </w:tcPr>
          <w:p w14:paraId="73123053"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0.75 (0.46-1.23)</w:t>
            </w:r>
          </w:p>
        </w:tc>
        <w:tc>
          <w:tcPr>
            <w:tcW w:w="2096" w:type="dxa"/>
          </w:tcPr>
          <w:p w14:paraId="1BD4CEC0"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0.77 (0.47-1.25)</w:t>
            </w:r>
          </w:p>
        </w:tc>
      </w:tr>
      <w:tr w:rsidR="00DB1444" w:rsidRPr="00103A0B" w14:paraId="2CBEECF1" w14:textId="77777777" w:rsidTr="00FA3E6E">
        <w:trPr>
          <w:trHeight w:val="281"/>
        </w:trPr>
        <w:tc>
          <w:tcPr>
            <w:tcW w:w="5495" w:type="dxa"/>
          </w:tcPr>
          <w:p w14:paraId="49DDAF04"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b/>
                <w:bCs/>
                <w:sz w:val="24"/>
                <w:szCs w:val="24"/>
              </w:rPr>
              <w:t>Deprivation Quintile</w:t>
            </w:r>
            <w:r w:rsidRPr="00103A0B">
              <w:rPr>
                <w:rFonts w:ascii="Arial" w:hAnsi="Arial" w:cs="Arial"/>
                <w:sz w:val="24"/>
                <w:szCs w:val="24"/>
              </w:rPr>
              <w:t xml:space="preserve"> [1 most deprived]</w:t>
            </w:r>
          </w:p>
        </w:tc>
        <w:tc>
          <w:tcPr>
            <w:tcW w:w="2410" w:type="dxa"/>
            <w:vAlign w:val="center"/>
          </w:tcPr>
          <w:p w14:paraId="589015BA" w14:textId="77777777" w:rsidR="00DB1444" w:rsidRPr="00103A0B" w:rsidRDefault="00DB1444" w:rsidP="00C10D64">
            <w:pPr>
              <w:spacing w:line="276" w:lineRule="auto"/>
              <w:jc w:val="both"/>
              <w:rPr>
                <w:rFonts w:ascii="Arial" w:hAnsi="Arial" w:cs="Arial"/>
              </w:rPr>
            </w:pPr>
          </w:p>
        </w:tc>
        <w:tc>
          <w:tcPr>
            <w:tcW w:w="2268" w:type="dxa"/>
            <w:vAlign w:val="center"/>
          </w:tcPr>
          <w:p w14:paraId="2A9E6247" w14:textId="77777777" w:rsidR="00DB1444" w:rsidRPr="00103A0B" w:rsidRDefault="00DB1444" w:rsidP="00C10D64">
            <w:pPr>
              <w:spacing w:line="276" w:lineRule="auto"/>
              <w:jc w:val="both"/>
              <w:rPr>
                <w:rFonts w:ascii="Arial" w:hAnsi="Arial" w:cs="Arial"/>
              </w:rPr>
            </w:pPr>
          </w:p>
        </w:tc>
        <w:tc>
          <w:tcPr>
            <w:tcW w:w="2268" w:type="dxa"/>
            <w:vAlign w:val="center"/>
          </w:tcPr>
          <w:p w14:paraId="192D123D" w14:textId="77777777" w:rsidR="00DB1444" w:rsidRPr="00103A0B" w:rsidRDefault="00DB1444" w:rsidP="00C10D64">
            <w:pPr>
              <w:spacing w:line="276" w:lineRule="auto"/>
              <w:jc w:val="both"/>
              <w:rPr>
                <w:rFonts w:ascii="Arial" w:hAnsi="Arial" w:cs="Arial"/>
              </w:rPr>
            </w:pPr>
          </w:p>
        </w:tc>
        <w:tc>
          <w:tcPr>
            <w:tcW w:w="2096" w:type="dxa"/>
            <w:vAlign w:val="center"/>
          </w:tcPr>
          <w:p w14:paraId="71217CD5" w14:textId="77777777" w:rsidR="00DB1444" w:rsidRPr="00103A0B" w:rsidRDefault="00DB1444" w:rsidP="00C10D64">
            <w:pPr>
              <w:spacing w:line="276" w:lineRule="auto"/>
              <w:jc w:val="both"/>
              <w:rPr>
                <w:rFonts w:ascii="Arial" w:hAnsi="Arial" w:cs="Arial"/>
              </w:rPr>
            </w:pPr>
          </w:p>
        </w:tc>
      </w:tr>
      <w:tr w:rsidR="00DB1444" w:rsidRPr="00103A0B" w14:paraId="12EEF2C6" w14:textId="77777777" w:rsidTr="00FA3E6E">
        <w:trPr>
          <w:trHeight w:val="281"/>
        </w:trPr>
        <w:tc>
          <w:tcPr>
            <w:tcW w:w="5495" w:type="dxa"/>
          </w:tcPr>
          <w:p w14:paraId="3394B33E"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Quintile 2</w:t>
            </w:r>
          </w:p>
        </w:tc>
        <w:tc>
          <w:tcPr>
            <w:tcW w:w="2410" w:type="dxa"/>
          </w:tcPr>
          <w:p w14:paraId="6AAD1542"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0.93 (0.76-1.14)</w:t>
            </w:r>
          </w:p>
        </w:tc>
        <w:tc>
          <w:tcPr>
            <w:tcW w:w="2268" w:type="dxa"/>
          </w:tcPr>
          <w:p w14:paraId="0D15669D"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0.92 (0.75-1.12)</w:t>
            </w:r>
          </w:p>
        </w:tc>
        <w:tc>
          <w:tcPr>
            <w:tcW w:w="2268" w:type="dxa"/>
          </w:tcPr>
          <w:p w14:paraId="090E3C27"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0.92 (0.75-1.12)</w:t>
            </w:r>
          </w:p>
        </w:tc>
        <w:tc>
          <w:tcPr>
            <w:tcW w:w="2096" w:type="dxa"/>
          </w:tcPr>
          <w:p w14:paraId="0226509B"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0.91 (0.74-1.11)</w:t>
            </w:r>
          </w:p>
        </w:tc>
      </w:tr>
      <w:tr w:rsidR="00DB1444" w:rsidRPr="00103A0B" w14:paraId="020E60A8" w14:textId="77777777" w:rsidTr="00FA3E6E">
        <w:trPr>
          <w:trHeight w:val="281"/>
        </w:trPr>
        <w:tc>
          <w:tcPr>
            <w:tcW w:w="5495" w:type="dxa"/>
          </w:tcPr>
          <w:p w14:paraId="73E44CB4"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lastRenderedPageBreak/>
              <w:t>Quintile 3</w:t>
            </w:r>
          </w:p>
        </w:tc>
        <w:tc>
          <w:tcPr>
            <w:tcW w:w="2410" w:type="dxa"/>
          </w:tcPr>
          <w:p w14:paraId="185F7DC5"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1.10 (0.88-1.38)</w:t>
            </w:r>
          </w:p>
        </w:tc>
        <w:tc>
          <w:tcPr>
            <w:tcW w:w="2268" w:type="dxa"/>
          </w:tcPr>
          <w:p w14:paraId="2268A318"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1.08 (0.87-1.36)</w:t>
            </w:r>
          </w:p>
        </w:tc>
        <w:tc>
          <w:tcPr>
            <w:tcW w:w="2268" w:type="dxa"/>
          </w:tcPr>
          <w:p w14:paraId="23458FDC"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1.09 (0.87-1.36)</w:t>
            </w:r>
          </w:p>
        </w:tc>
        <w:tc>
          <w:tcPr>
            <w:tcW w:w="2096" w:type="dxa"/>
          </w:tcPr>
          <w:p w14:paraId="3EACB0FB"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1.08 (0.86-1.36)</w:t>
            </w:r>
          </w:p>
        </w:tc>
      </w:tr>
      <w:tr w:rsidR="00DB1444" w:rsidRPr="00103A0B" w14:paraId="6941130B" w14:textId="77777777" w:rsidTr="00FA3E6E">
        <w:trPr>
          <w:trHeight w:val="281"/>
        </w:trPr>
        <w:tc>
          <w:tcPr>
            <w:tcW w:w="5495" w:type="dxa"/>
          </w:tcPr>
          <w:p w14:paraId="7C9ECDD7" w14:textId="77777777" w:rsidR="00DB1444" w:rsidRPr="00103A0B" w:rsidRDefault="00DB1444" w:rsidP="00C10D64">
            <w:pPr>
              <w:spacing w:line="276" w:lineRule="auto"/>
              <w:jc w:val="both"/>
              <w:rPr>
                <w:rFonts w:ascii="Arial" w:hAnsi="Arial" w:cs="Arial"/>
                <w:sz w:val="24"/>
                <w:szCs w:val="24"/>
              </w:rPr>
            </w:pPr>
            <w:bookmarkStart w:id="390" w:name="_Hlk42534367"/>
            <w:bookmarkStart w:id="391" w:name="_Hlk38381794"/>
            <w:r w:rsidRPr="00103A0B">
              <w:rPr>
                <w:rFonts w:ascii="Arial" w:hAnsi="Arial" w:cs="Arial"/>
                <w:sz w:val="24"/>
                <w:szCs w:val="24"/>
              </w:rPr>
              <w:t>Quintile 4</w:t>
            </w:r>
          </w:p>
        </w:tc>
        <w:tc>
          <w:tcPr>
            <w:tcW w:w="2410" w:type="dxa"/>
          </w:tcPr>
          <w:p w14:paraId="734BB5E1"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1.36 (1.07-1.</w:t>
            </w:r>
            <w:proofErr w:type="gramStart"/>
            <w:r w:rsidRPr="00103A0B">
              <w:rPr>
                <w:rFonts w:ascii="Arial" w:hAnsi="Arial" w:cs="Arial"/>
                <w:color w:val="010205"/>
              </w:rPr>
              <w:t>74)*</w:t>
            </w:r>
            <w:proofErr w:type="gramEnd"/>
            <w:r w:rsidRPr="00103A0B">
              <w:rPr>
                <w:rFonts w:ascii="Arial" w:hAnsi="Arial" w:cs="Arial"/>
                <w:color w:val="010205"/>
              </w:rPr>
              <w:t>*</w:t>
            </w:r>
          </w:p>
        </w:tc>
        <w:tc>
          <w:tcPr>
            <w:tcW w:w="2268" w:type="dxa"/>
          </w:tcPr>
          <w:p w14:paraId="3A8D6490"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1.34 (1.05-1.</w:t>
            </w:r>
            <w:proofErr w:type="gramStart"/>
            <w:r w:rsidRPr="00103A0B">
              <w:rPr>
                <w:rFonts w:ascii="Arial" w:hAnsi="Arial" w:cs="Arial"/>
                <w:color w:val="010205"/>
              </w:rPr>
              <w:t>72)*</w:t>
            </w:r>
            <w:proofErr w:type="gramEnd"/>
            <w:r w:rsidRPr="00103A0B">
              <w:rPr>
                <w:rFonts w:ascii="Arial" w:hAnsi="Arial" w:cs="Arial"/>
                <w:color w:val="010205"/>
              </w:rPr>
              <w:t>*</w:t>
            </w:r>
          </w:p>
        </w:tc>
        <w:tc>
          <w:tcPr>
            <w:tcW w:w="2268" w:type="dxa"/>
          </w:tcPr>
          <w:p w14:paraId="5D57AA79"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1.35 (1.05-1.</w:t>
            </w:r>
            <w:proofErr w:type="gramStart"/>
            <w:r w:rsidRPr="00103A0B">
              <w:rPr>
                <w:rFonts w:ascii="Arial" w:hAnsi="Arial" w:cs="Arial"/>
                <w:color w:val="010205"/>
              </w:rPr>
              <w:t>73)*</w:t>
            </w:r>
            <w:proofErr w:type="gramEnd"/>
            <w:r w:rsidRPr="00103A0B">
              <w:rPr>
                <w:rFonts w:ascii="Arial" w:hAnsi="Arial" w:cs="Arial"/>
                <w:color w:val="010205"/>
              </w:rPr>
              <w:t>*</w:t>
            </w:r>
          </w:p>
        </w:tc>
        <w:tc>
          <w:tcPr>
            <w:tcW w:w="2096" w:type="dxa"/>
          </w:tcPr>
          <w:p w14:paraId="0733CCB6"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1.34 (1.05-1.</w:t>
            </w:r>
            <w:proofErr w:type="gramStart"/>
            <w:r w:rsidRPr="00103A0B">
              <w:rPr>
                <w:rFonts w:ascii="Arial" w:hAnsi="Arial" w:cs="Arial"/>
                <w:color w:val="010205"/>
              </w:rPr>
              <w:t>73)*</w:t>
            </w:r>
            <w:proofErr w:type="gramEnd"/>
            <w:r w:rsidRPr="00103A0B">
              <w:rPr>
                <w:rFonts w:ascii="Arial" w:hAnsi="Arial" w:cs="Arial"/>
                <w:color w:val="010205"/>
              </w:rPr>
              <w:t>*</w:t>
            </w:r>
          </w:p>
        </w:tc>
      </w:tr>
      <w:bookmarkEnd w:id="390"/>
      <w:tr w:rsidR="00DB1444" w:rsidRPr="00103A0B" w14:paraId="2A4BD200" w14:textId="77777777" w:rsidTr="00FA3E6E">
        <w:trPr>
          <w:trHeight w:val="281"/>
        </w:trPr>
        <w:tc>
          <w:tcPr>
            <w:tcW w:w="5495" w:type="dxa"/>
          </w:tcPr>
          <w:p w14:paraId="00847E4B"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Quintile 5 (least deprived)</w:t>
            </w:r>
          </w:p>
        </w:tc>
        <w:tc>
          <w:tcPr>
            <w:tcW w:w="2410" w:type="dxa"/>
          </w:tcPr>
          <w:p w14:paraId="75EDA8EF" w14:textId="77777777" w:rsidR="00DB1444" w:rsidRPr="00103A0B" w:rsidRDefault="00DB1444" w:rsidP="00C10D64">
            <w:pPr>
              <w:spacing w:line="360" w:lineRule="auto"/>
              <w:jc w:val="both"/>
              <w:rPr>
                <w:rFonts w:ascii="Arial" w:hAnsi="Arial" w:cs="Arial"/>
                <w:color w:val="010205"/>
              </w:rPr>
            </w:pPr>
            <w:r w:rsidRPr="00103A0B">
              <w:rPr>
                <w:rFonts w:ascii="Arial" w:hAnsi="Arial" w:cs="Arial"/>
                <w:color w:val="010205"/>
              </w:rPr>
              <w:t>1.66 (1.28-2.</w:t>
            </w:r>
            <w:proofErr w:type="gramStart"/>
            <w:r w:rsidRPr="00103A0B">
              <w:rPr>
                <w:rFonts w:ascii="Arial" w:hAnsi="Arial" w:cs="Arial"/>
                <w:color w:val="010205"/>
              </w:rPr>
              <w:t>14)*</w:t>
            </w:r>
            <w:proofErr w:type="gramEnd"/>
            <w:r w:rsidRPr="00103A0B">
              <w:rPr>
                <w:rFonts w:ascii="Arial" w:hAnsi="Arial" w:cs="Arial"/>
                <w:color w:val="010205"/>
              </w:rPr>
              <w:t>**</w:t>
            </w:r>
          </w:p>
        </w:tc>
        <w:tc>
          <w:tcPr>
            <w:tcW w:w="2268" w:type="dxa"/>
          </w:tcPr>
          <w:p w14:paraId="3976C0AD"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1.62 (1.26-2.</w:t>
            </w:r>
            <w:proofErr w:type="gramStart"/>
            <w:r w:rsidRPr="00103A0B">
              <w:rPr>
                <w:rFonts w:ascii="Arial" w:hAnsi="Arial" w:cs="Arial"/>
                <w:color w:val="010205"/>
              </w:rPr>
              <w:t>10)*</w:t>
            </w:r>
            <w:proofErr w:type="gramEnd"/>
            <w:r w:rsidRPr="00103A0B">
              <w:rPr>
                <w:rFonts w:ascii="Arial" w:hAnsi="Arial" w:cs="Arial"/>
                <w:color w:val="010205"/>
              </w:rPr>
              <w:t>**</w:t>
            </w:r>
          </w:p>
        </w:tc>
        <w:tc>
          <w:tcPr>
            <w:tcW w:w="2268" w:type="dxa"/>
          </w:tcPr>
          <w:p w14:paraId="1BCA88CA"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1.64 (1.26-2.</w:t>
            </w:r>
            <w:proofErr w:type="gramStart"/>
            <w:r w:rsidRPr="00103A0B">
              <w:rPr>
                <w:rFonts w:ascii="Arial" w:hAnsi="Arial" w:cs="Arial"/>
                <w:color w:val="010205"/>
              </w:rPr>
              <w:t>12)*</w:t>
            </w:r>
            <w:proofErr w:type="gramEnd"/>
            <w:r w:rsidRPr="00103A0B">
              <w:rPr>
                <w:rFonts w:ascii="Arial" w:hAnsi="Arial" w:cs="Arial"/>
                <w:color w:val="010205"/>
              </w:rPr>
              <w:t>**</w:t>
            </w:r>
          </w:p>
        </w:tc>
        <w:tc>
          <w:tcPr>
            <w:tcW w:w="2096" w:type="dxa"/>
          </w:tcPr>
          <w:p w14:paraId="43EE5BFD"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1.62 (1.25-2.</w:t>
            </w:r>
            <w:proofErr w:type="gramStart"/>
            <w:r w:rsidRPr="00103A0B">
              <w:rPr>
                <w:rFonts w:ascii="Arial" w:hAnsi="Arial" w:cs="Arial"/>
                <w:color w:val="010205"/>
              </w:rPr>
              <w:t>10)*</w:t>
            </w:r>
            <w:proofErr w:type="gramEnd"/>
            <w:r w:rsidRPr="00103A0B">
              <w:rPr>
                <w:rFonts w:ascii="Arial" w:hAnsi="Arial" w:cs="Arial"/>
                <w:color w:val="010205"/>
              </w:rPr>
              <w:t>**</w:t>
            </w:r>
          </w:p>
        </w:tc>
      </w:tr>
      <w:tr w:rsidR="00DB1444" w:rsidRPr="00103A0B" w14:paraId="1769FB53" w14:textId="77777777" w:rsidTr="00FA3E6E">
        <w:trPr>
          <w:trHeight w:val="281"/>
        </w:trPr>
        <w:tc>
          <w:tcPr>
            <w:tcW w:w="5495" w:type="dxa"/>
          </w:tcPr>
          <w:p w14:paraId="39C422B7" w14:textId="77777777" w:rsidR="00DB1444" w:rsidRPr="00103A0B" w:rsidRDefault="00DB1444" w:rsidP="00C10D64">
            <w:pPr>
              <w:spacing w:line="276" w:lineRule="auto"/>
              <w:jc w:val="both"/>
              <w:rPr>
                <w:rFonts w:ascii="Arial" w:hAnsi="Arial" w:cs="Arial"/>
                <w:b/>
                <w:bCs/>
                <w:sz w:val="24"/>
                <w:szCs w:val="24"/>
              </w:rPr>
            </w:pPr>
            <w:r w:rsidRPr="00103A0B">
              <w:rPr>
                <w:rFonts w:ascii="Arial" w:hAnsi="Arial" w:cs="Arial"/>
                <w:b/>
                <w:bCs/>
                <w:sz w:val="24"/>
                <w:szCs w:val="24"/>
              </w:rPr>
              <w:t>Brief IPQ</w:t>
            </w:r>
          </w:p>
        </w:tc>
        <w:tc>
          <w:tcPr>
            <w:tcW w:w="2410" w:type="dxa"/>
          </w:tcPr>
          <w:p w14:paraId="3474A2B8" w14:textId="77777777" w:rsidR="00DB1444" w:rsidRPr="00103A0B" w:rsidRDefault="00DB1444" w:rsidP="00C10D64">
            <w:pPr>
              <w:spacing w:line="276" w:lineRule="auto"/>
              <w:jc w:val="both"/>
              <w:rPr>
                <w:rFonts w:ascii="Arial" w:hAnsi="Arial" w:cs="Arial"/>
              </w:rPr>
            </w:pPr>
          </w:p>
        </w:tc>
        <w:tc>
          <w:tcPr>
            <w:tcW w:w="2268" w:type="dxa"/>
          </w:tcPr>
          <w:p w14:paraId="79933752" w14:textId="77777777" w:rsidR="00DB1444" w:rsidRPr="00103A0B" w:rsidRDefault="00DB1444" w:rsidP="00C10D64">
            <w:pPr>
              <w:spacing w:line="276" w:lineRule="auto"/>
              <w:jc w:val="both"/>
              <w:rPr>
                <w:rFonts w:ascii="Arial" w:hAnsi="Arial" w:cs="Arial"/>
                <w:color w:val="010205"/>
              </w:rPr>
            </w:pPr>
          </w:p>
        </w:tc>
        <w:tc>
          <w:tcPr>
            <w:tcW w:w="2268" w:type="dxa"/>
          </w:tcPr>
          <w:p w14:paraId="1FBE33C3" w14:textId="77777777" w:rsidR="00DB1444" w:rsidRPr="00103A0B" w:rsidRDefault="00DB1444" w:rsidP="00C10D64">
            <w:pPr>
              <w:spacing w:line="276" w:lineRule="auto"/>
              <w:jc w:val="both"/>
              <w:rPr>
                <w:rFonts w:ascii="Arial" w:hAnsi="Arial" w:cs="Arial"/>
                <w:color w:val="010205"/>
              </w:rPr>
            </w:pPr>
          </w:p>
        </w:tc>
        <w:tc>
          <w:tcPr>
            <w:tcW w:w="2096" w:type="dxa"/>
          </w:tcPr>
          <w:p w14:paraId="5ED473C3" w14:textId="77777777" w:rsidR="00DB1444" w:rsidRPr="00103A0B" w:rsidRDefault="00DB1444" w:rsidP="00C10D64">
            <w:pPr>
              <w:spacing w:line="276" w:lineRule="auto"/>
              <w:jc w:val="both"/>
              <w:rPr>
                <w:rFonts w:ascii="Arial" w:hAnsi="Arial" w:cs="Arial"/>
                <w:color w:val="010205"/>
              </w:rPr>
            </w:pPr>
          </w:p>
        </w:tc>
      </w:tr>
      <w:tr w:rsidR="00DB1444" w:rsidRPr="00103A0B" w14:paraId="14D1AF98" w14:textId="77777777" w:rsidTr="00FA3E6E">
        <w:trPr>
          <w:trHeight w:val="281"/>
        </w:trPr>
        <w:tc>
          <w:tcPr>
            <w:tcW w:w="5495" w:type="dxa"/>
          </w:tcPr>
          <w:p w14:paraId="57DB5FD0" w14:textId="77777777" w:rsidR="00DB1444" w:rsidRPr="00103A0B" w:rsidRDefault="00DB1444" w:rsidP="00C10D64">
            <w:pPr>
              <w:spacing w:line="276" w:lineRule="auto"/>
              <w:jc w:val="both"/>
              <w:rPr>
                <w:rFonts w:ascii="Arial" w:hAnsi="Arial" w:cs="Arial"/>
                <w:b/>
                <w:bCs/>
                <w:sz w:val="24"/>
                <w:szCs w:val="24"/>
              </w:rPr>
            </w:pPr>
            <w:bookmarkStart w:id="392" w:name="_Hlk37938697"/>
            <w:bookmarkEnd w:id="391"/>
            <w:r w:rsidRPr="00103A0B">
              <w:rPr>
                <w:rFonts w:ascii="Arial" w:hAnsi="Arial" w:cs="Arial"/>
                <w:sz w:val="24"/>
                <w:szCs w:val="24"/>
              </w:rPr>
              <w:t>Question 1: consequences</w:t>
            </w:r>
          </w:p>
        </w:tc>
        <w:tc>
          <w:tcPr>
            <w:tcW w:w="2410" w:type="dxa"/>
          </w:tcPr>
          <w:p w14:paraId="15F7A567"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5891170A"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0.98 (0.95-1.01)</w:t>
            </w:r>
          </w:p>
        </w:tc>
        <w:tc>
          <w:tcPr>
            <w:tcW w:w="2268" w:type="dxa"/>
          </w:tcPr>
          <w:p w14:paraId="512DC46E"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0.98 (0.95-1.01)</w:t>
            </w:r>
          </w:p>
        </w:tc>
        <w:tc>
          <w:tcPr>
            <w:tcW w:w="2096" w:type="dxa"/>
          </w:tcPr>
          <w:p w14:paraId="63D59C15"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0.98 (0.95-1.01)</w:t>
            </w:r>
          </w:p>
        </w:tc>
      </w:tr>
      <w:tr w:rsidR="00DB1444" w:rsidRPr="00103A0B" w14:paraId="24B1F95A" w14:textId="77777777" w:rsidTr="00FA3E6E">
        <w:trPr>
          <w:trHeight w:val="281"/>
        </w:trPr>
        <w:tc>
          <w:tcPr>
            <w:tcW w:w="5495" w:type="dxa"/>
          </w:tcPr>
          <w:p w14:paraId="4B4A0527" w14:textId="77777777" w:rsidR="00DB1444" w:rsidRPr="00103A0B" w:rsidRDefault="00DB1444" w:rsidP="00C10D64">
            <w:pPr>
              <w:spacing w:line="276" w:lineRule="auto"/>
              <w:jc w:val="both"/>
              <w:rPr>
                <w:rFonts w:ascii="Arial" w:hAnsi="Arial" w:cs="Arial"/>
                <w:b/>
                <w:bCs/>
                <w:sz w:val="24"/>
                <w:szCs w:val="24"/>
              </w:rPr>
            </w:pPr>
            <w:r w:rsidRPr="00103A0B">
              <w:rPr>
                <w:rFonts w:ascii="Arial" w:hAnsi="Arial" w:cs="Arial"/>
                <w:sz w:val="24"/>
                <w:szCs w:val="24"/>
              </w:rPr>
              <w:t xml:space="preserve">Question 2: timeline </w:t>
            </w:r>
            <w:r w:rsidRPr="00103A0B">
              <w:rPr>
                <w:rFonts w:ascii="Arial" w:hAnsi="Arial" w:cs="Arial"/>
                <w:b/>
                <w:bCs/>
                <w:sz w:val="24"/>
                <w:szCs w:val="24"/>
              </w:rPr>
              <w:t xml:space="preserve"> </w:t>
            </w:r>
          </w:p>
        </w:tc>
        <w:tc>
          <w:tcPr>
            <w:tcW w:w="2410" w:type="dxa"/>
          </w:tcPr>
          <w:p w14:paraId="71B48614"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35889019"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1.02 (0.99-1.04)</w:t>
            </w:r>
          </w:p>
        </w:tc>
        <w:tc>
          <w:tcPr>
            <w:tcW w:w="2268" w:type="dxa"/>
          </w:tcPr>
          <w:p w14:paraId="530CD909"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1.02 (0.99-1.04)</w:t>
            </w:r>
          </w:p>
        </w:tc>
        <w:tc>
          <w:tcPr>
            <w:tcW w:w="2096" w:type="dxa"/>
          </w:tcPr>
          <w:p w14:paraId="2EEF12D3"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1.01 (0.99-1.04)</w:t>
            </w:r>
          </w:p>
        </w:tc>
      </w:tr>
      <w:tr w:rsidR="00DB1444" w:rsidRPr="00103A0B" w14:paraId="6ECE2AB5" w14:textId="77777777" w:rsidTr="00FA3E6E">
        <w:trPr>
          <w:trHeight w:val="281"/>
        </w:trPr>
        <w:tc>
          <w:tcPr>
            <w:tcW w:w="5495" w:type="dxa"/>
          </w:tcPr>
          <w:p w14:paraId="5AB7BD39" w14:textId="77777777" w:rsidR="00DB1444" w:rsidRPr="00103A0B" w:rsidRDefault="00DB1444" w:rsidP="00C10D64">
            <w:pPr>
              <w:spacing w:line="276" w:lineRule="auto"/>
              <w:jc w:val="both"/>
              <w:rPr>
                <w:rFonts w:ascii="Arial" w:hAnsi="Arial" w:cs="Arial"/>
                <w:b/>
                <w:bCs/>
                <w:sz w:val="24"/>
                <w:szCs w:val="24"/>
              </w:rPr>
            </w:pPr>
            <w:bookmarkStart w:id="393" w:name="_Hlk55733662"/>
            <w:bookmarkEnd w:id="392"/>
            <w:r w:rsidRPr="00103A0B">
              <w:rPr>
                <w:rFonts w:ascii="Arial" w:hAnsi="Arial" w:cs="Arial"/>
                <w:sz w:val="24"/>
                <w:szCs w:val="24"/>
              </w:rPr>
              <w:t xml:space="preserve">Question 4: treatment control </w:t>
            </w:r>
            <w:r w:rsidRPr="00103A0B">
              <w:rPr>
                <w:rFonts w:ascii="Arial" w:hAnsi="Arial" w:cs="Arial"/>
                <w:b/>
                <w:bCs/>
                <w:sz w:val="24"/>
                <w:szCs w:val="24"/>
              </w:rPr>
              <w:t xml:space="preserve"> </w:t>
            </w:r>
          </w:p>
        </w:tc>
        <w:tc>
          <w:tcPr>
            <w:tcW w:w="2410" w:type="dxa"/>
          </w:tcPr>
          <w:p w14:paraId="55E31124"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03157F54"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1.03 (1.01-1.</w:t>
            </w:r>
            <w:proofErr w:type="gramStart"/>
            <w:r w:rsidRPr="00103A0B">
              <w:rPr>
                <w:rFonts w:ascii="Arial" w:hAnsi="Arial" w:cs="Arial"/>
                <w:color w:val="010205"/>
              </w:rPr>
              <w:t>06)*</w:t>
            </w:r>
            <w:proofErr w:type="gramEnd"/>
            <w:r w:rsidRPr="00103A0B">
              <w:rPr>
                <w:rFonts w:ascii="Arial" w:hAnsi="Arial" w:cs="Arial"/>
                <w:color w:val="010205"/>
              </w:rPr>
              <w:t>*</w:t>
            </w:r>
          </w:p>
        </w:tc>
        <w:tc>
          <w:tcPr>
            <w:tcW w:w="2268" w:type="dxa"/>
          </w:tcPr>
          <w:p w14:paraId="6AC2668C"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1.03 (1.01-1.</w:t>
            </w:r>
            <w:proofErr w:type="gramStart"/>
            <w:r w:rsidRPr="00103A0B">
              <w:rPr>
                <w:rFonts w:ascii="Arial" w:hAnsi="Arial" w:cs="Arial"/>
                <w:color w:val="010205"/>
              </w:rPr>
              <w:t>06)*</w:t>
            </w:r>
            <w:proofErr w:type="gramEnd"/>
            <w:r w:rsidRPr="00103A0B">
              <w:rPr>
                <w:rFonts w:ascii="Arial" w:hAnsi="Arial" w:cs="Arial"/>
                <w:color w:val="010205"/>
              </w:rPr>
              <w:t>*</w:t>
            </w:r>
          </w:p>
        </w:tc>
        <w:tc>
          <w:tcPr>
            <w:tcW w:w="2096" w:type="dxa"/>
          </w:tcPr>
          <w:p w14:paraId="3EE4E912"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1.03 (1.01-1.</w:t>
            </w:r>
            <w:proofErr w:type="gramStart"/>
            <w:r w:rsidRPr="00103A0B">
              <w:rPr>
                <w:rFonts w:ascii="Arial" w:hAnsi="Arial" w:cs="Arial"/>
                <w:color w:val="010205"/>
              </w:rPr>
              <w:t>06)*</w:t>
            </w:r>
            <w:proofErr w:type="gramEnd"/>
            <w:r w:rsidRPr="00103A0B">
              <w:rPr>
                <w:rFonts w:ascii="Arial" w:hAnsi="Arial" w:cs="Arial"/>
                <w:color w:val="010205"/>
              </w:rPr>
              <w:t>*</w:t>
            </w:r>
          </w:p>
        </w:tc>
      </w:tr>
      <w:bookmarkEnd w:id="393"/>
      <w:tr w:rsidR="00DB1444" w:rsidRPr="00103A0B" w14:paraId="27766E70" w14:textId="77777777" w:rsidTr="00FA3E6E">
        <w:trPr>
          <w:trHeight w:val="281"/>
        </w:trPr>
        <w:tc>
          <w:tcPr>
            <w:tcW w:w="5495" w:type="dxa"/>
          </w:tcPr>
          <w:p w14:paraId="7649536B" w14:textId="77777777" w:rsidR="00DB1444" w:rsidRPr="00103A0B" w:rsidRDefault="00DB1444" w:rsidP="00C10D64">
            <w:pPr>
              <w:spacing w:line="276" w:lineRule="auto"/>
              <w:jc w:val="both"/>
              <w:rPr>
                <w:rFonts w:ascii="Arial" w:hAnsi="Arial" w:cs="Arial"/>
                <w:b/>
                <w:bCs/>
                <w:sz w:val="24"/>
                <w:szCs w:val="24"/>
              </w:rPr>
            </w:pPr>
            <w:r w:rsidRPr="00103A0B">
              <w:rPr>
                <w:rFonts w:ascii="Arial" w:hAnsi="Arial" w:cs="Arial"/>
                <w:sz w:val="24"/>
                <w:szCs w:val="24"/>
              </w:rPr>
              <w:t>Question 6: illness concern</w:t>
            </w:r>
            <w:r w:rsidRPr="00103A0B">
              <w:rPr>
                <w:rFonts w:ascii="Arial" w:hAnsi="Arial" w:cs="Arial"/>
                <w:b/>
                <w:bCs/>
                <w:sz w:val="24"/>
                <w:szCs w:val="24"/>
              </w:rPr>
              <w:t xml:space="preserve"> </w:t>
            </w:r>
          </w:p>
        </w:tc>
        <w:tc>
          <w:tcPr>
            <w:tcW w:w="2410" w:type="dxa"/>
          </w:tcPr>
          <w:p w14:paraId="76121ED6"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3035F865"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1.06 (1.04-1.</w:t>
            </w:r>
            <w:proofErr w:type="gramStart"/>
            <w:r w:rsidRPr="00103A0B">
              <w:rPr>
                <w:rFonts w:ascii="Arial" w:hAnsi="Arial" w:cs="Arial"/>
                <w:color w:val="010205"/>
              </w:rPr>
              <w:t>09)*</w:t>
            </w:r>
            <w:proofErr w:type="gramEnd"/>
            <w:r w:rsidRPr="00103A0B">
              <w:rPr>
                <w:rFonts w:ascii="Arial" w:hAnsi="Arial" w:cs="Arial"/>
                <w:color w:val="010205"/>
              </w:rPr>
              <w:t>**</w:t>
            </w:r>
          </w:p>
        </w:tc>
        <w:tc>
          <w:tcPr>
            <w:tcW w:w="2268" w:type="dxa"/>
          </w:tcPr>
          <w:p w14:paraId="21870FE3"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1.06 (1.04-1.</w:t>
            </w:r>
            <w:proofErr w:type="gramStart"/>
            <w:r w:rsidRPr="00103A0B">
              <w:rPr>
                <w:rFonts w:ascii="Arial" w:hAnsi="Arial" w:cs="Arial"/>
                <w:color w:val="010205"/>
              </w:rPr>
              <w:t>09)*</w:t>
            </w:r>
            <w:proofErr w:type="gramEnd"/>
            <w:r w:rsidRPr="00103A0B">
              <w:rPr>
                <w:rFonts w:ascii="Arial" w:hAnsi="Arial" w:cs="Arial"/>
                <w:color w:val="010205"/>
              </w:rPr>
              <w:t>**</w:t>
            </w:r>
          </w:p>
        </w:tc>
        <w:tc>
          <w:tcPr>
            <w:tcW w:w="2096" w:type="dxa"/>
          </w:tcPr>
          <w:p w14:paraId="55793F18" w14:textId="77777777" w:rsidR="00DB1444" w:rsidRPr="00103A0B" w:rsidRDefault="00DB1444" w:rsidP="00C10D64">
            <w:pPr>
              <w:spacing w:line="276" w:lineRule="auto"/>
              <w:jc w:val="both"/>
              <w:rPr>
                <w:rFonts w:ascii="Arial" w:hAnsi="Arial" w:cs="Arial"/>
                <w:color w:val="010205"/>
              </w:rPr>
            </w:pPr>
            <w:r w:rsidRPr="00103A0B">
              <w:rPr>
                <w:rFonts w:ascii="Arial" w:hAnsi="Arial" w:cs="Arial"/>
                <w:color w:val="010205"/>
              </w:rPr>
              <w:t>1.06 (1.04-1.</w:t>
            </w:r>
            <w:proofErr w:type="gramStart"/>
            <w:r w:rsidRPr="00103A0B">
              <w:rPr>
                <w:rFonts w:ascii="Arial" w:hAnsi="Arial" w:cs="Arial"/>
                <w:color w:val="010205"/>
              </w:rPr>
              <w:t>09)*</w:t>
            </w:r>
            <w:proofErr w:type="gramEnd"/>
            <w:r w:rsidRPr="00103A0B">
              <w:rPr>
                <w:rFonts w:ascii="Arial" w:hAnsi="Arial" w:cs="Arial"/>
                <w:color w:val="010205"/>
              </w:rPr>
              <w:t>**</w:t>
            </w:r>
          </w:p>
        </w:tc>
      </w:tr>
      <w:tr w:rsidR="00DB1444" w:rsidRPr="00103A0B" w14:paraId="3219C6A4" w14:textId="77777777" w:rsidTr="00FA3E6E">
        <w:trPr>
          <w:trHeight w:val="281"/>
        </w:trPr>
        <w:tc>
          <w:tcPr>
            <w:tcW w:w="5495" w:type="dxa"/>
          </w:tcPr>
          <w:p w14:paraId="057775B0" w14:textId="77777777" w:rsidR="00DB1444" w:rsidRPr="00103A0B" w:rsidRDefault="00DB1444" w:rsidP="00C10D64">
            <w:pPr>
              <w:spacing w:line="276" w:lineRule="auto"/>
              <w:jc w:val="both"/>
              <w:rPr>
                <w:rFonts w:ascii="Arial" w:hAnsi="Arial" w:cs="Arial"/>
                <w:b/>
                <w:bCs/>
                <w:sz w:val="24"/>
                <w:szCs w:val="24"/>
              </w:rPr>
            </w:pPr>
            <w:r w:rsidRPr="00103A0B">
              <w:rPr>
                <w:rFonts w:ascii="Arial" w:hAnsi="Arial" w:cs="Arial"/>
                <w:b/>
                <w:bCs/>
                <w:sz w:val="24"/>
                <w:szCs w:val="24"/>
              </w:rPr>
              <w:t xml:space="preserve">NGS-ES </w:t>
            </w:r>
            <w:r w:rsidRPr="00103A0B">
              <w:rPr>
                <w:rFonts w:ascii="Arial" w:hAnsi="Arial" w:cs="Arial"/>
                <w:sz w:val="24"/>
                <w:szCs w:val="24"/>
              </w:rPr>
              <w:t>score</w:t>
            </w:r>
          </w:p>
        </w:tc>
        <w:tc>
          <w:tcPr>
            <w:tcW w:w="2410" w:type="dxa"/>
          </w:tcPr>
          <w:p w14:paraId="52EAA0DA"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0E29A2B7"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6E53FFF3"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1.00 (0.99-1.01)</w:t>
            </w:r>
          </w:p>
        </w:tc>
        <w:tc>
          <w:tcPr>
            <w:tcW w:w="2096" w:type="dxa"/>
          </w:tcPr>
          <w:p w14:paraId="278EF355"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1.00 (0.99-1.01)</w:t>
            </w:r>
          </w:p>
        </w:tc>
      </w:tr>
      <w:tr w:rsidR="00DB1444" w:rsidRPr="00103A0B" w14:paraId="5022DF83" w14:textId="77777777" w:rsidTr="00FA3E6E">
        <w:trPr>
          <w:trHeight w:val="281"/>
        </w:trPr>
        <w:tc>
          <w:tcPr>
            <w:tcW w:w="5495" w:type="dxa"/>
          </w:tcPr>
          <w:p w14:paraId="21E6555A" w14:textId="77777777" w:rsidR="00DB1444" w:rsidRPr="00103A0B" w:rsidRDefault="00DB1444" w:rsidP="00C10D64">
            <w:pPr>
              <w:spacing w:line="276" w:lineRule="auto"/>
              <w:jc w:val="both"/>
              <w:rPr>
                <w:rFonts w:ascii="Arial" w:hAnsi="Arial" w:cs="Arial"/>
                <w:b/>
                <w:bCs/>
                <w:sz w:val="24"/>
                <w:szCs w:val="24"/>
              </w:rPr>
            </w:pPr>
            <w:r w:rsidRPr="00103A0B">
              <w:rPr>
                <w:rFonts w:ascii="Arial" w:hAnsi="Arial" w:cs="Arial"/>
                <w:b/>
                <w:bCs/>
                <w:sz w:val="24"/>
                <w:szCs w:val="24"/>
              </w:rPr>
              <w:t xml:space="preserve">WEMWBS </w:t>
            </w:r>
            <w:r w:rsidRPr="00103A0B">
              <w:rPr>
                <w:rFonts w:ascii="Arial" w:hAnsi="Arial" w:cs="Arial"/>
                <w:sz w:val="24"/>
                <w:szCs w:val="24"/>
              </w:rPr>
              <w:t>[High score]</w:t>
            </w:r>
            <w:r w:rsidRPr="00103A0B">
              <w:rPr>
                <w:rFonts w:ascii="Arial" w:hAnsi="Arial" w:cs="Arial"/>
                <w:b/>
                <w:bCs/>
                <w:sz w:val="24"/>
                <w:szCs w:val="24"/>
              </w:rPr>
              <w:t xml:space="preserve"> </w:t>
            </w:r>
          </w:p>
        </w:tc>
        <w:tc>
          <w:tcPr>
            <w:tcW w:w="2410" w:type="dxa"/>
          </w:tcPr>
          <w:p w14:paraId="1C651405"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6CBDD1BD"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49243C44"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096" w:type="dxa"/>
            <w:vAlign w:val="center"/>
          </w:tcPr>
          <w:p w14:paraId="0E28D93E" w14:textId="77777777" w:rsidR="00DB1444" w:rsidRPr="00103A0B" w:rsidRDefault="00DB1444" w:rsidP="00C10D64">
            <w:pPr>
              <w:spacing w:line="276" w:lineRule="auto"/>
              <w:jc w:val="both"/>
              <w:rPr>
                <w:rFonts w:ascii="Arial" w:hAnsi="Arial" w:cs="Arial"/>
              </w:rPr>
            </w:pPr>
          </w:p>
        </w:tc>
      </w:tr>
      <w:tr w:rsidR="00DB1444" w:rsidRPr="00103A0B" w14:paraId="3432FD0A" w14:textId="77777777" w:rsidTr="00FA3E6E">
        <w:trPr>
          <w:trHeight w:val="281"/>
        </w:trPr>
        <w:tc>
          <w:tcPr>
            <w:tcW w:w="5495" w:type="dxa"/>
          </w:tcPr>
          <w:p w14:paraId="64E58313"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WEMWBS: Medium score</w:t>
            </w:r>
          </w:p>
        </w:tc>
        <w:tc>
          <w:tcPr>
            <w:tcW w:w="2410" w:type="dxa"/>
          </w:tcPr>
          <w:p w14:paraId="53E24B9D"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2B7BAC77"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42941052"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096" w:type="dxa"/>
          </w:tcPr>
          <w:p w14:paraId="4542F161"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1.18 (1.01-1.</w:t>
            </w:r>
            <w:proofErr w:type="gramStart"/>
            <w:r w:rsidRPr="00103A0B">
              <w:rPr>
                <w:rFonts w:ascii="Arial" w:hAnsi="Arial" w:cs="Arial"/>
                <w:color w:val="010205"/>
              </w:rPr>
              <w:t>39)*</w:t>
            </w:r>
            <w:proofErr w:type="gramEnd"/>
            <w:r w:rsidRPr="00103A0B">
              <w:rPr>
                <w:rFonts w:ascii="Arial" w:hAnsi="Arial" w:cs="Arial"/>
                <w:color w:val="010205"/>
              </w:rPr>
              <w:t>*</w:t>
            </w:r>
          </w:p>
        </w:tc>
      </w:tr>
      <w:tr w:rsidR="00DB1444" w:rsidRPr="00103A0B" w14:paraId="6D8CFECF" w14:textId="77777777" w:rsidTr="00FA3E6E">
        <w:trPr>
          <w:trHeight w:val="281"/>
        </w:trPr>
        <w:tc>
          <w:tcPr>
            <w:tcW w:w="5495" w:type="dxa"/>
          </w:tcPr>
          <w:p w14:paraId="23224A91" w14:textId="77777777" w:rsidR="00DB1444" w:rsidRPr="00103A0B" w:rsidRDefault="00DB1444" w:rsidP="00C10D64">
            <w:pPr>
              <w:spacing w:line="276" w:lineRule="auto"/>
              <w:jc w:val="both"/>
              <w:rPr>
                <w:rFonts w:ascii="Arial" w:hAnsi="Arial" w:cs="Arial"/>
                <w:sz w:val="24"/>
                <w:szCs w:val="24"/>
              </w:rPr>
            </w:pPr>
            <w:r w:rsidRPr="00103A0B">
              <w:rPr>
                <w:rFonts w:ascii="Arial" w:hAnsi="Arial" w:cs="Arial"/>
                <w:sz w:val="24"/>
                <w:szCs w:val="24"/>
              </w:rPr>
              <w:t>WEMWBS: Low score</w:t>
            </w:r>
          </w:p>
        </w:tc>
        <w:tc>
          <w:tcPr>
            <w:tcW w:w="2410" w:type="dxa"/>
          </w:tcPr>
          <w:p w14:paraId="75935FA9"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31C9BF12"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268" w:type="dxa"/>
          </w:tcPr>
          <w:p w14:paraId="23B3E5F0" w14:textId="77777777" w:rsidR="00DB1444" w:rsidRPr="00103A0B" w:rsidRDefault="00DB1444" w:rsidP="00C10D64">
            <w:pPr>
              <w:spacing w:line="276" w:lineRule="auto"/>
              <w:jc w:val="both"/>
              <w:rPr>
                <w:rFonts w:ascii="Arial" w:hAnsi="Arial" w:cs="Arial"/>
              </w:rPr>
            </w:pPr>
            <w:r w:rsidRPr="00103A0B">
              <w:rPr>
                <w:rFonts w:ascii="Arial" w:hAnsi="Arial" w:cs="Arial"/>
              </w:rPr>
              <w:t>-</w:t>
            </w:r>
          </w:p>
        </w:tc>
        <w:tc>
          <w:tcPr>
            <w:tcW w:w="2096" w:type="dxa"/>
          </w:tcPr>
          <w:p w14:paraId="4788FE34" w14:textId="77777777" w:rsidR="00DB1444" w:rsidRPr="00103A0B" w:rsidRDefault="00DB1444" w:rsidP="00C10D64">
            <w:pPr>
              <w:spacing w:line="276" w:lineRule="auto"/>
              <w:jc w:val="both"/>
              <w:rPr>
                <w:rFonts w:ascii="Arial" w:hAnsi="Arial" w:cs="Arial"/>
              </w:rPr>
            </w:pPr>
            <w:r w:rsidRPr="00103A0B">
              <w:rPr>
                <w:rFonts w:ascii="Arial" w:hAnsi="Arial" w:cs="Arial"/>
                <w:color w:val="010205"/>
              </w:rPr>
              <w:t>1.09 (0.87-1.37)</w:t>
            </w:r>
          </w:p>
        </w:tc>
      </w:tr>
    </w:tbl>
    <w:bookmarkEnd w:id="386"/>
    <w:p w14:paraId="551836F2" w14:textId="77777777" w:rsidR="00DB1444" w:rsidRPr="00103A0B" w:rsidRDefault="00DB1444" w:rsidP="00CD5919">
      <w:pPr>
        <w:spacing w:line="360" w:lineRule="auto"/>
        <w:jc w:val="both"/>
        <w:rPr>
          <w:rFonts w:ascii="Arial" w:hAnsi="Arial" w:cs="Arial"/>
          <w:sz w:val="16"/>
          <w:szCs w:val="16"/>
        </w:rPr>
      </w:pPr>
      <w:r w:rsidRPr="00103A0B">
        <w:rPr>
          <w:rFonts w:ascii="Arial" w:hAnsi="Arial" w:cs="Arial"/>
          <w:sz w:val="16"/>
          <w:szCs w:val="16"/>
        </w:rPr>
        <w:t>Step 1: programme area, gender, age, ethnicity, deprivation; Step 2: brief IPQ questions 1, 2, 4,6; Step 3: NGS-ES score; Step 4: WEMWBS. *</w:t>
      </w:r>
      <w:r w:rsidRPr="00103A0B">
        <w:rPr>
          <w:rFonts w:ascii="Arial" w:hAnsi="Arial" w:cs="Arial"/>
          <w:i/>
          <w:iCs/>
          <w:sz w:val="16"/>
          <w:szCs w:val="16"/>
        </w:rPr>
        <w:t xml:space="preserve"> p</w:t>
      </w:r>
      <w:r w:rsidRPr="00103A0B">
        <w:rPr>
          <w:rFonts w:ascii="Arial" w:hAnsi="Arial" w:cs="Arial"/>
          <w:sz w:val="16"/>
          <w:szCs w:val="16"/>
        </w:rPr>
        <w:t>=near significance (0.05-0.06); **</w:t>
      </w:r>
      <w:r w:rsidRPr="00103A0B">
        <w:rPr>
          <w:rFonts w:ascii="Arial" w:hAnsi="Arial" w:cs="Arial"/>
          <w:i/>
          <w:iCs/>
          <w:sz w:val="16"/>
          <w:szCs w:val="16"/>
        </w:rPr>
        <w:t xml:space="preserve"> p</w:t>
      </w:r>
      <w:r w:rsidRPr="00103A0B">
        <w:rPr>
          <w:rFonts w:ascii="Arial" w:hAnsi="Arial" w:cs="Arial"/>
          <w:sz w:val="16"/>
          <w:szCs w:val="16"/>
        </w:rPr>
        <w:t>=&lt;0.05; ***</w:t>
      </w:r>
      <w:r w:rsidRPr="00103A0B">
        <w:rPr>
          <w:rFonts w:ascii="Arial" w:hAnsi="Arial" w:cs="Arial"/>
          <w:i/>
          <w:iCs/>
          <w:sz w:val="16"/>
          <w:szCs w:val="16"/>
        </w:rPr>
        <w:t xml:space="preserve"> p</w:t>
      </w:r>
      <w:r w:rsidRPr="00103A0B">
        <w:rPr>
          <w:rFonts w:ascii="Arial" w:hAnsi="Arial" w:cs="Arial"/>
          <w:sz w:val="16"/>
          <w:szCs w:val="16"/>
        </w:rPr>
        <w:t xml:space="preserve">=&lt;0.001; </w:t>
      </w:r>
      <w:proofErr w:type="spellStart"/>
      <w:r w:rsidRPr="00103A0B">
        <w:rPr>
          <w:rFonts w:ascii="Arial" w:hAnsi="Arial" w:cs="Arial"/>
          <w:sz w:val="16"/>
          <w:szCs w:val="16"/>
        </w:rPr>
        <w:t>Nagelkerke</w:t>
      </w:r>
      <w:proofErr w:type="spellEnd"/>
      <w:r w:rsidRPr="00103A0B">
        <w:rPr>
          <w:rFonts w:ascii="Arial" w:hAnsi="Arial" w:cs="Arial"/>
          <w:sz w:val="16"/>
          <w:szCs w:val="16"/>
        </w:rPr>
        <w:t xml:space="preserve"> R</w:t>
      </w:r>
      <w:r w:rsidRPr="00103A0B">
        <w:rPr>
          <w:rFonts w:ascii="Arial" w:hAnsi="Arial" w:cs="Arial"/>
          <w:sz w:val="16"/>
          <w:szCs w:val="16"/>
          <w:vertAlign w:val="superscript"/>
        </w:rPr>
        <w:t>2</w:t>
      </w:r>
      <w:r w:rsidRPr="00103A0B">
        <w:rPr>
          <w:rFonts w:ascii="Arial" w:hAnsi="Arial" w:cs="Arial"/>
          <w:sz w:val="16"/>
          <w:szCs w:val="16"/>
        </w:rPr>
        <w:t>= 0.056 (step 1); 0.077 (step 2); 0.077 (step 3); 0.078 (step 4); R</w:t>
      </w:r>
      <w:r w:rsidRPr="00103A0B">
        <w:rPr>
          <w:rFonts w:ascii="Arial" w:hAnsi="Arial" w:cs="Arial"/>
          <w:sz w:val="16"/>
          <w:szCs w:val="16"/>
          <w:vertAlign w:val="superscript"/>
        </w:rPr>
        <w:t>2</w:t>
      </w:r>
      <w:r w:rsidRPr="00103A0B">
        <w:rPr>
          <w:rFonts w:ascii="Arial" w:hAnsi="Arial" w:cs="Arial"/>
          <w:sz w:val="16"/>
          <w:szCs w:val="16"/>
        </w:rPr>
        <w:t xml:space="preserve"> change=0.022 (steps 1-4). Abbreviations: OR= Odds Ratio (Exp(B) value); CI= 95% confidence interval; IPQ=Brief Illness Perceptions Questionnaire; NGS-ES= New General Self-Efficacy Scale; WEMWBS= Warwick-Edinburgh Mental Wellbeing Scale; </w:t>
      </w:r>
      <w:proofErr w:type="gramStart"/>
      <w:r w:rsidRPr="00103A0B">
        <w:rPr>
          <w:rFonts w:ascii="Arial" w:hAnsi="Arial" w:cs="Arial"/>
          <w:sz w:val="16"/>
          <w:szCs w:val="16"/>
        </w:rPr>
        <w:t>[ ]</w:t>
      </w:r>
      <w:proofErr w:type="gramEnd"/>
      <w:r w:rsidRPr="00103A0B">
        <w:rPr>
          <w:rFonts w:ascii="Arial" w:hAnsi="Arial" w:cs="Arial"/>
          <w:sz w:val="16"/>
          <w:szCs w:val="16"/>
        </w:rPr>
        <w:t xml:space="preserve">=Referent.  </w:t>
      </w:r>
    </w:p>
    <w:p w14:paraId="4E1E8DD6" w14:textId="77777777" w:rsidR="00DB1444" w:rsidRPr="00103A0B" w:rsidRDefault="00DB1444" w:rsidP="00CD5919">
      <w:pPr>
        <w:spacing w:line="360" w:lineRule="auto"/>
        <w:jc w:val="both"/>
        <w:rPr>
          <w:rFonts w:ascii="Arial" w:hAnsi="Arial" w:cs="Arial"/>
          <w:b/>
          <w:bCs/>
          <w:iCs/>
          <w:sz w:val="24"/>
          <w:szCs w:val="24"/>
        </w:rPr>
      </w:pPr>
    </w:p>
    <w:p w14:paraId="19AD6CA4" w14:textId="78BC6D1D" w:rsidR="00492C98" w:rsidRPr="00103A0B" w:rsidRDefault="00492C98" w:rsidP="00CD5919">
      <w:pPr>
        <w:spacing w:line="360" w:lineRule="auto"/>
        <w:jc w:val="both"/>
        <w:rPr>
          <w:rFonts w:ascii="Arial" w:hAnsi="Arial" w:cs="Arial"/>
          <w:sz w:val="24"/>
          <w:szCs w:val="24"/>
        </w:rPr>
        <w:sectPr w:rsidR="00492C98" w:rsidRPr="00103A0B" w:rsidSect="00DB1444">
          <w:pgSz w:w="16838" w:h="11906" w:orient="landscape"/>
          <w:pgMar w:top="1440" w:right="1440" w:bottom="1440" w:left="1440" w:header="709" w:footer="709" w:gutter="0"/>
          <w:cols w:space="708"/>
          <w:docGrid w:linePitch="360"/>
        </w:sectPr>
      </w:pPr>
      <w:r w:rsidRPr="00103A0B">
        <w:rPr>
          <w:rFonts w:ascii="Arial" w:hAnsi="Arial" w:cs="Arial"/>
          <w:sz w:val="24"/>
          <w:szCs w:val="24"/>
        </w:rPr>
        <w:t xml:space="preserve">Multiple imputation was conducted to investigate the effect of missing data for all variables with more than 10% missing data (ethnicity, IPQ items, NGS-ES </w:t>
      </w:r>
      <w:proofErr w:type="gramStart"/>
      <w:r w:rsidRPr="00103A0B">
        <w:rPr>
          <w:rFonts w:ascii="Arial" w:hAnsi="Arial" w:cs="Arial"/>
          <w:sz w:val="24"/>
          <w:szCs w:val="24"/>
        </w:rPr>
        <w:t>scores</w:t>
      </w:r>
      <w:proofErr w:type="gramEnd"/>
      <w:r w:rsidRPr="00103A0B">
        <w:rPr>
          <w:rFonts w:ascii="Arial" w:hAnsi="Arial" w:cs="Arial"/>
          <w:sz w:val="24"/>
          <w:szCs w:val="24"/>
        </w:rPr>
        <w:t xml:space="preserve"> and uptake; </w:t>
      </w:r>
      <w:r w:rsidR="006A4E64" w:rsidRPr="00103A0B">
        <w:rPr>
          <w:rFonts w:ascii="Arial" w:hAnsi="Arial" w:cs="Arial"/>
          <w:sz w:val="24"/>
          <w:szCs w:val="24"/>
        </w:rPr>
        <w:t>A</w:t>
      </w:r>
      <w:r w:rsidRPr="00103A0B">
        <w:rPr>
          <w:rFonts w:ascii="Arial" w:hAnsi="Arial" w:cs="Arial"/>
          <w:sz w:val="24"/>
          <w:szCs w:val="24"/>
        </w:rPr>
        <w:t xml:space="preserve">ppendix </w:t>
      </w:r>
      <w:r w:rsidR="00310843" w:rsidRPr="00103A0B">
        <w:rPr>
          <w:rFonts w:ascii="Arial" w:hAnsi="Arial" w:cs="Arial"/>
          <w:sz w:val="24"/>
          <w:szCs w:val="24"/>
        </w:rPr>
        <w:t>2</w:t>
      </w:r>
      <w:r w:rsidR="0057544E" w:rsidRPr="00103A0B">
        <w:rPr>
          <w:rFonts w:ascii="Arial" w:hAnsi="Arial" w:cs="Arial"/>
          <w:sz w:val="24"/>
          <w:szCs w:val="24"/>
        </w:rPr>
        <w:t>9</w:t>
      </w:r>
      <w:r w:rsidRPr="00103A0B">
        <w:rPr>
          <w:rFonts w:ascii="Arial" w:hAnsi="Arial" w:cs="Arial"/>
          <w:sz w:val="24"/>
          <w:szCs w:val="24"/>
        </w:rPr>
        <w:t>:</w:t>
      </w:r>
      <w:r w:rsidR="00310843" w:rsidRPr="00103A0B">
        <w:rPr>
          <w:rFonts w:ascii="Arial" w:hAnsi="Arial" w:cs="Arial"/>
          <w:sz w:val="24"/>
          <w:szCs w:val="24"/>
        </w:rPr>
        <w:t xml:space="preserve"> results from LR for uptake using imputed data</w:t>
      </w:r>
      <w:r w:rsidRPr="00103A0B">
        <w:rPr>
          <w:rFonts w:ascii="Arial" w:hAnsi="Arial" w:cs="Arial"/>
          <w:sz w:val="24"/>
          <w:szCs w:val="24"/>
        </w:rPr>
        <w:t>). In the logistic regression using imputed data, most statistically significant predictors in the complete case analysis remained significant in the imputed analysis (no substantive changes in direction and magnitude). There were some minor changes with some of the demographic</w:t>
      </w:r>
      <w:r w:rsidR="006A4E64" w:rsidRPr="00103A0B">
        <w:rPr>
          <w:rFonts w:ascii="Arial" w:hAnsi="Arial" w:cs="Arial"/>
          <w:sz w:val="24"/>
          <w:szCs w:val="24"/>
        </w:rPr>
        <w:t xml:space="preserve"> </w:t>
      </w:r>
      <w:r w:rsidRPr="00103A0B">
        <w:rPr>
          <w:rFonts w:ascii="Arial" w:hAnsi="Arial" w:cs="Arial"/>
          <w:sz w:val="24"/>
          <w:szCs w:val="24"/>
        </w:rPr>
        <w:t xml:space="preserve">variables. </w:t>
      </w:r>
    </w:p>
    <w:p w14:paraId="2D2D8467" w14:textId="77777777" w:rsidR="00492C98" w:rsidRPr="00103A0B" w:rsidRDefault="00492C98" w:rsidP="00CD5919">
      <w:pPr>
        <w:spacing w:line="360" w:lineRule="auto"/>
        <w:jc w:val="both"/>
        <w:rPr>
          <w:rFonts w:ascii="Arial" w:hAnsi="Arial" w:cs="Arial"/>
          <w:sz w:val="24"/>
          <w:szCs w:val="24"/>
        </w:rPr>
      </w:pPr>
    </w:p>
    <w:p w14:paraId="463D3F6E" w14:textId="22ACA759" w:rsidR="00492C98" w:rsidRPr="00103A0B" w:rsidRDefault="006A4E64" w:rsidP="00FA3E6E">
      <w:pPr>
        <w:keepLines/>
        <w:jc w:val="both"/>
        <w:rPr>
          <w:rFonts w:ascii="Arial" w:hAnsi="Arial" w:cs="Arial"/>
          <w:b/>
          <w:bCs/>
          <w:sz w:val="24"/>
          <w:szCs w:val="24"/>
        </w:rPr>
      </w:pPr>
      <w:r w:rsidRPr="00103A0B">
        <w:rPr>
          <w:rFonts w:ascii="Arial" w:hAnsi="Arial" w:cs="Arial"/>
          <w:b/>
          <w:bCs/>
          <w:sz w:val="24"/>
          <w:szCs w:val="24"/>
        </w:rPr>
        <w:t xml:space="preserve">7.3.3 </w:t>
      </w:r>
      <w:r w:rsidR="00492C98" w:rsidRPr="00103A0B">
        <w:rPr>
          <w:rFonts w:ascii="Arial" w:hAnsi="Arial" w:cs="Arial"/>
          <w:b/>
          <w:bCs/>
          <w:sz w:val="24"/>
          <w:szCs w:val="24"/>
        </w:rPr>
        <w:t xml:space="preserve">Predictors of </w:t>
      </w:r>
      <w:r w:rsidRPr="00103A0B">
        <w:rPr>
          <w:rFonts w:ascii="Arial" w:hAnsi="Arial" w:cs="Arial"/>
          <w:b/>
          <w:bCs/>
          <w:sz w:val="24"/>
          <w:szCs w:val="24"/>
        </w:rPr>
        <w:t>C</w:t>
      </w:r>
      <w:r w:rsidR="00492C98" w:rsidRPr="00103A0B">
        <w:rPr>
          <w:rFonts w:ascii="Arial" w:hAnsi="Arial" w:cs="Arial"/>
          <w:b/>
          <w:bCs/>
          <w:sz w:val="24"/>
          <w:szCs w:val="24"/>
        </w:rPr>
        <w:t>ompletion</w:t>
      </w:r>
    </w:p>
    <w:p w14:paraId="36B73AE6" w14:textId="0274385F" w:rsidR="00492C98"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Data were checked for independence from errors. For completion, the chi-squared goodness-of-fit statistic showed there was no overdispersion (</w:t>
      </w:r>
      <w:r w:rsidRPr="00103A0B">
        <w:rPr>
          <w:rFonts w:ascii="Arial" w:hAnsi="Arial" w:cs="Arial"/>
          <w:sz w:val="24"/>
          <w:szCs w:val="24"/>
        </w:rPr>
        <w:sym w:font="Symbol" w:char="F063"/>
      </w:r>
      <w:r w:rsidRPr="00103A0B">
        <w:rPr>
          <w:rFonts w:ascii="Arial" w:hAnsi="Arial" w:cs="Arial"/>
          <w:sz w:val="24"/>
          <w:szCs w:val="24"/>
          <w:vertAlign w:val="superscript"/>
        </w:rPr>
        <w:t xml:space="preserve">2 </w:t>
      </w:r>
      <w:r w:rsidRPr="00103A0B">
        <w:rPr>
          <w:rFonts w:ascii="Arial" w:hAnsi="Arial" w:cs="Arial"/>
          <w:sz w:val="24"/>
          <w:szCs w:val="24"/>
        </w:rPr>
        <w:t xml:space="preserve">(8): 4.963, </w:t>
      </w:r>
      <w:r w:rsidRPr="00103A0B">
        <w:rPr>
          <w:rFonts w:ascii="Arial" w:hAnsi="Arial" w:cs="Arial"/>
          <w:i/>
          <w:iCs/>
          <w:sz w:val="24"/>
          <w:szCs w:val="24"/>
        </w:rPr>
        <w:t>p</w:t>
      </w:r>
      <w:r w:rsidRPr="00103A0B">
        <w:rPr>
          <w:rFonts w:ascii="Arial" w:hAnsi="Arial" w:cs="Arial"/>
          <w:sz w:val="24"/>
          <w:szCs w:val="24"/>
        </w:rPr>
        <w:t xml:space="preserve"> = .761). There was no evidence of collinearity between the predictor variables. Assumptions of linearity between the continuous predictors (IPQ, NGS-ES) and the logit of the outcome variable were met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author":[{"dropping-particle":"","family":"Field","given":"Andy","non-dropping-particle":"","parse-names":false,"suffix":""}],"edition":"5th","id":"ITEM-1","issued":{"date-parts":[["2018"]]},"number-of-pages":"1-993","publisher":"SAGE Publications Ltd","publisher-place":"London","title":"Discovering statistics using IBM SPSS statistics","type":"book"},"uris":["http://www.mendeley.com/documents/?uuid=b6b61249-2488-454d-86b7-e13b9b38504b"]}],"mendeley":{"formattedCitation":"(Field, 2018)","plainTextFormattedCitation":"(Field, 2018)","previouslyFormattedCitation":"(Field,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(Field, 2018)</w:t>
      </w:r>
      <w:r w:rsidRPr="00103A0B">
        <w:rPr>
          <w:rFonts w:ascii="Arial" w:hAnsi="Arial" w:cs="Arial"/>
          <w:sz w:val="24"/>
          <w:szCs w:val="24"/>
        </w:rPr>
        <w:fldChar w:fldCharType="end"/>
      </w:r>
      <w:r w:rsidRPr="00103A0B">
        <w:rPr>
          <w:rFonts w:ascii="Arial" w:hAnsi="Arial" w:cs="Arial"/>
          <w:sz w:val="24"/>
          <w:szCs w:val="24"/>
        </w:rPr>
        <w:t>. The programme area with the lowest completion was used as the reference category (West Yorkshire: 1.1%, n=9). Overall, the model had a good fit against the null model (</w:t>
      </w:r>
      <w:r w:rsidRPr="00103A0B">
        <w:rPr>
          <w:rFonts w:ascii="Arial" w:hAnsi="Arial" w:cs="Arial"/>
          <w:sz w:val="24"/>
          <w:szCs w:val="24"/>
        </w:rPr>
        <w:sym w:font="Symbol" w:char="F063"/>
      </w:r>
      <w:r w:rsidRPr="00103A0B">
        <w:rPr>
          <w:rFonts w:ascii="Arial" w:hAnsi="Arial" w:cs="Arial"/>
          <w:sz w:val="24"/>
          <w:szCs w:val="24"/>
          <w:vertAlign w:val="superscript"/>
        </w:rPr>
        <w:t>2</w:t>
      </w:r>
      <w:r w:rsidRPr="00103A0B">
        <w:rPr>
          <w:rFonts w:ascii="Arial" w:hAnsi="Arial" w:cs="Arial"/>
          <w:sz w:val="24"/>
          <w:szCs w:val="24"/>
        </w:rPr>
        <w:t xml:space="preserve"> (27): 194.482; </w:t>
      </w:r>
      <w:r w:rsidRPr="00103A0B">
        <w:rPr>
          <w:rFonts w:ascii="Arial" w:hAnsi="Arial" w:cs="Arial"/>
          <w:i/>
          <w:iCs/>
          <w:sz w:val="24"/>
          <w:szCs w:val="24"/>
        </w:rPr>
        <w:t>p =</w:t>
      </w:r>
      <w:r w:rsidRPr="00103A0B">
        <w:rPr>
          <w:rFonts w:ascii="Arial" w:hAnsi="Arial" w:cs="Arial"/>
          <w:sz w:val="24"/>
          <w:szCs w:val="24"/>
        </w:rPr>
        <w:t>&lt;.001) but explained just 12.2% of variance (</w:t>
      </w:r>
      <w:proofErr w:type="spellStart"/>
      <w:r w:rsidRPr="00103A0B">
        <w:rPr>
          <w:rFonts w:ascii="Arial" w:hAnsi="Arial" w:cs="Arial"/>
          <w:sz w:val="24"/>
          <w:szCs w:val="24"/>
        </w:rPr>
        <w:t>Nagelkerke</w:t>
      </w:r>
      <w:proofErr w:type="spellEnd"/>
      <w:r w:rsidRPr="00103A0B">
        <w:rPr>
          <w:rFonts w:ascii="Arial" w:hAnsi="Arial" w:cs="Arial"/>
          <w:sz w:val="24"/>
          <w:szCs w:val="24"/>
        </w:rPr>
        <w:t xml:space="preserve"> R</w:t>
      </w:r>
      <w:r w:rsidRPr="00103A0B">
        <w:rPr>
          <w:rFonts w:ascii="Arial" w:hAnsi="Arial" w:cs="Arial"/>
          <w:sz w:val="24"/>
          <w:szCs w:val="24"/>
          <w:vertAlign w:val="superscript"/>
        </w:rPr>
        <w:t>2</w:t>
      </w:r>
      <w:r w:rsidRPr="00103A0B">
        <w:rPr>
          <w:rFonts w:ascii="Arial" w:hAnsi="Arial" w:cs="Arial"/>
          <w:sz w:val="24"/>
          <w:szCs w:val="24"/>
        </w:rPr>
        <w:t>=.122).</w:t>
      </w:r>
    </w:p>
    <w:p w14:paraId="024613C6" w14:textId="3C103DF1" w:rsidR="00492C98"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 xml:space="preserve">Higher NGS-ES scores (higher self-efficacy) were associated with significantly decreased odds of completing the NHSDPP (OR=0.97; CI=0.96-0.99) (Table </w:t>
      </w:r>
      <w:r w:rsidR="00DB1444" w:rsidRPr="00103A0B">
        <w:rPr>
          <w:rFonts w:ascii="Arial" w:hAnsi="Arial" w:cs="Arial"/>
          <w:sz w:val="24"/>
          <w:szCs w:val="24"/>
        </w:rPr>
        <w:t>9</w:t>
      </w:r>
      <w:r w:rsidRPr="00103A0B">
        <w:rPr>
          <w:rFonts w:ascii="Arial" w:hAnsi="Arial" w:cs="Arial"/>
          <w:sz w:val="24"/>
          <w:szCs w:val="24"/>
        </w:rPr>
        <w:t>). Compared with individuals with high WEMWBS scores, those with low scores (low</w:t>
      </w:r>
      <w:r w:rsidRPr="00103A0B">
        <w:rPr>
          <w:rFonts w:ascii="Arial" w:eastAsia="Times New Roman" w:hAnsi="Arial" w:cs="Arial"/>
          <w:sz w:val="24"/>
          <w:szCs w:val="24"/>
          <w:lang w:eastAsia="en-GB"/>
        </w:rPr>
        <w:t xml:space="preserve"> MWB</w:t>
      </w:r>
      <w:r w:rsidRPr="00103A0B">
        <w:rPr>
          <w:rFonts w:ascii="Arial" w:hAnsi="Arial" w:cs="Arial"/>
          <w:sz w:val="24"/>
          <w:szCs w:val="24"/>
        </w:rPr>
        <w:t xml:space="preserve">), had 28% lower odds of completing (although not reaching significance) (OR=0.72; CI=0.50-1.05). There were no associations between completion and medium WEMWBS scores, or any IPQ items. </w:t>
      </w:r>
    </w:p>
    <w:p w14:paraId="757BB764" w14:textId="1C5923D9" w:rsidR="00492C98"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 xml:space="preserve">Compared with those attending programmes in West Yorkshire, those attending programmes in other areas (Cumbria, Herefordshire, Berkshire, South London, </w:t>
      </w:r>
      <w:proofErr w:type="gramStart"/>
      <w:r w:rsidRPr="00103A0B">
        <w:rPr>
          <w:rFonts w:ascii="Arial" w:hAnsi="Arial" w:cs="Arial"/>
          <w:sz w:val="24"/>
          <w:szCs w:val="24"/>
        </w:rPr>
        <w:t>North East</w:t>
      </w:r>
      <w:proofErr w:type="gramEnd"/>
      <w:r w:rsidRPr="00103A0B">
        <w:rPr>
          <w:rFonts w:ascii="Arial" w:hAnsi="Arial" w:cs="Arial"/>
          <w:sz w:val="24"/>
          <w:szCs w:val="24"/>
        </w:rPr>
        <w:t xml:space="preserve"> London) had significantly higher odds of completing the NHSDPP, but with wide confidence intervals. Participants aged 70-74 years had approximately twice the odds of completing, compared to the under-40s (OR=2.98; CI=1.30-6.84). Compared with participants classified as White British/White, the odds of completing </w:t>
      </w:r>
      <w:proofErr w:type="gramStart"/>
      <w:r w:rsidRPr="00103A0B">
        <w:rPr>
          <w:rFonts w:ascii="Arial" w:hAnsi="Arial" w:cs="Arial"/>
          <w:sz w:val="24"/>
          <w:szCs w:val="24"/>
        </w:rPr>
        <w:t>was</w:t>
      </w:r>
      <w:proofErr w:type="gramEnd"/>
      <w:r w:rsidRPr="00103A0B">
        <w:rPr>
          <w:rFonts w:ascii="Arial" w:hAnsi="Arial" w:cs="Arial"/>
          <w:sz w:val="24"/>
          <w:szCs w:val="24"/>
        </w:rPr>
        <w:t xml:space="preserve"> 36% significantly lower in those from a Asian ethnic group (OR=0.64, CI=0.43-0.98</w:t>
      </w:r>
      <w:r w:rsidRPr="00103A0B">
        <w:rPr>
          <w:rFonts w:ascii="Arial" w:hAnsi="Arial" w:cs="Arial"/>
          <w:color w:val="010205"/>
          <w:sz w:val="24"/>
          <w:szCs w:val="24"/>
        </w:rPr>
        <w:t>)</w:t>
      </w:r>
      <w:r w:rsidRPr="00103A0B">
        <w:rPr>
          <w:rFonts w:ascii="Arial" w:hAnsi="Arial" w:cs="Arial"/>
          <w:sz w:val="24"/>
          <w:szCs w:val="24"/>
        </w:rPr>
        <w:t xml:space="preserve">, and lower in those from a Black ethnic group (although not reaching significance) (OR=0.72; CI=0.50-1.04). Compared with participants from more deprived areas (quintile 1), the odds of completing </w:t>
      </w:r>
      <w:proofErr w:type="gramStart"/>
      <w:r w:rsidRPr="00103A0B">
        <w:rPr>
          <w:rFonts w:ascii="Arial" w:hAnsi="Arial" w:cs="Arial"/>
          <w:sz w:val="24"/>
          <w:szCs w:val="24"/>
        </w:rPr>
        <w:t>was</w:t>
      </w:r>
      <w:proofErr w:type="gramEnd"/>
      <w:r w:rsidRPr="00103A0B">
        <w:rPr>
          <w:rFonts w:ascii="Arial" w:hAnsi="Arial" w:cs="Arial"/>
          <w:sz w:val="24"/>
          <w:szCs w:val="24"/>
        </w:rPr>
        <w:t xml:space="preserve"> significantly higher in those who lived in more affluent areas (quintile 4 - OR=1.48; CI=1.02-2.15). </w:t>
      </w:r>
    </w:p>
    <w:p w14:paraId="27C08579" w14:textId="42457AAC" w:rsidR="00C22ED7" w:rsidRPr="00103A0B" w:rsidRDefault="00C22ED7" w:rsidP="00C22ED7">
      <w:pPr>
        <w:spacing w:line="360" w:lineRule="auto"/>
        <w:jc w:val="both"/>
        <w:rPr>
          <w:rFonts w:ascii="Arial" w:hAnsi="Arial" w:cs="Arial"/>
          <w:i/>
          <w:iCs/>
          <w:sz w:val="24"/>
          <w:szCs w:val="24"/>
        </w:rPr>
      </w:pPr>
    </w:p>
    <w:p w14:paraId="62FBEEF6" w14:textId="1FCD3067" w:rsidR="00C22ED7" w:rsidRPr="00103A0B" w:rsidRDefault="00C22ED7" w:rsidP="00C22ED7">
      <w:pPr>
        <w:tabs>
          <w:tab w:val="left" w:pos="4020"/>
        </w:tabs>
        <w:rPr>
          <w:rFonts w:ascii="Arial" w:hAnsi="Arial" w:cs="Arial"/>
          <w:sz w:val="24"/>
          <w:szCs w:val="24"/>
        </w:rPr>
        <w:sectPr w:rsidR="00C22ED7" w:rsidRPr="00103A0B">
          <w:pgSz w:w="11906" w:h="16838"/>
          <w:pgMar w:top="1440" w:right="1440" w:bottom="1440" w:left="1440" w:header="709" w:footer="709" w:gutter="0"/>
          <w:cols w:space="720"/>
        </w:sectPr>
      </w:pPr>
      <w:r w:rsidRPr="00103A0B">
        <w:rPr>
          <w:rFonts w:ascii="Arial" w:hAnsi="Arial" w:cs="Arial"/>
          <w:sz w:val="24"/>
          <w:szCs w:val="24"/>
        </w:rPr>
        <w:tab/>
      </w:r>
    </w:p>
    <w:tbl>
      <w:tblPr>
        <w:tblStyle w:val="TableGrid"/>
        <w:tblpPr w:leftFromText="181" w:rightFromText="181" w:vertAnchor="text" w:horzAnchor="margin" w:tblpY="631"/>
        <w:tblOverlap w:val="never"/>
        <w:tblW w:w="14819" w:type="dxa"/>
        <w:tblLayout w:type="fixed"/>
        <w:tblLook w:val="04A0" w:firstRow="1" w:lastRow="0" w:firstColumn="1" w:lastColumn="0" w:noHBand="0" w:noVBand="1"/>
      </w:tblPr>
      <w:tblGrid>
        <w:gridCol w:w="4361"/>
        <w:gridCol w:w="2693"/>
        <w:gridCol w:w="2552"/>
        <w:gridCol w:w="2693"/>
        <w:gridCol w:w="2520"/>
      </w:tblGrid>
      <w:tr w:rsidR="00C22ED7" w:rsidRPr="00103A0B" w14:paraId="7368E7B5" w14:textId="77777777" w:rsidTr="00803D36">
        <w:trPr>
          <w:trHeight w:val="280"/>
          <w:tblHeader/>
        </w:trPr>
        <w:tc>
          <w:tcPr>
            <w:tcW w:w="14819" w:type="dxa"/>
            <w:gridSpan w:val="5"/>
            <w:tcBorders>
              <w:top w:val="single" w:sz="4" w:space="0" w:color="auto"/>
              <w:left w:val="single" w:sz="4" w:space="0" w:color="auto"/>
              <w:bottom w:val="single" w:sz="4" w:space="0" w:color="auto"/>
              <w:right w:val="single" w:sz="4" w:space="0" w:color="auto"/>
            </w:tcBorders>
          </w:tcPr>
          <w:p w14:paraId="2002373D" w14:textId="5F9530C4" w:rsidR="00C22ED7" w:rsidRPr="00103A0B" w:rsidRDefault="00C22ED7" w:rsidP="00C22ED7">
            <w:pPr>
              <w:spacing w:line="360" w:lineRule="auto"/>
              <w:jc w:val="both"/>
              <w:rPr>
                <w:rFonts w:ascii="Arial" w:hAnsi="Arial" w:cs="Arial"/>
                <w:i/>
                <w:iCs/>
                <w:sz w:val="24"/>
                <w:szCs w:val="24"/>
              </w:rPr>
            </w:pPr>
            <w:r w:rsidRPr="00103A0B">
              <w:rPr>
                <w:rFonts w:ascii="Arial" w:hAnsi="Arial" w:cs="Arial"/>
                <w:i/>
                <w:iCs/>
                <w:sz w:val="24"/>
                <w:szCs w:val="24"/>
              </w:rPr>
              <w:lastRenderedPageBreak/>
              <w:t xml:space="preserve">Table 9: Results of the binomial logistic regression model exploring predictors of completion of the </w:t>
            </w:r>
            <w:proofErr w:type="gramStart"/>
            <w:r w:rsidRPr="00103A0B">
              <w:rPr>
                <w:rFonts w:ascii="Arial" w:hAnsi="Arial" w:cs="Arial"/>
                <w:i/>
                <w:iCs/>
                <w:sz w:val="24"/>
                <w:szCs w:val="24"/>
              </w:rPr>
              <w:t>NHSDPP</w:t>
            </w:r>
            <w:proofErr w:type="gramEnd"/>
          </w:p>
          <w:p w14:paraId="31D27F42" w14:textId="50411772" w:rsidR="00C22ED7" w:rsidRPr="00103A0B" w:rsidRDefault="00C22ED7" w:rsidP="005F078A">
            <w:pPr>
              <w:spacing w:line="276" w:lineRule="auto"/>
              <w:rPr>
                <w:rFonts w:ascii="Arial" w:hAnsi="Arial" w:cs="Arial"/>
              </w:rPr>
            </w:pPr>
          </w:p>
        </w:tc>
      </w:tr>
      <w:tr w:rsidR="003C30B6" w:rsidRPr="00103A0B" w14:paraId="0AA99DA9" w14:textId="77777777" w:rsidTr="005F078A">
        <w:trPr>
          <w:trHeight w:val="280"/>
          <w:tblHeader/>
        </w:trPr>
        <w:tc>
          <w:tcPr>
            <w:tcW w:w="4361" w:type="dxa"/>
            <w:tcBorders>
              <w:top w:val="single" w:sz="4" w:space="0" w:color="auto"/>
              <w:left w:val="single" w:sz="4" w:space="0" w:color="auto"/>
              <w:bottom w:val="single" w:sz="4" w:space="0" w:color="auto"/>
              <w:right w:val="single" w:sz="4" w:space="0" w:color="auto"/>
            </w:tcBorders>
          </w:tcPr>
          <w:p w14:paraId="760B3658" w14:textId="77777777" w:rsidR="003C30B6" w:rsidRPr="00103A0B" w:rsidRDefault="003C30B6" w:rsidP="005F078A">
            <w:pPr>
              <w:spacing w:line="276" w:lineRule="auto"/>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hideMark/>
          </w:tcPr>
          <w:p w14:paraId="2730CC26" w14:textId="77777777" w:rsidR="003C30B6" w:rsidRPr="00103A0B" w:rsidRDefault="003C30B6" w:rsidP="005F078A">
            <w:pPr>
              <w:spacing w:line="276" w:lineRule="auto"/>
              <w:rPr>
                <w:rFonts w:ascii="Arial" w:hAnsi="Arial" w:cs="Arial"/>
              </w:rPr>
            </w:pPr>
            <w:r w:rsidRPr="00103A0B">
              <w:rPr>
                <w:rFonts w:ascii="Arial" w:hAnsi="Arial" w:cs="Arial"/>
              </w:rPr>
              <w:t>Step 1</w:t>
            </w:r>
          </w:p>
        </w:tc>
        <w:tc>
          <w:tcPr>
            <w:tcW w:w="2552" w:type="dxa"/>
            <w:tcBorders>
              <w:top w:val="single" w:sz="4" w:space="0" w:color="auto"/>
              <w:left w:val="single" w:sz="4" w:space="0" w:color="auto"/>
              <w:bottom w:val="single" w:sz="4" w:space="0" w:color="auto"/>
              <w:right w:val="single" w:sz="4" w:space="0" w:color="auto"/>
            </w:tcBorders>
            <w:hideMark/>
          </w:tcPr>
          <w:p w14:paraId="1614A327" w14:textId="77777777" w:rsidR="003C30B6" w:rsidRPr="00103A0B" w:rsidRDefault="003C30B6" w:rsidP="005F078A">
            <w:pPr>
              <w:spacing w:line="276" w:lineRule="auto"/>
              <w:rPr>
                <w:rFonts w:ascii="Arial" w:hAnsi="Arial" w:cs="Arial"/>
              </w:rPr>
            </w:pPr>
            <w:r w:rsidRPr="00103A0B">
              <w:rPr>
                <w:rFonts w:ascii="Arial" w:hAnsi="Arial" w:cs="Arial"/>
              </w:rPr>
              <w:t>Step 2</w:t>
            </w:r>
          </w:p>
        </w:tc>
        <w:tc>
          <w:tcPr>
            <w:tcW w:w="2693" w:type="dxa"/>
            <w:tcBorders>
              <w:top w:val="single" w:sz="4" w:space="0" w:color="auto"/>
              <w:left w:val="single" w:sz="4" w:space="0" w:color="auto"/>
              <w:bottom w:val="single" w:sz="4" w:space="0" w:color="auto"/>
              <w:right w:val="single" w:sz="4" w:space="0" w:color="auto"/>
            </w:tcBorders>
            <w:hideMark/>
          </w:tcPr>
          <w:p w14:paraId="30C3BE60" w14:textId="77777777" w:rsidR="003C30B6" w:rsidRPr="00103A0B" w:rsidRDefault="003C30B6" w:rsidP="005F078A">
            <w:pPr>
              <w:spacing w:line="276" w:lineRule="auto"/>
              <w:rPr>
                <w:rFonts w:ascii="Arial" w:hAnsi="Arial" w:cs="Arial"/>
              </w:rPr>
            </w:pPr>
            <w:r w:rsidRPr="00103A0B">
              <w:rPr>
                <w:rFonts w:ascii="Arial" w:hAnsi="Arial" w:cs="Arial"/>
              </w:rPr>
              <w:t>Step 3</w:t>
            </w:r>
          </w:p>
        </w:tc>
        <w:tc>
          <w:tcPr>
            <w:tcW w:w="2520" w:type="dxa"/>
            <w:tcBorders>
              <w:top w:val="single" w:sz="4" w:space="0" w:color="auto"/>
              <w:left w:val="single" w:sz="4" w:space="0" w:color="auto"/>
              <w:bottom w:val="single" w:sz="4" w:space="0" w:color="auto"/>
              <w:right w:val="single" w:sz="4" w:space="0" w:color="auto"/>
            </w:tcBorders>
            <w:hideMark/>
          </w:tcPr>
          <w:p w14:paraId="606B2CFC" w14:textId="77777777" w:rsidR="003C30B6" w:rsidRPr="00103A0B" w:rsidRDefault="003C30B6" w:rsidP="005F078A">
            <w:pPr>
              <w:spacing w:line="276" w:lineRule="auto"/>
              <w:rPr>
                <w:rFonts w:ascii="Arial" w:hAnsi="Arial" w:cs="Arial"/>
              </w:rPr>
            </w:pPr>
            <w:r w:rsidRPr="00103A0B">
              <w:rPr>
                <w:rFonts w:ascii="Arial" w:hAnsi="Arial" w:cs="Arial"/>
              </w:rPr>
              <w:t>Step 4</w:t>
            </w:r>
          </w:p>
        </w:tc>
      </w:tr>
      <w:tr w:rsidR="003C30B6" w:rsidRPr="00103A0B" w14:paraId="57E96E17"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tcPr>
          <w:p w14:paraId="28121544" w14:textId="77777777" w:rsidR="003C30B6" w:rsidRPr="00103A0B" w:rsidRDefault="003C30B6" w:rsidP="005F078A">
            <w:pPr>
              <w:spacing w:line="276" w:lineRule="auto"/>
              <w:rPr>
                <w:rFonts w:ascii="Arial" w:hAnsi="Arial" w:cs="Arial"/>
              </w:rPr>
            </w:pPr>
          </w:p>
        </w:tc>
        <w:tc>
          <w:tcPr>
            <w:tcW w:w="10458" w:type="dxa"/>
            <w:gridSpan w:val="4"/>
            <w:tcBorders>
              <w:top w:val="single" w:sz="4" w:space="0" w:color="auto"/>
              <w:left w:val="single" w:sz="4" w:space="0" w:color="auto"/>
              <w:bottom w:val="single" w:sz="4" w:space="0" w:color="auto"/>
              <w:right w:val="single" w:sz="4" w:space="0" w:color="auto"/>
            </w:tcBorders>
            <w:hideMark/>
          </w:tcPr>
          <w:p w14:paraId="58C6A65F" w14:textId="77777777" w:rsidR="003C30B6" w:rsidRPr="00103A0B" w:rsidRDefault="003C30B6" w:rsidP="005F078A">
            <w:pPr>
              <w:spacing w:line="276" w:lineRule="auto"/>
              <w:jc w:val="center"/>
              <w:rPr>
                <w:rFonts w:ascii="Arial" w:hAnsi="Arial" w:cs="Arial"/>
              </w:rPr>
            </w:pPr>
            <w:r w:rsidRPr="00103A0B">
              <w:rPr>
                <w:rFonts w:ascii="Arial" w:hAnsi="Arial" w:cs="Arial"/>
              </w:rPr>
              <w:t>OR (95% CI)</w:t>
            </w:r>
          </w:p>
        </w:tc>
      </w:tr>
      <w:tr w:rsidR="003C30B6" w:rsidRPr="00103A0B" w14:paraId="3E7568FC"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3131518E" w14:textId="77777777" w:rsidR="003C30B6" w:rsidRPr="00103A0B" w:rsidRDefault="003C30B6" w:rsidP="005F078A">
            <w:pPr>
              <w:spacing w:line="276" w:lineRule="auto"/>
              <w:rPr>
                <w:rFonts w:ascii="Arial" w:hAnsi="Arial" w:cs="Arial"/>
              </w:rPr>
            </w:pPr>
            <w:r w:rsidRPr="00103A0B">
              <w:rPr>
                <w:rFonts w:ascii="Arial" w:hAnsi="Arial" w:cs="Arial"/>
                <w:b/>
                <w:bCs/>
              </w:rPr>
              <w:t xml:space="preserve">Programme area </w:t>
            </w:r>
            <w:r w:rsidRPr="00103A0B">
              <w:rPr>
                <w:rFonts w:ascii="Arial" w:hAnsi="Arial" w:cs="Arial"/>
              </w:rPr>
              <w:t>[West Yorkshire]</w:t>
            </w:r>
          </w:p>
        </w:tc>
        <w:tc>
          <w:tcPr>
            <w:tcW w:w="2693" w:type="dxa"/>
            <w:tcBorders>
              <w:top w:val="single" w:sz="4" w:space="0" w:color="auto"/>
              <w:left w:val="single" w:sz="4" w:space="0" w:color="auto"/>
              <w:bottom w:val="single" w:sz="4" w:space="0" w:color="auto"/>
              <w:right w:val="single" w:sz="4" w:space="0" w:color="auto"/>
            </w:tcBorders>
            <w:vAlign w:val="center"/>
          </w:tcPr>
          <w:p w14:paraId="4C128F53" w14:textId="77777777" w:rsidR="003C30B6" w:rsidRPr="00103A0B" w:rsidRDefault="003C30B6" w:rsidP="005F078A">
            <w:pPr>
              <w:spacing w:line="276" w:lineRule="auto"/>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tcPr>
          <w:p w14:paraId="7F113BB7" w14:textId="77777777" w:rsidR="003C30B6" w:rsidRPr="00103A0B" w:rsidRDefault="003C30B6" w:rsidP="005F078A">
            <w:pPr>
              <w:spacing w:line="276" w:lineRule="auto"/>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tcPr>
          <w:p w14:paraId="532CD025" w14:textId="77777777" w:rsidR="003C30B6" w:rsidRPr="00103A0B" w:rsidRDefault="003C30B6" w:rsidP="005F078A">
            <w:pPr>
              <w:spacing w:line="276"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vAlign w:val="center"/>
          </w:tcPr>
          <w:p w14:paraId="7939EE3C" w14:textId="77777777" w:rsidR="003C30B6" w:rsidRPr="00103A0B" w:rsidRDefault="003C30B6" w:rsidP="005F078A">
            <w:pPr>
              <w:spacing w:line="276" w:lineRule="auto"/>
              <w:rPr>
                <w:rFonts w:ascii="Arial" w:hAnsi="Arial" w:cs="Arial"/>
              </w:rPr>
            </w:pPr>
          </w:p>
        </w:tc>
      </w:tr>
      <w:tr w:rsidR="003C30B6" w:rsidRPr="00103A0B" w14:paraId="4AA1058A"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394968AF" w14:textId="77777777" w:rsidR="003C30B6" w:rsidRPr="00103A0B" w:rsidRDefault="003C30B6" w:rsidP="005F078A">
            <w:pPr>
              <w:spacing w:line="276" w:lineRule="auto"/>
              <w:rPr>
                <w:rFonts w:ascii="Arial" w:hAnsi="Arial" w:cs="Arial"/>
              </w:rPr>
            </w:pPr>
            <w:r w:rsidRPr="00103A0B">
              <w:rPr>
                <w:rFonts w:ascii="Arial" w:hAnsi="Arial" w:cs="Arial"/>
              </w:rPr>
              <w:t xml:space="preserve">Cumbria </w:t>
            </w:r>
          </w:p>
        </w:tc>
        <w:tc>
          <w:tcPr>
            <w:tcW w:w="2693" w:type="dxa"/>
            <w:tcBorders>
              <w:top w:val="single" w:sz="4" w:space="0" w:color="auto"/>
              <w:left w:val="single" w:sz="4" w:space="0" w:color="auto"/>
              <w:bottom w:val="single" w:sz="4" w:space="0" w:color="auto"/>
              <w:right w:val="single" w:sz="4" w:space="0" w:color="auto"/>
            </w:tcBorders>
            <w:hideMark/>
          </w:tcPr>
          <w:p w14:paraId="5041D2F2" w14:textId="77777777" w:rsidR="003C30B6" w:rsidRPr="00103A0B" w:rsidRDefault="003C30B6" w:rsidP="005F078A">
            <w:pPr>
              <w:spacing w:line="276" w:lineRule="auto"/>
              <w:rPr>
                <w:rFonts w:ascii="Arial" w:hAnsi="Arial" w:cs="Arial"/>
              </w:rPr>
            </w:pPr>
            <w:r w:rsidRPr="00103A0B">
              <w:rPr>
                <w:rFonts w:ascii="Arial" w:hAnsi="Arial" w:cs="Arial"/>
                <w:color w:val="010205"/>
              </w:rPr>
              <w:t>11.14 (4.42-28.</w:t>
            </w:r>
            <w:proofErr w:type="gramStart"/>
            <w:r w:rsidRPr="00103A0B">
              <w:rPr>
                <w:rFonts w:ascii="Arial" w:hAnsi="Arial" w:cs="Arial"/>
                <w:color w:val="010205"/>
              </w:rPr>
              <w:t>07)*</w:t>
            </w:r>
            <w:proofErr w:type="gramEnd"/>
            <w:r w:rsidRPr="00103A0B">
              <w:rPr>
                <w:rFonts w:ascii="Arial" w:hAnsi="Arial" w:cs="Arial"/>
                <w:color w:val="010205"/>
              </w:rPr>
              <w:t>**</w:t>
            </w:r>
          </w:p>
        </w:tc>
        <w:tc>
          <w:tcPr>
            <w:tcW w:w="2552" w:type="dxa"/>
            <w:tcBorders>
              <w:top w:val="single" w:sz="4" w:space="0" w:color="auto"/>
              <w:left w:val="single" w:sz="4" w:space="0" w:color="auto"/>
              <w:bottom w:val="single" w:sz="4" w:space="0" w:color="auto"/>
              <w:right w:val="single" w:sz="4" w:space="0" w:color="auto"/>
            </w:tcBorders>
            <w:hideMark/>
          </w:tcPr>
          <w:p w14:paraId="084671CC" w14:textId="77777777" w:rsidR="003C30B6" w:rsidRPr="00103A0B" w:rsidRDefault="003C30B6" w:rsidP="005F078A">
            <w:pPr>
              <w:spacing w:line="276" w:lineRule="auto"/>
              <w:rPr>
                <w:rFonts w:ascii="Arial" w:hAnsi="Arial" w:cs="Arial"/>
              </w:rPr>
            </w:pPr>
            <w:r w:rsidRPr="00103A0B">
              <w:rPr>
                <w:rFonts w:ascii="Arial" w:hAnsi="Arial" w:cs="Arial"/>
                <w:color w:val="010205"/>
              </w:rPr>
              <w:t>11.15 (4.42-28.</w:t>
            </w:r>
            <w:proofErr w:type="gramStart"/>
            <w:r w:rsidRPr="00103A0B">
              <w:rPr>
                <w:rFonts w:ascii="Arial" w:hAnsi="Arial" w:cs="Arial"/>
                <w:color w:val="010205"/>
              </w:rPr>
              <w:t>10)*</w:t>
            </w:r>
            <w:proofErr w:type="gramEnd"/>
            <w:r w:rsidRPr="00103A0B">
              <w:rPr>
                <w:rFonts w:ascii="Arial" w:hAnsi="Arial" w:cs="Arial"/>
                <w:color w:val="010205"/>
              </w:rPr>
              <w:t>**</w:t>
            </w:r>
          </w:p>
        </w:tc>
        <w:tc>
          <w:tcPr>
            <w:tcW w:w="2693" w:type="dxa"/>
            <w:tcBorders>
              <w:top w:val="single" w:sz="4" w:space="0" w:color="auto"/>
              <w:left w:val="single" w:sz="4" w:space="0" w:color="auto"/>
              <w:bottom w:val="single" w:sz="4" w:space="0" w:color="auto"/>
              <w:right w:val="single" w:sz="4" w:space="0" w:color="auto"/>
            </w:tcBorders>
            <w:hideMark/>
          </w:tcPr>
          <w:p w14:paraId="11885775" w14:textId="77777777" w:rsidR="003C30B6" w:rsidRPr="00103A0B" w:rsidRDefault="003C30B6" w:rsidP="005F078A">
            <w:pPr>
              <w:spacing w:line="276" w:lineRule="auto"/>
              <w:rPr>
                <w:rFonts w:ascii="Arial" w:hAnsi="Arial" w:cs="Arial"/>
              </w:rPr>
            </w:pPr>
            <w:r w:rsidRPr="00103A0B">
              <w:rPr>
                <w:rFonts w:ascii="Arial" w:hAnsi="Arial" w:cs="Arial"/>
                <w:color w:val="010205"/>
              </w:rPr>
              <w:t>10.67 (4.23-26.</w:t>
            </w:r>
            <w:proofErr w:type="gramStart"/>
            <w:r w:rsidRPr="00103A0B">
              <w:rPr>
                <w:rFonts w:ascii="Arial" w:hAnsi="Arial" w:cs="Arial"/>
                <w:color w:val="010205"/>
              </w:rPr>
              <w:t>91)*</w:t>
            </w:r>
            <w:proofErr w:type="gramEnd"/>
            <w:r w:rsidRPr="00103A0B">
              <w:rPr>
                <w:rFonts w:ascii="Arial" w:hAnsi="Arial" w:cs="Arial"/>
                <w:color w:val="010205"/>
              </w:rPr>
              <w:t>**</w:t>
            </w:r>
          </w:p>
        </w:tc>
        <w:tc>
          <w:tcPr>
            <w:tcW w:w="2520" w:type="dxa"/>
            <w:tcBorders>
              <w:top w:val="single" w:sz="4" w:space="0" w:color="auto"/>
              <w:left w:val="single" w:sz="4" w:space="0" w:color="auto"/>
              <w:bottom w:val="single" w:sz="4" w:space="0" w:color="auto"/>
              <w:right w:val="single" w:sz="4" w:space="0" w:color="auto"/>
            </w:tcBorders>
            <w:hideMark/>
          </w:tcPr>
          <w:p w14:paraId="368FEDC2" w14:textId="77777777" w:rsidR="003C30B6" w:rsidRPr="00103A0B" w:rsidRDefault="003C30B6" w:rsidP="005F078A">
            <w:pPr>
              <w:spacing w:line="276" w:lineRule="auto"/>
              <w:rPr>
                <w:rFonts w:ascii="Arial" w:hAnsi="Arial" w:cs="Arial"/>
              </w:rPr>
            </w:pPr>
            <w:r w:rsidRPr="00103A0B">
              <w:rPr>
                <w:rFonts w:ascii="Arial" w:hAnsi="Arial" w:cs="Arial"/>
                <w:color w:val="010205"/>
              </w:rPr>
              <w:t>10.82 (4.29-27.</w:t>
            </w:r>
            <w:proofErr w:type="gramStart"/>
            <w:r w:rsidRPr="00103A0B">
              <w:rPr>
                <w:rFonts w:ascii="Arial" w:hAnsi="Arial" w:cs="Arial"/>
                <w:color w:val="010205"/>
              </w:rPr>
              <w:t>32)*</w:t>
            </w:r>
            <w:proofErr w:type="gramEnd"/>
            <w:r w:rsidRPr="00103A0B">
              <w:rPr>
                <w:rFonts w:ascii="Arial" w:hAnsi="Arial" w:cs="Arial"/>
                <w:color w:val="010205"/>
              </w:rPr>
              <w:t>**</w:t>
            </w:r>
          </w:p>
        </w:tc>
      </w:tr>
      <w:tr w:rsidR="003C30B6" w:rsidRPr="00103A0B" w14:paraId="0A319D9F"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1E5E65B6" w14:textId="77777777" w:rsidR="003C30B6" w:rsidRPr="00103A0B" w:rsidRDefault="003C30B6" w:rsidP="005F078A">
            <w:pPr>
              <w:spacing w:line="276" w:lineRule="auto"/>
              <w:rPr>
                <w:rFonts w:ascii="Arial" w:hAnsi="Arial" w:cs="Arial"/>
              </w:rPr>
            </w:pPr>
            <w:r w:rsidRPr="00103A0B">
              <w:rPr>
                <w:rFonts w:ascii="Arial" w:hAnsi="Arial" w:cs="Arial"/>
              </w:rPr>
              <w:t xml:space="preserve">Herefordshire </w:t>
            </w:r>
          </w:p>
        </w:tc>
        <w:tc>
          <w:tcPr>
            <w:tcW w:w="2693" w:type="dxa"/>
            <w:tcBorders>
              <w:top w:val="single" w:sz="4" w:space="0" w:color="auto"/>
              <w:left w:val="single" w:sz="4" w:space="0" w:color="auto"/>
              <w:bottom w:val="single" w:sz="4" w:space="0" w:color="auto"/>
              <w:right w:val="single" w:sz="4" w:space="0" w:color="auto"/>
            </w:tcBorders>
            <w:hideMark/>
          </w:tcPr>
          <w:p w14:paraId="2670C425" w14:textId="77777777" w:rsidR="003C30B6" w:rsidRPr="00103A0B" w:rsidRDefault="003C30B6" w:rsidP="005F078A">
            <w:pPr>
              <w:spacing w:line="276" w:lineRule="auto"/>
              <w:rPr>
                <w:rFonts w:ascii="Arial" w:hAnsi="Arial" w:cs="Arial"/>
              </w:rPr>
            </w:pPr>
            <w:r w:rsidRPr="00103A0B">
              <w:rPr>
                <w:rFonts w:ascii="Arial" w:hAnsi="Arial" w:cs="Arial"/>
                <w:color w:val="010205"/>
              </w:rPr>
              <w:t>19.41 (7.67-49.</w:t>
            </w:r>
            <w:proofErr w:type="gramStart"/>
            <w:r w:rsidRPr="00103A0B">
              <w:rPr>
                <w:rFonts w:ascii="Arial" w:hAnsi="Arial" w:cs="Arial"/>
                <w:color w:val="010205"/>
              </w:rPr>
              <w:t>13)*</w:t>
            </w:r>
            <w:proofErr w:type="gramEnd"/>
            <w:r w:rsidRPr="00103A0B">
              <w:rPr>
                <w:rFonts w:ascii="Arial" w:hAnsi="Arial" w:cs="Arial"/>
                <w:color w:val="010205"/>
              </w:rPr>
              <w:t>**</w:t>
            </w:r>
          </w:p>
        </w:tc>
        <w:tc>
          <w:tcPr>
            <w:tcW w:w="2552" w:type="dxa"/>
            <w:tcBorders>
              <w:top w:val="single" w:sz="4" w:space="0" w:color="auto"/>
              <w:left w:val="single" w:sz="4" w:space="0" w:color="auto"/>
              <w:bottom w:val="single" w:sz="4" w:space="0" w:color="auto"/>
              <w:right w:val="single" w:sz="4" w:space="0" w:color="auto"/>
            </w:tcBorders>
            <w:hideMark/>
          </w:tcPr>
          <w:p w14:paraId="4F218ECA" w14:textId="77777777" w:rsidR="003C30B6" w:rsidRPr="00103A0B" w:rsidRDefault="003C30B6" w:rsidP="005F078A">
            <w:pPr>
              <w:spacing w:line="276" w:lineRule="auto"/>
              <w:rPr>
                <w:rFonts w:ascii="Arial" w:hAnsi="Arial" w:cs="Arial"/>
              </w:rPr>
            </w:pPr>
            <w:r w:rsidRPr="00103A0B">
              <w:rPr>
                <w:rFonts w:ascii="Arial" w:hAnsi="Arial" w:cs="Arial"/>
                <w:color w:val="010205"/>
              </w:rPr>
              <w:t>19.49 (7.70-49.</w:t>
            </w:r>
            <w:proofErr w:type="gramStart"/>
            <w:r w:rsidRPr="00103A0B">
              <w:rPr>
                <w:rFonts w:ascii="Arial" w:hAnsi="Arial" w:cs="Arial"/>
                <w:color w:val="010205"/>
              </w:rPr>
              <w:t>36)*</w:t>
            </w:r>
            <w:proofErr w:type="gramEnd"/>
            <w:r w:rsidRPr="00103A0B">
              <w:rPr>
                <w:rFonts w:ascii="Arial" w:hAnsi="Arial" w:cs="Arial"/>
                <w:color w:val="010205"/>
              </w:rPr>
              <w:t>**</w:t>
            </w:r>
          </w:p>
        </w:tc>
        <w:tc>
          <w:tcPr>
            <w:tcW w:w="2693" w:type="dxa"/>
            <w:tcBorders>
              <w:top w:val="single" w:sz="4" w:space="0" w:color="auto"/>
              <w:left w:val="single" w:sz="4" w:space="0" w:color="auto"/>
              <w:bottom w:val="single" w:sz="4" w:space="0" w:color="auto"/>
              <w:right w:val="single" w:sz="4" w:space="0" w:color="auto"/>
            </w:tcBorders>
            <w:hideMark/>
          </w:tcPr>
          <w:p w14:paraId="556FC2EF" w14:textId="77777777" w:rsidR="003C30B6" w:rsidRPr="00103A0B" w:rsidRDefault="003C30B6" w:rsidP="005F078A">
            <w:pPr>
              <w:spacing w:line="276" w:lineRule="auto"/>
              <w:rPr>
                <w:rFonts w:ascii="Arial" w:hAnsi="Arial" w:cs="Arial"/>
              </w:rPr>
            </w:pPr>
            <w:r w:rsidRPr="00103A0B">
              <w:rPr>
                <w:rFonts w:ascii="Arial" w:hAnsi="Arial" w:cs="Arial"/>
                <w:color w:val="010205"/>
              </w:rPr>
              <w:t>17.50 (6.90-44.</w:t>
            </w:r>
            <w:proofErr w:type="gramStart"/>
            <w:r w:rsidRPr="00103A0B">
              <w:rPr>
                <w:rFonts w:ascii="Arial" w:hAnsi="Arial" w:cs="Arial"/>
                <w:color w:val="010205"/>
              </w:rPr>
              <w:t>41)*</w:t>
            </w:r>
            <w:proofErr w:type="gramEnd"/>
            <w:r w:rsidRPr="00103A0B">
              <w:rPr>
                <w:rFonts w:ascii="Arial" w:hAnsi="Arial" w:cs="Arial"/>
                <w:color w:val="010205"/>
              </w:rPr>
              <w:t>**</w:t>
            </w:r>
          </w:p>
        </w:tc>
        <w:tc>
          <w:tcPr>
            <w:tcW w:w="2520" w:type="dxa"/>
            <w:tcBorders>
              <w:top w:val="single" w:sz="4" w:space="0" w:color="auto"/>
              <w:left w:val="single" w:sz="4" w:space="0" w:color="auto"/>
              <w:bottom w:val="single" w:sz="4" w:space="0" w:color="auto"/>
              <w:right w:val="single" w:sz="4" w:space="0" w:color="auto"/>
            </w:tcBorders>
            <w:hideMark/>
          </w:tcPr>
          <w:p w14:paraId="3B9625B6" w14:textId="77777777" w:rsidR="003C30B6" w:rsidRPr="00103A0B" w:rsidRDefault="003C30B6" w:rsidP="005F078A">
            <w:pPr>
              <w:spacing w:line="276" w:lineRule="auto"/>
              <w:rPr>
                <w:rFonts w:ascii="Arial" w:hAnsi="Arial" w:cs="Arial"/>
              </w:rPr>
            </w:pPr>
            <w:r w:rsidRPr="00103A0B">
              <w:rPr>
                <w:rFonts w:ascii="Arial" w:hAnsi="Arial" w:cs="Arial"/>
                <w:color w:val="010205"/>
              </w:rPr>
              <w:t>17.43 (6.86-44.</w:t>
            </w:r>
            <w:proofErr w:type="gramStart"/>
            <w:r w:rsidRPr="00103A0B">
              <w:rPr>
                <w:rFonts w:ascii="Arial" w:hAnsi="Arial" w:cs="Arial"/>
                <w:color w:val="010205"/>
              </w:rPr>
              <w:t>27)*</w:t>
            </w:r>
            <w:proofErr w:type="gramEnd"/>
            <w:r w:rsidRPr="00103A0B">
              <w:rPr>
                <w:rFonts w:ascii="Arial" w:hAnsi="Arial" w:cs="Arial"/>
                <w:color w:val="010205"/>
              </w:rPr>
              <w:t>**</w:t>
            </w:r>
          </w:p>
        </w:tc>
      </w:tr>
      <w:tr w:rsidR="003C30B6" w:rsidRPr="00103A0B" w14:paraId="3C6D1A46"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2C78A2D2" w14:textId="77777777" w:rsidR="003C30B6" w:rsidRPr="00103A0B" w:rsidRDefault="003C30B6" w:rsidP="005F078A">
            <w:pPr>
              <w:spacing w:line="276" w:lineRule="auto"/>
              <w:rPr>
                <w:rFonts w:ascii="Arial" w:hAnsi="Arial" w:cs="Arial"/>
              </w:rPr>
            </w:pPr>
            <w:r w:rsidRPr="00103A0B">
              <w:rPr>
                <w:rFonts w:ascii="Arial" w:hAnsi="Arial" w:cs="Arial"/>
              </w:rPr>
              <w:t xml:space="preserve">Berkshire  </w:t>
            </w:r>
          </w:p>
        </w:tc>
        <w:tc>
          <w:tcPr>
            <w:tcW w:w="2693" w:type="dxa"/>
            <w:tcBorders>
              <w:top w:val="single" w:sz="4" w:space="0" w:color="auto"/>
              <w:left w:val="single" w:sz="4" w:space="0" w:color="auto"/>
              <w:bottom w:val="single" w:sz="4" w:space="0" w:color="auto"/>
              <w:right w:val="single" w:sz="4" w:space="0" w:color="auto"/>
            </w:tcBorders>
            <w:hideMark/>
          </w:tcPr>
          <w:p w14:paraId="2B0B25C3" w14:textId="77777777" w:rsidR="003C30B6" w:rsidRPr="00103A0B" w:rsidRDefault="003C30B6" w:rsidP="005F078A">
            <w:pPr>
              <w:spacing w:line="276" w:lineRule="auto"/>
              <w:rPr>
                <w:rFonts w:ascii="Arial" w:hAnsi="Arial" w:cs="Arial"/>
              </w:rPr>
            </w:pPr>
            <w:r w:rsidRPr="00103A0B">
              <w:rPr>
                <w:rFonts w:ascii="Arial" w:hAnsi="Arial" w:cs="Arial"/>
                <w:color w:val="010205"/>
              </w:rPr>
              <w:t>8.89 (3.48-22.</w:t>
            </w:r>
            <w:proofErr w:type="gramStart"/>
            <w:r w:rsidRPr="00103A0B">
              <w:rPr>
                <w:rFonts w:ascii="Arial" w:hAnsi="Arial" w:cs="Arial"/>
                <w:color w:val="010205"/>
              </w:rPr>
              <w:t>68)*</w:t>
            </w:r>
            <w:proofErr w:type="gramEnd"/>
            <w:r w:rsidRPr="00103A0B">
              <w:rPr>
                <w:rFonts w:ascii="Arial" w:hAnsi="Arial" w:cs="Arial"/>
                <w:color w:val="010205"/>
              </w:rPr>
              <w:t>**</w:t>
            </w:r>
          </w:p>
        </w:tc>
        <w:tc>
          <w:tcPr>
            <w:tcW w:w="2552" w:type="dxa"/>
            <w:tcBorders>
              <w:top w:val="single" w:sz="4" w:space="0" w:color="auto"/>
              <w:left w:val="single" w:sz="4" w:space="0" w:color="auto"/>
              <w:bottom w:val="single" w:sz="4" w:space="0" w:color="auto"/>
              <w:right w:val="single" w:sz="4" w:space="0" w:color="auto"/>
            </w:tcBorders>
            <w:hideMark/>
          </w:tcPr>
          <w:p w14:paraId="65B46AA7" w14:textId="77777777" w:rsidR="003C30B6" w:rsidRPr="00103A0B" w:rsidRDefault="003C30B6" w:rsidP="005F078A">
            <w:pPr>
              <w:spacing w:line="276" w:lineRule="auto"/>
              <w:rPr>
                <w:rFonts w:ascii="Arial" w:hAnsi="Arial" w:cs="Arial"/>
              </w:rPr>
            </w:pPr>
            <w:r w:rsidRPr="00103A0B">
              <w:rPr>
                <w:rFonts w:ascii="Arial" w:hAnsi="Arial" w:cs="Arial"/>
                <w:color w:val="010205"/>
              </w:rPr>
              <w:t>8.93 (3.50-22.</w:t>
            </w:r>
            <w:proofErr w:type="gramStart"/>
            <w:r w:rsidRPr="00103A0B">
              <w:rPr>
                <w:rFonts w:ascii="Arial" w:hAnsi="Arial" w:cs="Arial"/>
                <w:color w:val="010205"/>
              </w:rPr>
              <w:t>80)*</w:t>
            </w:r>
            <w:proofErr w:type="gramEnd"/>
            <w:r w:rsidRPr="00103A0B">
              <w:rPr>
                <w:rFonts w:ascii="Arial" w:hAnsi="Arial" w:cs="Arial"/>
                <w:color w:val="010205"/>
              </w:rPr>
              <w:t>**</w:t>
            </w:r>
          </w:p>
        </w:tc>
        <w:tc>
          <w:tcPr>
            <w:tcW w:w="2693" w:type="dxa"/>
            <w:tcBorders>
              <w:top w:val="single" w:sz="4" w:space="0" w:color="auto"/>
              <w:left w:val="single" w:sz="4" w:space="0" w:color="auto"/>
              <w:bottom w:val="single" w:sz="4" w:space="0" w:color="auto"/>
              <w:right w:val="single" w:sz="4" w:space="0" w:color="auto"/>
            </w:tcBorders>
            <w:hideMark/>
          </w:tcPr>
          <w:p w14:paraId="556C6714" w14:textId="77777777" w:rsidR="003C30B6" w:rsidRPr="00103A0B" w:rsidRDefault="003C30B6" w:rsidP="005F078A">
            <w:pPr>
              <w:spacing w:line="276" w:lineRule="auto"/>
              <w:rPr>
                <w:rFonts w:ascii="Arial" w:hAnsi="Arial" w:cs="Arial"/>
              </w:rPr>
            </w:pPr>
            <w:r w:rsidRPr="00103A0B">
              <w:rPr>
                <w:rFonts w:ascii="Arial" w:hAnsi="Arial" w:cs="Arial"/>
                <w:color w:val="010205"/>
              </w:rPr>
              <w:t>8.49 (3.32-21.</w:t>
            </w:r>
            <w:proofErr w:type="gramStart"/>
            <w:r w:rsidRPr="00103A0B">
              <w:rPr>
                <w:rFonts w:ascii="Arial" w:hAnsi="Arial" w:cs="Arial"/>
                <w:color w:val="010205"/>
              </w:rPr>
              <w:t>68)*</w:t>
            </w:r>
            <w:proofErr w:type="gramEnd"/>
            <w:r w:rsidRPr="00103A0B">
              <w:rPr>
                <w:rFonts w:ascii="Arial" w:hAnsi="Arial" w:cs="Arial"/>
                <w:color w:val="010205"/>
              </w:rPr>
              <w:t>**</w:t>
            </w:r>
          </w:p>
        </w:tc>
        <w:tc>
          <w:tcPr>
            <w:tcW w:w="2520" w:type="dxa"/>
            <w:tcBorders>
              <w:top w:val="single" w:sz="4" w:space="0" w:color="auto"/>
              <w:left w:val="single" w:sz="4" w:space="0" w:color="auto"/>
              <w:bottom w:val="single" w:sz="4" w:space="0" w:color="auto"/>
              <w:right w:val="single" w:sz="4" w:space="0" w:color="auto"/>
            </w:tcBorders>
            <w:hideMark/>
          </w:tcPr>
          <w:p w14:paraId="3ABB3F03" w14:textId="77777777" w:rsidR="003C30B6" w:rsidRPr="00103A0B" w:rsidRDefault="003C30B6" w:rsidP="005F078A">
            <w:pPr>
              <w:spacing w:line="276" w:lineRule="auto"/>
              <w:rPr>
                <w:rFonts w:ascii="Arial" w:hAnsi="Arial" w:cs="Arial"/>
              </w:rPr>
            </w:pPr>
            <w:r w:rsidRPr="00103A0B">
              <w:rPr>
                <w:rFonts w:ascii="Arial" w:hAnsi="Arial" w:cs="Arial"/>
                <w:color w:val="010205"/>
              </w:rPr>
              <w:t>8.48 (3.32-21.</w:t>
            </w:r>
            <w:proofErr w:type="gramStart"/>
            <w:r w:rsidRPr="00103A0B">
              <w:rPr>
                <w:rFonts w:ascii="Arial" w:hAnsi="Arial" w:cs="Arial"/>
                <w:color w:val="010205"/>
              </w:rPr>
              <w:t>68)*</w:t>
            </w:r>
            <w:proofErr w:type="gramEnd"/>
            <w:r w:rsidRPr="00103A0B">
              <w:rPr>
                <w:rFonts w:ascii="Arial" w:hAnsi="Arial" w:cs="Arial"/>
                <w:color w:val="010205"/>
              </w:rPr>
              <w:t>**</w:t>
            </w:r>
          </w:p>
        </w:tc>
      </w:tr>
      <w:tr w:rsidR="003C30B6" w:rsidRPr="00103A0B" w14:paraId="65A729D9"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4095D482" w14:textId="77777777" w:rsidR="003C30B6" w:rsidRPr="00103A0B" w:rsidRDefault="003C30B6" w:rsidP="005F078A">
            <w:pPr>
              <w:spacing w:line="276" w:lineRule="auto"/>
              <w:rPr>
                <w:rFonts w:ascii="Arial" w:hAnsi="Arial" w:cs="Arial"/>
              </w:rPr>
            </w:pPr>
            <w:r w:rsidRPr="00103A0B">
              <w:rPr>
                <w:rFonts w:ascii="Arial" w:hAnsi="Arial" w:cs="Arial"/>
              </w:rPr>
              <w:t xml:space="preserve">South London </w:t>
            </w:r>
          </w:p>
        </w:tc>
        <w:tc>
          <w:tcPr>
            <w:tcW w:w="2693" w:type="dxa"/>
            <w:tcBorders>
              <w:top w:val="single" w:sz="4" w:space="0" w:color="auto"/>
              <w:left w:val="single" w:sz="4" w:space="0" w:color="auto"/>
              <w:bottom w:val="single" w:sz="4" w:space="0" w:color="auto"/>
              <w:right w:val="single" w:sz="4" w:space="0" w:color="auto"/>
            </w:tcBorders>
            <w:hideMark/>
          </w:tcPr>
          <w:p w14:paraId="4F065A57" w14:textId="77777777" w:rsidR="003C30B6" w:rsidRPr="00103A0B" w:rsidRDefault="003C30B6" w:rsidP="005F078A">
            <w:pPr>
              <w:spacing w:line="276" w:lineRule="auto"/>
              <w:rPr>
                <w:rFonts w:ascii="Arial" w:hAnsi="Arial" w:cs="Arial"/>
              </w:rPr>
            </w:pPr>
            <w:r w:rsidRPr="00103A0B">
              <w:rPr>
                <w:rFonts w:ascii="Arial" w:hAnsi="Arial" w:cs="Arial"/>
                <w:color w:val="010205"/>
              </w:rPr>
              <w:t>10.08 (4.02-25.</w:t>
            </w:r>
            <w:proofErr w:type="gramStart"/>
            <w:r w:rsidRPr="00103A0B">
              <w:rPr>
                <w:rFonts w:ascii="Arial" w:hAnsi="Arial" w:cs="Arial"/>
                <w:color w:val="010205"/>
              </w:rPr>
              <w:t>23)*</w:t>
            </w:r>
            <w:proofErr w:type="gramEnd"/>
            <w:r w:rsidRPr="00103A0B">
              <w:rPr>
                <w:rFonts w:ascii="Arial" w:hAnsi="Arial" w:cs="Arial"/>
                <w:color w:val="010205"/>
              </w:rPr>
              <w:t>**</w:t>
            </w:r>
          </w:p>
        </w:tc>
        <w:tc>
          <w:tcPr>
            <w:tcW w:w="2552" w:type="dxa"/>
            <w:tcBorders>
              <w:top w:val="single" w:sz="4" w:space="0" w:color="auto"/>
              <w:left w:val="single" w:sz="4" w:space="0" w:color="auto"/>
              <w:bottom w:val="single" w:sz="4" w:space="0" w:color="auto"/>
              <w:right w:val="single" w:sz="4" w:space="0" w:color="auto"/>
            </w:tcBorders>
            <w:hideMark/>
          </w:tcPr>
          <w:p w14:paraId="41C490A6" w14:textId="77777777" w:rsidR="003C30B6" w:rsidRPr="00103A0B" w:rsidRDefault="003C30B6" w:rsidP="005F078A">
            <w:pPr>
              <w:spacing w:line="276" w:lineRule="auto"/>
              <w:rPr>
                <w:rFonts w:ascii="Arial" w:hAnsi="Arial" w:cs="Arial"/>
              </w:rPr>
            </w:pPr>
            <w:r w:rsidRPr="00103A0B">
              <w:rPr>
                <w:rFonts w:ascii="Arial" w:hAnsi="Arial" w:cs="Arial"/>
                <w:color w:val="010205"/>
              </w:rPr>
              <w:t>10.08 (4.03-25.</w:t>
            </w:r>
            <w:proofErr w:type="gramStart"/>
            <w:r w:rsidRPr="00103A0B">
              <w:rPr>
                <w:rFonts w:ascii="Arial" w:hAnsi="Arial" w:cs="Arial"/>
                <w:color w:val="010205"/>
              </w:rPr>
              <w:t>26)*</w:t>
            </w:r>
            <w:proofErr w:type="gramEnd"/>
            <w:r w:rsidRPr="00103A0B">
              <w:rPr>
                <w:rFonts w:ascii="Arial" w:hAnsi="Arial" w:cs="Arial"/>
                <w:color w:val="010205"/>
              </w:rPr>
              <w:t>**</w:t>
            </w:r>
          </w:p>
        </w:tc>
        <w:tc>
          <w:tcPr>
            <w:tcW w:w="2693" w:type="dxa"/>
            <w:tcBorders>
              <w:top w:val="single" w:sz="4" w:space="0" w:color="auto"/>
              <w:left w:val="single" w:sz="4" w:space="0" w:color="auto"/>
              <w:bottom w:val="single" w:sz="4" w:space="0" w:color="auto"/>
              <w:right w:val="single" w:sz="4" w:space="0" w:color="auto"/>
            </w:tcBorders>
            <w:hideMark/>
          </w:tcPr>
          <w:p w14:paraId="2CEE105D" w14:textId="77777777" w:rsidR="003C30B6" w:rsidRPr="00103A0B" w:rsidRDefault="003C30B6" w:rsidP="005F078A">
            <w:pPr>
              <w:spacing w:line="276" w:lineRule="auto"/>
              <w:rPr>
                <w:rFonts w:ascii="Arial" w:hAnsi="Arial" w:cs="Arial"/>
              </w:rPr>
            </w:pPr>
            <w:r w:rsidRPr="00103A0B">
              <w:rPr>
                <w:rFonts w:ascii="Arial" w:hAnsi="Arial" w:cs="Arial"/>
                <w:color w:val="010205"/>
              </w:rPr>
              <w:t>9.12 (3.63-22.</w:t>
            </w:r>
            <w:proofErr w:type="gramStart"/>
            <w:r w:rsidRPr="00103A0B">
              <w:rPr>
                <w:rFonts w:ascii="Arial" w:hAnsi="Arial" w:cs="Arial"/>
                <w:color w:val="010205"/>
              </w:rPr>
              <w:t>88)*</w:t>
            </w:r>
            <w:proofErr w:type="gramEnd"/>
            <w:r w:rsidRPr="00103A0B">
              <w:rPr>
                <w:rFonts w:ascii="Arial" w:hAnsi="Arial" w:cs="Arial"/>
                <w:color w:val="010205"/>
              </w:rPr>
              <w:t>**</w:t>
            </w:r>
          </w:p>
        </w:tc>
        <w:tc>
          <w:tcPr>
            <w:tcW w:w="2520" w:type="dxa"/>
            <w:tcBorders>
              <w:top w:val="single" w:sz="4" w:space="0" w:color="auto"/>
              <w:left w:val="single" w:sz="4" w:space="0" w:color="auto"/>
              <w:bottom w:val="single" w:sz="4" w:space="0" w:color="auto"/>
              <w:right w:val="single" w:sz="4" w:space="0" w:color="auto"/>
            </w:tcBorders>
            <w:hideMark/>
          </w:tcPr>
          <w:p w14:paraId="43F69461" w14:textId="77777777" w:rsidR="003C30B6" w:rsidRPr="00103A0B" w:rsidRDefault="003C30B6" w:rsidP="005F078A">
            <w:pPr>
              <w:spacing w:line="276" w:lineRule="auto"/>
              <w:rPr>
                <w:rFonts w:ascii="Arial" w:hAnsi="Arial" w:cs="Arial"/>
              </w:rPr>
            </w:pPr>
            <w:r w:rsidRPr="00103A0B">
              <w:rPr>
                <w:rFonts w:ascii="Arial" w:hAnsi="Arial" w:cs="Arial"/>
                <w:color w:val="010205"/>
              </w:rPr>
              <w:t>9.15 (3.64-22.</w:t>
            </w:r>
            <w:proofErr w:type="gramStart"/>
            <w:r w:rsidRPr="00103A0B">
              <w:rPr>
                <w:rFonts w:ascii="Arial" w:hAnsi="Arial" w:cs="Arial"/>
                <w:color w:val="010205"/>
              </w:rPr>
              <w:t>96)*</w:t>
            </w:r>
            <w:proofErr w:type="gramEnd"/>
            <w:r w:rsidRPr="00103A0B">
              <w:rPr>
                <w:rFonts w:ascii="Arial" w:hAnsi="Arial" w:cs="Arial"/>
                <w:color w:val="010205"/>
              </w:rPr>
              <w:t>**</w:t>
            </w:r>
          </w:p>
        </w:tc>
      </w:tr>
      <w:tr w:rsidR="003C30B6" w:rsidRPr="00103A0B" w14:paraId="7049DEE9"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58FD5727" w14:textId="77777777" w:rsidR="003C30B6" w:rsidRPr="00103A0B" w:rsidRDefault="003C30B6" w:rsidP="005F078A">
            <w:pPr>
              <w:spacing w:line="276" w:lineRule="auto"/>
              <w:rPr>
                <w:rFonts w:ascii="Arial" w:hAnsi="Arial" w:cs="Arial"/>
              </w:rPr>
            </w:pPr>
            <w:proofErr w:type="gramStart"/>
            <w:r w:rsidRPr="00103A0B">
              <w:rPr>
                <w:rFonts w:ascii="Arial" w:hAnsi="Arial" w:cs="Arial"/>
              </w:rPr>
              <w:t>North East</w:t>
            </w:r>
            <w:proofErr w:type="gramEnd"/>
            <w:r w:rsidRPr="00103A0B">
              <w:rPr>
                <w:rFonts w:ascii="Arial" w:hAnsi="Arial" w:cs="Arial"/>
              </w:rPr>
              <w:t xml:space="preserve"> London  </w:t>
            </w:r>
          </w:p>
        </w:tc>
        <w:tc>
          <w:tcPr>
            <w:tcW w:w="2693" w:type="dxa"/>
            <w:tcBorders>
              <w:top w:val="single" w:sz="4" w:space="0" w:color="auto"/>
              <w:left w:val="single" w:sz="4" w:space="0" w:color="auto"/>
              <w:bottom w:val="single" w:sz="4" w:space="0" w:color="auto"/>
              <w:right w:val="single" w:sz="4" w:space="0" w:color="auto"/>
            </w:tcBorders>
            <w:hideMark/>
          </w:tcPr>
          <w:p w14:paraId="0A054D89" w14:textId="77777777" w:rsidR="003C30B6" w:rsidRPr="00103A0B" w:rsidRDefault="003C30B6" w:rsidP="005F078A">
            <w:pPr>
              <w:spacing w:line="276" w:lineRule="auto"/>
              <w:rPr>
                <w:rFonts w:ascii="Arial" w:hAnsi="Arial" w:cs="Arial"/>
              </w:rPr>
            </w:pPr>
            <w:r w:rsidRPr="00103A0B">
              <w:rPr>
                <w:rFonts w:ascii="Arial" w:hAnsi="Arial" w:cs="Arial"/>
                <w:color w:val="010205"/>
              </w:rPr>
              <w:t>28.56 (10.62-76.</w:t>
            </w:r>
            <w:proofErr w:type="gramStart"/>
            <w:r w:rsidRPr="00103A0B">
              <w:rPr>
                <w:rFonts w:ascii="Arial" w:hAnsi="Arial" w:cs="Arial"/>
                <w:color w:val="010205"/>
              </w:rPr>
              <w:t>80)*</w:t>
            </w:r>
            <w:proofErr w:type="gramEnd"/>
            <w:r w:rsidRPr="00103A0B">
              <w:rPr>
                <w:rFonts w:ascii="Arial" w:hAnsi="Arial" w:cs="Arial"/>
                <w:color w:val="010205"/>
              </w:rPr>
              <w:t>**</w:t>
            </w:r>
          </w:p>
        </w:tc>
        <w:tc>
          <w:tcPr>
            <w:tcW w:w="2552" w:type="dxa"/>
            <w:tcBorders>
              <w:top w:val="single" w:sz="4" w:space="0" w:color="auto"/>
              <w:left w:val="single" w:sz="4" w:space="0" w:color="auto"/>
              <w:bottom w:val="single" w:sz="4" w:space="0" w:color="auto"/>
              <w:right w:val="single" w:sz="4" w:space="0" w:color="auto"/>
            </w:tcBorders>
            <w:hideMark/>
          </w:tcPr>
          <w:p w14:paraId="087C367F" w14:textId="77777777" w:rsidR="003C30B6" w:rsidRPr="00103A0B" w:rsidRDefault="003C30B6" w:rsidP="005F078A">
            <w:pPr>
              <w:spacing w:line="276" w:lineRule="auto"/>
              <w:rPr>
                <w:rFonts w:ascii="Arial" w:hAnsi="Arial" w:cs="Arial"/>
              </w:rPr>
            </w:pPr>
            <w:r w:rsidRPr="00103A0B">
              <w:rPr>
                <w:rFonts w:ascii="Arial" w:hAnsi="Arial" w:cs="Arial"/>
                <w:color w:val="010205"/>
              </w:rPr>
              <w:t>28.44 (10.57-76.</w:t>
            </w:r>
            <w:proofErr w:type="gramStart"/>
            <w:r w:rsidRPr="00103A0B">
              <w:rPr>
                <w:rFonts w:ascii="Arial" w:hAnsi="Arial" w:cs="Arial"/>
                <w:color w:val="010205"/>
              </w:rPr>
              <w:t>53)*</w:t>
            </w:r>
            <w:proofErr w:type="gramEnd"/>
            <w:r w:rsidRPr="00103A0B">
              <w:rPr>
                <w:rFonts w:ascii="Arial" w:hAnsi="Arial" w:cs="Arial"/>
                <w:color w:val="010205"/>
              </w:rPr>
              <w:t>**</w:t>
            </w:r>
          </w:p>
        </w:tc>
        <w:tc>
          <w:tcPr>
            <w:tcW w:w="2693" w:type="dxa"/>
            <w:tcBorders>
              <w:top w:val="single" w:sz="4" w:space="0" w:color="auto"/>
              <w:left w:val="single" w:sz="4" w:space="0" w:color="auto"/>
              <w:bottom w:val="single" w:sz="4" w:space="0" w:color="auto"/>
              <w:right w:val="single" w:sz="4" w:space="0" w:color="auto"/>
            </w:tcBorders>
            <w:hideMark/>
          </w:tcPr>
          <w:p w14:paraId="204362AE" w14:textId="77777777" w:rsidR="003C30B6" w:rsidRPr="00103A0B" w:rsidRDefault="003C30B6" w:rsidP="005F078A">
            <w:pPr>
              <w:spacing w:line="276" w:lineRule="auto"/>
              <w:rPr>
                <w:rFonts w:ascii="Arial" w:hAnsi="Arial" w:cs="Arial"/>
              </w:rPr>
            </w:pPr>
            <w:r w:rsidRPr="00103A0B">
              <w:rPr>
                <w:rFonts w:ascii="Arial" w:hAnsi="Arial" w:cs="Arial"/>
                <w:color w:val="010205"/>
              </w:rPr>
              <w:t>28.29 (10.50-76.</w:t>
            </w:r>
            <w:proofErr w:type="gramStart"/>
            <w:r w:rsidRPr="00103A0B">
              <w:rPr>
                <w:rFonts w:ascii="Arial" w:hAnsi="Arial" w:cs="Arial"/>
                <w:color w:val="010205"/>
              </w:rPr>
              <w:t>22)*</w:t>
            </w:r>
            <w:proofErr w:type="gramEnd"/>
            <w:r w:rsidRPr="00103A0B">
              <w:rPr>
                <w:rFonts w:ascii="Arial" w:hAnsi="Arial" w:cs="Arial"/>
                <w:color w:val="010205"/>
              </w:rPr>
              <w:t>**</w:t>
            </w:r>
          </w:p>
        </w:tc>
        <w:tc>
          <w:tcPr>
            <w:tcW w:w="2520" w:type="dxa"/>
            <w:tcBorders>
              <w:top w:val="single" w:sz="4" w:space="0" w:color="auto"/>
              <w:left w:val="single" w:sz="4" w:space="0" w:color="auto"/>
              <w:bottom w:val="single" w:sz="4" w:space="0" w:color="auto"/>
              <w:right w:val="single" w:sz="4" w:space="0" w:color="auto"/>
            </w:tcBorders>
            <w:hideMark/>
          </w:tcPr>
          <w:p w14:paraId="542D7E0F" w14:textId="77777777" w:rsidR="003C30B6" w:rsidRPr="00103A0B" w:rsidRDefault="003C30B6" w:rsidP="005F078A">
            <w:pPr>
              <w:spacing w:line="276" w:lineRule="auto"/>
              <w:rPr>
                <w:rFonts w:ascii="Arial" w:hAnsi="Arial" w:cs="Arial"/>
              </w:rPr>
            </w:pPr>
            <w:r w:rsidRPr="00103A0B">
              <w:rPr>
                <w:rFonts w:ascii="Arial" w:hAnsi="Arial" w:cs="Arial"/>
                <w:color w:val="010205"/>
              </w:rPr>
              <w:t>29.00 (10.75-78.</w:t>
            </w:r>
            <w:proofErr w:type="gramStart"/>
            <w:r w:rsidRPr="00103A0B">
              <w:rPr>
                <w:rFonts w:ascii="Arial" w:hAnsi="Arial" w:cs="Arial"/>
                <w:color w:val="010205"/>
              </w:rPr>
              <w:t>21)*</w:t>
            </w:r>
            <w:proofErr w:type="gramEnd"/>
            <w:r w:rsidRPr="00103A0B">
              <w:rPr>
                <w:rFonts w:ascii="Arial" w:hAnsi="Arial" w:cs="Arial"/>
                <w:color w:val="010205"/>
              </w:rPr>
              <w:t>**</w:t>
            </w:r>
          </w:p>
        </w:tc>
      </w:tr>
      <w:tr w:rsidR="003C30B6" w:rsidRPr="00103A0B" w14:paraId="41210D12"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5CF98C33" w14:textId="77777777" w:rsidR="003C30B6" w:rsidRPr="00103A0B" w:rsidRDefault="003C30B6" w:rsidP="005F078A">
            <w:pPr>
              <w:spacing w:line="276" w:lineRule="auto"/>
              <w:rPr>
                <w:rFonts w:ascii="Arial" w:hAnsi="Arial" w:cs="Arial"/>
              </w:rPr>
            </w:pPr>
            <w:r w:rsidRPr="00103A0B">
              <w:rPr>
                <w:rFonts w:ascii="Arial" w:hAnsi="Arial" w:cs="Arial"/>
                <w:b/>
                <w:bCs/>
              </w:rPr>
              <w:t>Gender</w:t>
            </w:r>
            <w:r w:rsidRPr="00103A0B">
              <w:rPr>
                <w:rFonts w:ascii="Arial" w:hAnsi="Arial" w:cs="Arial"/>
              </w:rPr>
              <w:t xml:space="preserve"> [Male]: Female</w:t>
            </w:r>
          </w:p>
        </w:tc>
        <w:tc>
          <w:tcPr>
            <w:tcW w:w="2693" w:type="dxa"/>
            <w:tcBorders>
              <w:top w:val="single" w:sz="4" w:space="0" w:color="auto"/>
              <w:left w:val="single" w:sz="4" w:space="0" w:color="auto"/>
              <w:bottom w:val="single" w:sz="4" w:space="0" w:color="auto"/>
              <w:right w:val="single" w:sz="4" w:space="0" w:color="auto"/>
            </w:tcBorders>
            <w:hideMark/>
          </w:tcPr>
          <w:p w14:paraId="6C846E98" w14:textId="77777777" w:rsidR="003C30B6" w:rsidRPr="00103A0B" w:rsidRDefault="003C30B6" w:rsidP="005F078A">
            <w:pPr>
              <w:spacing w:line="276" w:lineRule="auto"/>
              <w:rPr>
                <w:rFonts w:ascii="Arial" w:hAnsi="Arial" w:cs="Arial"/>
              </w:rPr>
            </w:pPr>
            <w:r w:rsidRPr="00103A0B">
              <w:rPr>
                <w:rFonts w:ascii="Arial" w:hAnsi="Arial" w:cs="Arial"/>
                <w:color w:val="010205"/>
              </w:rPr>
              <w:t>1.01 (0.82-1.24)</w:t>
            </w:r>
          </w:p>
        </w:tc>
        <w:tc>
          <w:tcPr>
            <w:tcW w:w="2552" w:type="dxa"/>
            <w:tcBorders>
              <w:top w:val="single" w:sz="4" w:space="0" w:color="auto"/>
              <w:left w:val="single" w:sz="4" w:space="0" w:color="auto"/>
              <w:bottom w:val="single" w:sz="4" w:space="0" w:color="auto"/>
              <w:right w:val="single" w:sz="4" w:space="0" w:color="auto"/>
            </w:tcBorders>
            <w:hideMark/>
          </w:tcPr>
          <w:p w14:paraId="2F93B6E7" w14:textId="77777777" w:rsidR="003C30B6" w:rsidRPr="00103A0B" w:rsidRDefault="003C30B6" w:rsidP="005F078A">
            <w:pPr>
              <w:spacing w:line="276" w:lineRule="auto"/>
              <w:rPr>
                <w:rFonts w:ascii="Arial" w:hAnsi="Arial" w:cs="Arial"/>
              </w:rPr>
            </w:pPr>
            <w:r w:rsidRPr="00103A0B">
              <w:rPr>
                <w:rFonts w:ascii="Arial" w:hAnsi="Arial" w:cs="Arial"/>
                <w:color w:val="010205"/>
              </w:rPr>
              <w:t>1.02 (0.83-1.25)</w:t>
            </w:r>
          </w:p>
        </w:tc>
        <w:tc>
          <w:tcPr>
            <w:tcW w:w="2693" w:type="dxa"/>
            <w:tcBorders>
              <w:top w:val="single" w:sz="4" w:space="0" w:color="auto"/>
              <w:left w:val="single" w:sz="4" w:space="0" w:color="auto"/>
              <w:bottom w:val="single" w:sz="4" w:space="0" w:color="auto"/>
              <w:right w:val="single" w:sz="4" w:space="0" w:color="auto"/>
            </w:tcBorders>
            <w:hideMark/>
          </w:tcPr>
          <w:p w14:paraId="50DC9528" w14:textId="77777777" w:rsidR="003C30B6" w:rsidRPr="00103A0B" w:rsidRDefault="003C30B6" w:rsidP="005F078A">
            <w:pPr>
              <w:spacing w:line="276" w:lineRule="auto"/>
              <w:rPr>
                <w:rFonts w:ascii="Arial" w:hAnsi="Arial" w:cs="Arial"/>
              </w:rPr>
            </w:pPr>
            <w:r w:rsidRPr="00103A0B">
              <w:rPr>
                <w:rFonts w:ascii="Arial" w:hAnsi="Arial" w:cs="Arial"/>
                <w:color w:val="010205"/>
              </w:rPr>
              <w:t>1.01 (0.82-1.24)</w:t>
            </w:r>
          </w:p>
        </w:tc>
        <w:tc>
          <w:tcPr>
            <w:tcW w:w="2520" w:type="dxa"/>
            <w:tcBorders>
              <w:top w:val="single" w:sz="4" w:space="0" w:color="auto"/>
              <w:left w:val="single" w:sz="4" w:space="0" w:color="auto"/>
              <w:bottom w:val="single" w:sz="4" w:space="0" w:color="auto"/>
              <w:right w:val="single" w:sz="4" w:space="0" w:color="auto"/>
            </w:tcBorders>
            <w:hideMark/>
          </w:tcPr>
          <w:p w14:paraId="3953062F" w14:textId="77777777" w:rsidR="003C30B6" w:rsidRPr="00103A0B" w:rsidRDefault="003C30B6" w:rsidP="005F078A">
            <w:pPr>
              <w:spacing w:line="276" w:lineRule="auto"/>
              <w:rPr>
                <w:rFonts w:ascii="Arial" w:hAnsi="Arial" w:cs="Arial"/>
              </w:rPr>
            </w:pPr>
            <w:r w:rsidRPr="00103A0B">
              <w:rPr>
                <w:rFonts w:ascii="Arial" w:hAnsi="Arial" w:cs="Arial"/>
                <w:color w:val="010205"/>
              </w:rPr>
              <w:t>1.02 (0.83-1.26)</w:t>
            </w:r>
          </w:p>
        </w:tc>
      </w:tr>
      <w:tr w:rsidR="003C30B6" w:rsidRPr="00103A0B" w14:paraId="0F385738"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2BFF36C5" w14:textId="77777777" w:rsidR="003C30B6" w:rsidRPr="00103A0B" w:rsidRDefault="003C30B6" w:rsidP="005F078A">
            <w:pPr>
              <w:spacing w:line="276" w:lineRule="auto"/>
              <w:rPr>
                <w:rFonts w:ascii="Arial" w:hAnsi="Arial" w:cs="Arial"/>
              </w:rPr>
            </w:pPr>
            <w:r w:rsidRPr="00103A0B">
              <w:rPr>
                <w:rFonts w:ascii="Arial" w:hAnsi="Arial" w:cs="Arial"/>
                <w:b/>
                <w:bCs/>
              </w:rPr>
              <w:t>Age</w:t>
            </w:r>
            <w:r w:rsidRPr="00103A0B">
              <w:rPr>
                <w:rFonts w:ascii="Arial" w:hAnsi="Arial" w:cs="Arial"/>
              </w:rPr>
              <w:t xml:space="preserve"> [&lt;40]</w:t>
            </w:r>
          </w:p>
        </w:tc>
        <w:tc>
          <w:tcPr>
            <w:tcW w:w="2693" w:type="dxa"/>
            <w:tcBorders>
              <w:top w:val="single" w:sz="4" w:space="0" w:color="auto"/>
              <w:left w:val="single" w:sz="4" w:space="0" w:color="auto"/>
              <w:bottom w:val="single" w:sz="4" w:space="0" w:color="auto"/>
              <w:right w:val="single" w:sz="4" w:space="0" w:color="auto"/>
            </w:tcBorders>
            <w:vAlign w:val="center"/>
          </w:tcPr>
          <w:p w14:paraId="78E4E520" w14:textId="77777777" w:rsidR="003C30B6" w:rsidRPr="00103A0B" w:rsidRDefault="003C30B6" w:rsidP="005F078A">
            <w:pPr>
              <w:spacing w:line="276" w:lineRule="auto"/>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0036FA5C" w14:textId="77777777" w:rsidR="003C30B6" w:rsidRPr="00103A0B" w:rsidRDefault="003C30B6" w:rsidP="005F078A">
            <w:pPr>
              <w:spacing w:line="276" w:lineRule="auto"/>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vAlign w:val="center"/>
          </w:tcPr>
          <w:p w14:paraId="582F471B" w14:textId="77777777" w:rsidR="003C30B6" w:rsidRPr="00103A0B" w:rsidRDefault="003C30B6" w:rsidP="005F078A">
            <w:pPr>
              <w:spacing w:line="276"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vAlign w:val="center"/>
          </w:tcPr>
          <w:p w14:paraId="28C7ACAE" w14:textId="77777777" w:rsidR="003C30B6" w:rsidRPr="00103A0B" w:rsidRDefault="003C30B6" w:rsidP="005F078A">
            <w:pPr>
              <w:spacing w:line="276" w:lineRule="auto"/>
              <w:rPr>
                <w:rFonts w:ascii="Arial" w:hAnsi="Arial" w:cs="Arial"/>
              </w:rPr>
            </w:pPr>
          </w:p>
        </w:tc>
      </w:tr>
      <w:tr w:rsidR="003C30B6" w:rsidRPr="00103A0B" w14:paraId="03728609"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7F76C82C" w14:textId="77777777" w:rsidR="003C30B6" w:rsidRPr="00103A0B" w:rsidRDefault="003C30B6" w:rsidP="005F078A">
            <w:pPr>
              <w:spacing w:line="276" w:lineRule="auto"/>
              <w:rPr>
                <w:rFonts w:ascii="Arial" w:hAnsi="Arial" w:cs="Arial"/>
              </w:rPr>
            </w:pPr>
            <w:r w:rsidRPr="00103A0B">
              <w:rPr>
                <w:rFonts w:ascii="Arial" w:hAnsi="Arial" w:cs="Arial"/>
              </w:rPr>
              <w:t>40-44</w:t>
            </w:r>
          </w:p>
        </w:tc>
        <w:tc>
          <w:tcPr>
            <w:tcW w:w="2693" w:type="dxa"/>
            <w:tcBorders>
              <w:top w:val="single" w:sz="4" w:space="0" w:color="auto"/>
              <w:left w:val="single" w:sz="4" w:space="0" w:color="auto"/>
              <w:bottom w:val="single" w:sz="4" w:space="0" w:color="auto"/>
              <w:right w:val="single" w:sz="4" w:space="0" w:color="auto"/>
            </w:tcBorders>
            <w:hideMark/>
          </w:tcPr>
          <w:p w14:paraId="0AEA2F1B" w14:textId="77777777" w:rsidR="003C30B6" w:rsidRPr="00103A0B" w:rsidRDefault="003C30B6" w:rsidP="005F078A">
            <w:pPr>
              <w:spacing w:line="276" w:lineRule="auto"/>
              <w:rPr>
                <w:rFonts w:ascii="Arial" w:hAnsi="Arial" w:cs="Arial"/>
              </w:rPr>
            </w:pPr>
            <w:r w:rsidRPr="00103A0B">
              <w:rPr>
                <w:rFonts w:ascii="Arial" w:hAnsi="Arial" w:cs="Arial"/>
                <w:color w:val="010205"/>
              </w:rPr>
              <w:t>0.94 (0.32-2.73)</w:t>
            </w:r>
          </w:p>
        </w:tc>
        <w:tc>
          <w:tcPr>
            <w:tcW w:w="2552" w:type="dxa"/>
            <w:tcBorders>
              <w:top w:val="single" w:sz="4" w:space="0" w:color="auto"/>
              <w:left w:val="single" w:sz="4" w:space="0" w:color="auto"/>
              <w:bottom w:val="single" w:sz="4" w:space="0" w:color="auto"/>
              <w:right w:val="single" w:sz="4" w:space="0" w:color="auto"/>
            </w:tcBorders>
            <w:hideMark/>
          </w:tcPr>
          <w:p w14:paraId="551DE0AB" w14:textId="77777777" w:rsidR="003C30B6" w:rsidRPr="00103A0B" w:rsidRDefault="003C30B6" w:rsidP="005F078A">
            <w:pPr>
              <w:spacing w:line="276" w:lineRule="auto"/>
              <w:rPr>
                <w:rFonts w:ascii="Arial" w:hAnsi="Arial" w:cs="Arial"/>
              </w:rPr>
            </w:pPr>
            <w:r w:rsidRPr="00103A0B">
              <w:rPr>
                <w:rFonts w:ascii="Arial" w:hAnsi="Arial" w:cs="Arial"/>
                <w:color w:val="010205"/>
              </w:rPr>
              <w:t>0.94 (0.33-2.74)</w:t>
            </w:r>
          </w:p>
        </w:tc>
        <w:tc>
          <w:tcPr>
            <w:tcW w:w="2693" w:type="dxa"/>
            <w:tcBorders>
              <w:top w:val="single" w:sz="4" w:space="0" w:color="auto"/>
              <w:left w:val="single" w:sz="4" w:space="0" w:color="auto"/>
              <w:bottom w:val="single" w:sz="4" w:space="0" w:color="auto"/>
              <w:right w:val="single" w:sz="4" w:space="0" w:color="auto"/>
            </w:tcBorders>
            <w:hideMark/>
          </w:tcPr>
          <w:p w14:paraId="7640F35C" w14:textId="77777777" w:rsidR="003C30B6" w:rsidRPr="00103A0B" w:rsidRDefault="003C30B6" w:rsidP="005F078A">
            <w:pPr>
              <w:spacing w:line="276" w:lineRule="auto"/>
              <w:rPr>
                <w:rFonts w:ascii="Arial" w:hAnsi="Arial" w:cs="Arial"/>
              </w:rPr>
            </w:pPr>
            <w:r w:rsidRPr="00103A0B">
              <w:rPr>
                <w:rFonts w:ascii="Arial" w:hAnsi="Arial" w:cs="Arial"/>
                <w:color w:val="010205"/>
              </w:rPr>
              <w:t>0.97 (0.33-2.81)</w:t>
            </w:r>
          </w:p>
        </w:tc>
        <w:tc>
          <w:tcPr>
            <w:tcW w:w="2520" w:type="dxa"/>
            <w:tcBorders>
              <w:top w:val="single" w:sz="4" w:space="0" w:color="auto"/>
              <w:left w:val="single" w:sz="4" w:space="0" w:color="auto"/>
              <w:bottom w:val="single" w:sz="4" w:space="0" w:color="auto"/>
              <w:right w:val="single" w:sz="4" w:space="0" w:color="auto"/>
            </w:tcBorders>
            <w:hideMark/>
          </w:tcPr>
          <w:p w14:paraId="34C4F833" w14:textId="77777777" w:rsidR="003C30B6" w:rsidRPr="00103A0B" w:rsidRDefault="003C30B6" w:rsidP="005F078A">
            <w:pPr>
              <w:spacing w:line="276" w:lineRule="auto"/>
              <w:rPr>
                <w:rFonts w:ascii="Arial" w:hAnsi="Arial" w:cs="Arial"/>
              </w:rPr>
            </w:pPr>
            <w:r w:rsidRPr="00103A0B">
              <w:rPr>
                <w:rFonts w:ascii="Arial" w:hAnsi="Arial" w:cs="Arial"/>
                <w:color w:val="010205"/>
              </w:rPr>
              <w:t>0.95 (0.33-2.78)</w:t>
            </w:r>
          </w:p>
        </w:tc>
      </w:tr>
      <w:tr w:rsidR="003C30B6" w:rsidRPr="00103A0B" w14:paraId="535D55A0"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5B8CC203" w14:textId="77777777" w:rsidR="003C30B6" w:rsidRPr="00103A0B" w:rsidRDefault="003C30B6" w:rsidP="005F078A">
            <w:pPr>
              <w:spacing w:line="276" w:lineRule="auto"/>
              <w:rPr>
                <w:rFonts w:ascii="Arial" w:hAnsi="Arial" w:cs="Arial"/>
              </w:rPr>
            </w:pPr>
            <w:r w:rsidRPr="00103A0B">
              <w:rPr>
                <w:rFonts w:ascii="Arial" w:hAnsi="Arial" w:cs="Arial"/>
              </w:rPr>
              <w:t>45-49</w:t>
            </w:r>
          </w:p>
        </w:tc>
        <w:tc>
          <w:tcPr>
            <w:tcW w:w="2693" w:type="dxa"/>
            <w:tcBorders>
              <w:top w:val="single" w:sz="4" w:space="0" w:color="auto"/>
              <w:left w:val="single" w:sz="4" w:space="0" w:color="auto"/>
              <w:bottom w:val="single" w:sz="4" w:space="0" w:color="auto"/>
              <w:right w:val="single" w:sz="4" w:space="0" w:color="auto"/>
            </w:tcBorders>
            <w:hideMark/>
          </w:tcPr>
          <w:p w14:paraId="41FBD684" w14:textId="77777777" w:rsidR="003C30B6" w:rsidRPr="00103A0B" w:rsidRDefault="003C30B6" w:rsidP="005F078A">
            <w:pPr>
              <w:spacing w:line="276" w:lineRule="auto"/>
              <w:rPr>
                <w:rFonts w:ascii="Arial" w:hAnsi="Arial" w:cs="Arial"/>
              </w:rPr>
            </w:pPr>
            <w:r w:rsidRPr="00103A0B">
              <w:rPr>
                <w:rFonts w:ascii="Arial" w:hAnsi="Arial" w:cs="Arial"/>
                <w:color w:val="010205"/>
              </w:rPr>
              <w:t>1.12 (0.44-2.84)</w:t>
            </w:r>
          </w:p>
        </w:tc>
        <w:tc>
          <w:tcPr>
            <w:tcW w:w="2552" w:type="dxa"/>
            <w:tcBorders>
              <w:top w:val="single" w:sz="4" w:space="0" w:color="auto"/>
              <w:left w:val="single" w:sz="4" w:space="0" w:color="auto"/>
              <w:bottom w:val="single" w:sz="4" w:space="0" w:color="auto"/>
              <w:right w:val="single" w:sz="4" w:space="0" w:color="auto"/>
            </w:tcBorders>
            <w:hideMark/>
          </w:tcPr>
          <w:p w14:paraId="75614F3B" w14:textId="77777777" w:rsidR="003C30B6" w:rsidRPr="00103A0B" w:rsidRDefault="003C30B6" w:rsidP="005F078A">
            <w:pPr>
              <w:spacing w:line="276" w:lineRule="auto"/>
              <w:rPr>
                <w:rFonts w:ascii="Arial" w:hAnsi="Arial" w:cs="Arial"/>
              </w:rPr>
            </w:pPr>
            <w:r w:rsidRPr="00103A0B">
              <w:rPr>
                <w:rFonts w:ascii="Arial" w:hAnsi="Arial" w:cs="Arial"/>
                <w:color w:val="010205"/>
              </w:rPr>
              <w:t>1.10 (0.43-2.81)</w:t>
            </w:r>
          </w:p>
        </w:tc>
        <w:tc>
          <w:tcPr>
            <w:tcW w:w="2693" w:type="dxa"/>
            <w:tcBorders>
              <w:top w:val="single" w:sz="4" w:space="0" w:color="auto"/>
              <w:left w:val="single" w:sz="4" w:space="0" w:color="auto"/>
              <w:bottom w:val="single" w:sz="4" w:space="0" w:color="auto"/>
              <w:right w:val="single" w:sz="4" w:space="0" w:color="auto"/>
            </w:tcBorders>
            <w:hideMark/>
          </w:tcPr>
          <w:p w14:paraId="31297D00" w14:textId="77777777" w:rsidR="003C30B6" w:rsidRPr="00103A0B" w:rsidRDefault="003C30B6" w:rsidP="005F078A">
            <w:pPr>
              <w:spacing w:line="276" w:lineRule="auto"/>
              <w:rPr>
                <w:rFonts w:ascii="Arial" w:hAnsi="Arial" w:cs="Arial"/>
              </w:rPr>
            </w:pPr>
            <w:r w:rsidRPr="00103A0B">
              <w:rPr>
                <w:rFonts w:ascii="Arial" w:hAnsi="Arial" w:cs="Arial"/>
                <w:color w:val="010205"/>
              </w:rPr>
              <w:t>1.12 (0.44-2.86)</w:t>
            </w:r>
          </w:p>
        </w:tc>
        <w:tc>
          <w:tcPr>
            <w:tcW w:w="2520" w:type="dxa"/>
            <w:tcBorders>
              <w:top w:val="single" w:sz="4" w:space="0" w:color="auto"/>
              <w:left w:val="single" w:sz="4" w:space="0" w:color="auto"/>
              <w:bottom w:val="single" w:sz="4" w:space="0" w:color="auto"/>
              <w:right w:val="single" w:sz="4" w:space="0" w:color="auto"/>
            </w:tcBorders>
            <w:hideMark/>
          </w:tcPr>
          <w:p w14:paraId="1FAD3880" w14:textId="77777777" w:rsidR="003C30B6" w:rsidRPr="00103A0B" w:rsidRDefault="003C30B6" w:rsidP="005F078A">
            <w:pPr>
              <w:spacing w:line="276" w:lineRule="auto"/>
              <w:rPr>
                <w:rFonts w:ascii="Arial" w:hAnsi="Arial" w:cs="Arial"/>
              </w:rPr>
            </w:pPr>
            <w:r w:rsidRPr="00103A0B">
              <w:rPr>
                <w:rFonts w:ascii="Arial" w:hAnsi="Arial" w:cs="Arial"/>
                <w:color w:val="010205"/>
              </w:rPr>
              <w:t>1.13 (0.44-2.90)</w:t>
            </w:r>
          </w:p>
        </w:tc>
      </w:tr>
      <w:tr w:rsidR="003C30B6" w:rsidRPr="00103A0B" w14:paraId="4ED3CABB"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3EAAADC5" w14:textId="77777777" w:rsidR="003C30B6" w:rsidRPr="00103A0B" w:rsidRDefault="003C30B6" w:rsidP="005F078A">
            <w:pPr>
              <w:spacing w:line="276" w:lineRule="auto"/>
              <w:rPr>
                <w:rFonts w:ascii="Arial" w:hAnsi="Arial" w:cs="Arial"/>
              </w:rPr>
            </w:pPr>
            <w:r w:rsidRPr="00103A0B">
              <w:rPr>
                <w:rFonts w:ascii="Arial" w:hAnsi="Arial" w:cs="Arial"/>
              </w:rPr>
              <w:t>50-54</w:t>
            </w:r>
          </w:p>
        </w:tc>
        <w:tc>
          <w:tcPr>
            <w:tcW w:w="2693" w:type="dxa"/>
            <w:tcBorders>
              <w:top w:val="single" w:sz="4" w:space="0" w:color="auto"/>
              <w:left w:val="single" w:sz="4" w:space="0" w:color="auto"/>
              <w:bottom w:val="single" w:sz="4" w:space="0" w:color="auto"/>
              <w:right w:val="single" w:sz="4" w:space="0" w:color="auto"/>
            </w:tcBorders>
            <w:hideMark/>
          </w:tcPr>
          <w:p w14:paraId="34D945D2" w14:textId="77777777" w:rsidR="003C30B6" w:rsidRPr="00103A0B" w:rsidRDefault="003C30B6" w:rsidP="005F078A">
            <w:pPr>
              <w:spacing w:line="276" w:lineRule="auto"/>
              <w:rPr>
                <w:rFonts w:ascii="Arial" w:hAnsi="Arial" w:cs="Arial"/>
              </w:rPr>
            </w:pPr>
            <w:r w:rsidRPr="00103A0B">
              <w:rPr>
                <w:rFonts w:ascii="Arial" w:hAnsi="Arial" w:cs="Arial"/>
                <w:color w:val="010205"/>
              </w:rPr>
              <w:t>1.30 (0.56-3.04)</w:t>
            </w:r>
          </w:p>
        </w:tc>
        <w:tc>
          <w:tcPr>
            <w:tcW w:w="2552" w:type="dxa"/>
            <w:tcBorders>
              <w:top w:val="single" w:sz="4" w:space="0" w:color="auto"/>
              <w:left w:val="single" w:sz="4" w:space="0" w:color="auto"/>
              <w:bottom w:val="single" w:sz="4" w:space="0" w:color="auto"/>
              <w:right w:val="single" w:sz="4" w:space="0" w:color="auto"/>
            </w:tcBorders>
            <w:hideMark/>
          </w:tcPr>
          <w:p w14:paraId="0E58484F" w14:textId="77777777" w:rsidR="003C30B6" w:rsidRPr="00103A0B" w:rsidRDefault="003C30B6" w:rsidP="005F078A">
            <w:pPr>
              <w:spacing w:line="276" w:lineRule="auto"/>
              <w:rPr>
                <w:rFonts w:ascii="Arial" w:hAnsi="Arial" w:cs="Arial"/>
              </w:rPr>
            </w:pPr>
            <w:r w:rsidRPr="00103A0B">
              <w:rPr>
                <w:rFonts w:ascii="Arial" w:hAnsi="Arial" w:cs="Arial"/>
                <w:color w:val="010205"/>
              </w:rPr>
              <w:t>1.28 (0.55-3.01)</w:t>
            </w:r>
          </w:p>
        </w:tc>
        <w:tc>
          <w:tcPr>
            <w:tcW w:w="2693" w:type="dxa"/>
            <w:tcBorders>
              <w:top w:val="single" w:sz="4" w:space="0" w:color="auto"/>
              <w:left w:val="single" w:sz="4" w:space="0" w:color="auto"/>
              <w:bottom w:val="single" w:sz="4" w:space="0" w:color="auto"/>
              <w:right w:val="single" w:sz="4" w:space="0" w:color="auto"/>
            </w:tcBorders>
            <w:hideMark/>
          </w:tcPr>
          <w:p w14:paraId="6BDAA8F5" w14:textId="77777777" w:rsidR="003C30B6" w:rsidRPr="00103A0B" w:rsidRDefault="003C30B6" w:rsidP="005F078A">
            <w:pPr>
              <w:spacing w:line="276" w:lineRule="auto"/>
              <w:rPr>
                <w:rFonts w:ascii="Arial" w:hAnsi="Arial" w:cs="Arial"/>
              </w:rPr>
            </w:pPr>
            <w:r w:rsidRPr="00103A0B">
              <w:rPr>
                <w:rFonts w:ascii="Arial" w:hAnsi="Arial" w:cs="Arial"/>
                <w:color w:val="010205"/>
              </w:rPr>
              <w:t>1.31 (0.56-3.08)</w:t>
            </w:r>
          </w:p>
        </w:tc>
        <w:tc>
          <w:tcPr>
            <w:tcW w:w="2520" w:type="dxa"/>
            <w:tcBorders>
              <w:top w:val="single" w:sz="4" w:space="0" w:color="auto"/>
              <w:left w:val="single" w:sz="4" w:space="0" w:color="auto"/>
              <w:bottom w:val="single" w:sz="4" w:space="0" w:color="auto"/>
              <w:right w:val="single" w:sz="4" w:space="0" w:color="auto"/>
            </w:tcBorders>
            <w:hideMark/>
          </w:tcPr>
          <w:p w14:paraId="3E90A9ED" w14:textId="77777777" w:rsidR="003C30B6" w:rsidRPr="00103A0B" w:rsidRDefault="003C30B6" w:rsidP="005F078A">
            <w:pPr>
              <w:spacing w:line="276" w:lineRule="auto"/>
              <w:rPr>
                <w:rFonts w:ascii="Arial" w:hAnsi="Arial" w:cs="Arial"/>
              </w:rPr>
            </w:pPr>
            <w:r w:rsidRPr="00103A0B">
              <w:rPr>
                <w:rFonts w:ascii="Arial" w:hAnsi="Arial" w:cs="Arial"/>
                <w:color w:val="010205"/>
              </w:rPr>
              <w:t>1.30 (0.55-3.06)</w:t>
            </w:r>
          </w:p>
        </w:tc>
      </w:tr>
      <w:tr w:rsidR="003C30B6" w:rsidRPr="00103A0B" w14:paraId="740221BE"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2E153569" w14:textId="77777777" w:rsidR="003C30B6" w:rsidRPr="00103A0B" w:rsidRDefault="003C30B6" w:rsidP="005F078A">
            <w:pPr>
              <w:spacing w:line="276" w:lineRule="auto"/>
              <w:rPr>
                <w:rFonts w:ascii="Arial" w:hAnsi="Arial" w:cs="Arial"/>
              </w:rPr>
            </w:pPr>
            <w:r w:rsidRPr="00103A0B">
              <w:rPr>
                <w:rFonts w:ascii="Arial" w:hAnsi="Arial" w:cs="Arial"/>
              </w:rPr>
              <w:t>55-59</w:t>
            </w:r>
          </w:p>
        </w:tc>
        <w:tc>
          <w:tcPr>
            <w:tcW w:w="2693" w:type="dxa"/>
            <w:tcBorders>
              <w:top w:val="single" w:sz="4" w:space="0" w:color="auto"/>
              <w:left w:val="single" w:sz="4" w:space="0" w:color="auto"/>
              <w:bottom w:val="single" w:sz="4" w:space="0" w:color="auto"/>
              <w:right w:val="single" w:sz="4" w:space="0" w:color="auto"/>
            </w:tcBorders>
            <w:hideMark/>
          </w:tcPr>
          <w:p w14:paraId="7EAECFF0"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1.54 (0.67-3.54)</w:t>
            </w:r>
          </w:p>
        </w:tc>
        <w:tc>
          <w:tcPr>
            <w:tcW w:w="2552" w:type="dxa"/>
            <w:tcBorders>
              <w:top w:val="single" w:sz="4" w:space="0" w:color="auto"/>
              <w:left w:val="single" w:sz="4" w:space="0" w:color="auto"/>
              <w:bottom w:val="single" w:sz="4" w:space="0" w:color="auto"/>
              <w:right w:val="single" w:sz="4" w:space="0" w:color="auto"/>
            </w:tcBorders>
            <w:hideMark/>
          </w:tcPr>
          <w:p w14:paraId="136C1F61"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1.52 (0.66-3.50)</w:t>
            </w:r>
          </w:p>
        </w:tc>
        <w:tc>
          <w:tcPr>
            <w:tcW w:w="2693" w:type="dxa"/>
            <w:tcBorders>
              <w:top w:val="single" w:sz="4" w:space="0" w:color="auto"/>
              <w:left w:val="single" w:sz="4" w:space="0" w:color="auto"/>
              <w:bottom w:val="single" w:sz="4" w:space="0" w:color="auto"/>
              <w:right w:val="single" w:sz="4" w:space="0" w:color="auto"/>
            </w:tcBorders>
            <w:hideMark/>
          </w:tcPr>
          <w:p w14:paraId="35FC8303"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1.53 (0.66-3.53)</w:t>
            </w:r>
          </w:p>
        </w:tc>
        <w:tc>
          <w:tcPr>
            <w:tcW w:w="2520" w:type="dxa"/>
            <w:tcBorders>
              <w:top w:val="single" w:sz="4" w:space="0" w:color="auto"/>
              <w:left w:val="single" w:sz="4" w:space="0" w:color="auto"/>
              <w:bottom w:val="single" w:sz="4" w:space="0" w:color="auto"/>
              <w:right w:val="single" w:sz="4" w:space="0" w:color="auto"/>
            </w:tcBorders>
            <w:hideMark/>
          </w:tcPr>
          <w:p w14:paraId="333ADB77"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1.50 (0.65-3.47)</w:t>
            </w:r>
          </w:p>
        </w:tc>
      </w:tr>
      <w:tr w:rsidR="003C30B6" w:rsidRPr="00103A0B" w14:paraId="2D32DD91"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10D57B19" w14:textId="77777777" w:rsidR="003C30B6" w:rsidRPr="00103A0B" w:rsidRDefault="003C30B6" w:rsidP="005F078A">
            <w:pPr>
              <w:spacing w:line="276" w:lineRule="auto"/>
              <w:rPr>
                <w:rFonts w:ascii="Arial" w:hAnsi="Arial" w:cs="Arial"/>
              </w:rPr>
            </w:pPr>
            <w:r w:rsidRPr="00103A0B">
              <w:rPr>
                <w:rFonts w:ascii="Arial" w:hAnsi="Arial" w:cs="Arial"/>
              </w:rPr>
              <w:t>60-64</w:t>
            </w:r>
          </w:p>
        </w:tc>
        <w:tc>
          <w:tcPr>
            <w:tcW w:w="2693" w:type="dxa"/>
            <w:tcBorders>
              <w:top w:val="single" w:sz="4" w:space="0" w:color="auto"/>
              <w:left w:val="single" w:sz="4" w:space="0" w:color="auto"/>
              <w:bottom w:val="single" w:sz="4" w:space="0" w:color="auto"/>
              <w:right w:val="single" w:sz="4" w:space="0" w:color="auto"/>
            </w:tcBorders>
            <w:hideMark/>
          </w:tcPr>
          <w:p w14:paraId="68E03855"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1.85 (0.81-4.24)</w:t>
            </w:r>
          </w:p>
        </w:tc>
        <w:tc>
          <w:tcPr>
            <w:tcW w:w="2552" w:type="dxa"/>
            <w:tcBorders>
              <w:top w:val="single" w:sz="4" w:space="0" w:color="auto"/>
              <w:left w:val="single" w:sz="4" w:space="0" w:color="auto"/>
              <w:bottom w:val="single" w:sz="4" w:space="0" w:color="auto"/>
              <w:right w:val="single" w:sz="4" w:space="0" w:color="auto"/>
            </w:tcBorders>
            <w:hideMark/>
          </w:tcPr>
          <w:p w14:paraId="7CDE154D"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1.82 (0.79-4.18)</w:t>
            </w:r>
          </w:p>
        </w:tc>
        <w:tc>
          <w:tcPr>
            <w:tcW w:w="2693" w:type="dxa"/>
            <w:tcBorders>
              <w:top w:val="single" w:sz="4" w:space="0" w:color="auto"/>
              <w:left w:val="single" w:sz="4" w:space="0" w:color="auto"/>
              <w:bottom w:val="single" w:sz="4" w:space="0" w:color="auto"/>
              <w:right w:val="single" w:sz="4" w:space="0" w:color="auto"/>
            </w:tcBorders>
            <w:hideMark/>
          </w:tcPr>
          <w:p w14:paraId="6EE437E9"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1.87 (0.81-4.31)</w:t>
            </w:r>
          </w:p>
        </w:tc>
        <w:tc>
          <w:tcPr>
            <w:tcW w:w="2520" w:type="dxa"/>
            <w:tcBorders>
              <w:top w:val="single" w:sz="4" w:space="0" w:color="auto"/>
              <w:left w:val="single" w:sz="4" w:space="0" w:color="auto"/>
              <w:bottom w:val="single" w:sz="4" w:space="0" w:color="auto"/>
              <w:right w:val="single" w:sz="4" w:space="0" w:color="auto"/>
            </w:tcBorders>
            <w:hideMark/>
          </w:tcPr>
          <w:p w14:paraId="4441D91C"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1.85 (0.80-4.26)</w:t>
            </w:r>
          </w:p>
        </w:tc>
      </w:tr>
      <w:tr w:rsidR="003C30B6" w:rsidRPr="00103A0B" w14:paraId="1CE462BC"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136AC7B7" w14:textId="77777777" w:rsidR="003C30B6" w:rsidRPr="00103A0B" w:rsidRDefault="003C30B6" w:rsidP="005F078A">
            <w:pPr>
              <w:spacing w:line="276" w:lineRule="auto"/>
              <w:rPr>
                <w:rFonts w:ascii="Arial" w:hAnsi="Arial" w:cs="Arial"/>
              </w:rPr>
            </w:pPr>
            <w:r w:rsidRPr="00103A0B">
              <w:rPr>
                <w:rFonts w:ascii="Arial" w:hAnsi="Arial" w:cs="Arial"/>
              </w:rPr>
              <w:t>65-69</w:t>
            </w:r>
          </w:p>
        </w:tc>
        <w:tc>
          <w:tcPr>
            <w:tcW w:w="2693" w:type="dxa"/>
            <w:tcBorders>
              <w:top w:val="single" w:sz="4" w:space="0" w:color="auto"/>
              <w:left w:val="single" w:sz="4" w:space="0" w:color="auto"/>
              <w:bottom w:val="single" w:sz="4" w:space="0" w:color="auto"/>
              <w:right w:val="single" w:sz="4" w:space="0" w:color="auto"/>
            </w:tcBorders>
            <w:hideMark/>
          </w:tcPr>
          <w:p w14:paraId="027C6843"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2.05 (0.90-4.</w:t>
            </w:r>
            <w:proofErr w:type="gramStart"/>
            <w:r w:rsidRPr="00103A0B">
              <w:rPr>
                <w:rFonts w:ascii="Arial" w:hAnsi="Arial" w:cs="Arial"/>
                <w:color w:val="010205"/>
              </w:rPr>
              <w:t>65)*</w:t>
            </w:r>
            <w:proofErr w:type="gramEnd"/>
          </w:p>
        </w:tc>
        <w:tc>
          <w:tcPr>
            <w:tcW w:w="2552" w:type="dxa"/>
            <w:tcBorders>
              <w:top w:val="single" w:sz="4" w:space="0" w:color="auto"/>
              <w:left w:val="single" w:sz="4" w:space="0" w:color="auto"/>
              <w:bottom w:val="single" w:sz="4" w:space="0" w:color="auto"/>
              <w:right w:val="single" w:sz="4" w:space="0" w:color="auto"/>
            </w:tcBorders>
            <w:hideMark/>
          </w:tcPr>
          <w:p w14:paraId="79B88F54"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2.00 (0.88-4.55)</w:t>
            </w:r>
          </w:p>
        </w:tc>
        <w:tc>
          <w:tcPr>
            <w:tcW w:w="2693" w:type="dxa"/>
            <w:tcBorders>
              <w:top w:val="single" w:sz="4" w:space="0" w:color="auto"/>
              <w:left w:val="single" w:sz="4" w:space="0" w:color="auto"/>
              <w:bottom w:val="single" w:sz="4" w:space="0" w:color="auto"/>
              <w:right w:val="single" w:sz="4" w:space="0" w:color="auto"/>
            </w:tcBorders>
            <w:hideMark/>
          </w:tcPr>
          <w:p w14:paraId="385F842D"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2.00 (0.88-4.56)</w:t>
            </w:r>
          </w:p>
        </w:tc>
        <w:tc>
          <w:tcPr>
            <w:tcW w:w="2520" w:type="dxa"/>
            <w:tcBorders>
              <w:top w:val="single" w:sz="4" w:space="0" w:color="auto"/>
              <w:left w:val="single" w:sz="4" w:space="0" w:color="auto"/>
              <w:bottom w:val="single" w:sz="4" w:space="0" w:color="auto"/>
              <w:right w:val="single" w:sz="4" w:space="0" w:color="auto"/>
            </w:tcBorders>
            <w:hideMark/>
          </w:tcPr>
          <w:p w14:paraId="435E8A17"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1.90 (0.83-4.36)</w:t>
            </w:r>
          </w:p>
        </w:tc>
      </w:tr>
      <w:tr w:rsidR="003C30B6" w:rsidRPr="00103A0B" w14:paraId="64DFB08C"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00AC79A0" w14:textId="77777777" w:rsidR="003C30B6" w:rsidRPr="00103A0B" w:rsidRDefault="003C30B6" w:rsidP="005F078A">
            <w:pPr>
              <w:spacing w:line="276" w:lineRule="auto"/>
              <w:rPr>
                <w:rFonts w:ascii="Arial" w:hAnsi="Arial" w:cs="Arial"/>
              </w:rPr>
            </w:pPr>
            <w:r w:rsidRPr="00103A0B">
              <w:rPr>
                <w:rFonts w:ascii="Arial" w:hAnsi="Arial" w:cs="Arial"/>
              </w:rPr>
              <w:t>70-74</w:t>
            </w:r>
          </w:p>
        </w:tc>
        <w:tc>
          <w:tcPr>
            <w:tcW w:w="2693" w:type="dxa"/>
            <w:tcBorders>
              <w:top w:val="single" w:sz="4" w:space="0" w:color="auto"/>
              <w:left w:val="single" w:sz="4" w:space="0" w:color="auto"/>
              <w:bottom w:val="single" w:sz="4" w:space="0" w:color="auto"/>
              <w:right w:val="single" w:sz="4" w:space="0" w:color="auto"/>
            </w:tcBorders>
            <w:hideMark/>
          </w:tcPr>
          <w:p w14:paraId="73C2B2DB"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3.13 (1.37-7.</w:t>
            </w:r>
            <w:proofErr w:type="gramStart"/>
            <w:r w:rsidRPr="00103A0B">
              <w:rPr>
                <w:rFonts w:ascii="Arial" w:hAnsi="Arial" w:cs="Arial"/>
                <w:color w:val="010205"/>
              </w:rPr>
              <w:t>11)*</w:t>
            </w:r>
            <w:proofErr w:type="gramEnd"/>
            <w:r w:rsidRPr="00103A0B">
              <w:rPr>
                <w:rFonts w:ascii="Arial" w:hAnsi="Arial" w:cs="Arial"/>
                <w:color w:val="010205"/>
              </w:rPr>
              <w:t>*</w:t>
            </w:r>
          </w:p>
        </w:tc>
        <w:tc>
          <w:tcPr>
            <w:tcW w:w="2552" w:type="dxa"/>
            <w:tcBorders>
              <w:top w:val="single" w:sz="4" w:space="0" w:color="auto"/>
              <w:left w:val="single" w:sz="4" w:space="0" w:color="auto"/>
              <w:bottom w:val="single" w:sz="4" w:space="0" w:color="auto"/>
              <w:right w:val="single" w:sz="4" w:space="0" w:color="auto"/>
            </w:tcBorders>
            <w:hideMark/>
          </w:tcPr>
          <w:p w14:paraId="0F54838F"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3.04 (1.33-6.</w:t>
            </w:r>
            <w:proofErr w:type="gramStart"/>
            <w:r w:rsidRPr="00103A0B">
              <w:rPr>
                <w:rFonts w:ascii="Arial" w:hAnsi="Arial" w:cs="Arial"/>
                <w:color w:val="010205"/>
              </w:rPr>
              <w:t>94)*</w:t>
            </w:r>
            <w:proofErr w:type="gramEnd"/>
            <w:r w:rsidRPr="00103A0B">
              <w:rPr>
                <w:rFonts w:ascii="Arial" w:hAnsi="Arial" w:cs="Arial"/>
                <w:color w:val="010205"/>
              </w:rPr>
              <w:t>*</w:t>
            </w:r>
          </w:p>
        </w:tc>
        <w:tc>
          <w:tcPr>
            <w:tcW w:w="2693" w:type="dxa"/>
            <w:tcBorders>
              <w:top w:val="single" w:sz="4" w:space="0" w:color="auto"/>
              <w:left w:val="single" w:sz="4" w:space="0" w:color="auto"/>
              <w:bottom w:val="single" w:sz="4" w:space="0" w:color="auto"/>
              <w:right w:val="single" w:sz="4" w:space="0" w:color="auto"/>
            </w:tcBorders>
            <w:hideMark/>
          </w:tcPr>
          <w:p w14:paraId="3847B7AD"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3.13 (1.37-7.</w:t>
            </w:r>
            <w:proofErr w:type="gramStart"/>
            <w:r w:rsidRPr="00103A0B">
              <w:rPr>
                <w:rFonts w:ascii="Arial" w:hAnsi="Arial" w:cs="Arial"/>
                <w:color w:val="010205"/>
              </w:rPr>
              <w:t>17)*</w:t>
            </w:r>
            <w:proofErr w:type="gramEnd"/>
            <w:r w:rsidRPr="00103A0B">
              <w:rPr>
                <w:rFonts w:ascii="Arial" w:hAnsi="Arial" w:cs="Arial"/>
                <w:color w:val="010205"/>
              </w:rPr>
              <w:t>*</w:t>
            </w:r>
          </w:p>
        </w:tc>
        <w:tc>
          <w:tcPr>
            <w:tcW w:w="2520" w:type="dxa"/>
            <w:tcBorders>
              <w:top w:val="single" w:sz="4" w:space="0" w:color="auto"/>
              <w:left w:val="single" w:sz="4" w:space="0" w:color="auto"/>
              <w:bottom w:val="single" w:sz="4" w:space="0" w:color="auto"/>
              <w:right w:val="single" w:sz="4" w:space="0" w:color="auto"/>
            </w:tcBorders>
            <w:hideMark/>
          </w:tcPr>
          <w:p w14:paraId="325E4090"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2.98 (1.30-6.</w:t>
            </w:r>
            <w:proofErr w:type="gramStart"/>
            <w:r w:rsidRPr="00103A0B">
              <w:rPr>
                <w:rFonts w:ascii="Arial" w:hAnsi="Arial" w:cs="Arial"/>
                <w:color w:val="010205"/>
              </w:rPr>
              <w:t>84)*</w:t>
            </w:r>
            <w:proofErr w:type="gramEnd"/>
            <w:r w:rsidRPr="00103A0B">
              <w:rPr>
                <w:rFonts w:ascii="Arial" w:hAnsi="Arial" w:cs="Arial"/>
                <w:color w:val="010205"/>
              </w:rPr>
              <w:t>*</w:t>
            </w:r>
          </w:p>
        </w:tc>
      </w:tr>
      <w:tr w:rsidR="003C30B6" w:rsidRPr="00103A0B" w14:paraId="37520F33"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7484DBB3" w14:textId="77777777" w:rsidR="003C30B6" w:rsidRPr="00103A0B" w:rsidRDefault="003C30B6" w:rsidP="005F078A">
            <w:pPr>
              <w:spacing w:line="276" w:lineRule="auto"/>
              <w:rPr>
                <w:rFonts w:ascii="Arial" w:hAnsi="Arial" w:cs="Arial"/>
              </w:rPr>
            </w:pPr>
            <w:r w:rsidRPr="00103A0B">
              <w:rPr>
                <w:rFonts w:ascii="Arial" w:hAnsi="Arial" w:cs="Arial"/>
              </w:rPr>
              <w:t xml:space="preserve"> ≥75</w:t>
            </w:r>
          </w:p>
        </w:tc>
        <w:tc>
          <w:tcPr>
            <w:tcW w:w="2693" w:type="dxa"/>
            <w:tcBorders>
              <w:top w:val="single" w:sz="4" w:space="0" w:color="auto"/>
              <w:left w:val="single" w:sz="4" w:space="0" w:color="auto"/>
              <w:bottom w:val="single" w:sz="4" w:space="0" w:color="auto"/>
              <w:right w:val="single" w:sz="4" w:space="0" w:color="auto"/>
            </w:tcBorders>
            <w:hideMark/>
          </w:tcPr>
          <w:p w14:paraId="27ED50FF"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2.10 (0.92-4.</w:t>
            </w:r>
            <w:proofErr w:type="gramStart"/>
            <w:r w:rsidRPr="00103A0B">
              <w:rPr>
                <w:rFonts w:ascii="Arial" w:hAnsi="Arial" w:cs="Arial"/>
                <w:color w:val="010205"/>
              </w:rPr>
              <w:t>80)*</w:t>
            </w:r>
            <w:proofErr w:type="gramEnd"/>
          </w:p>
        </w:tc>
        <w:tc>
          <w:tcPr>
            <w:tcW w:w="2552" w:type="dxa"/>
            <w:tcBorders>
              <w:top w:val="single" w:sz="4" w:space="0" w:color="auto"/>
              <w:left w:val="single" w:sz="4" w:space="0" w:color="auto"/>
              <w:bottom w:val="single" w:sz="4" w:space="0" w:color="auto"/>
              <w:right w:val="single" w:sz="4" w:space="0" w:color="auto"/>
            </w:tcBorders>
            <w:hideMark/>
          </w:tcPr>
          <w:p w14:paraId="564920ED"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2.04 (0.89-4.</w:t>
            </w:r>
            <w:proofErr w:type="gramStart"/>
            <w:r w:rsidRPr="00103A0B">
              <w:rPr>
                <w:rFonts w:ascii="Arial" w:hAnsi="Arial" w:cs="Arial"/>
                <w:color w:val="010205"/>
              </w:rPr>
              <w:t>69)*</w:t>
            </w:r>
            <w:proofErr w:type="gramEnd"/>
          </w:p>
        </w:tc>
        <w:tc>
          <w:tcPr>
            <w:tcW w:w="2693" w:type="dxa"/>
            <w:tcBorders>
              <w:top w:val="single" w:sz="4" w:space="0" w:color="auto"/>
              <w:left w:val="single" w:sz="4" w:space="0" w:color="auto"/>
              <w:bottom w:val="single" w:sz="4" w:space="0" w:color="auto"/>
              <w:right w:val="single" w:sz="4" w:space="0" w:color="auto"/>
            </w:tcBorders>
            <w:hideMark/>
          </w:tcPr>
          <w:p w14:paraId="4E80F937"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2.05 (0.89-4.</w:t>
            </w:r>
            <w:proofErr w:type="gramStart"/>
            <w:r w:rsidRPr="00103A0B">
              <w:rPr>
                <w:rFonts w:ascii="Arial" w:hAnsi="Arial" w:cs="Arial"/>
                <w:color w:val="010205"/>
              </w:rPr>
              <w:t>72)*</w:t>
            </w:r>
            <w:proofErr w:type="gramEnd"/>
          </w:p>
        </w:tc>
        <w:tc>
          <w:tcPr>
            <w:tcW w:w="2520" w:type="dxa"/>
            <w:tcBorders>
              <w:top w:val="single" w:sz="4" w:space="0" w:color="auto"/>
              <w:left w:val="single" w:sz="4" w:space="0" w:color="auto"/>
              <w:bottom w:val="single" w:sz="4" w:space="0" w:color="auto"/>
              <w:right w:val="single" w:sz="4" w:space="0" w:color="auto"/>
            </w:tcBorders>
            <w:hideMark/>
          </w:tcPr>
          <w:p w14:paraId="44E59A02"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1.97 (0.85-4.53)</w:t>
            </w:r>
          </w:p>
        </w:tc>
      </w:tr>
      <w:tr w:rsidR="003C30B6" w:rsidRPr="00103A0B" w14:paraId="7D062AD6"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621DF483" w14:textId="77777777" w:rsidR="003C30B6" w:rsidRPr="00103A0B" w:rsidRDefault="003C30B6" w:rsidP="005F078A">
            <w:pPr>
              <w:spacing w:line="276" w:lineRule="auto"/>
              <w:rPr>
                <w:rFonts w:ascii="Arial" w:hAnsi="Arial" w:cs="Arial"/>
              </w:rPr>
            </w:pPr>
            <w:r w:rsidRPr="00103A0B">
              <w:rPr>
                <w:rFonts w:ascii="Arial" w:hAnsi="Arial" w:cs="Arial"/>
                <w:b/>
                <w:bCs/>
              </w:rPr>
              <w:t>Ethnicity</w:t>
            </w:r>
            <w:r w:rsidRPr="00103A0B">
              <w:rPr>
                <w:rFonts w:ascii="Arial" w:hAnsi="Arial" w:cs="Arial"/>
              </w:rPr>
              <w:t xml:space="preserve"> [White] </w:t>
            </w:r>
          </w:p>
        </w:tc>
        <w:tc>
          <w:tcPr>
            <w:tcW w:w="2693" w:type="dxa"/>
            <w:tcBorders>
              <w:top w:val="single" w:sz="4" w:space="0" w:color="auto"/>
              <w:left w:val="single" w:sz="4" w:space="0" w:color="auto"/>
              <w:bottom w:val="single" w:sz="4" w:space="0" w:color="auto"/>
              <w:right w:val="single" w:sz="4" w:space="0" w:color="auto"/>
            </w:tcBorders>
            <w:vAlign w:val="center"/>
          </w:tcPr>
          <w:p w14:paraId="323A2F64" w14:textId="77777777" w:rsidR="003C30B6" w:rsidRPr="00103A0B" w:rsidRDefault="003C30B6" w:rsidP="005F078A">
            <w:pPr>
              <w:spacing w:line="276" w:lineRule="auto"/>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D38D515" w14:textId="77777777" w:rsidR="003C30B6" w:rsidRPr="00103A0B" w:rsidRDefault="003C30B6" w:rsidP="005F078A">
            <w:pPr>
              <w:spacing w:line="276" w:lineRule="auto"/>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vAlign w:val="center"/>
          </w:tcPr>
          <w:p w14:paraId="08538AF5" w14:textId="77777777" w:rsidR="003C30B6" w:rsidRPr="00103A0B" w:rsidRDefault="003C30B6" w:rsidP="005F078A">
            <w:pPr>
              <w:spacing w:line="276"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vAlign w:val="center"/>
          </w:tcPr>
          <w:p w14:paraId="08068417" w14:textId="77777777" w:rsidR="003C30B6" w:rsidRPr="00103A0B" w:rsidRDefault="003C30B6" w:rsidP="005F078A">
            <w:pPr>
              <w:spacing w:line="276" w:lineRule="auto"/>
              <w:rPr>
                <w:rFonts w:ascii="Arial" w:hAnsi="Arial" w:cs="Arial"/>
              </w:rPr>
            </w:pPr>
          </w:p>
        </w:tc>
      </w:tr>
      <w:tr w:rsidR="003C30B6" w:rsidRPr="00103A0B" w14:paraId="2B6528AE"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70A654B1" w14:textId="77777777" w:rsidR="003C30B6" w:rsidRPr="00103A0B" w:rsidRDefault="003C30B6" w:rsidP="005F078A">
            <w:pPr>
              <w:spacing w:line="276" w:lineRule="auto"/>
              <w:rPr>
                <w:rFonts w:ascii="Arial" w:hAnsi="Arial" w:cs="Arial"/>
              </w:rPr>
            </w:pPr>
            <w:r w:rsidRPr="00103A0B">
              <w:rPr>
                <w:rFonts w:ascii="Arial" w:hAnsi="Arial" w:cs="Arial"/>
              </w:rPr>
              <w:t>Black</w:t>
            </w:r>
          </w:p>
        </w:tc>
        <w:tc>
          <w:tcPr>
            <w:tcW w:w="2693" w:type="dxa"/>
            <w:tcBorders>
              <w:top w:val="single" w:sz="4" w:space="0" w:color="auto"/>
              <w:left w:val="single" w:sz="4" w:space="0" w:color="auto"/>
              <w:bottom w:val="single" w:sz="4" w:space="0" w:color="auto"/>
              <w:right w:val="single" w:sz="4" w:space="0" w:color="auto"/>
            </w:tcBorders>
            <w:hideMark/>
          </w:tcPr>
          <w:p w14:paraId="380BFB5E" w14:textId="77777777" w:rsidR="003C30B6" w:rsidRPr="00103A0B" w:rsidRDefault="003C30B6" w:rsidP="005F078A">
            <w:pPr>
              <w:spacing w:line="276" w:lineRule="auto"/>
              <w:rPr>
                <w:rFonts w:ascii="Arial" w:hAnsi="Arial" w:cs="Arial"/>
              </w:rPr>
            </w:pPr>
            <w:r w:rsidRPr="00103A0B">
              <w:rPr>
                <w:rFonts w:ascii="Arial" w:hAnsi="Arial" w:cs="Arial"/>
                <w:color w:val="010205"/>
              </w:rPr>
              <w:t>0.71 (0.50-1.</w:t>
            </w:r>
            <w:proofErr w:type="gramStart"/>
            <w:r w:rsidRPr="00103A0B">
              <w:rPr>
                <w:rFonts w:ascii="Arial" w:hAnsi="Arial" w:cs="Arial"/>
                <w:color w:val="010205"/>
              </w:rPr>
              <w:t>03)*</w:t>
            </w:r>
            <w:proofErr w:type="gramEnd"/>
          </w:p>
        </w:tc>
        <w:tc>
          <w:tcPr>
            <w:tcW w:w="2552" w:type="dxa"/>
            <w:tcBorders>
              <w:top w:val="single" w:sz="4" w:space="0" w:color="auto"/>
              <w:left w:val="single" w:sz="4" w:space="0" w:color="auto"/>
              <w:bottom w:val="single" w:sz="4" w:space="0" w:color="auto"/>
              <w:right w:val="single" w:sz="4" w:space="0" w:color="auto"/>
            </w:tcBorders>
            <w:hideMark/>
          </w:tcPr>
          <w:p w14:paraId="3EB722BC" w14:textId="77777777" w:rsidR="003C30B6" w:rsidRPr="00103A0B" w:rsidRDefault="003C30B6" w:rsidP="005F078A">
            <w:pPr>
              <w:spacing w:line="276" w:lineRule="auto"/>
              <w:rPr>
                <w:rFonts w:ascii="Arial" w:hAnsi="Arial" w:cs="Arial"/>
              </w:rPr>
            </w:pPr>
            <w:r w:rsidRPr="00103A0B">
              <w:rPr>
                <w:rFonts w:ascii="Arial" w:hAnsi="Arial" w:cs="Arial"/>
                <w:color w:val="010205"/>
              </w:rPr>
              <w:t>0.71 (0.49-1.</w:t>
            </w:r>
            <w:proofErr w:type="gramStart"/>
            <w:r w:rsidRPr="00103A0B">
              <w:rPr>
                <w:rFonts w:ascii="Arial" w:hAnsi="Arial" w:cs="Arial"/>
                <w:color w:val="010205"/>
              </w:rPr>
              <w:t>03)*</w:t>
            </w:r>
            <w:proofErr w:type="gramEnd"/>
          </w:p>
        </w:tc>
        <w:tc>
          <w:tcPr>
            <w:tcW w:w="2693" w:type="dxa"/>
            <w:tcBorders>
              <w:top w:val="single" w:sz="4" w:space="0" w:color="auto"/>
              <w:left w:val="single" w:sz="4" w:space="0" w:color="auto"/>
              <w:bottom w:val="single" w:sz="4" w:space="0" w:color="auto"/>
              <w:right w:val="single" w:sz="4" w:space="0" w:color="auto"/>
            </w:tcBorders>
            <w:hideMark/>
          </w:tcPr>
          <w:p w14:paraId="12BC5B1E" w14:textId="77777777" w:rsidR="003C30B6" w:rsidRPr="00103A0B" w:rsidRDefault="003C30B6" w:rsidP="005F078A">
            <w:pPr>
              <w:spacing w:line="276" w:lineRule="auto"/>
              <w:rPr>
                <w:rFonts w:ascii="Arial" w:hAnsi="Arial" w:cs="Arial"/>
              </w:rPr>
            </w:pPr>
            <w:r w:rsidRPr="00103A0B">
              <w:rPr>
                <w:rFonts w:ascii="Arial" w:hAnsi="Arial" w:cs="Arial"/>
                <w:color w:val="010205"/>
              </w:rPr>
              <w:t>0.73 (0.51-1.</w:t>
            </w:r>
            <w:proofErr w:type="gramStart"/>
            <w:r w:rsidRPr="00103A0B">
              <w:rPr>
                <w:rFonts w:ascii="Arial" w:hAnsi="Arial" w:cs="Arial"/>
                <w:color w:val="010205"/>
              </w:rPr>
              <w:t>06)*</w:t>
            </w:r>
            <w:proofErr w:type="gramEnd"/>
          </w:p>
        </w:tc>
        <w:tc>
          <w:tcPr>
            <w:tcW w:w="2520" w:type="dxa"/>
            <w:tcBorders>
              <w:top w:val="single" w:sz="4" w:space="0" w:color="auto"/>
              <w:left w:val="single" w:sz="4" w:space="0" w:color="auto"/>
              <w:bottom w:val="single" w:sz="4" w:space="0" w:color="auto"/>
              <w:right w:val="single" w:sz="4" w:space="0" w:color="auto"/>
            </w:tcBorders>
            <w:hideMark/>
          </w:tcPr>
          <w:p w14:paraId="5F00590D" w14:textId="77777777" w:rsidR="003C30B6" w:rsidRPr="00103A0B" w:rsidRDefault="003C30B6" w:rsidP="005F078A">
            <w:pPr>
              <w:spacing w:line="276" w:lineRule="auto"/>
              <w:rPr>
                <w:rFonts w:ascii="Arial" w:hAnsi="Arial" w:cs="Arial"/>
              </w:rPr>
            </w:pPr>
            <w:r w:rsidRPr="00103A0B">
              <w:rPr>
                <w:rFonts w:ascii="Arial" w:hAnsi="Arial" w:cs="Arial"/>
                <w:color w:val="010205"/>
              </w:rPr>
              <w:t>0.72 (0.50-1.</w:t>
            </w:r>
            <w:proofErr w:type="gramStart"/>
            <w:r w:rsidRPr="00103A0B">
              <w:rPr>
                <w:rFonts w:ascii="Arial" w:hAnsi="Arial" w:cs="Arial"/>
                <w:color w:val="010205"/>
              </w:rPr>
              <w:t>04)*</w:t>
            </w:r>
            <w:proofErr w:type="gramEnd"/>
          </w:p>
        </w:tc>
      </w:tr>
      <w:tr w:rsidR="003C30B6" w:rsidRPr="00103A0B" w14:paraId="707B9DFB"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62D676B2" w14:textId="77777777" w:rsidR="003C30B6" w:rsidRPr="00103A0B" w:rsidRDefault="003C30B6" w:rsidP="005F078A">
            <w:pPr>
              <w:spacing w:line="276" w:lineRule="auto"/>
              <w:rPr>
                <w:rFonts w:ascii="Arial" w:hAnsi="Arial" w:cs="Arial"/>
              </w:rPr>
            </w:pPr>
            <w:r w:rsidRPr="00103A0B">
              <w:rPr>
                <w:rFonts w:ascii="Arial" w:hAnsi="Arial" w:cs="Arial"/>
              </w:rPr>
              <w:t>Asian</w:t>
            </w:r>
          </w:p>
        </w:tc>
        <w:tc>
          <w:tcPr>
            <w:tcW w:w="2693" w:type="dxa"/>
            <w:tcBorders>
              <w:top w:val="single" w:sz="4" w:space="0" w:color="auto"/>
              <w:left w:val="single" w:sz="4" w:space="0" w:color="auto"/>
              <w:bottom w:val="single" w:sz="4" w:space="0" w:color="auto"/>
              <w:right w:val="single" w:sz="4" w:space="0" w:color="auto"/>
            </w:tcBorders>
            <w:hideMark/>
          </w:tcPr>
          <w:p w14:paraId="5894828C" w14:textId="77777777" w:rsidR="003C30B6" w:rsidRPr="00103A0B" w:rsidRDefault="003C30B6" w:rsidP="005F078A">
            <w:pPr>
              <w:spacing w:line="276" w:lineRule="auto"/>
              <w:rPr>
                <w:rFonts w:ascii="Arial" w:hAnsi="Arial" w:cs="Arial"/>
              </w:rPr>
            </w:pPr>
            <w:r w:rsidRPr="00103A0B">
              <w:rPr>
                <w:rFonts w:ascii="Arial" w:hAnsi="Arial" w:cs="Arial"/>
                <w:color w:val="010205"/>
              </w:rPr>
              <w:t>0.65 (0.43-0.</w:t>
            </w:r>
            <w:proofErr w:type="gramStart"/>
            <w:r w:rsidRPr="00103A0B">
              <w:rPr>
                <w:rFonts w:ascii="Arial" w:hAnsi="Arial" w:cs="Arial"/>
                <w:color w:val="010205"/>
              </w:rPr>
              <w:t>98)*</w:t>
            </w:r>
            <w:proofErr w:type="gramEnd"/>
            <w:r w:rsidRPr="00103A0B">
              <w:rPr>
                <w:rFonts w:ascii="Arial" w:hAnsi="Arial" w:cs="Arial"/>
                <w:color w:val="010205"/>
              </w:rPr>
              <w:t>*</w:t>
            </w:r>
          </w:p>
        </w:tc>
        <w:tc>
          <w:tcPr>
            <w:tcW w:w="2552" w:type="dxa"/>
            <w:tcBorders>
              <w:top w:val="single" w:sz="4" w:space="0" w:color="auto"/>
              <w:left w:val="single" w:sz="4" w:space="0" w:color="auto"/>
              <w:bottom w:val="single" w:sz="4" w:space="0" w:color="auto"/>
              <w:right w:val="single" w:sz="4" w:space="0" w:color="auto"/>
            </w:tcBorders>
            <w:hideMark/>
          </w:tcPr>
          <w:p w14:paraId="546126AD" w14:textId="77777777" w:rsidR="003C30B6" w:rsidRPr="00103A0B" w:rsidRDefault="003C30B6" w:rsidP="005F078A">
            <w:pPr>
              <w:spacing w:line="276" w:lineRule="auto"/>
              <w:rPr>
                <w:rFonts w:ascii="Arial" w:hAnsi="Arial" w:cs="Arial"/>
              </w:rPr>
            </w:pPr>
            <w:r w:rsidRPr="00103A0B">
              <w:rPr>
                <w:rFonts w:ascii="Arial" w:hAnsi="Arial" w:cs="Arial"/>
                <w:color w:val="010205"/>
              </w:rPr>
              <w:t>0.66 (0.44-0.</w:t>
            </w:r>
            <w:proofErr w:type="gramStart"/>
            <w:r w:rsidRPr="00103A0B">
              <w:rPr>
                <w:rFonts w:ascii="Arial" w:hAnsi="Arial" w:cs="Arial"/>
                <w:color w:val="010205"/>
              </w:rPr>
              <w:t>99)*</w:t>
            </w:r>
            <w:proofErr w:type="gramEnd"/>
          </w:p>
        </w:tc>
        <w:tc>
          <w:tcPr>
            <w:tcW w:w="2693" w:type="dxa"/>
            <w:tcBorders>
              <w:top w:val="single" w:sz="4" w:space="0" w:color="auto"/>
              <w:left w:val="single" w:sz="4" w:space="0" w:color="auto"/>
              <w:bottom w:val="single" w:sz="4" w:space="0" w:color="auto"/>
              <w:right w:val="single" w:sz="4" w:space="0" w:color="auto"/>
            </w:tcBorders>
            <w:hideMark/>
          </w:tcPr>
          <w:p w14:paraId="2E159151" w14:textId="77777777" w:rsidR="003C30B6" w:rsidRPr="00103A0B" w:rsidRDefault="003C30B6" w:rsidP="005F078A">
            <w:pPr>
              <w:spacing w:line="276" w:lineRule="auto"/>
              <w:rPr>
                <w:rFonts w:ascii="Arial" w:hAnsi="Arial" w:cs="Arial"/>
              </w:rPr>
            </w:pPr>
            <w:r w:rsidRPr="00103A0B">
              <w:rPr>
                <w:rFonts w:ascii="Arial" w:hAnsi="Arial" w:cs="Arial"/>
                <w:color w:val="010205"/>
              </w:rPr>
              <w:t>0.65 (0.43-0.</w:t>
            </w:r>
            <w:proofErr w:type="gramStart"/>
            <w:r w:rsidRPr="00103A0B">
              <w:rPr>
                <w:rFonts w:ascii="Arial" w:hAnsi="Arial" w:cs="Arial"/>
                <w:color w:val="010205"/>
              </w:rPr>
              <w:t>99)*</w:t>
            </w:r>
            <w:proofErr w:type="gramEnd"/>
            <w:r w:rsidRPr="00103A0B">
              <w:rPr>
                <w:rFonts w:ascii="Arial" w:hAnsi="Arial" w:cs="Arial"/>
                <w:color w:val="010205"/>
              </w:rPr>
              <w:t>*</w:t>
            </w:r>
          </w:p>
        </w:tc>
        <w:tc>
          <w:tcPr>
            <w:tcW w:w="2520" w:type="dxa"/>
            <w:tcBorders>
              <w:top w:val="single" w:sz="4" w:space="0" w:color="auto"/>
              <w:left w:val="single" w:sz="4" w:space="0" w:color="auto"/>
              <w:bottom w:val="single" w:sz="4" w:space="0" w:color="auto"/>
              <w:right w:val="single" w:sz="4" w:space="0" w:color="auto"/>
            </w:tcBorders>
            <w:hideMark/>
          </w:tcPr>
          <w:p w14:paraId="0C749B6F" w14:textId="77777777" w:rsidR="003C30B6" w:rsidRPr="00103A0B" w:rsidRDefault="003C30B6" w:rsidP="005F078A">
            <w:pPr>
              <w:spacing w:line="276" w:lineRule="auto"/>
              <w:rPr>
                <w:rFonts w:ascii="Arial" w:hAnsi="Arial" w:cs="Arial"/>
              </w:rPr>
            </w:pPr>
            <w:r w:rsidRPr="00103A0B">
              <w:rPr>
                <w:rFonts w:ascii="Arial" w:hAnsi="Arial" w:cs="Arial"/>
                <w:color w:val="010205"/>
              </w:rPr>
              <w:t>0.64 (0.43-0.</w:t>
            </w:r>
            <w:proofErr w:type="gramStart"/>
            <w:r w:rsidRPr="00103A0B">
              <w:rPr>
                <w:rFonts w:ascii="Arial" w:hAnsi="Arial" w:cs="Arial"/>
                <w:color w:val="010205"/>
              </w:rPr>
              <w:t>98)*</w:t>
            </w:r>
            <w:proofErr w:type="gramEnd"/>
            <w:r w:rsidRPr="00103A0B">
              <w:rPr>
                <w:rFonts w:ascii="Arial" w:hAnsi="Arial" w:cs="Arial"/>
                <w:color w:val="010205"/>
              </w:rPr>
              <w:t>*</w:t>
            </w:r>
          </w:p>
        </w:tc>
      </w:tr>
      <w:tr w:rsidR="003C30B6" w:rsidRPr="00103A0B" w14:paraId="5E8E3994"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516889EA" w14:textId="77777777" w:rsidR="003C30B6" w:rsidRPr="00103A0B" w:rsidRDefault="003C30B6" w:rsidP="005F078A">
            <w:pPr>
              <w:spacing w:line="276" w:lineRule="auto"/>
              <w:rPr>
                <w:rFonts w:ascii="Arial" w:hAnsi="Arial" w:cs="Arial"/>
              </w:rPr>
            </w:pPr>
            <w:r w:rsidRPr="00103A0B">
              <w:rPr>
                <w:rFonts w:ascii="Arial" w:hAnsi="Arial" w:cs="Arial"/>
              </w:rPr>
              <w:t>Mixed</w:t>
            </w:r>
          </w:p>
        </w:tc>
        <w:tc>
          <w:tcPr>
            <w:tcW w:w="2693" w:type="dxa"/>
            <w:tcBorders>
              <w:top w:val="single" w:sz="4" w:space="0" w:color="auto"/>
              <w:left w:val="single" w:sz="4" w:space="0" w:color="auto"/>
              <w:bottom w:val="single" w:sz="4" w:space="0" w:color="auto"/>
              <w:right w:val="single" w:sz="4" w:space="0" w:color="auto"/>
            </w:tcBorders>
            <w:hideMark/>
          </w:tcPr>
          <w:p w14:paraId="327FA6DB" w14:textId="77777777" w:rsidR="003C30B6" w:rsidRPr="00103A0B" w:rsidRDefault="003C30B6" w:rsidP="005F078A">
            <w:pPr>
              <w:spacing w:line="276" w:lineRule="auto"/>
              <w:rPr>
                <w:rFonts w:ascii="Arial" w:hAnsi="Arial" w:cs="Arial"/>
              </w:rPr>
            </w:pPr>
            <w:r w:rsidRPr="00103A0B">
              <w:rPr>
                <w:rFonts w:ascii="Arial" w:hAnsi="Arial" w:cs="Arial"/>
                <w:color w:val="010205"/>
              </w:rPr>
              <w:t>0.77 (0.39-1.49)</w:t>
            </w:r>
          </w:p>
        </w:tc>
        <w:tc>
          <w:tcPr>
            <w:tcW w:w="2552" w:type="dxa"/>
            <w:tcBorders>
              <w:top w:val="single" w:sz="4" w:space="0" w:color="auto"/>
              <w:left w:val="single" w:sz="4" w:space="0" w:color="auto"/>
              <w:bottom w:val="single" w:sz="4" w:space="0" w:color="auto"/>
              <w:right w:val="single" w:sz="4" w:space="0" w:color="auto"/>
            </w:tcBorders>
            <w:hideMark/>
          </w:tcPr>
          <w:p w14:paraId="6630F905" w14:textId="77777777" w:rsidR="003C30B6" w:rsidRPr="00103A0B" w:rsidRDefault="003C30B6" w:rsidP="005F078A">
            <w:pPr>
              <w:spacing w:line="276" w:lineRule="auto"/>
              <w:rPr>
                <w:rFonts w:ascii="Arial" w:hAnsi="Arial" w:cs="Arial"/>
              </w:rPr>
            </w:pPr>
            <w:r w:rsidRPr="00103A0B">
              <w:rPr>
                <w:rFonts w:ascii="Arial" w:hAnsi="Arial" w:cs="Arial"/>
                <w:color w:val="010205"/>
              </w:rPr>
              <w:t>0.76 (0.39-1.48)</w:t>
            </w:r>
          </w:p>
        </w:tc>
        <w:tc>
          <w:tcPr>
            <w:tcW w:w="2693" w:type="dxa"/>
            <w:tcBorders>
              <w:top w:val="single" w:sz="4" w:space="0" w:color="auto"/>
              <w:left w:val="single" w:sz="4" w:space="0" w:color="auto"/>
              <w:bottom w:val="single" w:sz="4" w:space="0" w:color="auto"/>
              <w:right w:val="single" w:sz="4" w:space="0" w:color="auto"/>
            </w:tcBorders>
            <w:hideMark/>
          </w:tcPr>
          <w:p w14:paraId="7FCE305F" w14:textId="77777777" w:rsidR="003C30B6" w:rsidRPr="00103A0B" w:rsidRDefault="003C30B6" w:rsidP="005F078A">
            <w:pPr>
              <w:spacing w:line="276" w:lineRule="auto"/>
              <w:rPr>
                <w:rFonts w:ascii="Arial" w:hAnsi="Arial" w:cs="Arial"/>
              </w:rPr>
            </w:pPr>
            <w:r w:rsidRPr="00103A0B">
              <w:rPr>
                <w:rFonts w:ascii="Arial" w:hAnsi="Arial" w:cs="Arial"/>
                <w:color w:val="010205"/>
              </w:rPr>
              <w:t>0.71 (0.36-1.39)</w:t>
            </w:r>
          </w:p>
        </w:tc>
        <w:tc>
          <w:tcPr>
            <w:tcW w:w="2520" w:type="dxa"/>
            <w:tcBorders>
              <w:top w:val="single" w:sz="4" w:space="0" w:color="auto"/>
              <w:left w:val="single" w:sz="4" w:space="0" w:color="auto"/>
              <w:bottom w:val="single" w:sz="4" w:space="0" w:color="auto"/>
              <w:right w:val="single" w:sz="4" w:space="0" w:color="auto"/>
            </w:tcBorders>
            <w:hideMark/>
          </w:tcPr>
          <w:p w14:paraId="24229A82" w14:textId="77777777" w:rsidR="003C30B6" w:rsidRPr="00103A0B" w:rsidRDefault="003C30B6" w:rsidP="005F078A">
            <w:pPr>
              <w:spacing w:line="276" w:lineRule="auto"/>
              <w:rPr>
                <w:rFonts w:ascii="Arial" w:hAnsi="Arial" w:cs="Arial"/>
              </w:rPr>
            </w:pPr>
            <w:r w:rsidRPr="00103A0B">
              <w:rPr>
                <w:rFonts w:ascii="Arial" w:hAnsi="Arial" w:cs="Arial"/>
                <w:color w:val="010205"/>
              </w:rPr>
              <w:t>0.68 (0.35-1.35)</w:t>
            </w:r>
          </w:p>
        </w:tc>
      </w:tr>
      <w:tr w:rsidR="003C30B6" w:rsidRPr="00103A0B" w14:paraId="6EB3AD1A"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1143C021" w14:textId="77777777" w:rsidR="003C30B6" w:rsidRPr="00103A0B" w:rsidRDefault="003C30B6" w:rsidP="005F078A">
            <w:pPr>
              <w:spacing w:line="276" w:lineRule="auto"/>
              <w:rPr>
                <w:rFonts w:ascii="Arial" w:hAnsi="Arial" w:cs="Arial"/>
              </w:rPr>
            </w:pPr>
            <w:r w:rsidRPr="00103A0B">
              <w:rPr>
                <w:rFonts w:ascii="Arial" w:hAnsi="Arial" w:cs="Arial"/>
              </w:rPr>
              <w:t>Other</w:t>
            </w:r>
          </w:p>
        </w:tc>
        <w:tc>
          <w:tcPr>
            <w:tcW w:w="2693" w:type="dxa"/>
            <w:tcBorders>
              <w:top w:val="single" w:sz="4" w:space="0" w:color="auto"/>
              <w:left w:val="single" w:sz="4" w:space="0" w:color="auto"/>
              <w:bottom w:val="single" w:sz="4" w:space="0" w:color="auto"/>
              <w:right w:val="single" w:sz="4" w:space="0" w:color="auto"/>
            </w:tcBorders>
            <w:hideMark/>
          </w:tcPr>
          <w:p w14:paraId="6F2E71E6" w14:textId="77777777" w:rsidR="003C30B6" w:rsidRPr="00103A0B" w:rsidRDefault="003C30B6" w:rsidP="005F078A">
            <w:pPr>
              <w:spacing w:line="276" w:lineRule="auto"/>
              <w:rPr>
                <w:rFonts w:ascii="Arial" w:hAnsi="Arial" w:cs="Arial"/>
              </w:rPr>
            </w:pPr>
            <w:r w:rsidRPr="00103A0B">
              <w:rPr>
                <w:rFonts w:ascii="Arial" w:hAnsi="Arial" w:cs="Arial"/>
                <w:color w:val="010205"/>
              </w:rPr>
              <w:t>0.63 (0.24-1.71)</w:t>
            </w:r>
          </w:p>
        </w:tc>
        <w:tc>
          <w:tcPr>
            <w:tcW w:w="2552" w:type="dxa"/>
            <w:tcBorders>
              <w:top w:val="single" w:sz="4" w:space="0" w:color="auto"/>
              <w:left w:val="single" w:sz="4" w:space="0" w:color="auto"/>
              <w:bottom w:val="single" w:sz="4" w:space="0" w:color="auto"/>
              <w:right w:val="single" w:sz="4" w:space="0" w:color="auto"/>
            </w:tcBorders>
            <w:hideMark/>
          </w:tcPr>
          <w:p w14:paraId="63D4826F" w14:textId="77777777" w:rsidR="003C30B6" w:rsidRPr="00103A0B" w:rsidRDefault="003C30B6" w:rsidP="005F078A">
            <w:pPr>
              <w:spacing w:line="276" w:lineRule="auto"/>
              <w:rPr>
                <w:rFonts w:ascii="Arial" w:hAnsi="Arial" w:cs="Arial"/>
              </w:rPr>
            </w:pPr>
            <w:r w:rsidRPr="00103A0B">
              <w:rPr>
                <w:rFonts w:ascii="Arial" w:hAnsi="Arial" w:cs="Arial"/>
                <w:color w:val="010205"/>
              </w:rPr>
              <w:t>0.64 (0.24-1.71)</w:t>
            </w:r>
          </w:p>
        </w:tc>
        <w:tc>
          <w:tcPr>
            <w:tcW w:w="2693" w:type="dxa"/>
            <w:tcBorders>
              <w:top w:val="single" w:sz="4" w:space="0" w:color="auto"/>
              <w:left w:val="single" w:sz="4" w:space="0" w:color="auto"/>
              <w:bottom w:val="single" w:sz="4" w:space="0" w:color="auto"/>
              <w:right w:val="single" w:sz="4" w:space="0" w:color="auto"/>
            </w:tcBorders>
            <w:hideMark/>
          </w:tcPr>
          <w:p w14:paraId="6A9CBC28" w14:textId="77777777" w:rsidR="003C30B6" w:rsidRPr="00103A0B" w:rsidRDefault="003C30B6" w:rsidP="005F078A">
            <w:pPr>
              <w:spacing w:line="276" w:lineRule="auto"/>
              <w:rPr>
                <w:rFonts w:ascii="Arial" w:hAnsi="Arial" w:cs="Arial"/>
              </w:rPr>
            </w:pPr>
            <w:r w:rsidRPr="00103A0B">
              <w:rPr>
                <w:rFonts w:ascii="Arial" w:hAnsi="Arial" w:cs="Arial"/>
                <w:color w:val="010205"/>
              </w:rPr>
              <w:t>0.70 ().26-1.88)</w:t>
            </w:r>
          </w:p>
        </w:tc>
        <w:tc>
          <w:tcPr>
            <w:tcW w:w="2520" w:type="dxa"/>
            <w:tcBorders>
              <w:top w:val="single" w:sz="4" w:space="0" w:color="auto"/>
              <w:left w:val="single" w:sz="4" w:space="0" w:color="auto"/>
              <w:bottom w:val="single" w:sz="4" w:space="0" w:color="auto"/>
              <w:right w:val="single" w:sz="4" w:space="0" w:color="auto"/>
            </w:tcBorders>
            <w:hideMark/>
          </w:tcPr>
          <w:p w14:paraId="19EB3096" w14:textId="77777777" w:rsidR="003C30B6" w:rsidRPr="00103A0B" w:rsidRDefault="003C30B6" w:rsidP="005F078A">
            <w:pPr>
              <w:spacing w:line="276" w:lineRule="auto"/>
              <w:rPr>
                <w:rFonts w:ascii="Arial" w:hAnsi="Arial" w:cs="Arial"/>
              </w:rPr>
            </w:pPr>
            <w:r w:rsidRPr="00103A0B">
              <w:rPr>
                <w:rFonts w:ascii="Arial" w:hAnsi="Arial" w:cs="Arial"/>
                <w:color w:val="010205"/>
              </w:rPr>
              <w:t>0.72 (0.26-1.94)</w:t>
            </w:r>
          </w:p>
        </w:tc>
      </w:tr>
      <w:tr w:rsidR="003C30B6" w:rsidRPr="00103A0B" w14:paraId="3F3AE4F1"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7E04AAA3" w14:textId="77777777" w:rsidR="003C30B6" w:rsidRPr="00103A0B" w:rsidRDefault="003C30B6" w:rsidP="005F078A">
            <w:pPr>
              <w:spacing w:line="276" w:lineRule="auto"/>
              <w:rPr>
                <w:rFonts w:ascii="Arial" w:hAnsi="Arial" w:cs="Arial"/>
              </w:rPr>
            </w:pPr>
            <w:r w:rsidRPr="00103A0B">
              <w:rPr>
                <w:rFonts w:ascii="Arial" w:hAnsi="Arial" w:cs="Arial"/>
                <w:b/>
                <w:bCs/>
              </w:rPr>
              <w:t>Deprivation Quintile</w:t>
            </w:r>
            <w:r w:rsidRPr="00103A0B">
              <w:rPr>
                <w:rFonts w:ascii="Arial" w:hAnsi="Arial" w:cs="Arial"/>
              </w:rPr>
              <w:t xml:space="preserve"> [1 most deprived]</w:t>
            </w:r>
          </w:p>
        </w:tc>
        <w:tc>
          <w:tcPr>
            <w:tcW w:w="2693" w:type="dxa"/>
            <w:tcBorders>
              <w:top w:val="single" w:sz="4" w:space="0" w:color="auto"/>
              <w:left w:val="single" w:sz="4" w:space="0" w:color="auto"/>
              <w:bottom w:val="single" w:sz="4" w:space="0" w:color="auto"/>
              <w:right w:val="single" w:sz="4" w:space="0" w:color="auto"/>
            </w:tcBorders>
            <w:vAlign w:val="center"/>
          </w:tcPr>
          <w:p w14:paraId="14133A82" w14:textId="77777777" w:rsidR="003C30B6" w:rsidRPr="00103A0B" w:rsidRDefault="003C30B6" w:rsidP="005F078A">
            <w:pPr>
              <w:spacing w:line="276" w:lineRule="auto"/>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40B85A7A" w14:textId="77777777" w:rsidR="003C30B6" w:rsidRPr="00103A0B" w:rsidRDefault="003C30B6" w:rsidP="005F078A">
            <w:pPr>
              <w:spacing w:line="276" w:lineRule="auto"/>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vAlign w:val="center"/>
          </w:tcPr>
          <w:p w14:paraId="7B73DE92" w14:textId="77777777" w:rsidR="003C30B6" w:rsidRPr="00103A0B" w:rsidRDefault="003C30B6" w:rsidP="005F078A">
            <w:pPr>
              <w:spacing w:line="276"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vAlign w:val="center"/>
          </w:tcPr>
          <w:p w14:paraId="272E8898" w14:textId="77777777" w:rsidR="003C30B6" w:rsidRPr="00103A0B" w:rsidRDefault="003C30B6" w:rsidP="005F078A">
            <w:pPr>
              <w:spacing w:line="276" w:lineRule="auto"/>
              <w:rPr>
                <w:rFonts w:ascii="Arial" w:hAnsi="Arial" w:cs="Arial"/>
              </w:rPr>
            </w:pPr>
          </w:p>
        </w:tc>
      </w:tr>
      <w:tr w:rsidR="003C30B6" w:rsidRPr="00103A0B" w14:paraId="1839240C"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516DD475" w14:textId="77777777" w:rsidR="003C30B6" w:rsidRPr="00103A0B" w:rsidRDefault="003C30B6" w:rsidP="005F078A">
            <w:pPr>
              <w:spacing w:line="276" w:lineRule="auto"/>
              <w:rPr>
                <w:rFonts w:ascii="Arial" w:hAnsi="Arial" w:cs="Arial"/>
              </w:rPr>
            </w:pPr>
            <w:r w:rsidRPr="00103A0B">
              <w:rPr>
                <w:rFonts w:ascii="Arial" w:hAnsi="Arial" w:cs="Arial"/>
              </w:rPr>
              <w:t>Quintile 2</w:t>
            </w:r>
          </w:p>
        </w:tc>
        <w:tc>
          <w:tcPr>
            <w:tcW w:w="2693" w:type="dxa"/>
            <w:tcBorders>
              <w:top w:val="single" w:sz="4" w:space="0" w:color="auto"/>
              <w:left w:val="single" w:sz="4" w:space="0" w:color="auto"/>
              <w:bottom w:val="single" w:sz="4" w:space="0" w:color="auto"/>
              <w:right w:val="single" w:sz="4" w:space="0" w:color="auto"/>
            </w:tcBorders>
            <w:hideMark/>
          </w:tcPr>
          <w:p w14:paraId="7D7C5D59" w14:textId="77777777" w:rsidR="003C30B6" w:rsidRPr="00103A0B" w:rsidRDefault="003C30B6" w:rsidP="005F078A">
            <w:pPr>
              <w:spacing w:line="276" w:lineRule="auto"/>
              <w:rPr>
                <w:rFonts w:ascii="Arial" w:hAnsi="Arial" w:cs="Arial"/>
              </w:rPr>
            </w:pPr>
            <w:r w:rsidRPr="00103A0B">
              <w:rPr>
                <w:rFonts w:ascii="Arial" w:hAnsi="Arial" w:cs="Arial"/>
                <w:color w:val="010205"/>
              </w:rPr>
              <w:t>0.91 (0.64-1.28)</w:t>
            </w:r>
          </w:p>
        </w:tc>
        <w:tc>
          <w:tcPr>
            <w:tcW w:w="2552" w:type="dxa"/>
            <w:tcBorders>
              <w:top w:val="single" w:sz="4" w:space="0" w:color="auto"/>
              <w:left w:val="single" w:sz="4" w:space="0" w:color="auto"/>
              <w:bottom w:val="single" w:sz="4" w:space="0" w:color="auto"/>
              <w:right w:val="single" w:sz="4" w:space="0" w:color="auto"/>
            </w:tcBorders>
            <w:hideMark/>
          </w:tcPr>
          <w:p w14:paraId="27161F29" w14:textId="77777777" w:rsidR="003C30B6" w:rsidRPr="00103A0B" w:rsidRDefault="003C30B6" w:rsidP="005F078A">
            <w:pPr>
              <w:spacing w:line="276" w:lineRule="auto"/>
              <w:rPr>
                <w:rFonts w:ascii="Arial" w:hAnsi="Arial" w:cs="Arial"/>
              </w:rPr>
            </w:pPr>
            <w:r w:rsidRPr="00103A0B">
              <w:rPr>
                <w:rFonts w:ascii="Arial" w:hAnsi="Arial" w:cs="Arial"/>
                <w:color w:val="010205"/>
              </w:rPr>
              <w:t>0.90 (0.64-1.28)</w:t>
            </w:r>
          </w:p>
        </w:tc>
        <w:tc>
          <w:tcPr>
            <w:tcW w:w="2693" w:type="dxa"/>
            <w:tcBorders>
              <w:top w:val="single" w:sz="4" w:space="0" w:color="auto"/>
              <w:left w:val="single" w:sz="4" w:space="0" w:color="auto"/>
              <w:bottom w:val="single" w:sz="4" w:space="0" w:color="auto"/>
              <w:right w:val="single" w:sz="4" w:space="0" w:color="auto"/>
            </w:tcBorders>
            <w:hideMark/>
          </w:tcPr>
          <w:p w14:paraId="16B63D3E" w14:textId="77777777" w:rsidR="003C30B6" w:rsidRPr="00103A0B" w:rsidRDefault="003C30B6" w:rsidP="005F078A">
            <w:pPr>
              <w:spacing w:line="276" w:lineRule="auto"/>
              <w:rPr>
                <w:rFonts w:ascii="Arial" w:hAnsi="Arial" w:cs="Arial"/>
              </w:rPr>
            </w:pPr>
            <w:r w:rsidRPr="00103A0B">
              <w:rPr>
                <w:rFonts w:ascii="Arial" w:hAnsi="Arial" w:cs="Arial"/>
                <w:color w:val="010205"/>
              </w:rPr>
              <w:t>0.89 ().63-1.27)</w:t>
            </w:r>
          </w:p>
        </w:tc>
        <w:tc>
          <w:tcPr>
            <w:tcW w:w="2520" w:type="dxa"/>
            <w:tcBorders>
              <w:top w:val="single" w:sz="4" w:space="0" w:color="auto"/>
              <w:left w:val="single" w:sz="4" w:space="0" w:color="auto"/>
              <w:bottom w:val="single" w:sz="4" w:space="0" w:color="auto"/>
              <w:right w:val="single" w:sz="4" w:space="0" w:color="auto"/>
            </w:tcBorders>
            <w:hideMark/>
          </w:tcPr>
          <w:p w14:paraId="685822BA" w14:textId="77777777" w:rsidR="003C30B6" w:rsidRPr="00103A0B" w:rsidRDefault="003C30B6" w:rsidP="005F078A">
            <w:pPr>
              <w:spacing w:line="276" w:lineRule="auto"/>
              <w:rPr>
                <w:rFonts w:ascii="Arial" w:hAnsi="Arial" w:cs="Arial"/>
              </w:rPr>
            </w:pPr>
            <w:r w:rsidRPr="00103A0B">
              <w:rPr>
                <w:rFonts w:ascii="Arial" w:hAnsi="Arial" w:cs="Arial"/>
                <w:color w:val="010205"/>
              </w:rPr>
              <w:t>0.86 (0.61-1.23)</w:t>
            </w:r>
          </w:p>
        </w:tc>
      </w:tr>
      <w:tr w:rsidR="003C30B6" w:rsidRPr="00103A0B" w14:paraId="66B6DFC9"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6328981B" w14:textId="77777777" w:rsidR="003C30B6" w:rsidRPr="00103A0B" w:rsidRDefault="003C30B6" w:rsidP="005F078A">
            <w:pPr>
              <w:spacing w:line="276" w:lineRule="auto"/>
              <w:rPr>
                <w:rFonts w:ascii="Arial" w:hAnsi="Arial" w:cs="Arial"/>
              </w:rPr>
            </w:pPr>
            <w:r w:rsidRPr="00103A0B">
              <w:rPr>
                <w:rFonts w:ascii="Arial" w:hAnsi="Arial" w:cs="Arial"/>
              </w:rPr>
              <w:lastRenderedPageBreak/>
              <w:t>Quintile 3</w:t>
            </w:r>
          </w:p>
        </w:tc>
        <w:tc>
          <w:tcPr>
            <w:tcW w:w="2693" w:type="dxa"/>
            <w:tcBorders>
              <w:top w:val="single" w:sz="4" w:space="0" w:color="auto"/>
              <w:left w:val="single" w:sz="4" w:space="0" w:color="auto"/>
              <w:bottom w:val="single" w:sz="4" w:space="0" w:color="auto"/>
              <w:right w:val="single" w:sz="4" w:space="0" w:color="auto"/>
            </w:tcBorders>
            <w:hideMark/>
          </w:tcPr>
          <w:p w14:paraId="2760230B" w14:textId="77777777" w:rsidR="003C30B6" w:rsidRPr="00103A0B" w:rsidRDefault="003C30B6" w:rsidP="005F078A">
            <w:pPr>
              <w:spacing w:line="276" w:lineRule="auto"/>
              <w:rPr>
                <w:rFonts w:ascii="Arial" w:hAnsi="Arial" w:cs="Arial"/>
              </w:rPr>
            </w:pPr>
            <w:r w:rsidRPr="00103A0B">
              <w:rPr>
                <w:rFonts w:ascii="Arial" w:hAnsi="Arial" w:cs="Arial"/>
                <w:color w:val="010205"/>
              </w:rPr>
              <w:t>1.16 (0.81-1.65)</w:t>
            </w:r>
          </w:p>
        </w:tc>
        <w:tc>
          <w:tcPr>
            <w:tcW w:w="2552" w:type="dxa"/>
            <w:tcBorders>
              <w:top w:val="single" w:sz="4" w:space="0" w:color="auto"/>
              <w:left w:val="single" w:sz="4" w:space="0" w:color="auto"/>
              <w:bottom w:val="single" w:sz="4" w:space="0" w:color="auto"/>
              <w:right w:val="single" w:sz="4" w:space="0" w:color="auto"/>
            </w:tcBorders>
            <w:hideMark/>
          </w:tcPr>
          <w:p w14:paraId="2E2D31AB" w14:textId="77777777" w:rsidR="003C30B6" w:rsidRPr="00103A0B" w:rsidRDefault="003C30B6" w:rsidP="005F078A">
            <w:pPr>
              <w:spacing w:line="276" w:lineRule="auto"/>
              <w:rPr>
                <w:rFonts w:ascii="Arial" w:hAnsi="Arial" w:cs="Arial"/>
              </w:rPr>
            </w:pPr>
            <w:r w:rsidRPr="00103A0B">
              <w:rPr>
                <w:rFonts w:ascii="Arial" w:hAnsi="Arial" w:cs="Arial"/>
                <w:color w:val="010205"/>
              </w:rPr>
              <w:t>1.14 (0.80-1.63)</w:t>
            </w:r>
          </w:p>
        </w:tc>
        <w:tc>
          <w:tcPr>
            <w:tcW w:w="2693" w:type="dxa"/>
            <w:tcBorders>
              <w:top w:val="single" w:sz="4" w:space="0" w:color="auto"/>
              <w:left w:val="single" w:sz="4" w:space="0" w:color="auto"/>
              <w:bottom w:val="single" w:sz="4" w:space="0" w:color="auto"/>
              <w:right w:val="single" w:sz="4" w:space="0" w:color="auto"/>
            </w:tcBorders>
            <w:hideMark/>
          </w:tcPr>
          <w:p w14:paraId="16D72A57" w14:textId="77777777" w:rsidR="003C30B6" w:rsidRPr="00103A0B" w:rsidRDefault="003C30B6" w:rsidP="005F078A">
            <w:pPr>
              <w:spacing w:line="276" w:lineRule="auto"/>
              <w:rPr>
                <w:rFonts w:ascii="Arial" w:hAnsi="Arial" w:cs="Arial"/>
              </w:rPr>
            </w:pPr>
            <w:r w:rsidRPr="00103A0B">
              <w:rPr>
                <w:rFonts w:ascii="Arial" w:hAnsi="Arial" w:cs="Arial"/>
                <w:color w:val="010205"/>
              </w:rPr>
              <w:t>1.14 (0.80-1.64)</w:t>
            </w:r>
          </w:p>
        </w:tc>
        <w:tc>
          <w:tcPr>
            <w:tcW w:w="2520" w:type="dxa"/>
            <w:tcBorders>
              <w:top w:val="single" w:sz="4" w:space="0" w:color="auto"/>
              <w:left w:val="single" w:sz="4" w:space="0" w:color="auto"/>
              <w:bottom w:val="single" w:sz="4" w:space="0" w:color="auto"/>
              <w:right w:val="single" w:sz="4" w:space="0" w:color="auto"/>
            </w:tcBorders>
            <w:hideMark/>
          </w:tcPr>
          <w:p w14:paraId="57800E71" w14:textId="77777777" w:rsidR="003C30B6" w:rsidRPr="00103A0B" w:rsidRDefault="003C30B6" w:rsidP="005F078A">
            <w:pPr>
              <w:spacing w:line="276" w:lineRule="auto"/>
              <w:rPr>
                <w:rFonts w:ascii="Arial" w:hAnsi="Arial" w:cs="Arial"/>
              </w:rPr>
            </w:pPr>
            <w:r w:rsidRPr="00103A0B">
              <w:rPr>
                <w:rFonts w:ascii="Arial" w:hAnsi="Arial" w:cs="Arial"/>
                <w:color w:val="010205"/>
              </w:rPr>
              <w:t>1.12 (0.78-1.61)</w:t>
            </w:r>
          </w:p>
        </w:tc>
      </w:tr>
      <w:tr w:rsidR="003C30B6" w:rsidRPr="00103A0B" w14:paraId="0A350E5E"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10B420F4" w14:textId="77777777" w:rsidR="003C30B6" w:rsidRPr="00103A0B" w:rsidRDefault="003C30B6" w:rsidP="005F078A">
            <w:pPr>
              <w:spacing w:line="276" w:lineRule="auto"/>
              <w:rPr>
                <w:rFonts w:ascii="Arial" w:hAnsi="Arial" w:cs="Arial"/>
              </w:rPr>
            </w:pPr>
            <w:bookmarkStart w:id="394" w:name="_Hlk36828200"/>
            <w:r w:rsidRPr="00103A0B">
              <w:rPr>
                <w:rFonts w:ascii="Arial" w:hAnsi="Arial" w:cs="Arial"/>
              </w:rPr>
              <w:t>Quintile 4</w:t>
            </w:r>
          </w:p>
        </w:tc>
        <w:tc>
          <w:tcPr>
            <w:tcW w:w="2693" w:type="dxa"/>
            <w:tcBorders>
              <w:top w:val="single" w:sz="4" w:space="0" w:color="auto"/>
              <w:left w:val="single" w:sz="4" w:space="0" w:color="auto"/>
              <w:bottom w:val="single" w:sz="4" w:space="0" w:color="auto"/>
              <w:right w:val="single" w:sz="4" w:space="0" w:color="auto"/>
            </w:tcBorders>
            <w:hideMark/>
          </w:tcPr>
          <w:p w14:paraId="6960D893" w14:textId="77777777" w:rsidR="003C30B6" w:rsidRPr="00103A0B" w:rsidRDefault="003C30B6" w:rsidP="005F078A">
            <w:pPr>
              <w:spacing w:line="276" w:lineRule="auto"/>
              <w:rPr>
                <w:rFonts w:ascii="Arial" w:hAnsi="Arial" w:cs="Arial"/>
              </w:rPr>
            </w:pPr>
            <w:r w:rsidRPr="00103A0B">
              <w:rPr>
                <w:rFonts w:ascii="Arial" w:hAnsi="Arial" w:cs="Arial"/>
                <w:color w:val="010205"/>
              </w:rPr>
              <w:t>1.45 (1.00-2.</w:t>
            </w:r>
            <w:proofErr w:type="gramStart"/>
            <w:r w:rsidRPr="00103A0B">
              <w:rPr>
                <w:rFonts w:ascii="Arial" w:hAnsi="Arial" w:cs="Arial"/>
                <w:color w:val="010205"/>
              </w:rPr>
              <w:t>10)*</w:t>
            </w:r>
            <w:proofErr w:type="gramEnd"/>
          </w:p>
        </w:tc>
        <w:tc>
          <w:tcPr>
            <w:tcW w:w="2552" w:type="dxa"/>
            <w:tcBorders>
              <w:top w:val="single" w:sz="4" w:space="0" w:color="auto"/>
              <w:left w:val="single" w:sz="4" w:space="0" w:color="auto"/>
              <w:bottom w:val="single" w:sz="4" w:space="0" w:color="auto"/>
              <w:right w:val="single" w:sz="4" w:space="0" w:color="auto"/>
            </w:tcBorders>
            <w:hideMark/>
          </w:tcPr>
          <w:p w14:paraId="4361787D" w14:textId="77777777" w:rsidR="003C30B6" w:rsidRPr="00103A0B" w:rsidRDefault="003C30B6" w:rsidP="005F078A">
            <w:pPr>
              <w:spacing w:line="276" w:lineRule="auto"/>
              <w:rPr>
                <w:rFonts w:ascii="Arial" w:hAnsi="Arial" w:cs="Arial"/>
              </w:rPr>
            </w:pPr>
            <w:r w:rsidRPr="00103A0B">
              <w:rPr>
                <w:rFonts w:ascii="Arial" w:hAnsi="Arial" w:cs="Arial"/>
                <w:color w:val="010205"/>
              </w:rPr>
              <w:t>1.45 (1.00-2.</w:t>
            </w:r>
            <w:proofErr w:type="gramStart"/>
            <w:r w:rsidRPr="00103A0B">
              <w:rPr>
                <w:rFonts w:ascii="Arial" w:hAnsi="Arial" w:cs="Arial"/>
                <w:color w:val="010205"/>
              </w:rPr>
              <w:t>10)*</w:t>
            </w:r>
            <w:proofErr w:type="gramEnd"/>
          </w:p>
        </w:tc>
        <w:tc>
          <w:tcPr>
            <w:tcW w:w="2693" w:type="dxa"/>
            <w:tcBorders>
              <w:top w:val="single" w:sz="4" w:space="0" w:color="auto"/>
              <w:left w:val="single" w:sz="4" w:space="0" w:color="auto"/>
              <w:bottom w:val="single" w:sz="4" w:space="0" w:color="auto"/>
              <w:right w:val="single" w:sz="4" w:space="0" w:color="auto"/>
            </w:tcBorders>
            <w:hideMark/>
          </w:tcPr>
          <w:p w14:paraId="0D581B45" w14:textId="77777777" w:rsidR="003C30B6" w:rsidRPr="00103A0B" w:rsidRDefault="003C30B6" w:rsidP="005F078A">
            <w:pPr>
              <w:spacing w:line="276" w:lineRule="auto"/>
              <w:rPr>
                <w:rFonts w:ascii="Arial" w:hAnsi="Arial" w:cs="Arial"/>
              </w:rPr>
            </w:pPr>
            <w:r w:rsidRPr="00103A0B">
              <w:rPr>
                <w:rFonts w:ascii="Arial" w:hAnsi="Arial" w:cs="Arial"/>
                <w:color w:val="010205"/>
              </w:rPr>
              <w:t>1.49 (1.03-2.</w:t>
            </w:r>
            <w:proofErr w:type="gramStart"/>
            <w:r w:rsidRPr="00103A0B">
              <w:rPr>
                <w:rFonts w:ascii="Arial" w:hAnsi="Arial" w:cs="Arial"/>
                <w:color w:val="010205"/>
              </w:rPr>
              <w:t>17)*</w:t>
            </w:r>
            <w:proofErr w:type="gramEnd"/>
            <w:r w:rsidRPr="00103A0B">
              <w:rPr>
                <w:rFonts w:ascii="Arial" w:hAnsi="Arial" w:cs="Arial"/>
                <w:color w:val="010205"/>
              </w:rPr>
              <w:t>*</w:t>
            </w:r>
          </w:p>
        </w:tc>
        <w:tc>
          <w:tcPr>
            <w:tcW w:w="2520" w:type="dxa"/>
            <w:tcBorders>
              <w:top w:val="single" w:sz="4" w:space="0" w:color="auto"/>
              <w:left w:val="single" w:sz="4" w:space="0" w:color="auto"/>
              <w:bottom w:val="single" w:sz="4" w:space="0" w:color="auto"/>
              <w:right w:val="single" w:sz="4" w:space="0" w:color="auto"/>
            </w:tcBorders>
            <w:hideMark/>
          </w:tcPr>
          <w:p w14:paraId="081AE0F7" w14:textId="77777777" w:rsidR="003C30B6" w:rsidRPr="00103A0B" w:rsidRDefault="003C30B6" w:rsidP="005F078A">
            <w:pPr>
              <w:spacing w:line="276" w:lineRule="auto"/>
              <w:rPr>
                <w:rFonts w:ascii="Arial" w:hAnsi="Arial" w:cs="Arial"/>
              </w:rPr>
            </w:pPr>
            <w:r w:rsidRPr="00103A0B">
              <w:rPr>
                <w:rFonts w:ascii="Arial" w:hAnsi="Arial" w:cs="Arial"/>
                <w:color w:val="010205"/>
              </w:rPr>
              <w:t>1.48 (1.02-2.</w:t>
            </w:r>
            <w:proofErr w:type="gramStart"/>
            <w:r w:rsidRPr="00103A0B">
              <w:rPr>
                <w:rFonts w:ascii="Arial" w:hAnsi="Arial" w:cs="Arial"/>
                <w:color w:val="010205"/>
              </w:rPr>
              <w:t>15)*</w:t>
            </w:r>
            <w:proofErr w:type="gramEnd"/>
            <w:r w:rsidRPr="00103A0B">
              <w:rPr>
                <w:rFonts w:ascii="Arial" w:hAnsi="Arial" w:cs="Arial"/>
                <w:color w:val="010205"/>
              </w:rPr>
              <w:t>*</w:t>
            </w:r>
          </w:p>
        </w:tc>
        <w:bookmarkEnd w:id="394"/>
      </w:tr>
      <w:tr w:rsidR="003C30B6" w:rsidRPr="00103A0B" w14:paraId="5CD5CA32"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3074ED30" w14:textId="77777777" w:rsidR="003C30B6" w:rsidRPr="00103A0B" w:rsidRDefault="003C30B6" w:rsidP="005F078A">
            <w:pPr>
              <w:spacing w:line="276" w:lineRule="auto"/>
              <w:rPr>
                <w:rFonts w:ascii="Arial" w:hAnsi="Arial" w:cs="Arial"/>
              </w:rPr>
            </w:pPr>
            <w:r w:rsidRPr="00103A0B">
              <w:rPr>
                <w:rFonts w:ascii="Arial" w:hAnsi="Arial" w:cs="Arial"/>
              </w:rPr>
              <w:t xml:space="preserve">Quintile 5 (least deprived) </w:t>
            </w:r>
          </w:p>
        </w:tc>
        <w:tc>
          <w:tcPr>
            <w:tcW w:w="2693" w:type="dxa"/>
            <w:tcBorders>
              <w:top w:val="single" w:sz="4" w:space="0" w:color="auto"/>
              <w:left w:val="single" w:sz="4" w:space="0" w:color="auto"/>
              <w:bottom w:val="single" w:sz="4" w:space="0" w:color="auto"/>
              <w:right w:val="single" w:sz="4" w:space="0" w:color="auto"/>
            </w:tcBorders>
            <w:hideMark/>
          </w:tcPr>
          <w:p w14:paraId="10BC1764" w14:textId="77777777" w:rsidR="003C30B6" w:rsidRPr="00103A0B" w:rsidRDefault="003C30B6" w:rsidP="005F078A">
            <w:pPr>
              <w:spacing w:line="276" w:lineRule="auto"/>
              <w:rPr>
                <w:rFonts w:ascii="Arial" w:hAnsi="Arial" w:cs="Arial"/>
              </w:rPr>
            </w:pPr>
            <w:r w:rsidRPr="00103A0B">
              <w:rPr>
                <w:rFonts w:ascii="Arial" w:hAnsi="Arial" w:cs="Arial"/>
                <w:color w:val="010205"/>
              </w:rPr>
              <w:t>1.23 (0.84-1.79)</w:t>
            </w:r>
          </w:p>
        </w:tc>
        <w:tc>
          <w:tcPr>
            <w:tcW w:w="2552" w:type="dxa"/>
            <w:tcBorders>
              <w:top w:val="single" w:sz="4" w:space="0" w:color="auto"/>
              <w:left w:val="single" w:sz="4" w:space="0" w:color="auto"/>
              <w:bottom w:val="single" w:sz="4" w:space="0" w:color="auto"/>
              <w:right w:val="single" w:sz="4" w:space="0" w:color="auto"/>
            </w:tcBorders>
            <w:hideMark/>
          </w:tcPr>
          <w:p w14:paraId="1ADA1FB6" w14:textId="77777777" w:rsidR="003C30B6" w:rsidRPr="00103A0B" w:rsidRDefault="003C30B6" w:rsidP="005F078A">
            <w:pPr>
              <w:spacing w:line="276" w:lineRule="auto"/>
              <w:rPr>
                <w:rFonts w:ascii="Arial" w:hAnsi="Arial" w:cs="Arial"/>
              </w:rPr>
            </w:pPr>
            <w:r w:rsidRPr="00103A0B">
              <w:rPr>
                <w:rFonts w:ascii="Arial" w:hAnsi="Arial" w:cs="Arial"/>
                <w:color w:val="010205"/>
              </w:rPr>
              <w:t>1.22 ().84-1.78)</w:t>
            </w:r>
          </w:p>
        </w:tc>
        <w:tc>
          <w:tcPr>
            <w:tcW w:w="2693" w:type="dxa"/>
            <w:tcBorders>
              <w:top w:val="single" w:sz="4" w:space="0" w:color="auto"/>
              <w:left w:val="single" w:sz="4" w:space="0" w:color="auto"/>
              <w:bottom w:val="single" w:sz="4" w:space="0" w:color="auto"/>
              <w:right w:val="single" w:sz="4" w:space="0" w:color="auto"/>
            </w:tcBorders>
            <w:hideMark/>
          </w:tcPr>
          <w:p w14:paraId="3CFF4E6D" w14:textId="77777777" w:rsidR="003C30B6" w:rsidRPr="00103A0B" w:rsidRDefault="003C30B6" w:rsidP="005F078A">
            <w:pPr>
              <w:spacing w:line="276" w:lineRule="auto"/>
              <w:rPr>
                <w:rFonts w:ascii="Arial" w:hAnsi="Arial" w:cs="Arial"/>
              </w:rPr>
            </w:pPr>
            <w:r w:rsidRPr="00103A0B">
              <w:rPr>
                <w:rFonts w:ascii="Arial" w:hAnsi="Arial" w:cs="Arial"/>
                <w:color w:val="010205"/>
              </w:rPr>
              <w:t>1.28 (0.88-1.88)</w:t>
            </w:r>
          </w:p>
        </w:tc>
        <w:tc>
          <w:tcPr>
            <w:tcW w:w="2520" w:type="dxa"/>
            <w:tcBorders>
              <w:top w:val="single" w:sz="4" w:space="0" w:color="auto"/>
              <w:left w:val="single" w:sz="4" w:space="0" w:color="auto"/>
              <w:bottom w:val="single" w:sz="4" w:space="0" w:color="auto"/>
              <w:right w:val="single" w:sz="4" w:space="0" w:color="auto"/>
            </w:tcBorders>
            <w:hideMark/>
          </w:tcPr>
          <w:p w14:paraId="2970861D" w14:textId="77777777" w:rsidR="003C30B6" w:rsidRPr="00103A0B" w:rsidRDefault="003C30B6" w:rsidP="005F078A">
            <w:pPr>
              <w:spacing w:line="276" w:lineRule="auto"/>
              <w:rPr>
                <w:rFonts w:ascii="Arial" w:hAnsi="Arial" w:cs="Arial"/>
              </w:rPr>
            </w:pPr>
            <w:r w:rsidRPr="00103A0B">
              <w:rPr>
                <w:rFonts w:ascii="Arial" w:hAnsi="Arial" w:cs="Arial"/>
                <w:color w:val="010205"/>
              </w:rPr>
              <w:t>1.26 (0.86-1.84)</w:t>
            </w:r>
          </w:p>
        </w:tc>
      </w:tr>
      <w:tr w:rsidR="003C30B6" w:rsidRPr="00103A0B" w14:paraId="44E5C3E7"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10BABAD5" w14:textId="77777777" w:rsidR="003C30B6" w:rsidRPr="00103A0B" w:rsidRDefault="003C30B6" w:rsidP="005F078A">
            <w:pPr>
              <w:spacing w:line="276" w:lineRule="auto"/>
              <w:rPr>
                <w:rFonts w:ascii="Arial" w:hAnsi="Arial" w:cs="Arial"/>
                <w:b/>
                <w:bCs/>
              </w:rPr>
            </w:pPr>
            <w:r w:rsidRPr="00103A0B">
              <w:rPr>
                <w:rFonts w:ascii="Arial" w:hAnsi="Arial" w:cs="Arial"/>
                <w:b/>
                <w:bCs/>
              </w:rPr>
              <w:t xml:space="preserve">Brief IPQ </w:t>
            </w:r>
            <w:r w:rsidRPr="00103A0B">
              <w:rPr>
                <w:rFonts w:ascii="Arial" w:hAnsi="Arial" w:cs="Arial"/>
              </w:rPr>
              <w:t xml:space="preserve">Question 1: </w:t>
            </w:r>
            <w:r w:rsidRPr="00103A0B">
              <w:rPr>
                <w:rFonts w:ascii="Arial" w:hAnsi="Arial" w:cs="Arial"/>
                <w:b/>
                <w:bCs/>
              </w:rPr>
              <w:t xml:space="preserve"> </w:t>
            </w:r>
            <w:r w:rsidRPr="00103A0B">
              <w:rPr>
                <w:rFonts w:ascii="Arial" w:hAnsi="Arial" w:cs="Arial"/>
              </w:rPr>
              <w:t>consequences</w:t>
            </w:r>
          </w:p>
        </w:tc>
        <w:tc>
          <w:tcPr>
            <w:tcW w:w="2693" w:type="dxa"/>
            <w:tcBorders>
              <w:top w:val="single" w:sz="4" w:space="0" w:color="auto"/>
              <w:left w:val="single" w:sz="4" w:space="0" w:color="auto"/>
              <w:bottom w:val="single" w:sz="4" w:space="0" w:color="auto"/>
              <w:right w:val="single" w:sz="4" w:space="0" w:color="auto"/>
            </w:tcBorders>
            <w:hideMark/>
          </w:tcPr>
          <w:p w14:paraId="669E289C"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552" w:type="dxa"/>
            <w:tcBorders>
              <w:top w:val="single" w:sz="4" w:space="0" w:color="auto"/>
              <w:left w:val="single" w:sz="4" w:space="0" w:color="auto"/>
              <w:bottom w:val="single" w:sz="4" w:space="0" w:color="auto"/>
              <w:right w:val="single" w:sz="4" w:space="0" w:color="auto"/>
            </w:tcBorders>
            <w:hideMark/>
          </w:tcPr>
          <w:p w14:paraId="5C88E174" w14:textId="77777777" w:rsidR="003C30B6" w:rsidRPr="00103A0B" w:rsidRDefault="003C30B6" w:rsidP="005F078A">
            <w:pPr>
              <w:spacing w:line="276" w:lineRule="auto"/>
              <w:rPr>
                <w:rFonts w:ascii="Arial" w:hAnsi="Arial" w:cs="Arial"/>
              </w:rPr>
            </w:pPr>
            <w:r w:rsidRPr="00103A0B">
              <w:rPr>
                <w:rFonts w:ascii="Arial" w:hAnsi="Arial" w:cs="Arial"/>
                <w:color w:val="010205"/>
              </w:rPr>
              <w:t>0.99 (0.95-1.03)</w:t>
            </w:r>
          </w:p>
        </w:tc>
        <w:tc>
          <w:tcPr>
            <w:tcW w:w="2693" w:type="dxa"/>
            <w:tcBorders>
              <w:top w:val="single" w:sz="4" w:space="0" w:color="auto"/>
              <w:left w:val="single" w:sz="4" w:space="0" w:color="auto"/>
              <w:bottom w:val="single" w:sz="4" w:space="0" w:color="auto"/>
              <w:right w:val="single" w:sz="4" w:space="0" w:color="auto"/>
            </w:tcBorders>
            <w:hideMark/>
          </w:tcPr>
          <w:p w14:paraId="0A3E17DB" w14:textId="77777777" w:rsidR="003C30B6" w:rsidRPr="00103A0B" w:rsidRDefault="003C30B6" w:rsidP="005F078A">
            <w:pPr>
              <w:spacing w:line="276" w:lineRule="auto"/>
              <w:rPr>
                <w:rFonts w:ascii="Arial" w:hAnsi="Arial" w:cs="Arial"/>
              </w:rPr>
            </w:pPr>
            <w:r w:rsidRPr="00103A0B">
              <w:rPr>
                <w:rFonts w:ascii="Arial" w:hAnsi="Arial" w:cs="Arial"/>
                <w:color w:val="010205"/>
              </w:rPr>
              <w:t>0.99 (0.95-1.02)</w:t>
            </w:r>
          </w:p>
        </w:tc>
        <w:tc>
          <w:tcPr>
            <w:tcW w:w="2520" w:type="dxa"/>
            <w:tcBorders>
              <w:top w:val="single" w:sz="4" w:space="0" w:color="auto"/>
              <w:left w:val="single" w:sz="4" w:space="0" w:color="auto"/>
              <w:bottom w:val="single" w:sz="4" w:space="0" w:color="auto"/>
              <w:right w:val="single" w:sz="4" w:space="0" w:color="auto"/>
            </w:tcBorders>
            <w:hideMark/>
          </w:tcPr>
          <w:p w14:paraId="0B25D194" w14:textId="77777777" w:rsidR="003C30B6" w:rsidRPr="00103A0B" w:rsidRDefault="003C30B6" w:rsidP="005F078A">
            <w:pPr>
              <w:spacing w:line="276" w:lineRule="auto"/>
              <w:rPr>
                <w:rFonts w:ascii="Arial" w:hAnsi="Arial" w:cs="Arial"/>
              </w:rPr>
            </w:pPr>
            <w:r w:rsidRPr="00103A0B">
              <w:rPr>
                <w:rFonts w:ascii="Arial" w:hAnsi="Arial" w:cs="Arial"/>
                <w:color w:val="010205"/>
              </w:rPr>
              <w:t>0.99 (0.95-1.02)</w:t>
            </w:r>
          </w:p>
        </w:tc>
      </w:tr>
      <w:tr w:rsidR="003C30B6" w:rsidRPr="00103A0B" w14:paraId="52DCF6FC"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3D99440B" w14:textId="77777777" w:rsidR="003C30B6" w:rsidRPr="00103A0B" w:rsidRDefault="003C30B6" w:rsidP="005F078A">
            <w:pPr>
              <w:spacing w:line="276" w:lineRule="auto"/>
              <w:rPr>
                <w:rFonts w:ascii="Arial" w:hAnsi="Arial" w:cs="Arial"/>
                <w:b/>
                <w:bCs/>
              </w:rPr>
            </w:pPr>
            <w:r w:rsidRPr="00103A0B">
              <w:rPr>
                <w:rFonts w:ascii="Arial" w:hAnsi="Arial" w:cs="Arial"/>
                <w:b/>
                <w:bCs/>
              </w:rPr>
              <w:t xml:space="preserve">Brief IPQ </w:t>
            </w:r>
            <w:r w:rsidRPr="00103A0B">
              <w:rPr>
                <w:rFonts w:ascii="Arial" w:hAnsi="Arial" w:cs="Arial"/>
              </w:rPr>
              <w:t xml:space="preserve">Question 3: </w:t>
            </w:r>
            <w:r w:rsidRPr="00103A0B">
              <w:rPr>
                <w:rFonts w:ascii="Arial" w:hAnsi="Arial" w:cs="Arial"/>
                <w:b/>
                <w:bCs/>
              </w:rPr>
              <w:t xml:space="preserve"> </w:t>
            </w:r>
            <w:r w:rsidRPr="00103A0B">
              <w:rPr>
                <w:rFonts w:ascii="Arial" w:hAnsi="Arial" w:cs="Arial"/>
              </w:rPr>
              <w:t>personal control</w:t>
            </w:r>
          </w:p>
        </w:tc>
        <w:tc>
          <w:tcPr>
            <w:tcW w:w="2693" w:type="dxa"/>
            <w:tcBorders>
              <w:top w:val="single" w:sz="4" w:space="0" w:color="auto"/>
              <w:left w:val="single" w:sz="4" w:space="0" w:color="auto"/>
              <w:bottom w:val="single" w:sz="4" w:space="0" w:color="auto"/>
              <w:right w:val="single" w:sz="4" w:space="0" w:color="auto"/>
            </w:tcBorders>
            <w:hideMark/>
          </w:tcPr>
          <w:p w14:paraId="3BD42CA5"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552" w:type="dxa"/>
            <w:tcBorders>
              <w:top w:val="single" w:sz="4" w:space="0" w:color="auto"/>
              <w:left w:val="single" w:sz="4" w:space="0" w:color="auto"/>
              <w:bottom w:val="single" w:sz="4" w:space="0" w:color="auto"/>
              <w:right w:val="single" w:sz="4" w:space="0" w:color="auto"/>
            </w:tcBorders>
            <w:hideMark/>
          </w:tcPr>
          <w:p w14:paraId="55C176D4"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1.03 (0.99-1.06)</w:t>
            </w:r>
          </w:p>
        </w:tc>
        <w:tc>
          <w:tcPr>
            <w:tcW w:w="2693" w:type="dxa"/>
            <w:tcBorders>
              <w:top w:val="single" w:sz="4" w:space="0" w:color="auto"/>
              <w:left w:val="single" w:sz="4" w:space="0" w:color="auto"/>
              <w:bottom w:val="single" w:sz="4" w:space="0" w:color="auto"/>
              <w:right w:val="single" w:sz="4" w:space="0" w:color="auto"/>
            </w:tcBorders>
            <w:hideMark/>
          </w:tcPr>
          <w:p w14:paraId="79F88864"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1.03 (0.99-1.06)</w:t>
            </w:r>
          </w:p>
        </w:tc>
        <w:tc>
          <w:tcPr>
            <w:tcW w:w="2520" w:type="dxa"/>
            <w:tcBorders>
              <w:top w:val="single" w:sz="4" w:space="0" w:color="auto"/>
              <w:left w:val="single" w:sz="4" w:space="0" w:color="auto"/>
              <w:bottom w:val="single" w:sz="4" w:space="0" w:color="auto"/>
              <w:right w:val="single" w:sz="4" w:space="0" w:color="auto"/>
            </w:tcBorders>
            <w:hideMark/>
          </w:tcPr>
          <w:p w14:paraId="4E955B50" w14:textId="77777777" w:rsidR="003C30B6" w:rsidRPr="00103A0B" w:rsidRDefault="003C30B6" w:rsidP="005F078A">
            <w:pPr>
              <w:spacing w:line="276" w:lineRule="auto"/>
              <w:rPr>
                <w:rFonts w:ascii="Arial" w:hAnsi="Arial" w:cs="Arial"/>
                <w:color w:val="010205"/>
              </w:rPr>
            </w:pPr>
            <w:r w:rsidRPr="00103A0B">
              <w:rPr>
                <w:rFonts w:ascii="Arial" w:hAnsi="Arial" w:cs="Arial"/>
                <w:color w:val="010205"/>
              </w:rPr>
              <w:t>1.03 (0.99-1.06)</w:t>
            </w:r>
          </w:p>
        </w:tc>
      </w:tr>
      <w:tr w:rsidR="003C30B6" w:rsidRPr="00103A0B" w14:paraId="20204B75"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01FC031C" w14:textId="77777777" w:rsidR="003C30B6" w:rsidRPr="00103A0B" w:rsidRDefault="003C30B6" w:rsidP="005F078A">
            <w:pPr>
              <w:spacing w:line="276" w:lineRule="auto"/>
              <w:rPr>
                <w:rFonts w:ascii="Arial" w:hAnsi="Arial" w:cs="Arial"/>
                <w:b/>
                <w:bCs/>
              </w:rPr>
            </w:pPr>
            <w:r w:rsidRPr="00103A0B">
              <w:rPr>
                <w:rFonts w:ascii="Arial" w:hAnsi="Arial" w:cs="Arial"/>
                <w:b/>
                <w:bCs/>
              </w:rPr>
              <w:t xml:space="preserve">NGS-ES </w:t>
            </w:r>
            <w:r w:rsidRPr="00103A0B">
              <w:rPr>
                <w:rFonts w:ascii="Arial" w:hAnsi="Arial" w:cs="Arial"/>
              </w:rPr>
              <w:t>score</w:t>
            </w:r>
          </w:p>
        </w:tc>
        <w:tc>
          <w:tcPr>
            <w:tcW w:w="2693" w:type="dxa"/>
            <w:tcBorders>
              <w:top w:val="single" w:sz="4" w:space="0" w:color="auto"/>
              <w:left w:val="single" w:sz="4" w:space="0" w:color="auto"/>
              <w:bottom w:val="single" w:sz="4" w:space="0" w:color="auto"/>
              <w:right w:val="single" w:sz="4" w:space="0" w:color="auto"/>
            </w:tcBorders>
            <w:hideMark/>
          </w:tcPr>
          <w:p w14:paraId="3C0FE951"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552" w:type="dxa"/>
            <w:tcBorders>
              <w:top w:val="single" w:sz="4" w:space="0" w:color="auto"/>
              <w:left w:val="single" w:sz="4" w:space="0" w:color="auto"/>
              <w:bottom w:val="single" w:sz="4" w:space="0" w:color="auto"/>
              <w:right w:val="single" w:sz="4" w:space="0" w:color="auto"/>
            </w:tcBorders>
            <w:hideMark/>
          </w:tcPr>
          <w:p w14:paraId="49769F58"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693" w:type="dxa"/>
            <w:tcBorders>
              <w:top w:val="single" w:sz="4" w:space="0" w:color="auto"/>
              <w:left w:val="single" w:sz="4" w:space="0" w:color="auto"/>
              <w:bottom w:val="single" w:sz="4" w:space="0" w:color="auto"/>
              <w:right w:val="single" w:sz="4" w:space="0" w:color="auto"/>
            </w:tcBorders>
            <w:hideMark/>
          </w:tcPr>
          <w:p w14:paraId="66CBD86B" w14:textId="77777777" w:rsidR="003C30B6" w:rsidRPr="00103A0B" w:rsidRDefault="003C30B6" w:rsidP="005F078A">
            <w:pPr>
              <w:spacing w:line="276" w:lineRule="auto"/>
              <w:rPr>
                <w:rFonts w:ascii="Arial" w:hAnsi="Arial" w:cs="Arial"/>
              </w:rPr>
            </w:pPr>
            <w:r w:rsidRPr="00103A0B">
              <w:rPr>
                <w:rFonts w:ascii="Arial" w:hAnsi="Arial" w:cs="Arial"/>
                <w:color w:val="010205"/>
              </w:rPr>
              <w:t>0.98 (0.96-0.</w:t>
            </w:r>
            <w:proofErr w:type="gramStart"/>
            <w:r w:rsidRPr="00103A0B">
              <w:rPr>
                <w:rFonts w:ascii="Arial" w:hAnsi="Arial" w:cs="Arial"/>
                <w:color w:val="010205"/>
              </w:rPr>
              <w:t>99)*</w:t>
            </w:r>
            <w:proofErr w:type="gramEnd"/>
            <w:r w:rsidRPr="00103A0B">
              <w:rPr>
                <w:rFonts w:ascii="Arial" w:hAnsi="Arial" w:cs="Arial"/>
                <w:color w:val="010205"/>
              </w:rPr>
              <w:t>**</w:t>
            </w:r>
          </w:p>
        </w:tc>
        <w:tc>
          <w:tcPr>
            <w:tcW w:w="2520" w:type="dxa"/>
            <w:tcBorders>
              <w:top w:val="single" w:sz="4" w:space="0" w:color="auto"/>
              <w:left w:val="single" w:sz="4" w:space="0" w:color="auto"/>
              <w:bottom w:val="single" w:sz="4" w:space="0" w:color="auto"/>
              <w:right w:val="single" w:sz="4" w:space="0" w:color="auto"/>
            </w:tcBorders>
            <w:hideMark/>
          </w:tcPr>
          <w:p w14:paraId="353A7ED4" w14:textId="77777777" w:rsidR="003C30B6" w:rsidRPr="00103A0B" w:rsidRDefault="003C30B6" w:rsidP="005F078A">
            <w:pPr>
              <w:spacing w:line="276" w:lineRule="auto"/>
              <w:rPr>
                <w:rFonts w:ascii="Arial" w:hAnsi="Arial" w:cs="Arial"/>
              </w:rPr>
            </w:pPr>
            <w:r w:rsidRPr="00103A0B">
              <w:rPr>
                <w:rFonts w:ascii="Arial" w:hAnsi="Arial" w:cs="Arial"/>
                <w:color w:val="010205"/>
              </w:rPr>
              <w:t>0.97 (0.96-0.</w:t>
            </w:r>
            <w:proofErr w:type="gramStart"/>
            <w:r w:rsidRPr="00103A0B">
              <w:rPr>
                <w:rFonts w:ascii="Arial" w:hAnsi="Arial" w:cs="Arial"/>
                <w:color w:val="010205"/>
              </w:rPr>
              <w:t>99)*</w:t>
            </w:r>
            <w:proofErr w:type="gramEnd"/>
            <w:r w:rsidRPr="00103A0B">
              <w:rPr>
                <w:rFonts w:ascii="Arial" w:hAnsi="Arial" w:cs="Arial"/>
                <w:color w:val="010205"/>
              </w:rPr>
              <w:t>**</w:t>
            </w:r>
          </w:p>
        </w:tc>
      </w:tr>
      <w:tr w:rsidR="003C30B6" w:rsidRPr="00103A0B" w14:paraId="7C81C729"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11FB8313" w14:textId="77777777" w:rsidR="003C30B6" w:rsidRPr="00103A0B" w:rsidRDefault="003C30B6" w:rsidP="005F078A">
            <w:pPr>
              <w:spacing w:line="276" w:lineRule="auto"/>
              <w:rPr>
                <w:rFonts w:ascii="Arial" w:hAnsi="Arial" w:cs="Arial"/>
                <w:b/>
                <w:bCs/>
              </w:rPr>
            </w:pPr>
            <w:r w:rsidRPr="00103A0B">
              <w:rPr>
                <w:rFonts w:ascii="Arial" w:hAnsi="Arial" w:cs="Arial"/>
                <w:b/>
                <w:bCs/>
              </w:rPr>
              <w:t xml:space="preserve">WEMWBS </w:t>
            </w:r>
            <w:r w:rsidRPr="00103A0B">
              <w:rPr>
                <w:rFonts w:ascii="Arial" w:hAnsi="Arial" w:cs="Arial"/>
              </w:rPr>
              <w:t>[High score]</w:t>
            </w:r>
          </w:p>
        </w:tc>
        <w:tc>
          <w:tcPr>
            <w:tcW w:w="2693" w:type="dxa"/>
            <w:tcBorders>
              <w:top w:val="single" w:sz="4" w:space="0" w:color="auto"/>
              <w:left w:val="single" w:sz="4" w:space="0" w:color="auto"/>
              <w:bottom w:val="single" w:sz="4" w:space="0" w:color="auto"/>
              <w:right w:val="single" w:sz="4" w:space="0" w:color="auto"/>
            </w:tcBorders>
            <w:hideMark/>
          </w:tcPr>
          <w:p w14:paraId="78E032E3"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552" w:type="dxa"/>
            <w:tcBorders>
              <w:top w:val="single" w:sz="4" w:space="0" w:color="auto"/>
              <w:left w:val="single" w:sz="4" w:space="0" w:color="auto"/>
              <w:bottom w:val="single" w:sz="4" w:space="0" w:color="auto"/>
              <w:right w:val="single" w:sz="4" w:space="0" w:color="auto"/>
            </w:tcBorders>
            <w:hideMark/>
          </w:tcPr>
          <w:p w14:paraId="4C0D1724"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693" w:type="dxa"/>
            <w:tcBorders>
              <w:top w:val="single" w:sz="4" w:space="0" w:color="auto"/>
              <w:left w:val="single" w:sz="4" w:space="0" w:color="auto"/>
              <w:bottom w:val="single" w:sz="4" w:space="0" w:color="auto"/>
              <w:right w:val="single" w:sz="4" w:space="0" w:color="auto"/>
            </w:tcBorders>
            <w:hideMark/>
          </w:tcPr>
          <w:p w14:paraId="2D3D907A"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520" w:type="dxa"/>
            <w:tcBorders>
              <w:top w:val="single" w:sz="4" w:space="0" w:color="auto"/>
              <w:left w:val="single" w:sz="4" w:space="0" w:color="auto"/>
              <w:bottom w:val="single" w:sz="4" w:space="0" w:color="auto"/>
              <w:right w:val="single" w:sz="4" w:space="0" w:color="auto"/>
            </w:tcBorders>
            <w:vAlign w:val="center"/>
          </w:tcPr>
          <w:p w14:paraId="2DDC6E57" w14:textId="77777777" w:rsidR="003C30B6" w:rsidRPr="00103A0B" w:rsidRDefault="003C30B6" w:rsidP="005F078A">
            <w:pPr>
              <w:spacing w:line="276" w:lineRule="auto"/>
              <w:rPr>
                <w:rFonts w:ascii="Arial" w:hAnsi="Arial" w:cs="Arial"/>
              </w:rPr>
            </w:pPr>
          </w:p>
        </w:tc>
      </w:tr>
      <w:tr w:rsidR="003C30B6" w:rsidRPr="00103A0B" w14:paraId="62E26D6D"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19C25BA5" w14:textId="77777777" w:rsidR="003C30B6" w:rsidRPr="00103A0B" w:rsidRDefault="003C30B6" w:rsidP="005F078A">
            <w:pPr>
              <w:spacing w:line="276" w:lineRule="auto"/>
              <w:rPr>
                <w:rFonts w:ascii="Arial" w:hAnsi="Arial" w:cs="Arial"/>
              </w:rPr>
            </w:pPr>
            <w:r w:rsidRPr="00103A0B">
              <w:rPr>
                <w:rFonts w:ascii="Arial" w:hAnsi="Arial" w:cs="Arial"/>
              </w:rPr>
              <w:t>WEMWBS: Medium score</w:t>
            </w:r>
          </w:p>
        </w:tc>
        <w:tc>
          <w:tcPr>
            <w:tcW w:w="2693" w:type="dxa"/>
            <w:tcBorders>
              <w:top w:val="single" w:sz="4" w:space="0" w:color="auto"/>
              <w:left w:val="single" w:sz="4" w:space="0" w:color="auto"/>
              <w:bottom w:val="single" w:sz="4" w:space="0" w:color="auto"/>
              <w:right w:val="single" w:sz="4" w:space="0" w:color="auto"/>
            </w:tcBorders>
            <w:hideMark/>
          </w:tcPr>
          <w:p w14:paraId="50428436"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552" w:type="dxa"/>
            <w:tcBorders>
              <w:top w:val="single" w:sz="4" w:space="0" w:color="auto"/>
              <w:left w:val="single" w:sz="4" w:space="0" w:color="auto"/>
              <w:bottom w:val="single" w:sz="4" w:space="0" w:color="auto"/>
              <w:right w:val="single" w:sz="4" w:space="0" w:color="auto"/>
            </w:tcBorders>
            <w:hideMark/>
          </w:tcPr>
          <w:p w14:paraId="22D6D918"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693" w:type="dxa"/>
            <w:tcBorders>
              <w:top w:val="single" w:sz="4" w:space="0" w:color="auto"/>
              <w:left w:val="single" w:sz="4" w:space="0" w:color="auto"/>
              <w:bottom w:val="single" w:sz="4" w:space="0" w:color="auto"/>
              <w:right w:val="single" w:sz="4" w:space="0" w:color="auto"/>
            </w:tcBorders>
            <w:hideMark/>
          </w:tcPr>
          <w:p w14:paraId="27534084"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520" w:type="dxa"/>
            <w:tcBorders>
              <w:top w:val="single" w:sz="4" w:space="0" w:color="auto"/>
              <w:left w:val="single" w:sz="4" w:space="0" w:color="auto"/>
              <w:bottom w:val="single" w:sz="4" w:space="0" w:color="auto"/>
              <w:right w:val="single" w:sz="4" w:space="0" w:color="auto"/>
            </w:tcBorders>
            <w:hideMark/>
          </w:tcPr>
          <w:p w14:paraId="3FDED6C7" w14:textId="77777777" w:rsidR="003C30B6" w:rsidRPr="00103A0B" w:rsidRDefault="003C30B6" w:rsidP="005F078A">
            <w:pPr>
              <w:spacing w:line="276" w:lineRule="auto"/>
              <w:rPr>
                <w:rFonts w:ascii="Arial" w:hAnsi="Arial" w:cs="Arial"/>
              </w:rPr>
            </w:pPr>
            <w:r w:rsidRPr="00103A0B">
              <w:rPr>
                <w:rFonts w:ascii="Arial" w:hAnsi="Arial" w:cs="Arial"/>
                <w:color w:val="010205"/>
              </w:rPr>
              <w:t>1.10 (0.86-1.40)</w:t>
            </w:r>
          </w:p>
        </w:tc>
      </w:tr>
      <w:tr w:rsidR="003C30B6" w:rsidRPr="00103A0B" w14:paraId="2D660C5D" w14:textId="77777777" w:rsidTr="005F078A">
        <w:trPr>
          <w:trHeight w:val="280"/>
        </w:trPr>
        <w:tc>
          <w:tcPr>
            <w:tcW w:w="4361" w:type="dxa"/>
            <w:tcBorders>
              <w:top w:val="single" w:sz="4" w:space="0" w:color="auto"/>
              <w:left w:val="single" w:sz="4" w:space="0" w:color="auto"/>
              <w:bottom w:val="single" w:sz="4" w:space="0" w:color="auto"/>
              <w:right w:val="single" w:sz="4" w:space="0" w:color="auto"/>
            </w:tcBorders>
            <w:hideMark/>
          </w:tcPr>
          <w:p w14:paraId="238CE656" w14:textId="77777777" w:rsidR="003C30B6" w:rsidRPr="00103A0B" w:rsidRDefault="003C30B6" w:rsidP="005F078A">
            <w:pPr>
              <w:spacing w:line="276" w:lineRule="auto"/>
              <w:rPr>
                <w:rFonts w:ascii="Arial" w:hAnsi="Arial" w:cs="Arial"/>
              </w:rPr>
            </w:pPr>
            <w:r w:rsidRPr="00103A0B">
              <w:rPr>
                <w:rFonts w:ascii="Arial" w:hAnsi="Arial" w:cs="Arial"/>
              </w:rPr>
              <w:t>WEMWBS: Low score</w:t>
            </w:r>
          </w:p>
        </w:tc>
        <w:tc>
          <w:tcPr>
            <w:tcW w:w="2693" w:type="dxa"/>
            <w:tcBorders>
              <w:top w:val="single" w:sz="4" w:space="0" w:color="auto"/>
              <w:left w:val="single" w:sz="4" w:space="0" w:color="auto"/>
              <w:bottom w:val="single" w:sz="4" w:space="0" w:color="auto"/>
              <w:right w:val="single" w:sz="4" w:space="0" w:color="auto"/>
            </w:tcBorders>
            <w:hideMark/>
          </w:tcPr>
          <w:p w14:paraId="6F6D2EC1"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552" w:type="dxa"/>
            <w:tcBorders>
              <w:top w:val="single" w:sz="4" w:space="0" w:color="auto"/>
              <w:left w:val="single" w:sz="4" w:space="0" w:color="auto"/>
              <w:bottom w:val="single" w:sz="4" w:space="0" w:color="auto"/>
              <w:right w:val="single" w:sz="4" w:space="0" w:color="auto"/>
            </w:tcBorders>
            <w:hideMark/>
          </w:tcPr>
          <w:p w14:paraId="4AA7A730"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693" w:type="dxa"/>
            <w:tcBorders>
              <w:top w:val="single" w:sz="4" w:space="0" w:color="auto"/>
              <w:left w:val="single" w:sz="4" w:space="0" w:color="auto"/>
              <w:bottom w:val="single" w:sz="4" w:space="0" w:color="auto"/>
              <w:right w:val="single" w:sz="4" w:space="0" w:color="auto"/>
            </w:tcBorders>
            <w:hideMark/>
          </w:tcPr>
          <w:p w14:paraId="1CC5A6B2" w14:textId="77777777" w:rsidR="003C30B6" w:rsidRPr="00103A0B" w:rsidRDefault="003C30B6" w:rsidP="005F078A">
            <w:pPr>
              <w:spacing w:line="276" w:lineRule="auto"/>
              <w:rPr>
                <w:rFonts w:ascii="Arial" w:hAnsi="Arial" w:cs="Arial"/>
              </w:rPr>
            </w:pPr>
            <w:r w:rsidRPr="00103A0B">
              <w:rPr>
                <w:rFonts w:ascii="Arial" w:hAnsi="Arial" w:cs="Arial"/>
              </w:rPr>
              <w:t>-</w:t>
            </w:r>
          </w:p>
        </w:tc>
        <w:tc>
          <w:tcPr>
            <w:tcW w:w="2520" w:type="dxa"/>
            <w:tcBorders>
              <w:top w:val="single" w:sz="4" w:space="0" w:color="auto"/>
              <w:left w:val="single" w:sz="4" w:space="0" w:color="auto"/>
              <w:bottom w:val="single" w:sz="4" w:space="0" w:color="auto"/>
              <w:right w:val="single" w:sz="4" w:space="0" w:color="auto"/>
            </w:tcBorders>
            <w:hideMark/>
          </w:tcPr>
          <w:p w14:paraId="6598AE5D" w14:textId="77777777" w:rsidR="003C30B6" w:rsidRPr="00103A0B" w:rsidRDefault="003C30B6" w:rsidP="005F078A">
            <w:pPr>
              <w:spacing w:line="276" w:lineRule="auto"/>
              <w:rPr>
                <w:rFonts w:ascii="Arial" w:hAnsi="Arial" w:cs="Arial"/>
              </w:rPr>
            </w:pPr>
            <w:r w:rsidRPr="00103A0B">
              <w:rPr>
                <w:rFonts w:ascii="Arial" w:hAnsi="Arial" w:cs="Arial"/>
                <w:color w:val="010205"/>
              </w:rPr>
              <w:t>0.72 (0.50-1.</w:t>
            </w:r>
            <w:proofErr w:type="gramStart"/>
            <w:r w:rsidRPr="00103A0B">
              <w:rPr>
                <w:rFonts w:ascii="Arial" w:hAnsi="Arial" w:cs="Arial"/>
                <w:color w:val="010205"/>
              </w:rPr>
              <w:t>05)*</w:t>
            </w:r>
            <w:proofErr w:type="gramEnd"/>
          </w:p>
        </w:tc>
      </w:tr>
    </w:tbl>
    <w:p w14:paraId="3EF518D0" w14:textId="77777777" w:rsidR="003C30B6" w:rsidRPr="00103A0B" w:rsidRDefault="003C30B6" w:rsidP="003C30B6">
      <w:pPr>
        <w:spacing w:line="360" w:lineRule="auto"/>
        <w:jc w:val="both"/>
        <w:rPr>
          <w:rFonts w:ascii="Arial" w:hAnsi="Arial" w:cs="Arial"/>
          <w:sz w:val="16"/>
          <w:szCs w:val="16"/>
        </w:rPr>
      </w:pPr>
      <w:r w:rsidRPr="00103A0B">
        <w:rPr>
          <w:rFonts w:ascii="Arial" w:hAnsi="Arial" w:cs="Arial"/>
          <w:sz w:val="16"/>
          <w:szCs w:val="16"/>
        </w:rPr>
        <w:t>Step 1: programme area, gender, age, ethnicity, deprivation; Step 2: brief IPQ questions 1, 3; Step 3: NGS-ES score; Step 4: WEMWBS. *</w:t>
      </w:r>
      <w:r w:rsidRPr="00103A0B">
        <w:rPr>
          <w:rFonts w:ascii="Arial" w:hAnsi="Arial" w:cs="Arial"/>
          <w:i/>
          <w:iCs/>
          <w:sz w:val="16"/>
          <w:szCs w:val="16"/>
        </w:rPr>
        <w:t xml:space="preserve"> p</w:t>
      </w:r>
      <w:r w:rsidRPr="00103A0B">
        <w:rPr>
          <w:rFonts w:ascii="Arial" w:hAnsi="Arial" w:cs="Arial"/>
          <w:sz w:val="16"/>
          <w:szCs w:val="16"/>
        </w:rPr>
        <w:t>=near significance (0.05-0.09); **</w:t>
      </w:r>
      <w:r w:rsidRPr="00103A0B">
        <w:rPr>
          <w:rFonts w:ascii="Arial" w:hAnsi="Arial" w:cs="Arial"/>
          <w:i/>
          <w:iCs/>
          <w:sz w:val="16"/>
          <w:szCs w:val="16"/>
        </w:rPr>
        <w:t xml:space="preserve"> p</w:t>
      </w:r>
      <w:r w:rsidRPr="00103A0B">
        <w:rPr>
          <w:rFonts w:ascii="Arial" w:hAnsi="Arial" w:cs="Arial"/>
          <w:sz w:val="16"/>
          <w:szCs w:val="16"/>
        </w:rPr>
        <w:t>=&lt;0.05; ***</w:t>
      </w:r>
      <w:r w:rsidRPr="00103A0B">
        <w:rPr>
          <w:rFonts w:ascii="Arial" w:hAnsi="Arial" w:cs="Arial"/>
          <w:i/>
          <w:iCs/>
          <w:sz w:val="16"/>
          <w:szCs w:val="16"/>
        </w:rPr>
        <w:t xml:space="preserve"> p</w:t>
      </w:r>
      <w:r w:rsidRPr="00103A0B">
        <w:rPr>
          <w:rFonts w:ascii="Arial" w:hAnsi="Arial" w:cs="Arial"/>
          <w:sz w:val="16"/>
          <w:szCs w:val="16"/>
        </w:rPr>
        <w:t xml:space="preserve">=&lt;0.001; </w:t>
      </w:r>
      <w:proofErr w:type="spellStart"/>
      <w:r w:rsidRPr="00103A0B">
        <w:rPr>
          <w:rFonts w:ascii="Arial" w:hAnsi="Arial" w:cs="Arial"/>
          <w:sz w:val="16"/>
          <w:szCs w:val="16"/>
        </w:rPr>
        <w:t>Nagelkerke</w:t>
      </w:r>
      <w:proofErr w:type="spellEnd"/>
      <w:r w:rsidRPr="00103A0B">
        <w:rPr>
          <w:rFonts w:ascii="Arial" w:hAnsi="Arial" w:cs="Arial"/>
          <w:sz w:val="16"/>
          <w:szCs w:val="16"/>
        </w:rPr>
        <w:t xml:space="preserve"> R</w:t>
      </w:r>
      <w:r w:rsidRPr="00103A0B">
        <w:rPr>
          <w:rFonts w:ascii="Arial" w:hAnsi="Arial" w:cs="Arial"/>
          <w:sz w:val="16"/>
          <w:szCs w:val="16"/>
          <w:vertAlign w:val="superscript"/>
        </w:rPr>
        <w:t>2</w:t>
      </w:r>
      <w:r w:rsidRPr="00103A0B">
        <w:rPr>
          <w:rFonts w:ascii="Arial" w:hAnsi="Arial" w:cs="Arial"/>
          <w:sz w:val="16"/>
          <w:szCs w:val="16"/>
        </w:rPr>
        <w:t>= 0.108 (step 1); 0.109 (step 2); 0.118 (step 3); 0.122 (step 4); R</w:t>
      </w:r>
      <w:r w:rsidRPr="00103A0B">
        <w:rPr>
          <w:rFonts w:ascii="Arial" w:hAnsi="Arial" w:cs="Arial"/>
          <w:sz w:val="16"/>
          <w:szCs w:val="16"/>
          <w:vertAlign w:val="superscript"/>
        </w:rPr>
        <w:t>2</w:t>
      </w:r>
      <w:r w:rsidRPr="00103A0B">
        <w:rPr>
          <w:rFonts w:ascii="Arial" w:hAnsi="Arial" w:cs="Arial"/>
          <w:sz w:val="16"/>
          <w:szCs w:val="16"/>
        </w:rPr>
        <w:t xml:space="preserve"> change=0.014 (steps 1-4). Abbreviations: OR= Odds Ratio (Exp(B) value); CI= 95% confidence interval; IPQ=Brief Illness Perceptions Questionnaire; GS-ES= New General Self-Efficacy Scale; WEMWBS= Warwick-Edinburgh Mental Wellbeing Scale; </w:t>
      </w:r>
      <w:proofErr w:type="gramStart"/>
      <w:r w:rsidRPr="00103A0B">
        <w:rPr>
          <w:rFonts w:ascii="Arial" w:hAnsi="Arial" w:cs="Arial"/>
          <w:sz w:val="16"/>
          <w:szCs w:val="16"/>
        </w:rPr>
        <w:t>[ ]</w:t>
      </w:r>
      <w:proofErr w:type="gramEnd"/>
      <w:r w:rsidRPr="00103A0B">
        <w:rPr>
          <w:rFonts w:ascii="Arial" w:hAnsi="Arial" w:cs="Arial"/>
          <w:sz w:val="16"/>
          <w:szCs w:val="16"/>
        </w:rPr>
        <w:t>=Referent</w:t>
      </w:r>
    </w:p>
    <w:p w14:paraId="0E29C4A9" w14:textId="77777777" w:rsidR="003C30B6" w:rsidRPr="00103A0B" w:rsidRDefault="003C30B6" w:rsidP="00CD5919">
      <w:pPr>
        <w:spacing w:line="360" w:lineRule="auto"/>
        <w:jc w:val="both"/>
        <w:rPr>
          <w:rFonts w:ascii="Arial" w:hAnsi="Arial" w:cs="Arial"/>
          <w:sz w:val="24"/>
          <w:szCs w:val="24"/>
        </w:rPr>
      </w:pPr>
    </w:p>
    <w:p w14:paraId="5D76A46D" w14:textId="0B373256" w:rsidR="003C30B6" w:rsidRPr="00103A0B" w:rsidRDefault="003C30B6" w:rsidP="003C30B6">
      <w:pPr>
        <w:rPr>
          <w:rFonts w:ascii="Arial" w:hAnsi="Arial" w:cs="Arial"/>
          <w:sz w:val="16"/>
          <w:szCs w:val="16"/>
        </w:rPr>
        <w:sectPr w:rsidR="003C30B6" w:rsidRPr="00103A0B" w:rsidSect="00BB2420">
          <w:pgSz w:w="16838" w:h="11906" w:orient="landscape"/>
          <w:pgMar w:top="1440" w:right="1440" w:bottom="1440" w:left="1440" w:header="709" w:footer="709" w:gutter="0"/>
          <w:cols w:space="708"/>
          <w:docGrid w:linePitch="360"/>
        </w:sectPr>
      </w:pPr>
    </w:p>
    <w:p w14:paraId="5C5FB35D" w14:textId="77777777" w:rsidR="0011089C"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lastRenderedPageBreak/>
        <w:t xml:space="preserve">Multiple imputation was conducted to investigate the effect of missing data for all variables included in logistic regression for completion (Appendix </w:t>
      </w:r>
      <w:r w:rsidR="0057544E" w:rsidRPr="00103A0B">
        <w:rPr>
          <w:rFonts w:ascii="Arial" w:hAnsi="Arial" w:cs="Arial"/>
          <w:sz w:val="24"/>
          <w:szCs w:val="24"/>
        </w:rPr>
        <w:t>30</w:t>
      </w:r>
      <w:r w:rsidRPr="00103A0B">
        <w:rPr>
          <w:rFonts w:ascii="Arial" w:hAnsi="Arial" w:cs="Arial"/>
          <w:sz w:val="24"/>
          <w:szCs w:val="24"/>
        </w:rPr>
        <w:t xml:space="preserve">: </w:t>
      </w:r>
      <w:r w:rsidR="006A4E64" w:rsidRPr="00103A0B">
        <w:rPr>
          <w:rFonts w:ascii="Arial" w:hAnsi="Arial" w:cs="Arial"/>
          <w:sz w:val="24"/>
          <w:szCs w:val="24"/>
        </w:rPr>
        <w:t>R</w:t>
      </w:r>
      <w:r w:rsidR="00310843" w:rsidRPr="00103A0B">
        <w:rPr>
          <w:rFonts w:ascii="Arial" w:hAnsi="Arial" w:cs="Arial"/>
          <w:sz w:val="24"/>
          <w:szCs w:val="24"/>
        </w:rPr>
        <w:t>esults from LR for completion using imputed data</w:t>
      </w:r>
      <w:r w:rsidRPr="00103A0B">
        <w:rPr>
          <w:rFonts w:ascii="Arial" w:hAnsi="Arial" w:cs="Arial"/>
          <w:sz w:val="24"/>
          <w:szCs w:val="24"/>
        </w:rPr>
        <w:t xml:space="preserve">). </w:t>
      </w:r>
      <w:bookmarkStart w:id="395" w:name="_Hlk121343409"/>
      <w:r w:rsidRPr="00103A0B">
        <w:rPr>
          <w:rFonts w:ascii="Arial" w:hAnsi="Arial" w:cs="Arial"/>
          <w:sz w:val="24"/>
          <w:szCs w:val="24"/>
        </w:rPr>
        <w:t>Logistic regression using imputed data showed that some statistically significant predictors in the complete-case analysis remained significant in the imputed analysis (e.g., all programme areas, age (70 to 74 years) and NGS-ES scores)</w:t>
      </w:r>
      <w:r w:rsidR="00184957" w:rsidRPr="00103A0B">
        <w:rPr>
          <w:rFonts w:ascii="Arial" w:hAnsi="Arial" w:cs="Arial"/>
          <w:sz w:val="24"/>
          <w:szCs w:val="24"/>
        </w:rPr>
        <w:t>.</w:t>
      </w:r>
      <w:r w:rsidRPr="00103A0B">
        <w:rPr>
          <w:rFonts w:ascii="Arial" w:hAnsi="Arial" w:cs="Arial"/>
          <w:sz w:val="24"/>
          <w:szCs w:val="24"/>
        </w:rPr>
        <w:t xml:space="preserve"> </w:t>
      </w:r>
      <w:bookmarkEnd w:id="395"/>
      <w:r w:rsidRPr="00103A0B">
        <w:rPr>
          <w:rFonts w:ascii="Arial" w:hAnsi="Arial" w:cs="Arial"/>
          <w:sz w:val="24"/>
          <w:szCs w:val="24"/>
        </w:rPr>
        <w:t>Regarding the modifiable psychological variables, WEMWBS (low score) was a significant predictor in the imputed analysis but not in the complete-case analysis.</w:t>
      </w:r>
    </w:p>
    <w:p w14:paraId="0E6B2FD5" w14:textId="197C9B54" w:rsidR="00492C98" w:rsidRPr="00103A0B" w:rsidRDefault="00492C98" w:rsidP="00CD5919">
      <w:pPr>
        <w:spacing w:line="360" w:lineRule="auto"/>
        <w:jc w:val="both"/>
        <w:rPr>
          <w:rFonts w:ascii="Arial" w:hAnsi="Arial" w:cs="Arial"/>
          <w:sz w:val="24"/>
          <w:szCs w:val="24"/>
        </w:rPr>
      </w:pPr>
      <w:r w:rsidRPr="00103A0B">
        <w:rPr>
          <w:rFonts w:ascii="Arial" w:hAnsi="Arial" w:cs="Arial"/>
          <w:sz w:val="24"/>
          <w:szCs w:val="24"/>
        </w:rPr>
        <w:t xml:space="preserve"> </w:t>
      </w:r>
    </w:p>
    <w:p w14:paraId="79AD7084" w14:textId="3914778B" w:rsidR="00492C98" w:rsidRPr="00103A0B" w:rsidRDefault="006A4E64" w:rsidP="00FA3E6E">
      <w:pPr>
        <w:pStyle w:val="Heading2"/>
        <w:keepNext w:val="0"/>
        <w:numPr>
          <w:ilvl w:val="0"/>
          <w:numId w:val="0"/>
        </w:numPr>
        <w:jc w:val="both"/>
        <w:rPr>
          <w:rFonts w:ascii="Arial" w:hAnsi="Arial" w:cs="Arial"/>
          <w:sz w:val="28"/>
        </w:rPr>
      </w:pPr>
      <w:bookmarkStart w:id="396" w:name="_Toc151548333"/>
      <w:r w:rsidRPr="00103A0B">
        <w:rPr>
          <w:rFonts w:ascii="Arial" w:hAnsi="Arial" w:cs="Arial"/>
          <w:sz w:val="28"/>
        </w:rPr>
        <w:t xml:space="preserve">7.4 </w:t>
      </w:r>
      <w:r w:rsidR="00492C98" w:rsidRPr="00103A0B">
        <w:rPr>
          <w:rFonts w:ascii="Arial" w:hAnsi="Arial" w:cs="Arial"/>
          <w:sz w:val="28"/>
        </w:rPr>
        <w:t>Discussion</w:t>
      </w:r>
      <w:bookmarkEnd w:id="396"/>
    </w:p>
    <w:p w14:paraId="759D09E6" w14:textId="35E99AA7" w:rsidR="00492C98" w:rsidRPr="00103A0B" w:rsidRDefault="006A4E64" w:rsidP="00CD5919">
      <w:pPr>
        <w:spacing w:line="360" w:lineRule="auto"/>
        <w:jc w:val="both"/>
        <w:rPr>
          <w:rFonts w:ascii="Arial" w:hAnsi="Arial" w:cs="Arial"/>
          <w:sz w:val="24"/>
          <w:szCs w:val="24"/>
        </w:rPr>
      </w:pPr>
      <w:r w:rsidRPr="00103A0B">
        <w:rPr>
          <w:rFonts w:ascii="Arial" w:hAnsi="Arial" w:cs="Arial"/>
          <w:sz w:val="24"/>
          <w:szCs w:val="24"/>
        </w:rPr>
        <w:t>Identifying non-modifiable socio-demographic and modifiable psychological factors affecting uptake and completion of the NHSDPP can inform strategies to optimise uptake and retention. We report the first study exploring whether illness perceptions (IPs), self-efficacy (SE) and mental wellbeing (MWB) predict uptake and/or completion of the NHS Diabetes Prevention Programme (NHSDPP), independent of participant socio-demographics. Main findings are discussed, with a cautious approach taken by focusing only on associations that were significant in logistic regression for both the original and imputed datasets.</w:t>
      </w:r>
    </w:p>
    <w:p w14:paraId="2491C095" w14:textId="4AA5DF75" w:rsidR="00492C98" w:rsidRPr="00103A0B" w:rsidRDefault="006A4E64" w:rsidP="00CD5919">
      <w:pPr>
        <w:jc w:val="both"/>
        <w:rPr>
          <w:rFonts w:ascii="Arial" w:hAnsi="Arial" w:cs="Arial"/>
          <w:b/>
          <w:bCs/>
          <w:sz w:val="24"/>
          <w:szCs w:val="24"/>
        </w:rPr>
      </w:pPr>
      <w:r w:rsidRPr="00103A0B">
        <w:rPr>
          <w:rFonts w:ascii="Arial" w:hAnsi="Arial" w:cs="Arial"/>
          <w:b/>
          <w:bCs/>
          <w:sz w:val="24"/>
          <w:szCs w:val="24"/>
        </w:rPr>
        <w:t xml:space="preserve">7.4.1 </w:t>
      </w:r>
      <w:r w:rsidR="00492C98" w:rsidRPr="00103A0B">
        <w:rPr>
          <w:rFonts w:ascii="Arial" w:hAnsi="Arial" w:cs="Arial"/>
          <w:b/>
          <w:bCs/>
          <w:sz w:val="24"/>
          <w:szCs w:val="24"/>
        </w:rPr>
        <w:t>Uptake</w:t>
      </w:r>
    </w:p>
    <w:p w14:paraId="74093A52" w14:textId="46BA5282" w:rsidR="006A4E64" w:rsidRPr="00103A0B" w:rsidRDefault="006A4E64" w:rsidP="00CD5919">
      <w:pPr>
        <w:spacing w:line="360" w:lineRule="auto"/>
        <w:jc w:val="both"/>
        <w:rPr>
          <w:rFonts w:ascii="Arial" w:hAnsi="Arial" w:cs="Arial"/>
          <w:sz w:val="24"/>
          <w:szCs w:val="24"/>
        </w:rPr>
      </w:pPr>
      <w:r w:rsidRPr="00103A0B">
        <w:rPr>
          <w:rFonts w:ascii="Arial" w:hAnsi="Arial" w:cs="Arial"/>
          <w:sz w:val="24"/>
          <w:szCs w:val="24"/>
        </w:rPr>
        <w:t xml:space="preserve">Overall, illness perceptions related to treatment control and illness concern, and mental wellbeing (among the psychological factors), and age and deprivation (among the demographic factors) were found to predict uptake. Participants who saw treatment as being effective at controlling their prediabetes were more likely to start the NHSDPP. They may have considered the programme as being appropriate and helpful treatment for their prediabetes, and felt their condition was controllable, whereas those who did not start, may have favoured other treatments (e.g., medication), or may have felt their condition was less controllable. This is in line with research that found non-attenders of a cardiac rehabilitation programme were significantly less likely to feel their condition was controllable compared with attenders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{"citationItems":[{"id":"ITEM-1","itemData":{"DOI":"10.1136/hrt.82.2.234","ISSN":"13556037","PMID":"10409543","abstract":"Objective - Many patients fail to attend cardiac rehabilitation. Attempts to identify sociodemographic or clinical predictors of non- attendance have not been very successful; therefore, this study aimed to determine whether the illness beliefs held during hospitalisation by patients who had suffered acute myocardial infarction or who had undergone coronary artery bypass graft surgery could predict cardiac rehabilitation attendance. Subjects and methods - 152 patients were prospectively studied of whom 41% had attended cardiac rehabilitation at six months. Results - In addition to being older, less aware of their cholesterol values, and less likely to be employed, non-attenders were less likely to believe their condition was controllable and that their lifestyle may have contributed to their illness. Conclusion - It should now be determined whether interventions aimed at optimising certain perceptions could promote cardiac rehabilitation uptake among those patients who could benefit the most.","author":[{"dropping-particle":"","family":"Cooper","given":"A.","non-dropping-particle":"","parse-names":false,"suffix":""},{"dropping-particle":"","family":"Lloyd","given":"G.","non-dropping-particle":"","parse-names":false,"suffix":""},{"dropping-particle":"","family":"Weinman","given":"J.","non-dropping-particle":"","parse-names":false,"suffix":""},{"dropping-particle":"","family":"Jackson","given":"G.","non-dropping-particle":"","parse-names":false,"suffix":""}],"container-title":"Heart","id":"ITEM-1","issue":"2","issued":{"date-parts":[["1999"]]},"page":"234-236","title":"Why patients do not attend cardiac rehabilitation: role of intentions and illness beliefs","type":"article-journal","volume":"82"},"uris":["http://www.mendeley.com/documents/?uuid=34c09c5a-879d-422b-93bf-3ab284d34bb2"]},{"id":"ITEM-2","itemData":{"ISSN":"00223999","abstract":"Objective: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Research","id":"ITEM-2","issued":{"date-parts":[["2006"]]},"page":"757-767","title":"Illness perceptions predict attendance at cardiac rehabilitation following acute myocardial infarction: a systematic review with meta-analysis","type":"article-journal","volume":"61"},"uris":["http://www.mendeley.com/documents/?uuid=046866de-6856-4a38-87d2-91dee1be78bc"]},{"id":"ITEM-3","itemData":{"DOI":"10.1136/bmj.312.7040.1191","ISSN":"09598146","PMID":"8634561","abstract":"Objective - To examine whether patients' initial perceptions of their myocardial infarction predict subsequent attendance at a cardiac rehabilitation course, return to work, disability, and sexual dysfunction. Design - Patients' perceptions of their illness were measured at admission with their first myocardial infarction and at follow up three and six months later. Setting - Two large teaching hospitals in Auckland, New Zealand. Subjects - 143 consecutive patients aged under 65 with their first myocardial infarction. Main outcome measures - Attendance at rehabilitation course; time before returning to work; measures of disability with sickness impact profile questionnaire for sleep and rest, social interaction, recreational activity, and home management; and sexual dysfunction. Results - Attendance at the rehabilitation course was significantly related to a stronger belief during admission that the illness could be cured or controlled (t = 2.08, P = 0.04). Return to work within six weeks was significantly predicted by the perception that the illness would last a short time (t = -2.52, P = 0.01) and have less grave consequences for the patient (t = -2.87, P = 0.005). Patients' belief that their heart disease would have serious consequences was significantly related to later disability in work around the house, recreational activities, and social interaction. A strong illness identity was significantly related to greater sexual dysfunction at both three and six months. Conclusions - Patients' initial perceptions of illness are important determinants of different aspects of recovery after myocardial infarction. Specific illness perceptions need to be identified at an early stage as a basis for optimising outcomes from rehabilitation programmes.","author":[{"dropping-particle":"","family":"Petrie","given":"Keith J.","non-dropping-particle":"","parse-names":false,"suffix":""},{"dropping-particle":"","family":"Weinman","given":"John","non-dropping-particle":"","parse-names":false,"suffix":""},{"dropping-particle":"","family":"Sharpe","given":"Norman","non-dropping-particle":"","parse-names":false,"suffix":""},{"dropping-particle":"","family":"Buckley","given":"Judith","non-dropping-particle":"","parse-names":false,"suffix":""}],"container-title":"British Medical Journal","id":"ITEM-3","issued":{"date-parts":[["1996"]]},"page":"1191-1194","title":"Role of patients' view of their illness in predicting return to work and functioning after myocardial infarction: longitudinal study","type":"article-journal","volume":"312"},"uris":["http://www.mendeley.com/documents/?uuid=5a054578-2b1d-4019-a4c6-90d9fe0d8d78"]}],"mendeley":{"formattedCitation":"(Cooper et al., 1999; French et al., 2006; Petrie et al., 1996)","manualFormatting":"(Cooper et al., 1999; French et al., 2006; Petrie et al., 1996)","plainTextFormattedCitation":"(Cooper et al., 1999; French et al., 2006; Petrie et al., 1996)","previouslyFormattedCitation":"(A. Cooper et al., 1999; French et al., 2006; Petrie et al., 1996)"},"properties":{"noteIndex":0},"schema":"https://github.com/citation-style-language/schema/raw/master/csl-citation.json"}</w:instrText>
      </w:r>
      <w:r w:rsidRPr="00103A0B">
        <w:rPr>
          <w:rFonts w:ascii="Arial" w:hAnsi="Arial" w:cs="Arial"/>
          <w:sz w:val="24"/>
          <w:szCs w:val="24"/>
        </w:rPr>
        <w:fldChar w:fldCharType="separate"/>
      </w:r>
      <w:r w:rsidR="007C66BC" w:rsidRPr="00103A0B">
        <w:rPr>
          <w:rFonts w:ascii="Arial" w:hAnsi="Arial" w:cs="Arial"/>
          <w:noProof/>
          <w:sz w:val="24"/>
          <w:szCs w:val="24"/>
        </w:rPr>
        <w:t>(Cooper et al., 1999; French et al., 2006; Petrie et al., 1996)</w:t>
      </w:r>
      <w:r w:rsidRPr="00103A0B">
        <w:rPr>
          <w:rFonts w:ascii="Arial" w:hAnsi="Arial" w:cs="Arial"/>
          <w:sz w:val="24"/>
          <w:szCs w:val="24"/>
        </w:rPr>
        <w:fldChar w:fldCharType="end"/>
      </w:r>
      <w:r w:rsidRPr="00103A0B">
        <w:rPr>
          <w:rFonts w:ascii="Arial" w:hAnsi="Arial" w:cs="Arial"/>
          <w:sz w:val="24"/>
          <w:szCs w:val="24"/>
        </w:rPr>
        <w:t xml:space="preserve">. This demonstrates the importance of ensuring that participants understand diabetes prevention programmes </w:t>
      </w:r>
      <w:r w:rsidRPr="00103A0B">
        <w:rPr>
          <w:rFonts w:ascii="Arial" w:hAnsi="Arial" w:cs="Arial"/>
          <w:sz w:val="24"/>
          <w:szCs w:val="24"/>
        </w:rPr>
        <w:lastRenderedPageBreak/>
        <w:t xml:space="preserve">as appropriate and effective treatment for prediabetes, either before or during the IA, and that their prediabetes is controllable. </w:t>
      </w:r>
    </w:p>
    <w:p w14:paraId="62C50DFD" w14:textId="412D5FC1" w:rsidR="006A4E64" w:rsidRPr="00103A0B" w:rsidRDefault="006A4E64" w:rsidP="00CD5919">
      <w:pPr>
        <w:spacing w:line="360" w:lineRule="auto"/>
        <w:jc w:val="both"/>
        <w:rPr>
          <w:rFonts w:ascii="Arial" w:hAnsi="Arial" w:cs="Arial"/>
          <w:sz w:val="24"/>
          <w:szCs w:val="24"/>
        </w:rPr>
      </w:pPr>
      <w:r w:rsidRPr="00103A0B">
        <w:rPr>
          <w:rFonts w:ascii="Arial" w:hAnsi="Arial" w:cs="Arial"/>
          <w:sz w:val="24"/>
          <w:szCs w:val="24"/>
        </w:rPr>
        <w:t xml:space="preserve">Those more concerned about their prediabetes were more likely to start the programme. Supportive evidence from other DPPs found that participants commonly reported concern for personal health or wanting to improve health as reasons for participating </w:t>
      </w:r>
      <w:r w:rsidRPr="00103A0B">
        <w:rPr>
          <w:rFonts w:ascii="Arial" w:hAnsi="Arial" w:cs="Arial"/>
          <w:sz w:val="24"/>
          <w:szCs w:val="24"/>
        </w:rPr>
        <w:fldChar w:fldCharType="begin" w:fldLock="1"/>
      </w:r>
      <w:r w:rsidR="00810F86" w:rsidRPr="00103A0B">
        <w:rPr>
          <w:rFonts w:ascii="Arial" w:hAnsi="Arial" w:cs="Arial"/>
          <w:sz w:val="24"/>
          <w:szCs w:val="24"/>
        </w:rPr>
        <w:instrText>ADDIN CSL_CITATION {"citationItems":[{"id":"ITEM-1","itemData":{"ISBN":"00900036","ISSN":"00900036","PMID":"52016494","abstract":"Objectives.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Health","id":"ITEM-1","issued":{"date-parts":[["2010"]]},"page":"232-39","title":"Results of a pilot diabetes prevention intervention in East Harlem, New York city: project HEED","type":"article-journal","volume":"100"},"uris":["http://www.mendeley.com/documents/?uuid=6ca00620-5eb7-44be-86f5-e0fe0414de89"]},{"id":"ITEM-2","itemData":{"DOI":"10.1111/bjhp.1","author":[{"dropping-particle":"","family":"Borek","given":"Aleksandra J","non-dropping-particle":"","parse-names":false,"suffix":""},{"dropping-particle":"","family":"Abraham","given":"Charles","non-dropping-particle":"","parse-names":false,"suffix":""},{"dropping-particle":"","family":"Greaves","given":"Colin J","non-dropping-particle":"","parse-names":false,"suffix":""},{"dropping-particle":"","family":"Tarrant","given":"Mark","non-dropping-particle":"","parse-names":false,"suffix":""},{"dropping-particle":"","family":"Garner","given":"Nikki","non-dropping-particle":"","parse-names":false,"suffix":""},{"dropping-particle":"","family":"Pascale","given":"Melanie","non-dropping-particle":"","parse-names":false,"suffix":""}],"container-title":"British Journal of Health Psychology","id":"ITEM-2","issued":{"date-parts":[["2019"]]},"page":"787-805","title":"‘ We ’re all in the same boat ’: a qualitative study on how groups work in a diabetes prevention and management programme","type":"article-journal","volume":"24"},"uris":["http://www.mendeley.com/documents/?uuid=894ef5cc-3b9e-4f33-ba76-2387fb2a3e8e"]}],"mendeley":{"formattedCitation":"(Borek et al., 2019; Parikh et al., 2010)","plainTextFormattedCitation":"(Borek et al., 2019; Parikh et al., 2010)","previouslyFormattedCitation":"(Borek et al., 2019; Parikh et al.,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(Borek et al., 2019; Parikh et al., 2010)</w:t>
      </w:r>
      <w:r w:rsidRPr="00103A0B">
        <w:rPr>
          <w:rFonts w:ascii="Arial" w:hAnsi="Arial" w:cs="Arial"/>
          <w:sz w:val="24"/>
          <w:szCs w:val="24"/>
        </w:rPr>
        <w:fldChar w:fldCharType="end"/>
      </w:r>
      <w:r w:rsidRPr="00103A0B">
        <w:rPr>
          <w:rFonts w:ascii="Arial" w:hAnsi="Arial" w:cs="Arial"/>
          <w:sz w:val="24"/>
          <w:szCs w:val="24"/>
        </w:rPr>
        <w:t xml:space="preserve">. This indicates concern about prediabetes may be a motivator for people to attend diabetes prevention programmes. </w:t>
      </w:r>
      <w:proofErr w:type="gramStart"/>
      <w:r w:rsidRPr="00103A0B">
        <w:rPr>
          <w:rFonts w:ascii="Arial" w:hAnsi="Arial" w:cs="Arial"/>
          <w:sz w:val="24"/>
          <w:szCs w:val="24"/>
        </w:rPr>
        <w:t>In order to</w:t>
      </w:r>
      <w:proofErr w:type="gramEnd"/>
      <w:r w:rsidRPr="00103A0B">
        <w:rPr>
          <w:rFonts w:ascii="Arial" w:hAnsi="Arial" w:cs="Arial"/>
          <w:sz w:val="24"/>
          <w:szCs w:val="24"/>
        </w:rPr>
        <w:t xml:space="preserve"> improve uptake, it is key to ensure that participants understand the seriousness of prediabetes without instilling too much fear.  </w:t>
      </w:r>
    </w:p>
    <w:p w14:paraId="4132B408" w14:textId="59F785AE" w:rsidR="006A4E64" w:rsidRPr="00103A0B" w:rsidRDefault="006A4E64" w:rsidP="00CD5919">
      <w:pPr>
        <w:spacing w:line="360" w:lineRule="auto"/>
        <w:jc w:val="both"/>
        <w:rPr>
          <w:rFonts w:ascii="Arial" w:hAnsi="Arial" w:cs="Arial"/>
          <w:sz w:val="24"/>
          <w:szCs w:val="24"/>
        </w:rPr>
      </w:pPr>
      <w:r w:rsidRPr="00103A0B">
        <w:rPr>
          <w:rFonts w:ascii="Arial" w:hAnsi="Arial" w:cs="Arial"/>
          <w:sz w:val="24"/>
          <w:szCs w:val="24"/>
        </w:rPr>
        <w:t xml:space="preserve">Those with moderate </w:t>
      </w:r>
      <w:r w:rsidRPr="00103A0B">
        <w:rPr>
          <w:rFonts w:ascii="Arial" w:eastAsia="Times New Roman" w:hAnsi="Arial" w:cs="Arial"/>
          <w:sz w:val="24"/>
          <w:szCs w:val="24"/>
          <w:lang w:eastAsia="en-GB"/>
        </w:rPr>
        <w:t>mental wellbeing</w:t>
      </w:r>
      <w:r w:rsidRPr="00103A0B">
        <w:rPr>
          <w:rFonts w:ascii="Arial" w:hAnsi="Arial" w:cs="Arial"/>
          <w:sz w:val="24"/>
          <w:szCs w:val="24"/>
        </w:rPr>
        <w:t xml:space="preserve"> were more likely to start the NHSDPP than those with high levels (</w:t>
      </w:r>
      <w:r w:rsidR="00B764BF" w:rsidRPr="00103A0B">
        <w:rPr>
          <w:rFonts w:ascii="Arial" w:hAnsi="Arial" w:cs="Arial"/>
          <w:sz w:val="24"/>
          <w:szCs w:val="24"/>
        </w:rPr>
        <w:t xml:space="preserve">i.e., </w:t>
      </w:r>
      <w:r w:rsidRPr="00103A0B">
        <w:rPr>
          <w:rFonts w:ascii="Arial" w:hAnsi="Arial" w:cs="Arial"/>
          <w:sz w:val="24"/>
          <w:szCs w:val="24"/>
        </w:rPr>
        <w:t xml:space="preserve">those with greater positive wellbeing). Those with high </w:t>
      </w:r>
      <w:r w:rsidRPr="00103A0B">
        <w:rPr>
          <w:rFonts w:ascii="Arial" w:eastAsia="Times New Roman" w:hAnsi="Arial" w:cs="Arial"/>
          <w:sz w:val="24"/>
          <w:szCs w:val="24"/>
          <w:lang w:eastAsia="en-GB"/>
        </w:rPr>
        <w:t>MWB</w:t>
      </w:r>
      <w:r w:rsidRPr="00103A0B">
        <w:rPr>
          <w:rFonts w:ascii="Arial" w:hAnsi="Arial" w:cs="Arial"/>
          <w:sz w:val="24"/>
          <w:szCs w:val="24"/>
        </w:rPr>
        <w:t xml:space="preserve"> may not have felt the need to attend due to already feeling psychologically well and happy in making the required lifestyle changes. Perhaps for those who have moderate mental wellbeing, this was related to their concern about their prediabetes, which was also found to be a predictor of uptake. Although it is encouraging that those people who do not have high levels of mental wellbeing are accessing the programme, it would be interesting to explore this finding further, and </w:t>
      </w:r>
      <w:proofErr w:type="gramStart"/>
      <w:r w:rsidRPr="00103A0B">
        <w:rPr>
          <w:rFonts w:ascii="Arial" w:hAnsi="Arial" w:cs="Arial"/>
          <w:sz w:val="24"/>
          <w:szCs w:val="24"/>
        </w:rPr>
        <w:t>in particular for</w:t>
      </w:r>
      <w:proofErr w:type="gramEnd"/>
      <w:r w:rsidRPr="00103A0B">
        <w:rPr>
          <w:rFonts w:ascii="Arial" w:hAnsi="Arial" w:cs="Arial"/>
          <w:sz w:val="24"/>
          <w:szCs w:val="24"/>
        </w:rPr>
        <w:t xml:space="preserve"> programme organisers to highlight the importance of attending the programme and the support that will be offered regardless of whether one is already feeling psychologically well. </w:t>
      </w:r>
    </w:p>
    <w:p w14:paraId="6612DCF8" w14:textId="69A2C1F0" w:rsidR="00310843" w:rsidRPr="00103A0B" w:rsidRDefault="006A4E64" w:rsidP="00CD5919">
      <w:pPr>
        <w:spacing w:line="360" w:lineRule="auto"/>
        <w:jc w:val="both"/>
        <w:rPr>
          <w:rFonts w:ascii="Arial" w:hAnsi="Arial" w:cs="Arial"/>
          <w:sz w:val="24"/>
          <w:szCs w:val="24"/>
        </w:rPr>
      </w:pPr>
      <w:r w:rsidRPr="00103A0B">
        <w:rPr>
          <w:rFonts w:ascii="Arial" w:hAnsi="Arial" w:cs="Arial"/>
          <w:sz w:val="24"/>
          <w:szCs w:val="24"/>
        </w:rPr>
        <w:t xml:space="preserve">Older individuals were more likely to start the programme which is line with other  DPP research </w:t>
      </w:r>
      <w:r w:rsidRPr="00103A0B">
        <w:rPr>
          <w:rFonts w:ascii="Arial" w:hAnsi="Arial" w:cs="Arial"/>
          <w:sz w:val="24"/>
          <w:szCs w:val="24"/>
        </w:rPr>
        <w:fldChar w:fldCharType="begin" w:fldLock="1"/>
      </w:r>
      <w:r w:rsidR="00F11C4C" w:rsidRPr="00103A0B">
        <w:rPr>
          <w:rFonts w:ascii="Arial" w:hAnsi="Arial" w:cs="Arial"/>
          <w:sz w:val="24"/>
          <w:szCs w:val="24"/>
        </w:rPr>
        <w:instrText>ADDIN CSL_CITATION {"citationItems":[{"id":"ITEM-1","itemData":{"ISSN":"08901171","abstract":"&lt;bold&gt;Purpose: &lt;/bold&gt;Our objective is to evaluate the \"reach\" component of the Reach Effectiveness Adoption Implementation Maintenance (RE-AIM) framework by comparing prediabetics who were and were not interested in enrolling in a free work site diabetes prevention program (DPP) during the first year of the program. Reach is defined as the proportion of eligible participants who enroll in a health program.&lt;bold&gt;Design: &lt;/bold&gt;A cross-sectional study design was used.&lt;bold&gt;Setting: &lt;/bold&gt;The setting was a large health system in the Midwest.&lt;bold&gt;Participants: &lt;/bold&gt;Prediabetic health plan enrollees and spouses (N = 2158).&lt;bold&gt;Measures: &lt;/bold&gt;An online health survey, annual voluntary biometric screenings delivered by a trained health-care professional using standardized protocols via point-of-care testing, and records from the DPP office were the sources of data for this study.&lt;bold&gt;Analysis: &lt;/bold&gt;Health behaviors and biometric screening results were simultaneously compared using multivariable logistic regression.&lt;bold&gt;Results: &lt;/bold&gt;The study population was 63% female, 79% white, and 16% black, and the mean age was 50.2 years (SD = 10.2). The reach of this program was 10%. Prediabetics were more likely to express interest in the DPP, if they were female (adjusted odds ratio [AOR]: 2.4; 95% confidence interval [95% CI]: 1.55-3.72; P &lt; .001), black (AOR = 2.23; 95% CI: 1.43-3.47; P &lt; .001), older in age (AOR: 1.08; 95% CI: 0.99-1.17; P = .05), or had a high-risk waist circumference (AOR = 1.44; 95% CI: 0.98-2.13; P = .07), lower self-efficacy to make healthy changes (AOR = 0.48; 95% CI: 0.26-0.91; P = .03), and 5 or more doctor visits in the last year (AOR = 2.13; 95% CI: 0.99-4.57; P = .05), after controlling for other covariates.&lt;bold&gt;Conclusion: &lt;/bold&gt;Current recruitment and implementation strategies are reaching only a small group of individuals who are not representative of the larger prediabetic population. These findings inform future engagement strategies, and we recommend that public health practitioners evaluate reach to ensure that health promotion programs are of high value. ABSTRACT FROM AUTHOR","author":[{"dropping-particle":"","family":"Zigmont","given":"Victoria A","non-dropping-particle":"","parse-names":false,"suffix":""},{"dropping-particle":"","family":"Shoben","given":"Abigail B","non-dropping-particle":"","parse-names":false,"suffix":""},{"dropping-particle":"","family":"Kaye","given":"Gail L","non-dropping-particle":"","parse-names":false,"suffix":""},{"dropping-particle":"","family":"Snow","given":"Richard J","non-dropping-particle":"","parse-names":false,"suffix":""},{"dropping-particle":"","family":"Clinton","given":"Steven K","non-dropping-particle":"","parse-names":false,"suffix":""},{"dropping-particle":"","family":"Harris","given":"Randall E","non-dropping-particle":"","parse-names":false,"suffix":""},{"dropping-particle":"","family":"Olivo-Marston","given":"Susan E","non-dropping-particle":"","parse-names":false,"suffix":""}],"container-title":"American Journal of Health Promotion","id":"ITEM-1","issue":"6","issued":{"date-parts":[["2018"]]},"note":"Accession Number: 130506972; Author: Zigmont, Victoria A.: 1 email: vzigmont42@gmail.com. Author: Shoben, Abigail B.: 2 Author: Kaye, Gail L.: 3 Author: Snow, Richard J.: 4 Author: Clinton, Steven K.: 5 Author: Harris, Randall E.: 6 Author: Olivo-Marston, Susan E.: 6 ; Author Affiliation: 1 Department of Public Health, Southern Connecticut State University, New Haven, CT, USA: 2 Division of Biostatistics, College of Public Health, The Ohio State University, Columbus, OH, USA: 3 Division of Health Promotion, College of Public Health, The Ohio State University, Columbus, OH, USA: 4 Touro College of Osteopathic Medicine, Touro University, Vallejo, CA, USA: 5 Department of Internal Medicine, The Ohio State University College of Medicine, Columbus, OH, USA: 6 Division of Epidemiology, College of Public Health, The Ohio State University, Columbus, OH, USA; No. of Pages: 8; Language: English; Publication Type: journal article; Update Code: 20180706","page":"1417-1424","title":"An evaluation of reach for a work site implementation of the national diabetes prevention program focusing on diet and exercise.","type":"article-journal","volume":"32"},"uris":["http://www.mendeley.com/documents/?uuid=eadca763-b969-4148-b924-ba4cd499e859"]},{"id":"ITEM-2","itemData":{"ISBN":"1549-1277","ISSN":"15491676","PMID":"27404094","abstract":"BACKGROUND: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Medicine","id":"ITEM-2","issue":"7","issued":{"date-parts":[["2016"]]},"page":"e1002078","title":"Engagement, retention, and progression to type 2 diabetes: a retrospective analysis of the cluster-randomised \"Let's Prevent Diabetes\" trial","type":"article-journal","volume":"13"},"uris":["http://www.mendeley.com/documents/?uuid=34e3af29-349e-4120-a3cb-a3a7408ba3b4"]}],"mendeley":{"formattedCitation":"(Gray et al., 2016; Zigmont et al., 2018)","plainTextFormattedCitation":"(Gray et al., 2016; Zigmont et al., 2018)","previouslyFormattedCitation":"(Gray et al., 2016; Zigmont et al., 2018)"},"properties":{"noteIndex":0},"schema":"https://github.com/citation-style-language/schema/raw/master/csl-citation.json"}</w:instrText>
      </w:r>
      <w:r w:rsidRPr="00103A0B">
        <w:rPr>
          <w:rFonts w:ascii="Arial" w:hAnsi="Arial" w:cs="Arial"/>
          <w:sz w:val="24"/>
          <w:szCs w:val="24"/>
        </w:rPr>
        <w:fldChar w:fldCharType="separate"/>
      </w:r>
      <w:r w:rsidR="00062570" w:rsidRPr="00103A0B">
        <w:rPr>
          <w:rFonts w:ascii="Arial" w:hAnsi="Arial" w:cs="Arial"/>
          <w:noProof/>
          <w:sz w:val="24"/>
          <w:szCs w:val="24"/>
        </w:rPr>
        <w:t>(Gray et al., 2016; Zigmont et al., 2018)</w:t>
      </w:r>
      <w:r w:rsidRPr="00103A0B">
        <w:rPr>
          <w:rFonts w:ascii="Arial" w:hAnsi="Arial" w:cs="Arial"/>
          <w:sz w:val="24"/>
          <w:szCs w:val="24"/>
        </w:rPr>
        <w:fldChar w:fldCharType="end"/>
      </w:r>
      <w:r w:rsidRPr="00103A0B">
        <w:rPr>
          <w:rFonts w:ascii="Arial" w:hAnsi="Arial" w:cs="Arial"/>
          <w:sz w:val="24"/>
          <w:szCs w:val="24"/>
        </w:rPr>
        <w:t xml:space="preserve"> which has argued that older adults may have more time to take part through having fewer work or caring responsibilities </w:t>
      </w:r>
      <w:r w:rsidRPr="00103A0B">
        <w:rPr>
          <w:rFonts w:ascii="Arial" w:hAnsi="Arial" w:cs="Arial"/>
          <w:sz w:val="24"/>
          <w:szCs w:val="24"/>
        </w:rPr>
        <w:fldChar w:fldCharType="begin" w:fldLock="1"/>
      </w:r>
      <w:r w:rsidR="00062570" w:rsidRPr="00103A0B">
        <w:rPr>
          <w:rFonts w:ascii="Arial" w:hAnsi="Arial" w:cs="Arial"/>
          <w:sz w:val="24"/>
          <w:szCs w:val="24"/>
        </w:rPr>
        <w:instrText>ADDIN CSL_CITATION {"citationItems":[{"id":"ITEM-1","itemData":{"ISBN":"1549-1277","ISSN":"15491676","PMID":"27404094","abstract":"BACKGROUND: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Medicine","id":"ITEM-1","issue":"7","issued":{"date-parts":[["2016"]]},"page":"e1002078","title":"Engagement, retention, and progression to type 2 diabetes: a retrospective analysis of the cluster-randomised \"Let's Prevent Diabetes\" trial","type":"article-journal","volume":"13"},"uris":["http://www.mendeley.com/documents/?uuid=34e3af29-349e-4120-a3cb-a3a7408ba3b4"]},{"id":"ITEM-2","itemData":{"ISSN":"08901171","abstract":"&lt;bold&gt;Purpose: &lt;/bold&gt;Our objective is to evaluate the \"reach\" component of the Reach Effectiveness Adoption Implementation Maintenance (RE-AIM) framework by comparing prediabetics who were and were not interested in enrolling in a free work site diabetes prevention program (DPP) during the first year of the program. Reach is defined as the proportion of eligible participants who enroll in a health program.&lt;bold&gt;Design: &lt;/bold&gt;A cross-sectional study design was used.&lt;bold&gt;Setting: &lt;/bold&gt;The setting was a large health system in the Midwest.&lt;bold&gt;Participants: &lt;/bold&gt;Prediabetic health plan enrollees and spouses (N = 2158).&lt;bold&gt;Measures: &lt;/bold&gt;An online health survey, annual voluntary biometric screenings delivered by a trained health-care professional using standardized protocols via point-of-care testing, and records from the DPP office were the sources of data for this study.&lt;bold&gt;Analysis: &lt;/bold&gt;Health behaviors and biometric screening results were simultaneously compared using multivariable logistic regression.&lt;bold&gt;Results: &lt;/bold&gt;The study population was 63% female, 79% white, and 16% black, and the mean age was 50.2 years (SD = 10.2). The reach of this program was 10%. Prediabetics were more likely to express interest in the DPP, if they were female (adjusted odds ratio [AOR]: 2.4; 95% confidence interval [95% CI]: 1.55-3.72; P &lt; .001), black (AOR = 2.23; 95% CI: 1.43-3.47; P &lt; .001), older in age (AOR: 1.08; 95% CI: 0.99-1.17; P = .05), or had a high-risk waist circumference (AOR = 1.44; 95% CI: 0.98-2.13; P = .07), lower self-efficacy to make healthy changes (AOR = 0.48; 95% CI: 0.26-0.91; P = .03), and 5 or more doctor visits in the last year (AOR = 2.13; 95% CI: 0.99-4.57; P = .05), after controlling for other covariates.&lt;bold&gt;Conclusion: &lt;/bold&gt;Current recruitment and implementation strategies are reaching only a small group of individuals who are not representative of the larger prediabetic population. These findings inform future engagement strategies, and we recommend that public health practitioners evaluate reach to ensure that health promotion programs are of high value. ABSTRACT FROM AUTHOR","author":[{"dropping-particle":"","family":"Zigmont","given":"Victoria A","non-dropping-particle":"","parse-names":false,"suffix":""},{"dropping-particle":"","family":"Shoben","given":"Abigail B","non-dropping-particle":"","parse-names":false,"suffix":""},{"dropping-particle":"","family":"Kaye","given":"Gail L","non-dropping-particle":"","parse-names":false,"suffix":""},{"dropping-particle":"","family":"Snow","given":"Richard J","non-dropping-particle":"","parse-names":false,"suffix":""},{"dropping-particle":"","family":"Clinton","given":"Steven K","non-dropping-particle":"","parse-names":false,"suffix":""},{"dropping-particle":"","family":"Harris","given":"Randall E","non-dropping-particle":"","parse-names":false,"suffix":""},{"dropping-particle":"","family":"Olivo-Marston","given":"Susan E","non-dropping-particle":"","parse-names":false,"suffix":""}],"container-title":"American Journal of Health Promotion","id":"ITEM-2","issue":"6","issued":{"date-parts":[["2018"]]},"note":"Accession Number: 130506972; Author: Zigmont, Victoria A.: 1 email: vzigmont42@gmail.com. Author: Shoben, Abigail B.: 2 Author: Kaye, Gail L.: 3 Author: Snow, Richard J.: 4 Author: Clinton, Steven K.: 5 Author: Harris, Randall E.: 6 Author: Olivo-Marston, Susan E.: 6 ; Author Affiliation: 1 Department of Public Health, Southern Connecticut State University, New Haven, CT, USA: 2 Division of Biostatistics, College of Public Health, The Ohio State University, Columbus, OH, USA: 3 Division of Health Promotion, College of Public Health, The Ohio State University, Columbus, OH, USA: 4 Touro College of Osteopathic Medicine, Touro University, Vallejo, CA, USA: 5 Department of Internal Medicine, The Ohio State University College of Medicine, Columbus, OH, USA: 6 Division of Epidemiology, College of Public Health, The Ohio State University, Columbus, OH, USA; No. of Pages: 8; Language: English; Publication Type: journal article; Update Code: 20180706","page":"1417-1424","title":"An evaluation of reach for a work site implementation of the national diabetes prevention program focusing on diet and exercise.","type":"article-journal","volume":"32"},"uris":["http://www.mendeley.com/documents/?uuid=eadca763-b969-4148-b924-ba4cd499e859"]}],"mendeley":{"formattedCitation":"(Gray et al., 2016; Zigmont et al., 2018)","plainTextFormattedCitation":"(Gray et al., 2016; Zigmont et al., 2018)","previouslyFormattedCitation":"(Gray et al., 2016; Zigmont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(Gray et al., 2016; Zigmont et al., 2018)</w:t>
      </w:r>
      <w:r w:rsidRPr="00103A0B">
        <w:rPr>
          <w:rFonts w:ascii="Arial" w:hAnsi="Arial" w:cs="Arial"/>
          <w:sz w:val="24"/>
          <w:szCs w:val="24"/>
        </w:rPr>
        <w:fldChar w:fldCharType="end"/>
      </w:r>
      <w:r w:rsidRPr="00103A0B">
        <w:rPr>
          <w:rFonts w:ascii="Arial" w:hAnsi="Arial" w:cs="Arial"/>
          <w:sz w:val="24"/>
          <w:szCs w:val="24"/>
        </w:rPr>
        <w:t xml:space="preserve">. As the age of onset for T2DM is decreasing, especially among certain ethnic groups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{"citationItems":[{"id":"ITEM-1","itemData":{"author":[{"dropping-particle":"","family":"National Institute for Health and Care Excellence (NICE)","given":"","non-dropping-particle":"","parse-names":false,"suffix":""}],"id":"ITEM-1","issued":{"date-parts":[["2011"]]},"number-of-pages":"1-84","title":"Type 2 diabetes prevention: population and community-level interventions","type":"report"},"uris":["http://www.mendeley.com/documents/?uuid=17ac8fd4-ef34-4d63-b6c1-750a43ee37dd"]}],"mendeley":{"formattedCitation":"(National Institute for Health and Care Excellence (NICE), 2011)","plainTextFormattedCitation":"(National Institute for Health and Care Excellence (NICE), 2011)","previouslyFormattedCitation":"(National Institute for Health and Care Excellence (NICE), 2011)"},"properties":{"noteIndex":0},"schema":"https://github.com/citation-style-language/schema/raw/master/csl-citation.json"}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(National Institute for Health and Care Excellence (NICE), 2011)</w:t>
      </w:r>
      <w:r w:rsidRPr="00103A0B">
        <w:rPr>
          <w:rFonts w:ascii="Arial" w:hAnsi="Arial" w:cs="Arial"/>
          <w:sz w:val="24"/>
          <w:szCs w:val="24"/>
        </w:rPr>
        <w:fldChar w:fldCharType="end"/>
      </w:r>
      <w:r w:rsidRPr="00103A0B">
        <w:rPr>
          <w:rFonts w:ascii="Arial" w:hAnsi="Arial" w:cs="Arial"/>
          <w:sz w:val="24"/>
          <w:szCs w:val="24"/>
        </w:rPr>
        <w:t xml:space="preserve">, it is important for diabetes prevention programmes to focus on improving uptake in younger adults. Also, those from the most affluent areas were more likely to start compared with those from the most deprived areas, which is in line with other DPP research </w:t>
      </w:r>
      <w:r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programme","type":"article-journal","volume":"43"},"uris":["http://www.mendeley.com/documents/?uuid=32a7a44a-df0b-4cde-9269-536e48e08190"]},{"id":"ITEM-2","itemData":{"ISBN":"1549-1277","ISSN":"15491676","PMID":"27404094","abstract":"BACKGROUND: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Medicine","id":"ITEM-2","issue":"7","issued":{"date-parts":[["2016"]]},"page":"e1002078","title":"Engagement, retention, and progression to type 2 diabetes: a retrospective analysis of the cluster-randomised \"Let's Prevent Diabetes\" trial","type":"article-journal","volume":"13"},"uris":["http://www.mendeley.com/documents/?uuid=34e3af29-349e-4120-a3cb-a3a7408ba3b4"]},{"id":"ITEM-3","itemData":{"ISSN":"08901171","abstract":"&lt;bold&gt;Purpose: &lt;/bold&gt;Our objective is to evaluate the \"reach\" component of the Reach Effectiveness Adoption Implementation Maintenance (RE-AIM) framework by comparing prediabetics who were and were not interested in enrolling in a free work site diabetes prevention program (DPP) during the first year of the program. Reach is defined as the proportion of eligible participants who enroll in a health program.&lt;bold&gt;Design: &lt;/bold&gt;A cross-sectional study design was used.&lt;bold&gt;Setting: &lt;/bold&gt;The setting was a large health system in the Midwest.&lt;bold&gt;Participants: &lt;/bold&gt;Prediabetic health plan enrollees and spouses (N = 2158).&lt;bold&gt;Measures: &lt;/bold&gt;An online health survey, annual voluntary biometric screenings delivered by a trained health-care professional using standardized protocols via point-of-care testing, and records from the DPP office were the sources of data for this study.&lt;bold&gt;Analysis: &lt;/bold&gt;Health behaviors and biometric screening results were simultaneously compared using multivariable logistic regression.&lt;bold&gt;Results: &lt;/bold&gt;The study population was 63% female, 79% white, and 16% black, and the mean age was 50.2 years (SD = 10.2). The reach of this program was 10%. Prediabetics were more likely to express interest in the DPP, if they were female (adjusted odds ratio [AOR]: 2.4; 95% confidence interval [95% CI]: 1.55-3.72; P &lt; .001), black (AOR = 2.23; 95% CI: 1.43-3.47; P &lt; .001), older in age (AOR: 1.08; 95% CI: 0.99-1.17; P = .05), or had a high-risk waist circumference (AOR = 1.44; 95% CI: 0.98-2.13; P = .07), lower self-efficacy to make healthy changes (AOR = 0.48; 95% CI: 0.26-0.91; P = .03), and 5 or more doctor visits in the last year (AOR = 2.13; 95% CI: 0.99-4.57; P = .05), after controlling for other covariates.&lt;bold&gt;Conclusion: &lt;/bold&gt;Current recruitment and implementation strategies are reaching only a small group of individuals who are not representative of the larger prediabetic population. These findings inform future engagement strategies, and we recommend that public health practitioners evaluate reach to ensure that health promotion programs are of high value. ABSTRACT FROM AUTHOR","author":[{"dropping-particle":"","family":"Zigmont","given":"Victoria A","non-dropping-particle":"","parse-names":false,"suffix":""},{"dropping-particle":"","family":"Shoben","given":"Abigail B","non-dropping-particle":"","parse-names":false,"suffix":""},{"dropping-particle":"","family":"Kaye","given":"Gail L","non-dropping-particle":"","parse-names":false,"suffix":""},{"dropping-particle":"","family":"Snow","given":"Richard J","non-dropping-particle":"","parse-names":false,"suffix":""},{"dropping-particle":"","family":"Clinton","given":"Steven K","non-dropping-particle":"","parse-names":false,"suffix":""},{"dropping-particle":"","family":"Harris","given":"Randall E","non-dropping-particle":"","parse-names":false,"suffix":""},{"dropping-particle":"","family":"Olivo-Marston","given":"Susan E","non-dropping-particle":"","parse-names":false,"suffix":""}],"container-title":"American Journal of Health Promotion","id":"ITEM-3","issue":"6","issued":{"date-parts":[["2018"]]},"note":"Accession Number: 130506972; Author: Zigmont, Victoria A.: 1 email: vzigmont42@gmail.com. Author: Shoben, Abigail B.: 2 Author: Kaye, Gail L.: 3 Author: Snow, Richard J.: 4 Author: Clinton, Steven K.: 5 Author: Harris, Randall E.: 6 Author: Olivo-Marston, Susan E.: 6 ; Author Affiliation: 1 Department of Public Health, Southern Connecticut State University, New Haven, CT, USA: 2 Division of Biostatistics, College of Public Health, The Ohio State University, Columbus, OH, USA: 3 Division of Health Promotion, College of Public Health, The Ohio State University, Columbus, OH, USA: 4 Touro College of Osteopathic Medicine, Touro University, Vallejo, CA, USA: 5 Department of Internal Medicine, The Ohio State University College of Medicine, Columbus, OH, USA: 6 Division of Epidemiology, College of Public Health, The Ohio State University, Columbus, OH, USA; No. of Pages: 8; Language: English; Publication Type: journal article; Update Code: 20180706","page":"1417-1424","title":"An evaluation of reach for a work site implementation of the national diabetes prevention program focusing on diet and exercise.","type":"article-journal","volume":"32"},"uris":["http://www.mendeley.com/documents/?uuid=eadca763-b969-4148-b924-ba4cd499e859"]}],"mendeley":{"formattedCitation":"(Gray et al., 2016; Valabhji et al., 2020; Zigmont et al., 2018)","plainTextFormattedCitation":"(Gray et al., 2016; Valabhji et al., 2020; Zigmont et al., 2018)","previouslyFormattedCitation":"(Gray et al., 2016; Valabhji et al., 2020; Zigmont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(Gray et al., 2016; Valabhji et al., 2020; Zigmont et al., 2018)</w:t>
      </w:r>
      <w:r w:rsidRPr="00103A0B">
        <w:rPr>
          <w:rFonts w:ascii="Arial" w:hAnsi="Arial" w:cs="Arial"/>
          <w:sz w:val="24"/>
          <w:szCs w:val="24"/>
        </w:rPr>
        <w:fldChar w:fldCharType="end"/>
      </w:r>
      <w:r w:rsidRPr="00103A0B">
        <w:rPr>
          <w:rFonts w:ascii="Arial" w:hAnsi="Arial" w:cs="Arial"/>
          <w:sz w:val="24"/>
          <w:szCs w:val="24"/>
        </w:rPr>
        <w:t xml:space="preserve">. To allow diabetes prevention programmes to contribute to narrowing, rather than widening the health gap between the most and least deprived groups, this socio-economic bias in access should be addressed to better engage with the more </w:t>
      </w:r>
      <w:r w:rsidRPr="00103A0B">
        <w:rPr>
          <w:rFonts w:ascii="Arial" w:hAnsi="Arial" w:cs="Arial"/>
          <w:sz w:val="24"/>
          <w:szCs w:val="24"/>
        </w:rPr>
        <w:lastRenderedPageBreak/>
        <w:t xml:space="preserve">disadvantaged groups, who have the greatest health need and higher T2DM risk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Open","id":"ITEM-1","issued":{"date-parts":[["2014"]]},"page":"e005002","title":"Prevalence of prediabetes in England from 2003 to 2011: population-based, cross-sectional study","type":"article-journal","volume":"4"},"uris":["http://www.mendeley.com/documents/?uuid=3d8c06b2-c467-4cfa-b523-36fc0982e568"]}],"mendeley":{"formattedCitation":"(Mainous III et al., 2014)","plainTextFormattedCitation":"(Mainous III et al., 2014)","previouslyFormattedCitation":"(Mainous III et al., 2014)"},"properties":{"noteIndex":0},"schema":"https://github.com/citation-style-language/schema/raw/master/csl-citation.json"}</w:instrText>
      </w:r>
      <w:r w:rsidRPr="00103A0B">
        <w:rPr>
          <w:rFonts w:ascii="Arial" w:hAnsi="Arial" w:cs="Arial"/>
          <w:sz w:val="24"/>
          <w:szCs w:val="24"/>
        </w:rPr>
        <w:fldChar w:fldCharType="separate"/>
      </w:r>
      <w:r w:rsidR="00062570" w:rsidRPr="00103A0B">
        <w:rPr>
          <w:rFonts w:ascii="Arial" w:hAnsi="Arial" w:cs="Arial"/>
          <w:noProof/>
          <w:sz w:val="24"/>
          <w:szCs w:val="24"/>
        </w:rPr>
        <w:t>(Mainous III et al., 2014)</w:t>
      </w:r>
      <w:r w:rsidRPr="00103A0B">
        <w:rPr>
          <w:rFonts w:ascii="Arial" w:hAnsi="Arial" w:cs="Arial"/>
          <w:sz w:val="24"/>
          <w:szCs w:val="24"/>
        </w:rPr>
        <w:fldChar w:fldCharType="end"/>
      </w:r>
      <w:r w:rsidRPr="00103A0B">
        <w:rPr>
          <w:rFonts w:ascii="Arial" w:hAnsi="Arial" w:cs="Arial"/>
          <w:sz w:val="24"/>
          <w:szCs w:val="24"/>
        </w:rPr>
        <w:t xml:space="preserve">. </w:t>
      </w:r>
    </w:p>
    <w:p w14:paraId="0AB830C0" w14:textId="47F9282A" w:rsidR="00492C98" w:rsidRPr="00103A0B" w:rsidRDefault="006A4E64" w:rsidP="00CD5919">
      <w:pPr>
        <w:jc w:val="both"/>
        <w:rPr>
          <w:rFonts w:ascii="Arial" w:hAnsi="Arial" w:cs="Arial"/>
          <w:b/>
          <w:bCs/>
          <w:sz w:val="24"/>
          <w:szCs w:val="24"/>
        </w:rPr>
      </w:pPr>
      <w:r w:rsidRPr="00103A0B">
        <w:rPr>
          <w:rFonts w:ascii="Arial" w:hAnsi="Arial" w:cs="Arial"/>
          <w:b/>
          <w:bCs/>
          <w:sz w:val="24"/>
          <w:szCs w:val="24"/>
        </w:rPr>
        <w:t xml:space="preserve">7.4.2 </w:t>
      </w:r>
      <w:r w:rsidR="00492C98" w:rsidRPr="00103A0B">
        <w:rPr>
          <w:rFonts w:ascii="Arial" w:hAnsi="Arial" w:cs="Arial"/>
          <w:b/>
          <w:bCs/>
          <w:sz w:val="24"/>
          <w:szCs w:val="24"/>
        </w:rPr>
        <w:t xml:space="preserve">Completion </w:t>
      </w:r>
    </w:p>
    <w:p w14:paraId="50A34BC4" w14:textId="154FD42E" w:rsidR="006A4E64" w:rsidRPr="00103A0B" w:rsidRDefault="006A4E64" w:rsidP="00CD5919">
      <w:pPr>
        <w:spacing w:line="360" w:lineRule="auto"/>
        <w:jc w:val="both"/>
        <w:rPr>
          <w:rFonts w:ascii="Arial" w:hAnsi="Arial" w:cs="Arial"/>
          <w:sz w:val="24"/>
          <w:szCs w:val="24"/>
        </w:rPr>
      </w:pPr>
      <w:r w:rsidRPr="00103A0B">
        <w:rPr>
          <w:rFonts w:ascii="Arial" w:hAnsi="Arial" w:cs="Arial"/>
          <w:sz w:val="24"/>
          <w:szCs w:val="24"/>
        </w:rPr>
        <w:t xml:space="preserve">Overall, self-efficacy (among the psychological factors), and age (70-74 years) and programme area (among the demographic factors) were found to predict completion. Participants with higher SE levels (felt more confident in making lifestyle changes), were less likely to complete the NHSDPP. This finding was surprising, as it contrasts with research on other lifestyle behaviour change programmes, which reports that those with lower SE were more likely to drop out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uthor":[{"dropping-particle":"","family":"Bernier","given":"Michel","non-dropping-particle":"","parse-names":false,"suffix":""},{"dropping-particle":"","family":"Avard","given":"Jacqueline","non-dropping-particle":"","parse-names":false,"suffix":""}],"container-title":"Cognitive Therapy and Research","id":"ITEM-1","issue":"3","issued":{"date-parts":[["1986"]]},"page":"319-338","title":"Self-efficacy, outcome, and attrition in weight-reduction program","type":"article-journal","volume":"10"},"uris":["http://www.mendeley.com/documents/?uuid=bdc6575d-b477-48c3-90a4-7863e2488b55"]},{"id":"ITEM-2","itemData":{"ISSN":"1543267X","abstract":"This study investigated attrition in a 6-month physical activity intervention for older adults. The program was based on the social-cognitive theory incorporating self-efficacy factors. Two hundred forty-eight insufficiently active 65- to 74-year-olds were recruited from the Australian federal electoral roll. The intervention comprised walking and strength and flexibility exercises and was conducted in 30 local neighborhoods where the participants resided. Characteristics of individuals lost to attrition (n = 86, 35%) were compared with those of program completers (n = 162, 65%). Logistic-regression analysis showed that those lost to attrition came from areas of lower socioeconomic status, were overweight and less physically active, and had lower walking self-efficacy scores and higher loneliness scores. The results suggest that early assessment of these characteristics should be undertaken to identify individuals at risk of attrition, to improve retention, and to avoid potential bias. © 2007 Human Kinetics, Inc.","author":[{"dropping-particle":"","family":"Jancey","given":"Jonine","non-dropping-particle":"","parse-names":false,"suffix":""},{"dropping-particle":"","family":"Lee","given":"Andy","non-dropping-particle":"","parse-names":false,"suffix":""},{"dropping-particle":"","family":"Howat","given":"Peter","non-dropping-particle":"","parse-names":false,"suffix":""},{"dropping-particle":"","family":"Clarke","given":"Ann","non-dropping-particle":"","parse-names":false,"suffix":""},{"dropping-particle":"","family":"Wang","given":"Kui","non-dropping-particle":"","parse-names":false,"suffix":""},{"dropping-particle":"","family":"Shilton","given":"Trevor","non-dropping-particle":"","parse-names":false,"suffix":""}],"container-title":"Journal of Aging and Physical Activity","id":"ITEM-2","issue":"2","issued":{"date-parts":[["2007"]]},"page":"152-165","title":"Reducing attrition in physical activity programs for older adults","type":"article-journal","volume":"15"},"uris":["http://www.mendeley.com/documents/?uuid=92dd1e44-3c9e-4ca6-a0a5-cca50dc9df28"]},{"id":"ITEM-3","itemData":{"ISSN":"14795868","PMID":"27612561","abstract":"Background: The purpose of this study was to identify demographic, clinical, psychosocial, physical and environmental factors that are associated with participation in and adherence to a combined resistance and endurance exercise program among cancer survivors, shortly after completion of primary cancer treatment. Data from the randomized controlled Resistance and Endurance exercise After ChemoTherapy (REACT) study were used for this study. Methods: The participants of the REACT study were randomly allocated to either a high intensity (HI) or low-to-moderate intensity (LMI) exercise program. Patients' participation rate was defined as the cancer survivors' decision to participate in the REACT study. Exercise adherence reflected participants' attendance to the scheduled exercise sessions and their compliance to the prescribed exercises. High session attendance rates were defined as attending at least 80 % of the sessions. High compliance rates were defined as performing at least of 90 % of the prescribed exercise across all sessions. Correlates of exercise adherence were studied separately for HI and LMI exercise. Demographic, clinical, and physical factors were assessed using self-reported questionnaires. Relevant clinical information was extracted from medical records. Multivariable logistic regression analyses were applied to identify correlates that were significantly associated with participation, high session attendance, high compliance with resistance and high compliance with endurance exercises. Results: Participants were more likely to have higher education, be non-smokers, have lower psychological distress, higher outcome expectations, and perceive more exercise barriers than non-participants. In HI exercise, higher self-efficacy was significantly associated with high session attendance and high compliance with endurance exercises, and lower psychological distress was significantly associated with high compliance with resistance exercises. In LMI exercise, being a non-smoker was significantly associated with high compliance with resistance exercises and higher BMI was significantly associated with high compliance with resistance and endurance exercises. Furthermore, breast cancer survivors were less likely to report high compliance with resistance and endurance exercises in LMI exercise compared to survivors of other types of cancer. The discriminative ability of the multivariable models ranged from 0.62 to 0.75. Conclusion: Several demographic…","author":[{"dropping-particle":"","family":"Kampshoff","given":"Caroline S.","non-dropping-particle":"","parse-names":false,"suffix":""},{"dropping-particle":"","family":"Mechelen","given":"Willem","non-dropping-particle":"","parse-names":false,"suffix":""},{"dropping-particle":"","family":"Schep","given":"Goof","non-dropping-particle":"","parse-names":false,"suffix":""},{"dropping-particle":"","family":"Nijziel","given":"Marten R.","non-dropping-particle":"","parse-names":false,"suffix":""},{"dropping-particle":"","family":"Witlox","given":"Lenja","non-dropping-particle":"","parse-names":false,"suffix":""},{"dropping-particle":"","family":"Bosman","given":"Lisa","non-dropping-particle":"","parse-names":false,"suffix":""},{"dropping-particle":"","family":"Chinapaw","given":"Mai J.M.","non-dropping-particle":"","parse-names":false,"suffix":""},{"dropping-particle":"","family":"Brug","given":"Johannes","non-dropping-particle":"","parse-names":false,"suffix":""},{"dropping-particle":"","family":"Buffart","given":"Laurien M.","non-dropping-particle":"","parse-names":false,"suffix":""}],"container-title":"International Journal of Behavioral Nutrition and Physical Activity","id":"ITEM-3","issued":{"date-parts":[["2016"]]},"page":"100","publisher":"International Journal of Behavioral Nutrition and Physical Activity","title":"Participation in and adherence to physical exercise after completion of primary cancer treatment","type":"article-journal","volume":"13"},"uris":["http://www.mendeley.com/documents/?uuid=278d7aff-d6ba-4e39-8ace-5c16057e7469"]},{"id":"ITEM-4","itemData":{"DOI":"10.1016/S0163-8343(02)00179-2","ISSN":"01638343","PMID":"12062136","abstract":"Cardiovascular disease (CVD) is the leading cause of death and disability for women and men. Substantial health risks continue following ischemic coronary events (ICEs), but secondary prevention efforts, including cardiac rehabilitation (CR), have beneficial effects on both early and late mortality and morbidity. This prospective study examined the relationship among psychosocial factors and CR referral and participation patterns in 906 (586 men, 320 women) patients from the coronary intensive care unit (CICU) over the course of six months. Only 30% of participants were referred to CR programs, with significantly fewer women being referred. A logistic regression analysis was used to determine whether depression, anxiety, self-efficacy, or social support predicted CR participation six months following an ICE, while controlling for sociodemographic factors. Results show that higher family income, greater anxiety symptomatology, and higher self-efficacy were significantly predictive of CR participation at six months. Implications for women's recovery from an ICE are discussed. © 2002 Elsevier Science Inc. All rights reserved.","author":[{"dropping-particle":"","family":"Grace","given":"Sherry L.","non-dropping-particle":"","parse-names":false,"suffix":""},{"dropping-particle":"","family":"Abbey","given":"Susan E.","non-dropping-particle":"","parse-names":false,"suffix":""},{"dropping-particle":"","family":"Shnek","given":"Zachary M.","non-dropping-particle":"","parse-names":false,"suffix":""},{"dropping-particle":"","family":"Irvine","given":"Jane","non-dropping-particle":"","parse-names":false,"suffix":""},{"dropping-particle":"","family":"Franche","given":"Renée Louise","non-dropping-particle":"","parse-names":false,"suffix":""},{"dropping-particle":"","family":"Stewart","given":"Donna E.","non-dropping-particle":"","parse-names":false,"suffix":""}],"container-title":"General Hospital Psychiatry","id":"ITEM-4","issue":"3","issued":{"date-parts":[["2002"]]},"page":"127-134","title":"Cardiac rehabilitation II: referral and participation","type":"article-journal","volume":"24"},"uris":["http://www.mendeley.com/documents/?uuid=15b1d444-7c5e-4d66-9fc8-6746405f760a"]}],"mendeley":{"formattedCitation":"(Bernier &amp; Avard, 1986; Grace et al., 2002; Jancey et al., 2007; Kampshoff et al., 2016)","plainTextFormattedCitation":"(Bernier &amp; Avard, 1986; Grace et al., 2002; Jancey et al., 2007; Kampshoff et al., 2016)","previouslyFormattedCitation":"(Bernier &amp; Avard, 1986; Grace et al., 2002; Jancey et al., 2007; Kampshoff et al.,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(Bernier &amp; Avard, 1986; Grace et al., 2002; Jancey et al., 2007; Kampshoff et al., 2016)</w:t>
      </w:r>
      <w:r w:rsidRPr="00103A0B">
        <w:rPr>
          <w:rFonts w:ascii="Arial" w:hAnsi="Arial" w:cs="Arial"/>
          <w:sz w:val="24"/>
          <w:szCs w:val="24"/>
        </w:rPr>
        <w:fldChar w:fldCharType="end"/>
      </w:r>
      <w:r w:rsidRPr="00103A0B">
        <w:rPr>
          <w:rFonts w:ascii="Arial" w:hAnsi="Arial" w:cs="Arial"/>
          <w:sz w:val="24"/>
          <w:szCs w:val="24"/>
        </w:rPr>
        <w:t xml:space="preserve">. A possibility is that it could reflect people with higher SE feeling that they already had the skills to make the required lifestyle changes, so no longer needed the programme. It would be helpful to explore different techniques of encouraging people to complete whole programmes, for example, providing incentives for participating at different points in the programme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{"citationItems":[{"id":"ITEM-1","itemData":{"ISSN":"18728227","PMID":"32590009","abstract":"Background: Many countries worldwide have developed diabetes prevention programmes (DPPs) that involve lifestyle modification. Research has shown that uptake and retention of DPPs are important and by exploring recruitment strategies and behaviour change techniques (BCTs) used, factors that are most effective in promoting uptake and retention can be identified. Objectives: This review aims to identify recruitment strategies of group-based DPPs that are associated with high uptake and common BCTs associated with high retention. Methods: Papers were identified with a systematic literature search. Programmes that were predominantly group-based and involved lifestyle modification and in which uptake and/or retention could be determined, were included. Intervention details were extracted, recruitment strategies and BCTs identified, and response, uptake and retention rates were calculated. Results: A range of recruitment strategies were used making it difficult to discern associations with uptake rates. For BCTs, all programmes used a credible source, 81% used instruction on how to perform a behaviour and 71% used goal setting (behaviour). BCTs more commonly found in high retention programmes included problem-solving, demonstrating the behaviour, using behavioural practice and reducing negative emotions. Conclusions: Recommendations include that DPPs incorporate BCTs like problem-solving and demonstrating the behaviour to maximise retention.","author":[{"dropping-particle":"","family":"Begum","given":"S.","non-dropping-particle":"","parse-names":false,"suffix":""},{"dropping-particle":"","family":"Povey","given":"Rachel","non-dropping-particle":"","parse-names":false,"suffix":""},{"dropping-particle":"","family":"Ellis","given":"Naomi","non-dropping-particle":"","parse-names":false,"suffix":""},{"dropping-particle":"","family":"Gidlow","given":"Christopher","non-dropping-particle":"","parse-names":false,"suffix":""}],"container-title":"Diabetes Research and Clinical Practice","id":"ITEM-1","issued":{"date-parts":[["2020"]]},"page":"108273","publisher":"Elsevier B.V.","title":"A systematic review of recruitment strategies and behaviour change techniques in group-based diabetes prevention programmes focusing on uptake and retention","type":"article-journal","volume":"166"},"uris":["http://www.mendeley.com/documents/?uuid=03ce2dc0-3f18-4f55-8c0f-2007752fc2e2"]}],"mendeley":{"formattedCitation":"(S. Begum et al., 2020)","plainTextFormattedCitation":"(S. Begum et al., 2020)","previouslyFormattedCitation":"(Begum et al., 2020)"},"properties":{"noteIndex":0},"schema":"https://github.com/citation-style-language/schema/raw/master/csl-citation.json"}</w:instrText>
      </w:r>
      <w:r w:rsidRPr="00103A0B">
        <w:rPr>
          <w:rFonts w:ascii="Arial" w:hAnsi="Arial" w:cs="Arial"/>
          <w:sz w:val="24"/>
          <w:szCs w:val="24"/>
        </w:rPr>
        <w:fldChar w:fldCharType="separate"/>
      </w:r>
      <w:r w:rsidR="00591FE2" w:rsidRPr="00103A0B">
        <w:rPr>
          <w:rFonts w:ascii="Arial" w:hAnsi="Arial" w:cs="Arial"/>
          <w:noProof/>
          <w:sz w:val="24"/>
          <w:szCs w:val="24"/>
        </w:rPr>
        <w:t>(Begum et al., 2020)</w:t>
      </w:r>
      <w:r w:rsidRPr="00103A0B">
        <w:rPr>
          <w:rFonts w:ascii="Arial" w:hAnsi="Arial" w:cs="Arial"/>
          <w:sz w:val="24"/>
          <w:szCs w:val="24"/>
        </w:rPr>
        <w:fldChar w:fldCharType="end"/>
      </w:r>
      <w:r w:rsidRPr="00103A0B">
        <w:rPr>
          <w:rFonts w:ascii="Arial" w:hAnsi="Arial" w:cs="Arial"/>
          <w:sz w:val="24"/>
          <w:szCs w:val="24"/>
        </w:rPr>
        <w:t xml:space="preserve">. It would also be interesting to explore more deeply the views of completers and non-completers using qualitative data, and reasons why people leave the programme before completing.  </w:t>
      </w:r>
    </w:p>
    <w:p w14:paraId="6A6D2361" w14:textId="61E095C0" w:rsidR="00310843" w:rsidRPr="00103A0B" w:rsidRDefault="006A4E64" w:rsidP="00CD5919">
      <w:pPr>
        <w:spacing w:line="360" w:lineRule="auto"/>
        <w:jc w:val="both"/>
        <w:rPr>
          <w:rFonts w:ascii="Arial" w:hAnsi="Arial" w:cs="Arial"/>
          <w:sz w:val="24"/>
          <w:szCs w:val="24"/>
        </w:rPr>
      </w:pPr>
      <w:proofErr w:type="gramStart"/>
      <w:r w:rsidRPr="00103A0B">
        <w:rPr>
          <w:rFonts w:ascii="Arial" w:hAnsi="Arial" w:cs="Arial"/>
          <w:sz w:val="24"/>
          <w:szCs w:val="24"/>
        </w:rPr>
        <w:t>Similar to</w:t>
      </w:r>
      <w:proofErr w:type="gramEnd"/>
      <w:r w:rsidRPr="00103A0B">
        <w:rPr>
          <w:rFonts w:ascii="Arial" w:hAnsi="Arial" w:cs="Arial"/>
          <w:sz w:val="24"/>
          <w:szCs w:val="24"/>
        </w:rPr>
        <w:t xml:space="preserve"> attendance, older adults (aged 70-74 years) were more likely to complete the programme than younger adults. Again, this could be due to having fewer work or caring commitments, allowing more time to complete a 9-month programme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Open","id":"ITEM-1","issued":{"date-parts":[["2019"]]},"page":"e028491","title":"Users ’ experiences of a pragmatic diabetes prevention intervention implemented in primary care: qualitative study","type":"article-journal","volume":"9"},"uris":["http://www.mendeley.com/documents/?uuid=883930c4-afe2-4928-a344-24e5a77c114f"]}],"mendeley":{"formattedCitation":"(Aujla et al., 2019)","plainTextFormattedCitation":"(Aujla et al., 2019)","previouslyFormattedCitation":"(Aujla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(Aujla et al., 2019)</w:t>
      </w:r>
      <w:r w:rsidRPr="00103A0B">
        <w:rPr>
          <w:rFonts w:ascii="Arial" w:hAnsi="Arial" w:cs="Arial"/>
          <w:sz w:val="24"/>
          <w:szCs w:val="24"/>
        </w:rPr>
        <w:fldChar w:fldCharType="end"/>
      </w:r>
      <w:r w:rsidRPr="00103A0B">
        <w:rPr>
          <w:rFonts w:ascii="Arial" w:hAnsi="Arial" w:cs="Arial"/>
          <w:sz w:val="24"/>
          <w:szCs w:val="24"/>
        </w:rPr>
        <w:t xml:space="preserve">. Further qualitative exploration would be helpful to provide an insight as to the challenges to completing for those aged under 40. West Yorkshire was found to have the lowest completion rates in this study which is interesting, as data from the National Diabetes Audit that found West Yorkshire to have the highest uptake rates out of the programmes areas included in this study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{"citationItems":[{"id":"ITEM-1","itemData":{"author":[{"dropping-particle":"","family":"NHS Digital","given":"","non-dropping-particle":"","parse-names":false,"suffix":""}],"id":"ITEM-1","issued":{"date-parts":[["2020"]]},"title":"Non-diabetic hyperglycaemia, quarter 2 2019-20: diagnoses and demographics","type":"report"},"uris":["http://www.mendeley.com/documents/?uuid=451cca59-ead5-4d17-8101-88c5ac1dba57"]}],"mendeley":{"formattedCitation":"(NHS Digital, 2020a)","plainTextFormattedCitation":"(NHS Digital, 2020a)","previouslyFormattedCitation":"(NHS Digital, 2020a)"},"properties":{"noteIndex":0},"schema":"https://github.com/citation-style-language/schema/raw/master/csl-citation.json"}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Digital, 2020a)</w:t>
      </w:r>
      <w:r w:rsidRPr="00103A0B">
        <w:rPr>
          <w:rFonts w:ascii="Arial" w:hAnsi="Arial" w:cs="Arial"/>
          <w:sz w:val="24"/>
          <w:szCs w:val="24"/>
        </w:rPr>
        <w:fldChar w:fldCharType="end"/>
      </w:r>
      <w:r w:rsidRPr="00103A0B">
        <w:rPr>
          <w:rFonts w:ascii="Arial" w:hAnsi="Arial" w:cs="Arial"/>
          <w:sz w:val="24"/>
          <w:szCs w:val="24"/>
        </w:rPr>
        <w:t xml:space="preserve">. This demonstrates that although uptake to the programme might be high, this does not necessarily mean high completion rates will be achieved. Those living in other programme areas were more likely to complete the NHSDPP when compared to West Yorkshire and further exploration as to why this is the case would help improve completion rates at a local level. </w:t>
      </w:r>
    </w:p>
    <w:p w14:paraId="1DC3C9B0" w14:textId="7B1D3149" w:rsidR="005F078A" w:rsidRPr="00103A0B" w:rsidRDefault="005F078A" w:rsidP="00CD5919">
      <w:pPr>
        <w:spacing w:line="360" w:lineRule="auto"/>
        <w:jc w:val="both"/>
        <w:rPr>
          <w:rFonts w:ascii="Arial" w:hAnsi="Arial" w:cs="Arial"/>
          <w:sz w:val="24"/>
          <w:szCs w:val="24"/>
        </w:rPr>
      </w:pPr>
    </w:p>
    <w:p w14:paraId="29F8C13F" w14:textId="77777777" w:rsidR="005F078A" w:rsidRPr="00103A0B" w:rsidRDefault="005F078A" w:rsidP="00CD5919">
      <w:pPr>
        <w:spacing w:line="360" w:lineRule="auto"/>
        <w:jc w:val="both"/>
        <w:rPr>
          <w:rFonts w:ascii="Arial" w:hAnsi="Arial" w:cs="Arial"/>
          <w:sz w:val="24"/>
          <w:szCs w:val="24"/>
        </w:rPr>
      </w:pPr>
    </w:p>
    <w:p w14:paraId="4368CC29" w14:textId="2052A29B" w:rsidR="00492C98" w:rsidRPr="00103A0B" w:rsidRDefault="006A4E64" w:rsidP="005F078A">
      <w:pPr>
        <w:keepLines/>
        <w:jc w:val="both"/>
        <w:rPr>
          <w:rFonts w:ascii="Arial" w:hAnsi="Arial" w:cs="Arial"/>
          <w:b/>
          <w:bCs/>
          <w:sz w:val="24"/>
          <w:szCs w:val="24"/>
        </w:rPr>
      </w:pPr>
      <w:r w:rsidRPr="00103A0B">
        <w:rPr>
          <w:rFonts w:ascii="Arial" w:hAnsi="Arial" w:cs="Arial"/>
          <w:b/>
          <w:bCs/>
          <w:sz w:val="24"/>
          <w:szCs w:val="24"/>
        </w:rPr>
        <w:lastRenderedPageBreak/>
        <w:t xml:space="preserve">7.4.3 </w:t>
      </w:r>
      <w:r w:rsidR="00492C98" w:rsidRPr="00103A0B">
        <w:rPr>
          <w:rFonts w:ascii="Arial" w:hAnsi="Arial" w:cs="Arial"/>
          <w:b/>
          <w:bCs/>
          <w:sz w:val="24"/>
          <w:szCs w:val="24"/>
        </w:rPr>
        <w:t xml:space="preserve">Strengths, </w:t>
      </w:r>
      <w:r w:rsidRPr="00103A0B">
        <w:rPr>
          <w:rFonts w:ascii="Arial" w:hAnsi="Arial" w:cs="Arial"/>
          <w:b/>
          <w:bCs/>
          <w:sz w:val="24"/>
          <w:szCs w:val="24"/>
        </w:rPr>
        <w:t>L</w:t>
      </w:r>
      <w:r w:rsidR="00492C98" w:rsidRPr="00103A0B">
        <w:rPr>
          <w:rFonts w:ascii="Arial" w:hAnsi="Arial" w:cs="Arial"/>
          <w:b/>
          <w:bCs/>
          <w:sz w:val="24"/>
          <w:szCs w:val="24"/>
        </w:rPr>
        <w:t xml:space="preserve">imitations and </w:t>
      </w:r>
      <w:r w:rsidRPr="00103A0B">
        <w:rPr>
          <w:rFonts w:ascii="Arial" w:hAnsi="Arial" w:cs="Arial"/>
          <w:b/>
          <w:bCs/>
          <w:sz w:val="24"/>
          <w:szCs w:val="24"/>
        </w:rPr>
        <w:t>F</w:t>
      </w:r>
      <w:r w:rsidR="00492C98" w:rsidRPr="00103A0B">
        <w:rPr>
          <w:rFonts w:ascii="Arial" w:hAnsi="Arial" w:cs="Arial"/>
          <w:b/>
          <w:bCs/>
          <w:sz w:val="24"/>
          <w:szCs w:val="24"/>
        </w:rPr>
        <w:t xml:space="preserve">uture </w:t>
      </w:r>
      <w:r w:rsidRPr="00103A0B">
        <w:rPr>
          <w:rFonts w:ascii="Arial" w:hAnsi="Arial" w:cs="Arial"/>
          <w:b/>
          <w:bCs/>
          <w:sz w:val="24"/>
          <w:szCs w:val="24"/>
        </w:rPr>
        <w:t>R</w:t>
      </w:r>
      <w:r w:rsidR="00492C98" w:rsidRPr="00103A0B">
        <w:rPr>
          <w:rFonts w:ascii="Arial" w:hAnsi="Arial" w:cs="Arial"/>
          <w:b/>
          <w:bCs/>
          <w:sz w:val="24"/>
          <w:szCs w:val="24"/>
        </w:rPr>
        <w:t xml:space="preserve">esearch </w:t>
      </w:r>
    </w:p>
    <w:p w14:paraId="2DED736E" w14:textId="77777777" w:rsidR="004E03DA" w:rsidRPr="00103A0B" w:rsidRDefault="004E03DA" w:rsidP="00CD5919">
      <w:pPr>
        <w:spacing w:line="360" w:lineRule="auto"/>
        <w:jc w:val="both"/>
        <w:rPr>
          <w:rFonts w:ascii="Arial" w:hAnsi="Arial" w:cs="Arial"/>
          <w:sz w:val="24"/>
          <w:szCs w:val="24"/>
        </w:rPr>
      </w:pPr>
      <w:r w:rsidRPr="00103A0B">
        <w:rPr>
          <w:rFonts w:ascii="Arial" w:hAnsi="Arial" w:cs="Arial"/>
          <w:sz w:val="24"/>
          <w:szCs w:val="24"/>
        </w:rPr>
        <w:t xml:space="preserve">This is the first study to show the extent to which psychological factors influence uptake and completion of a diabetes prevention programme. Study strengths include the large sample, the use of validated measures and the geographical spread. </w:t>
      </w:r>
    </w:p>
    <w:p w14:paraId="38A46226" w14:textId="060774DF" w:rsidR="008965BF" w:rsidRPr="00103A0B" w:rsidRDefault="004E03DA" w:rsidP="003C30B6">
      <w:pPr>
        <w:spacing w:line="360" w:lineRule="auto"/>
        <w:jc w:val="both"/>
        <w:rPr>
          <w:rFonts w:ascii="Arial" w:hAnsi="Arial" w:cs="Arial"/>
          <w:sz w:val="24"/>
          <w:szCs w:val="24"/>
        </w:rPr>
      </w:pPr>
      <w:r w:rsidRPr="00103A0B">
        <w:rPr>
          <w:rFonts w:ascii="Arial" w:hAnsi="Arial" w:cs="Arial"/>
          <w:sz w:val="24"/>
          <w:szCs w:val="24"/>
        </w:rPr>
        <w:t xml:space="preserve">Limitations are recognised. First, a substantial proportion of uptake, ethnicity, IPQ and SE data were missing. The study results may not be representative of the wider cohort, however, </w:t>
      </w:r>
      <w:proofErr w:type="gramStart"/>
      <w:r w:rsidRPr="00103A0B">
        <w:rPr>
          <w:rFonts w:ascii="Arial" w:hAnsi="Arial" w:cs="Arial"/>
          <w:sz w:val="24"/>
          <w:szCs w:val="24"/>
        </w:rPr>
        <w:t>in order to</w:t>
      </w:r>
      <w:proofErr w:type="gramEnd"/>
      <w:r w:rsidRPr="00103A0B">
        <w:rPr>
          <w:rFonts w:ascii="Arial" w:hAnsi="Arial" w:cs="Arial"/>
          <w:sz w:val="24"/>
          <w:szCs w:val="24"/>
        </w:rPr>
        <w:t xml:space="preserve"> account for this, we took a cautious approach through using multiple imputation and focusing on associations that held in analysis of both original and imputed datasets. Second, some caution should be taken with the results as in many cases, wide confidence intervals, particularly for age and programme areas (for completion only), indicate that the estimates were not very precise. Multi-level logistic regression could not be conducted as there was not </w:t>
      </w:r>
      <w:proofErr w:type="gramStart"/>
      <w:r w:rsidRPr="00103A0B">
        <w:rPr>
          <w:rFonts w:ascii="Arial" w:hAnsi="Arial" w:cs="Arial"/>
          <w:sz w:val="24"/>
          <w:szCs w:val="24"/>
        </w:rPr>
        <w:t>a sufficient number of</w:t>
      </w:r>
      <w:proofErr w:type="gramEnd"/>
      <w:r w:rsidRPr="00103A0B">
        <w:rPr>
          <w:rFonts w:ascii="Arial" w:hAnsi="Arial" w:cs="Arial"/>
          <w:sz w:val="24"/>
          <w:szCs w:val="24"/>
        </w:rPr>
        <w:t xml:space="preserve"> areas or homogeneity in delivery across the areas. Third, it is worth noting that regression models accounted for a relatively small amount of variance (8% for uptake, 12.2% for completion), meaning that there are other important predictors that were not measured.</w:t>
      </w:r>
    </w:p>
    <w:p w14:paraId="7A350C11" w14:textId="1D713583" w:rsidR="00AE1B47" w:rsidRPr="00103A0B" w:rsidRDefault="00F7467C" w:rsidP="00AE1B47">
      <w:pPr>
        <w:pStyle w:val="NormalWeb"/>
        <w:spacing w:after="0" w:line="360" w:lineRule="auto"/>
        <w:contextualSpacing/>
        <w:jc w:val="both"/>
        <w:rPr>
          <w:rFonts w:ascii="Arial" w:hAnsi="Arial" w:cs="Arial"/>
        </w:rPr>
      </w:pPr>
      <w:bookmarkStart w:id="397" w:name="_Hlk121828890"/>
      <w:r w:rsidRPr="00103A0B">
        <w:rPr>
          <w:rFonts w:ascii="Arial" w:hAnsi="Arial" w:cs="Arial"/>
        </w:rPr>
        <w:t>T</w:t>
      </w:r>
      <w:r w:rsidR="00AE1B47" w:rsidRPr="00103A0B">
        <w:rPr>
          <w:rFonts w:ascii="Arial" w:hAnsi="Arial" w:cs="Arial"/>
        </w:rPr>
        <w:t xml:space="preserve">he data used for this study were routinely collected by the local provider as part of their service evaluation and were classified as secondary data. Secondary data can be defined as sources of data that already exist which can be used for research purposes </w:t>
      </w:r>
      <w:r w:rsidR="00AE1B47" w:rsidRPr="00103A0B">
        <w:rPr>
          <w:rFonts w:ascii="Arial" w:hAnsi="Arial" w:cs="Arial"/>
        </w:rPr>
        <w:fldChar w:fldCharType="begin" w:fldLock="1"/>
      </w:r>
      <w:r w:rsidR="00AE1B47" w:rsidRPr="00103A0B">
        <w:rPr>
          <w:rFonts w:ascii="Arial" w:hAnsi="Arial" w:cs="Arial"/>
        </w:rPr>
        <w:instrText>ADDIN CSL_CITATION {"citationItems":[{"id":"ITEM-1","itemData":{"author":[{"dropping-particle":"","family":"Bowling","given":"A.","non-dropping-particle":"","parse-names":false,"suffix":""}],"edition":"4th","id":"ITEM-1","issued":{"date-parts":[["2014"]]},"number-of-pages":"1-448","publisher":"Open University Press","publisher-place":"Maidenhead","title":"Research methods in health: investigating health and health services","type":"book"},"uris":["http://www.mendeley.com/documents/?uuid=09c8f41f-4f19-49a8-9dd9-1523b54c910d"]}],"mendeley":{"formattedCitation":"(Bowling, 2014)","plainTextFormattedCitation":"(Bowling, 2014)","previouslyFormattedCitation":"(Bowling, 2014)"},"properties":{"noteIndex":0},"schema":"https://github.com/citation-style-language/schema/raw/master/csl-citation.json"}</w:instrText>
      </w:r>
      <w:r w:rsidR="00AE1B47" w:rsidRPr="00103A0B">
        <w:rPr>
          <w:rFonts w:ascii="Arial" w:hAnsi="Arial" w:cs="Arial"/>
        </w:rPr>
        <w:fldChar w:fldCharType="separate"/>
      </w:r>
      <w:r w:rsidR="00AE1B47" w:rsidRPr="00103A0B">
        <w:rPr>
          <w:rFonts w:ascii="Arial" w:hAnsi="Arial" w:cs="Arial"/>
          <w:noProof/>
        </w:rPr>
        <w:t>(Bowling, 2014)</w:t>
      </w:r>
      <w:r w:rsidR="00AE1B47" w:rsidRPr="00103A0B">
        <w:rPr>
          <w:rFonts w:ascii="Arial" w:hAnsi="Arial" w:cs="Arial"/>
        </w:rPr>
        <w:fldChar w:fldCharType="end"/>
      </w:r>
      <w:r w:rsidR="00AE1B47" w:rsidRPr="00103A0B">
        <w:rPr>
          <w:rFonts w:ascii="Arial" w:hAnsi="Arial" w:cs="Arial"/>
        </w:rPr>
        <w:t xml:space="preserve">. </w:t>
      </w:r>
      <w:r w:rsidRPr="00103A0B">
        <w:rPr>
          <w:rFonts w:ascii="Arial" w:hAnsi="Arial" w:cs="Arial"/>
        </w:rPr>
        <w:t>One</w:t>
      </w:r>
      <w:r w:rsidR="00AE1B47" w:rsidRPr="00103A0B">
        <w:rPr>
          <w:rFonts w:ascii="Arial" w:hAnsi="Arial" w:cs="Arial"/>
        </w:rPr>
        <w:t xml:space="preserve"> limitation of using service evaluation data is that the researcher has no or limited control over data collection or quality. There were a lot of missing data, particularly questionnaire data (brief-IPQ and NGS-ES), and out of the 10,739 individuals referred to the NHSDPP who attended the IA, complete outcome data were only available for 3,756 participants. This could mean results may not be representative of the wider cohort. However, a large sample was still used for the analysis, there were no major differences between those included and excluded in the logistic regression analysis for uptake, and associations that held in analysis of both original and imputed datasets were discussed. Furthermore, a benefit of using service evaluation data is that usually these data are collected in a rigorous, systematic way as health organisations aim to assess the effectiveness of their services/programmes in achieving their predefined objectives </w:t>
      </w:r>
      <w:r w:rsidR="00AE1B47" w:rsidRPr="00103A0B">
        <w:rPr>
          <w:rFonts w:ascii="Arial" w:hAnsi="Arial" w:cs="Arial"/>
        </w:rPr>
        <w:fldChar w:fldCharType="begin" w:fldLock="1"/>
      </w:r>
      <w:r w:rsidR="00AE1B47" w:rsidRPr="00103A0B">
        <w:rPr>
          <w:rFonts w:ascii="Arial" w:hAnsi="Arial" w:cs="Arial"/>
        </w:rPr>
        <w:instrText>ADDIN CSL_CITATION {"citationItems":[{"id":"ITEM-1","itemData":{"author":[{"dropping-particle":"","family":"Bowling","given":"A.","non-dropping-particle":"","parse-names":false,"suffix":""}],"edition":"4th","id":"ITEM-1","issued":{"date-parts":[["2014"]]},"number-of-pages":"1-448","publisher":"Open University Press","publisher-place":"Maidenhead","title":"Research methods in health: investigating health and health services","type":"book"},"uris":["http://www.mendeley.com/documents/?uuid=09c8f41f-4f19-49a8-9dd9-1523b54c910d"]}],"mendeley":{"formattedCitation":"(Bowling, 2014)","plainTextFormattedCitation":"(Bowling, 2014)","previouslyFormattedCitation":"(Bowling, 2014)"},"properties":{"noteIndex":0},"schema":"https://github.com/citation-style-language/schema/raw/master/csl-citation.json"}</w:instrText>
      </w:r>
      <w:r w:rsidR="00AE1B47" w:rsidRPr="00103A0B">
        <w:rPr>
          <w:rFonts w:ascii="Arial" w:hAnsi="Arial" w:cs="Arial"/>
        </w:rPr>
        <w:fldChar w:fldCharType="separate"/>
      </w:r>
      <w:r w:rsidR="00AE1B47" w:rsidRPr="00103A0B">
        <w:rPr>
          <w:rFonts w:ascii="Arial" w:hAnsi="Arial" w:cs="Arial"/>
          <w:noProof/>
        </w:rPr>
        <w:t>(Bowling, 2014)</w:t>
      </w:r>
      <w:r w:rsidR="00AE1B47" w:rsidRPr="00103A0B">
        <w:rPr>
          <w:rFonts w:ascii="Arial" w:hAnsi="Arial" w:cs="Arial"/>
        </w:rPr>
        <w:fldChar w:fldCharType="end"/>
      </w:r>
      <w:r w:rsidR="00AE1B47" w:rsidRPr="00103A0B">
        <w:rPr>
          <w:rFonts w:ascii="Arial" w:hAnsi="Arial" w:cs="Arial"/>
        </w:rPr>
        <w:t xml:space="preserve">. </w:t>
      </w:r>
    </w:p>
    <w:p w14:paraId="51AEA29A" w14:textId="33A0DB0B" w:rsidR="00AE1B47" w:rsidRPr="00103A0B" w:rsidRDefault="00AE1B47" w:rsidP="00AE1B47">
      <w:pPr>
        <w:pStyle w:val="NormalWeb"/>
        <w:spacing w:after="0" w:line="360" w:lineRule="auto"/>
        <w:contextualSpacing/>
        <w:jc w:val="both"/>
        <w:rPr>
          <w:rFonts w:ascii="Arial" w:hAnsi="Arial" w:cs="Arial"/>
        </w:rPr>
      </w:pPr>
    </w:p>
    <w:p w14:paraId="0B81F374" w14:textId="5C7F79D1" w:rsidR="008965BF" w:rsidRPr="00103A0B" w:rsidRDefault="00F7467C" w:rsidP="000A30CA">
      <w:pPr>
        <w:pStyle w:val="NormalWeb"/>
        <w:spacing w:after="0" w:line="360" w:lineRule="auto"/>
        <w:contextualSpacing/>
        <w:jc w:val="both"/>
        <w:rPr>
          <w:rFonts w:ascii="Arial" w:hAnsi="Arial" w:cs="Arial"/>
          <w:strike/>
        </w:rPr>
      </w:pPr>
      <w:r w:rsidRPr="00103A0B">
        <w:rPr>
          <w:rFonts w:ascii="Arial" w:hAnsi="Arial" w:cs="Arial"/>
        </w:rPr>
        <w:lastRenderedPageBreak/>
        <w:t>Finally</w:t>
      </w:r>
      <w:r w:rsidR="00AE1B47" w:rsidRPr="00103A0B">
        <w:rPr>
          <w:rFonts w:ascii="Arial" w:hAnsi="Arial" w:cs="Arial"/>
        </w:rPr>
        <w:t xml:space="preserve">, this study only used </w:t>
      </w:r>
      <w:r w:rsidR="00DA222C" w:rsidRPr="00103A0B">
        <w:rPr>
          <w:rFonts w:ascii="Arial" w:hAnsi="Arial" w:cs="Arial"/>
        </w:rPr>
        <w:t>quantitative</w:t>
      </w:r>
      <w:r w:rsidR="00AE1B47" w:rsidRPr="00103A0B">
        <w:rPr>
          <w:rFonts w:ascii="Arial" w:hAnsi="Arial" w:cs="Arial"/>
        </w:rPr>
        <w:t xml:space="preserve"> data. Although, </w:t>
      </w:r>
      <w:r w:rsidR="0030639A" w:rsidRPr="00103A0B">
        <w:rPr>
          <w:rFonts w:ascii="Arial" w:hAnsi="Arial" w:cs="Arial"/>
        </w:rPr>
        <w:t xml:space="preserve">using a </w:t>
      </w:r>
      <w:r w:rsidR="00DA222C" w:rsidRPr="00103A0B">
        <w:rPr>
          <w:rFonts w:ascii="Arial" w:hAnsi="Arial" w:cs="Arial"/>
        </w:rPr>
        <w:t>quantitative</w:t>
      </w:r>
      <w:r w:rsidR="00AE1B47" w:rsidRPr="00103A0B">
        <w:rPr>
          <w:rFonts w:ascii="Arial" w:hAnsi="Arial" w:cs="Arial"/>
        </w:rPr>
        <w:t xml:space="preserve"> </w:t>
      </w:r>
      <w:r w:rsidR="0030639A" w:rsidRPr="00103A0B">
        <w:rPr>
          <w:rFonts w:ascii="Arial" w:hAnsi="Arial" w:cs="Arial"/>
        </w:rPr>
        <w:t xml:space="preserve">approach can generate objective, replicable data, </w:t>
      </w:r>
      <w:r w:rsidR="00AE1B47" w:rsidRPr="00103A0B">
        <w:rPr>
          <w:rFonts w:ascii="Arial" w:hAnsi="Arial" w:cs="Arial"/>
        </w:rPr>
        <w:t xml:space="preserve">it has limits </w:t>
      </w:r>
      <w:r w:rsidRPr="00103A0B">
        <w:rPr>
          <w:rFonts w:ascii="Arial" w:hAnsi="Arial" w:cs="Arial"/>
        </w:rPr>
        <w:t>in</w:t>
      </w:r>
      <w:r w:rsidR="00AE1B47" w:rsidRPr="00103A0B">
        <w:rPr>
          <w:rFonts w:ascii="Arial" w:hAnsi="Arial" w:cs="Arial"/>
        </w:rPr>
        <w:t xml:space="preserve"> providing </w:t>
      </w:r>
      <w:r w:rsidR="0030639A" w:rsidRPr="00103A0B">
        <w:rPr>
          <w:rFonts w:ascii="Arial" w:hAnsi="Arial" w:cs="Arial"/>
        </w:rPr>
        <w:t xml:space="preserve">a richer insight </w:t>
      </w:r>
      <w:r w:rsidR="00AE1B47" w:rsidRPr="00103A0B">
        <w:rPr>
          <w:rFonts w:ascii="Arial" w:hAnsi="Arial" w:cs="Arial"/>
        </w:rPr>
        <w:t>in</w:t>
      </w:r>
      <w:r w:rsidR="0030639A" w:rsidRPr="00103A0B">
        <w:rPr>
          <w:rFonts w:ascii="Arial" w:hAnsi="Arial" w:cs="Arial"/>
        </w:rPr>
        <w:t>to the facilitators and barriers</w:t>
      </w:r>
      <w:r w:rsidR="005B1325" w:rsidRPr="00103A0B">
        <w:rPr>
          <w:rFonts w:ascii="Arial" w:hAnsi="Arial" w:cs="Arial"/>
        </w:rPr>
        <w:t xml:space="preserve"> of attendance and completion</w:t>
      </w:r>
      <w:r w:rsidRPr="00103A0B">
        <w:rPr>
          <w:rFonts w:ascii="Arial" w:hAnsi="Arial" w:cs="Arial"/>
        </w:rPr>
        <w:t>,</w:t>
      </w:r>
      <w:r w:rsidR="005B1325" w:rsidRPr="00103A0B">
        <w:rPr>
          <w:rFonts w:ascii="Arial" w:hAnsi="Arial" w:cs="Arial"/>
        </w:rPr>
        <w:t xml:space="preserve"> and</w:t>
      </w:r>
      <w:r w:rsidR="00AE1B47" w:rsidRPr="00103A0B">
        <w:rPr>
          <w:rFonts w:ascii="Arial" w:hAnsi="Arial" w:cs="Arial"/>
        </w:rPr>
        <w:t xml:space="preserve"> </w:t>
      </w:r>
      <w:r w:rsidR="005B1325" w:rsidRPr="00103A0B">
        <w:rPr>
          <w:rFonts w:ascii="Arial" w:hAnsi="Arial" w:cs="Arial"/>
        </w:rPr>
        <w:t>in</w:t>
      </w:r>
      <w:r w:rsidR="00B24A95" w:rsidRPr="00103A0B">
        <w:rPr>
          <w:rFonts w:ascii="Arial" w:hAnsi="Arial" w:cs="Arial"/>
        </w:rPr>
        <w:t>-</w:t>
      </w:r>
      <w:r w:rsidR="00AE1B47" w:rsidRPr="00103A0B">
        <w:rPr>
          <w:rFonts w:ascii="Arial" w:hAnsi="Arial" w:cs="Arial"/>
        </w:rPr>
        <w:t>depth informati</w:t>
      </w:r>
      <w:r w:rsidR="005B1325" w:rsidRPr="00103A0B">
        <w:rPr>
          <w:rFonts w:ascii="Arial" w:hAnsi="Arial" w:cs="Arial"/>
        </w:rPr>
        <w:t xml:space="preserve">on on </w:t>
      </w:r>
      <w:r w:rsidR="0030639A" w:rsidRPr="00103A0B">
        <w:rPr>
          <w:rFonts w:ascii="Arial" w:hAnsi="Arial" w:cs="Arial"/>
        </w:rPr>
        <w:t xml:space="preserve">individual motivations, beliefs and </w:t>
      </w:r>
      <w:r w:rsidR="005B1325" w:rsidRPr="00103A0B">
        <w:rPr>
          <w:rFonts w:ascii="Arial" w:hAnsi="Arial" w:cs="Arial"/>
        </w:rPr>
        <w:t>experiences</w:t>
      </w:r>
      <w:r w:rsidR="00BA4374" w:rsidRPr="00103A0B">
        <w:rPr>
          <w:rFonts w:ascii="Arial" w:hAnsi="Arial" w:cs="Arial"/>
        </w:rPr>
        <w:t xml:space="preserve"> </w:t>
      </w:r>
      <w:r w:rsidR="00BA4374" w:rsidRPr="00103A0B">
        <w:rPr>
          <w:rFonts w:ascii="Arial" w:hAnsi="Arial" w:cs="Arial"/>
        </w:rPr>
        <w:fldChar w:fldCharType="begin" w:fldLock="1"/>
      </w:r>
      <w:r w:rsidR="00BA4374" w:rsidRPr="00103A0B">
        <w:rPr>
          <w:rFonts w:ascii="Arial" w:hAnsi="Arial" w:cs="Arial"/>
        </w:rPr>
        <w:instrText>ADDIN CSL_CITATION {"citationItems":[{"id":"ITEM-1","itemData":{"author":[{"dropping-particle":"","family":"Willig","given":"C.","non-dropping-particle":"","parse-names":false,"suffix":""}],"edition":"3rd","id":"ITEM-1","issued":{"date-parts":[["2013"]]},"number-of-pages":"1-150","publisher":"Open University Press","publisher-place":"Maidenhead","title":"Introducing qualitative research in psychology","type":"book"},"uris":["http://www.mendeley.com/documents/?uuid=29355e43-549a-4d38-8855-376682c8168a"]}],"mendeley":{"formattedCitation":"(Willig, 2013)","plainTextFormattedCitation":"(Willig, 2013)","previouslyFormattedCitation":"(Willig, 2013)"},"properties":{"noteIndex":0},"schema":"https://github.com/citation-style-language/schema/raw/master/csl-citation.json"}</w:instrText>
      </w:r>
      <w:r w:rsidR="00BA4374" w:rsidRPr="00103A0B">
        <w:rPr>
          <w:rFonts w:ascii="Arial" w:hAnsi="Arial" w:cs="Arial"/>
        </w:rPr>
        <w:fldChar w:fldCharType="separate"/>
      </w:r>
      <w:r w:rsidR="00BA4374" w:rsidRPr="00103A0B">
        <w:rPr>
          <w:rFonts w:ascii="Arial" w:hAnsi="Arial" w:cs="Arial"/>
          <w:noProof/>
        </w:rPr>
        <w:t>(Willig, 2013)</w:t>
      </w:r>
      <w:r w:rsidR="00BA4374" w:rsidRPr="00103A0B">
        <w:rPr>
          <w:rFonts w:ascii="Arial" w:hAnsi="Arial" w:cs="Arial"/>
        </w:rPr>
        <w:fldChar w:fldCharType="end"/>
      </w:r>
      <w:r w:rsidR="005B1325" w:rsidRPr="00103A0B">
        <w:rPr>
          <w:rFonts w:ascii="Arial" w:hAnsi="Arial" w:cs="Arial"/>
        </w:rPr>
        <w:t xml:space="preserve">. </w:t>
      </w:r>
      <w:r w:rsidR="00AE1B47" w:rsidRPr="00103A0B">
        <w:rPr>
          <w:rFonts w:ascii="Arial" w:hAnsi="Arial" w:cs="Arial"/>
        </w:rPr>
        <w:t xml:space="preserve">Future qualitative work could explore in depth the factors </w:t>
      </w:r>
      <w:r w:rsidR="00F9776B" w:rsidRPr="00103A0B">
        <w:rPr>
          <w:rFonts w:ascii="Arial" w:hAnsi="Arial" w:cs="Arial"/>
        </w:rPr>
        <w:t xml:space="preserve">associated with illness perceptions, self-efficacy and mental wellbeing </w:t>
      </w:r>
      <w:r w:rsidR="00AE1B47" w:rsidRPr="00103A0B">
        <w:rPr>
          <w:rFonts w:ascii="Arial" w:hAnsi="Arial" w:cs="Arial"/>
        </w:rPr>
        <w:t>that impact the decisions of participants to start and continue with attendin</w:t>
      </w:r>
      <w:r w:rsidR="00BA4374" w:rsidRPr="00103A0B">
        <w:rPr>
          <w:rFonts w:ascii="Arial" w:hAnsi="Arial" w:cs="Arial"/>
        </w:rPr>
        <w:t>g</w:t>
      </w:r>
      <w:r w:rsidR="00AE1B47" w:rsidRPr="00103A0B">
        <w:rPr>
          <w:rFonts w:ascii="Arial" w:hAnsi="Arial" w:cs="Arial"/>
        </w:rPr>
        <w:t xml:space="preserve"> DPPs</w:t>
      </w:r>
      <w:r w:rsidR="00BA4374" w:rsidRPr="00103A0B">
        <w:rPr>
          <w:rFonts w:ascii="Arial" w:hAnsi="Arial" w:cs="Arial"/>
        </w:rPr>
        <w:t xml:space="preserve"> like the NHSDPP</w:t>
      </w:r>
      <w:r w:rsidR="001026FA" w:rsidRPr="00103A0B">
        <w:rPr>
          <w:rFonts w:ascii="Arial" w:hAnsi="Arial" w:cs="Arial"/>
        </w:rPr>
        <w:t xml:space="preserve">. </w:t>
      </w:r>
      <w:bookmarkEnd w:id="397"/>
    </w:p>
    <w:p w14:paraId="28AE1868" w14:textId="7AD358AF" w:rsidR="00492C98" w:rsidRPr="00103A0B" w:rsidRDefault="004E03DA" w:rsidP="00CD5919">
      <w:pPr>
        <w:jc w:val="both"/>
        <w:rPr>
          <w:rFonts w:ascii="Arial" w:hAnsi="Arial" w:cs="Arial"/>
          <w:b/>
          <w:bCs/>
          <w:sz w:val="24"/>
          <w:szCs w:val="24"/>
        </w:rPr>
      </w:pPr>
      <w:r w:rsidRPr="00103A0B">
        <w:rPr>
          <w:rFonts w:ascii="Arial" w:hAnsi="Arial" w:cs="Arial"/>
          <w:b/>
          <w:bCs/>
          <w:sz w:val="24"/>
          <w:szCs w:val="24"/>
        </w:rPr>
        <w:t xml:space="preserve">7.4.4 </w:t>
      </w:r>
      <w:r w:rsidR="00492C98" w:rsidRPr="00103A0B">
        <w:rPr>
          <w:rFonts w:ascii="Arial" w:hAnsi="Arial" w:cs="Arial"/>
          <w:b/>
          <w:bCs/>
          <w:sz w:val="24"/>
          <w:szCs w:val="24"/>
        </w:rPr>
        <w:t>Conclusion</w:t>
      </w:r>
    </w:p>
    <w:p w14:paraId="4779D940" w14:textId="77777777" w:rsidR="004E03DA" w:rsidRPr="00103A0B" w:rsidRDefault="004E03DA" w:rsidP="00CD5919">
      <w:pPr>
        <w:pStyle w:val="NormalWeb"/>
        <w:spacing w:line="360" w:lineRule="auto"/>
        <w:jc w:val="both"/>
        <w:rPr>
          <w:rFonts w:ascii="Arial" w:hAnsi="Arial" w:cs="Arial"/>
        </w:rPr>
      </w:pPr>
      <w:r w:rsidRPr="00103A0B">
        <w:rPr>
          <w:rFonts w:ascii="Arial" w:hAnsi="Arial" w:cs="Arial"/>
        </w:rPr>
        <w:t xml:space="preserve">Overall, this study demonstrated the importance of modifiable psychological factors, particularly illness perceptions and mental wellbeing, in predicting uptake and self-efficacy predicting completion of a diabetes prevention programme. By programme organisers and clinicians taking these factors into consideration when recruiting participants and developing strategies to optimise uptake and retention, diabetes prevention programmes should become more effective and viable. </w:t>
      </w:r>
    </w:p>
    <w:p w14:paraId="39EB2466" w14:textId="403CA4EB" w:rsidR="00492C98" w:rsidRPr="00103A0B" w:rsidRDefault="00310843" w:rsidP="00CD5919">
      <w:pPr>
        <w:pStyle w:val="NormalWeb"/>
        <w:spacing w:line="360" w:lineRule="auto"/>
        <w:jc w:val="both"/>
        <w:rPr>
          <w:rFonts w:ascii="Arial" w:hAnsi="Arial" w:cs="Arial"/>
        </w:rPr>
      </w:pPr>
      <w:r w:rsidRPr="00103A0B">
        <w:rPr>
          <w:rFonts w:ascii="Arial" w:hAnsi="Arial" w:cs="Arial"/>
        </w:rPr>
        <w:t xml:space="preserve">The next chapter </w:t>
      </w:r>
      <w:r w:rsidR="00A457B2" w:rsidRPr="00103A0B">
        <w:rPr>
          <w:rFonts w:ascii="Arial" w:hAnsi="Arial" w:cs="Arial"/>
        </w:rPr>
        <w:t xml:space="preserve">and final </w:t>
      </w:r>
      <w:r w:rsidR="004E03DA" w:rsidRPr="00103A0B">
        <w:rPr>
          <w:rFonts w:ascii="Arial" w:hAnsi="Arial" w:cs="Arial"/>
        </w:rPr>
        <w:t>(C</w:t>
      </w:r>
      <w:r w:rsidRPr="00103A0B">
        <w:rPr>
          <w:rFonts w:ascii="Arial" w:hAnsi="Arial" w:cs="Arial"/>
        </w:rPr>
        <w:t xml:space="preserve">hapter 8) </w:t>
      </w:r>
      <w:r w:rsidR="00CE00EE" w:rsidRPr="00103A0B">
        <w:rPr>
          <w:rFonts w:ascii="Arial" w:hAnsi="Arial" w:cs="Arial"/>
        </w:rPr>
        <w:t xml:space="preserve">will summarise the findings from this thesis, evaluate the thesis aims and objectives, include theoretical implications, strengths and limitations of this research, implications for future research as well as recommendations for practice and researcher reflections. </w:t>
      </w:r>
    </w:p>
    <w:p w14:paraId="6AEB94E8" w14:textId="34D6045C" w:rsidR="00CE00EE" w:rsidRPr="00103A0B" w:rsidRDefault="00CE00EE" w:rsidP="00CD5919">
      <w:pPr>
        <w:spacing w:line="360" w:lineRule="auto"/>
        <w:jc w:val="both"/>
        <w:rPr>
          <w:rFonts w:ascii="Arial" w:hAnsi="Arial" w:cs="Arial"/>
          <w:sz w:val="24"/>
          <w:szCs w:val="24"/>
        </w:rPr>
      </w:pPr>
    </w:p>
    <w:p w14:paraId="3BE8BEC6" w14:textId="3013FE56" w:rsidR="00CE00EE" w:rsidRPr="00103A0B" w:rsidRDefault="00CE00EE" w:rsidP="00CD5919">
      <w:pPr>
        <w:pStyle w:val="NormalWeb"/>
        <w:spacing w:line="360" w:lineRule="auto"/>
        <w:jc w:val="both"/>
        <w:rPr>
          <w:rFonts w:ascii="Arial" w:hAnsi="Arial" w:cs="Arial"/>
        </w:rPr>
      </w:pPr>
    </w:p>
    <w:p w14:paraId="0A10EF4E" w14:textId="3FB72C6E" w:rsidR="0087732D" w:rsidRPr="00103A0B" w:rsidRDefault="0087732D" w:rsidP="00CD5919">
      <w:pPr>
        <w:pStyle w:val="NormalWeb"/>
        <w:spacing w:line="360" w:lineRule="auto"/>
        <w:jc w:val="both"/>
        <w:rPr>
          <w:rFonts w:ascii="Arial" w:hAnsi="Arial" w:cs="Arial"/>
        </w:rPr>
      </w:pPr>
    </w:p>
    <w:p w14:paraId="71303C38" w14:textId="62831C63" w:rsidR="0087732D" w:rsidRPr="00103A0B" w:rsidRDefault="0087732D" w:rsidP="00CD5919">
      <w:pPr>
        <w:pStyle w:val="NormalWeb"/>
        <w:spacing w:line="360" w:lineRule="auto"/>
        <w:jc w:val="both"/>
        <w:rPr>
          <w:rFonts w:ascii="Arial" w:hAnsi="Arial" w:cs="Arial"/>
        </w:rPr>
      </w:pPr>
    </w:p>
    <w:p w14:paraId="5AE4FF78" w14:textId="396B1B93" w:rsidR="0087732D" w:rsidRPr="00103A0B" w:rsidRDefault="0087732D" w:rsidP="00CD5919">
      <w:pPr>
        <w:pStyle w:val="NormalWeb"/>
        <w:spacing w:line="360" w:lineRule="auto"/>
        <w:jc w:val="both"/>
        <w:rPr>
          <w:rFonts w:ascii="Arial" w:hAnsi="Arial" w:cs="Arial"/>
        </w:rPr>
      </w:pPr>
    </w:p>
    <w:p w14:paraId="5D0D9724" w14:textId="77777777" w:rsidR="0087732D" w:rsidRPr="00103A0B" w:rsidRDefault="0087732D" w:rsidP="00CD5919">
      <w:pPr>
        <w:pStyle w:val="NormalWeb"/>
        <w:spacing w:line="360" w:lineRule="auto"/>
        <w:jc w:val="both"/>
        <w:rPr>
          <w:rFonts w:ascii="Arial" w:hAnsi="Arial" w:cs="Arial"/>
        </w:rPr>
      </w:pPr>
    </w:p>
    <w:p w14:paraId="3AC94D47" w14:textId="77777777" w:rsidR="00A457B2" w:rsidRPr="00103A0B" w:rsidRDefault="00A457B2" w:rsidP="00CD5919">
      <w:pPr>
        <w:spacing w:line="360" w:lineRule="auto"/>
        <w:jc w:val="both"/>
        <w:rPr>
          <w:rFonts w:ascii="Arial" w:hAnsi="Arial" w:cs="Arial"/>
          <w:sz w:val="24"/>
          <w:szCs w:val="24"/>
          <w:lang w:eastAsia="en-GB"/>
        </w:rPr>
      </w:pPr>
    </w:p>
    <w:p w14:paraId="0607E9AD" w14:textId="77777777" w:rsidR="000A30CA" w:rsidRPr="00103A0B" w:rsidRDefault="000A30CA" w:rsidP="00C22ED7">
      <w:pPr>
        <w:pStyle w:val="Heading1"/>
        <w:keepLines/>
        <w:numPr>
          <w:ilvl w:val="0"/>
          <w:numId w:val="0"/>
        </w:numPr>
        <w:ind w:left="431" w:hanging="431"/>
        <w:rPr>
          <w:rFonts w:ascii="Arial" w:hAnsi="Arial" w:cs="Arial"/>
          <w:lang w:eastAsia="en-GB"/>
        </w:rPr>
        <w:sectPr w:rsidR="000A30CA" w:rsidRPr="00103A0B">
          <w:pgSz w:w="11906" w:h="16838"/>
          <w:pgMar w:top="1440" w:right="1440" w:bottom="1440" w:left="1440" w:header="708" w:footer="708" w:gutter="0"/>
          <w:cols w:space="708"/>
          <w:docGrid w:linePitch="360"/>
        </w:sectPr>
      </w:pPr>
      <w:bookmarkStart w:id="398" w:name="_Toc151548334"/>
    </w:p>
    <w:p w14:paraId="703250FF" w14:textId="7190CABA" w:rsidR="00492C98" w:rsidRPr="00103A0B" w:rsidRDefault="001A70E7" w:rsidP="00C22ED7">
      <w:pPr>
        <w:pStyle w:val="Heading1"/>
        <w:keepLines/>
        <w:numPr>
          <w:ilvl w:val="0"/>
          <w:numId w:val="0"/>
        </w:numPr>
        <w:ind w:left="431" w:hanging="431"/>
        <w:rPr>
          <w:rFonts w:ascii="Arial" w:hAnsi="Arial" w:cs="Arial"/>
          <w:lang w:eastAsia="en-GB"/>
        </w:rPr>
      </w:pPr>
      <w:r w:rsidRPr="00103A0B">
        <w:rPr>
          <w:rFonts w:ascii="Arial" w:hAnsi="Arial" w:cs="Arial"/>
          <w:lang w:eastAsia="en-GB"/>
        </w:rPr>
        <w:lastRenderedPageBreak/>
        <w:t>Chapter 8: Discussion</w:t>
      </w:r>
      <w:bookmarkEnd w:id="398"/>
      <w:r w:rsidRPr="00103A0B">
        <w:rPr>
          <w:rFonts w:ascii="Arial" w:hAnsi="Arial" w:cs="Arial"/>
          <w:lang w:eastAsia="en-GB"/>
        </w:rPr>
        <w:t xml:space="preserve"> </w:t>
      </w:r>
    </w:p>
    <w:p w14:paraId="4B50AFC1" w14:textId="77777777"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The aim of this chapter is to summarise the findings presented in Chapters 2, 5, 6 and 7, to provide an overall evaluation of the aims and objectives of the thesis as well as outlining the theoretical implications. Following on from this, the strengths and limitations of this research will be discussed, and implications for future research and recommendations for practice will be made. Finally, researcher reflections regarding the research process will be considered. </w:t>
      </w:r>
    </w:p>
    <w:p w14:paraId="5ABE22FA" w14:textId="77777777" w:rsidR="00E511EE" w:rsidRPr="00103A0B" w:rsidRDefault="00E511EE" w:rsidP="00CD5919">
      <w:pPr>
        <w:jc w:val="both"/>
        <w:rPr>
          <w:lang w:eastAsia="en-GB" w:bidi="en-US"/>
        </w:rPr>
      </w:pPr>
    </w:p>
    <w:p w14:paraId="6462151B" w14:textId="50CA0A8D" w:rsidR="001A70E7" w:rsidRPr="00103A0B" w:rsidRDefault="00E511EE" w:rsidP="00CD5919">
      <w:pPr>
        <w:pStyle w:val="Heading2"/>
        <w:numPr>
          <w:ilvl w:val="0"/>
          <w:numId w:val="0"/>
        </w:numPr>
        <w:jc w:val="both"/>
        <w:rPr>
          <w:rFonts w:ascii="Arial" w:hAnsi="Arial" w:cs="Arial"/>
          <w:sz w:val="28"/>
        </w:rPr>
      </w:pPr>
      <w:bookmarkStart w:id="399" w:name="_Toc151548335"/>
      <w:r w:rsidRPr="00103A0B">
        <w:rPr>
          <w:rFonts w:ascii="Arial" w:hAnsi="Arial" w:cs="Arial"/>
          <w:sz w:val="28"/>
        </w:rPr>
        <w:t>8.1 Summary of Findings</w:t>
      </w:r>
      <w:bookmarkEnd w:id="399"/>
      <w:r w:rsidRPr="00103A0B">
        <w:rPr>
          <w:rFonts w:ascii="Arial" w:hAnsi="Arial" w:cs="Arial"/>
          <w:sz w:val="28"/>
        </w:rPr>
        <w:t xml:space="preserve"> </w:t>
      </w:r>
    </w:p>
    <w:p w14:paraId="104E393F" w14:textId="77777777" w:rsidR="00E511EE" w:rsidRPr="00103A0B" w:rsidRDefault="00E511EE" w:rsidP="00CD5919">
      <w:pPr>
        <w:spacing w:line="360" w:lineRule="auto"/>
        <w:jc w:val="both"/>
        <w:rPr>
          <w:rFonts w:ascii="Arial" w:hAnsi="Arial" w:cs="Arial"/>
          <w:b/>
          <w:bCs/>
          <w:sz w:val="24"/>
          <w:szCs w:val="24"/>
        </w:rPr>
      </w:pPr>
      <w:r w:rsidRPr="00103A0B">
        <w:rPr>
          <w:rFonts w:ascii="Arial" w:hAnsi="Arial" w:cs="Arial"/>
          <w:sz w:val="24"/>
          <w:szCs w:val="24"/>
        </w:rPr>
        <w:t xml:space="preserve">From the systematic review (Chapter 2) findings, and the studies described in Chapters 5, 6 and 7, the following are the key findings regarding uptake and retention of DPPs. </w:t>
      </w:r>
    </w:p>
    <w:p w14:paraId="23F6D877" w14:textId="1A15222E" w:rsidR="00E511EE" w:rsidRPr="00103A0B" w:rsidRDefault="00E511EE" w:rsidP="00CD5919">
      <w:pPr>
        <w:spacing w:line="360" w:lineRule="auto"/>
        <w:jc w:val="both"/>
        <w:rPr>
          <w:rFonts w:ascii="Arial" w:hAnsi="Arial" w:cs="Arial"/>
          <w:b/>
          <w:bCs/>
          <w:sz w:val="24"/>
          <w:szCs w:val="24"/>
        </w:rPr>
      </w:pPr>
      <w:r w:rsidRPr="00103A0B">
        <w:rPr>
          <w:rFonts w:ascii="Arial" w:hAnsi="Arial" w:cs="Arial"/>
          <w:b/>
          <w:bCs/>
          <w:sz w:val="24"/>
          <w:szCs w:val="24"/>
        </w:rPr>
        <w:t xml:space="preserve">8.1.1 Uptake </w:t>
      </w:r>
    </w:p>
    <w:p w14:paraId="4FDB1802" w14:textId="5713726D" w:rsidR="00E511EE" w:rsidRPr="00103A0B" w:rsidRDefault="00E511EE" w:rsidP="00CD5919">
      <w:pPr>
        <w:spacing w:line="360" w:lineRule="auto"/>
        <w:jc w:val="both"/>
        <w:rPr>
          <w:rFonts w:ascii="Arial" w:hAnsi="Arial" w:cs="Arial"/>
          <w:sz w:val="24"/>
          <w:szCs w:val="24"/>
        </w:rPr>
      </w:pPr>
      <w:bookmarkStart w:id="400" w:name="_Hlk121391370"/>
      <w:r w:rsidRPr="00103A0B">
        <w:rPr>
          <w:rFonts w:ascii="Arial" w:hAnsi="Arial" w:cs="Arial"/>
          <w:sz w:val="24"/>
          <w:szCs w:val="24"/>
        </w:rPr>
        <w:t>A range of recruitment strategies were used making it difficult to discern associations with uptake rates (Chapter 2). However, regarding individual-level factors (Chapter 5), it was found that understanding type 2 diabetes, making lifestyle changes, compari</w:t>
      </w:r>
      <w:r w:rsidR="00A457B2" w:rsidRPr="00103A0B">
        <w:rPr>
          <w:rFonts w:ascii="Arial" w:hAnsi="Arial" w:cs="Arial"/>
          <w:sz w:val="24"/>
          <w:szCs w:val="24"/>
        </w:rPr>
        <w:t>sons</w:t>
      </w:r>
      <w:r w:rsidRPr="00103A0B">
        <w:rPr>
          <w:rFonts w:ascii="Arial" w:hAnsi="Arial" w:cs="Arial"/>
          <w:sz w:val="24"/>
          <w:szCs w:val="24"/>
        </w:rPr>
        <w:t xml:space="preserve"> with others, having support and certain self-perceptions can all affect individuals’ motivations to attend a diabetes prevention programme</w:t>
      </w:r>
      <w:r w:rsidR="006F7C39" w:rsidRPr="00103A0B">
        <w:rPr>
          <w:rFonts w:ascii="Arial" w:hAnsi="Arial" w:cs="Arial"/>
          <w:sz w:val="24"/>
          <w:szCs w:val="24"/>
        </w:rPr>
        <w:t>. A</w:t>
      </w:r>
      <w:r w:rsidRPr="00103A0B">
        <w:rPr>
          <w:rFonts w:ascii="Arial" w:hAnsi="Arial" w:cs="Arial"/>
          <w:sz w:val="24"/>
          <w:szCs w:val="24"/>
        </w:rPr>
        <w:t xml:space="preserve">ccessibility and practicalities </w:t>
      </w:r>
      <w:r w:rsidR="006F7C39" w:rsidRPr="00103A0B">
        <w:rPr>
          <w:rFonts w:ascii="Arial" w:hAnsi="Arial" w:cs="Arial"/>
          <w:sz w:val="24"/>
          <w:szCs w:val="24"/>
        </w:rPr>
        <w:t xml:space="preserve">also </w:t>
      </w:r>
      <w:r w:rsidRPr="00103A0B">
        <w:rPr>
          <w:rFonts w:ascii="Arial" w:hAnsi="Arial" w:cs="Arial"/>
          <w:sz w:val="24"/>
          <w:szCs w:val="24"/>
        </w:rPr>
        <w:t>influenc</w:t>
      </w:r>
      <w:r w:rsidR="006F7C39" w:rsidRPr="00103A0B">
        <w:rPr>
          <w:rFonts w:ascii="Arial" w:hAnsi="Arial" w:cs="Arial"/>
          <w:sz w:val="24"/>
          <w:szCs w:val="24"/>
        </w:rPr>
        <w:t>ed</w:t>
      </w:r>
      <w:r w:rsidRPr="00103A0B">
        <w:rPr>
          <w:rFonts w:ascii="Arial" w:hAnsi="Arial" w:cs="Arial"/>
          <w:sz w:val="24"/>
          <w:szCs w:val="24"/>
        </w:rPr>
        <w:t xml:space="preserve"> both motivation and attendance. </w:t>
      </w:r>
      <w:bookmarkEnd w:id="400"/>
      <w:r w:rsidRPr="00103A0B">
        <w:rPr>
          <w:rFonts w:ascii="Arial" w:hAnsi="Arial" w:cs="Arial"/>
          <w:sz w:val="24"/>
          <w:szCs w:val="24"/>
        </w:rPr>
        <w:t xml:space="preserve">By exploring individual-level factors further through a quantitative approach (Chapter 7), illness perceptions related to treatment control </w:t>
      </w:r>
      <w:r w:rsidRPr="00103A0B">
        <w:rPr>
          <w:rFonts w:ascii="Arial" w:hAnsi="Arial" w:cs="Arial"/>
          <w:color w:val="010205"/>
          <w:sz w:val="24"/>
          <w:szCs w:val="24"/>
        </w:rPr>
        <w:t>and illness concern</w:t>
      </w:r>
      <w:r w:rsidRPr="00103A0B">
        <w:rPr>
          <w:rFonts w:ascii="Arial" w:hAnsi="Arial" w:cs="Arial"/>
          <w:sz w:val="24"/>
          <w:szCs w:val="24"/>
        </w:rPr>
        <w:t xml:space="preserve">, </w:t>
      </w:r>
      <w:r w:rsidRPr="00103A0B">
        <w:rPr>
          <w:rFonts w:ascii="Arial" w:eastAsia="Times New Roman" w:hAnsi="Arial" w:cs="Arial"/>
          <w:sz w:val="24"/>
          <w:szCs w:val="24"/>
          <w:lang w:eastAsia="en-GB"/>
        </w:rPr>
        <w:t>mental</w:t>
      </w:r>
      <w:r w:rsidRPr="00103A0B">
        <w:rPr>
          <w:rFonts w:ascii="Arial" w:hAnsi="Arial" w:cs="Arial"/>
          <w:sz w:val="24"/>
          <w:szCs w:val="24"/>
        </w:rPr>
        <w:t xml:space="preserve"> wellbeing, </w:t>
      </w:r>
      <w:proofErr w:type="gramStart"/>
      <w:r w:rsidRPr="00103A0B">
        <w:rPr>
          <w:rFonts w:ascii="Arial" w:hAnsi="Arial" w:cs="Arial"/>
          <w:sz w:val="24"/>
          <w:szCs w:val="24"/>
        </w:rPr>
        <w:t>age</w:t>
      </w:r>
      <w:proofErr w:type="gramEnd"/>
      <w:r w:rsidRPr="00103A0B">
        <w:rPr>
          <w:rFonts w:ascii="Arial" w:hAnsi="Arial" w:cs="Arial"/>
          <w:sz w:val="24"/>
          <w:szCs w:val="24"/>
        </w:rPr>
        <w:t xml:space="preserve"> and deprivation were found to be significant predictors of uptake. This meant that those individuals who saw treatment as being effective at controlling their prediabetes, were more concerned about their prediabetes, those with moderate mental wellbeing levels, who were older and/or were from more affluent areas were significantly more likely to start the NHSDPP. </w:t>
      </w:r>
    </w:p>
    <w:p w14:paraId="2334E935" w14:textId="77777777" w:rsidR="00E511EE" w:rsidRPr="00103A0B" w:rsidRDefault="00E511EE" w:rsidP="00CD5919">
      <w:pPr>
        <w:spacing w:line="360" w:lineRule="auto"/>
        <w:jc w:val="both"/>
        <w:rPr>
          <w:rFonts w:ascii="Arial" w:hAnsi="Arial" w:cs="Arial"/>
          <w:sz w:val="24"/>
          <w:szCs w:val="24"/>
        </w:rPr>
      </w:pPr>
    </w:p>
    <w:p w14:paraId="3FE35FFC" w14:textId="77777777" w:rsidR="00E511EE" w:rsidRPr="00103A0B" w:rsidRDefault="00E511EE" w:rsidP="00CD5919">
      <w:pPr>
        <w:spacing w:line="360" w:lineRule="auto"/>
        <w:jc w:val="both"/>
        <w:rPr>
          <w:rFonts w:ascii="Arial" w:hAnsi="Arial" w:cs="Arial"/>
          <w:sz w:val="24"/>
          <w:szCs w:val="24"/>
        </w:rPr>
      </w:pPr>
    </w:p>
    <w:p w14:paraId="10E61633" w14:textId="77777777" w:rsidR="00E511EE" w:rsidRPr="00103A0B" w:rsidRDefault="00E511EE" w:rsidP="00CD5919">
      <w:pPr>
        <w:spacing w:line="360" w:lineRule="auto"/>
        <w:jc w:val="both"/>
        <w:rPr>
          <w:rFonts w:ascii="Arial" w:hAnsi="Arial" w:cs="Arial"/>
          <w:sz w:val="24"/>
          <w:szCs w:val="24"/>
        </w:rPr>
      </w:pPr>
    </w:p>
    <w:p w14:paraId="65EE5939" w14:textId="14146B59" w:rsidR="00E511EE" w:rsidRPr="00103A0B" w:rsidRDefault="00E511EE" w:rsidP="00CD5919">
      <w:pPr>
        <w:spacing w:line="360" w:lineRule="auto"/>
        <w:jc w:val="both"/>
        <w:rPr>
          <w:rFonts w:ascii="Arial" w:hAnsi="Arial" w:cs="Arial"/>
          <w:b/>
          <w:bCs/>
          <w:sz w:val="24"/>
          <w:szCs w:val="24"/>
        </w:rPr>
      </w:pPr>
      <w:r w:rsidRPr="00103A0B">
        <w:rPr>
          <w:rFonts w:ascii="Arial" w:hAnsi="Arial" w:cs="Arial"/>
          <w:b/>
          <w:bCs/>
          <w:sz w:val="24"/>
          <w:szCs w:val="24"/>
        </w:rPr>
        <w:lastRenderedPageBreak/>
        <w:t>8.1.2 Retention</w:t>
      </w:r>
    </w:p>
    <w:p w14:paraId="4E14E3A8" w14:textId="7E070621"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Behaviour </w:t>
      </w:r>
      <w:proofErr w:type="gramStart"/>
      <w:r w:rsidRPr="00103A0B">
        <w:rPr>
          <w:rFonts w:ascii="Arial" w:hAnsi="Arial" w:cs="Arial"/>
          <w:sz w:val="24"/>
          <w:szCs w:val="24"/>
        </w:rPr>
        <w:t>change</w:t>
      </w:r>
      <w:proofErr w:type="gramEnd"/>
      <w:r w:rsidRPr="00103A0B">
        <w:rPr>
          <w:rFonts w:ascii="Arial" w:hAnsi="Arial" w:cs="Arial"/>
          <w:sz w:val="24"/>
          <w:szCs w:val="24"/>
        </w:rPr>
        <w:t xml:space="preserve"> techniques that were more commonly found in high retention programmes included problem-solving, demonstrating the behaviour, using behavioural practice, reducing negative emotions and providing incentives for participation (Chapter 2). Regarding individual-level factors (Chapter 6), it was found that having beliefs related to illness threat, perceptions of the programme, influence from family, friends, and others, making lifestyle changes, and practicalities can all influence NHSDPP completion. In addition, motivation can promote completion, and communication issues can result in non-completion of the programme. By exploring individual-level factors further through a quantitative approach (Chapter 7), those with higher self-efficacy levels, who were younger and/or from a specific area (West Yorkshire) were less likely to complete the NHSDPP. The following section will now evaluate the aims and objectives of this research in turn.</w:t>
      </w:r>
    </w:p>
    <w:p w14:paraId="6E830A75" w14:textId="77777777" w:rsidR="00C22ED7" w:rsidRPr="00103A0B" w:rsidRDefault="00C22ED7" w:rsidP="00CD5919">
      <w:pPr>
        <w:spacing w:line="360" w:lineRule="auto"/>
        <w:jc w:val="both"/>
        <w:rPr>
          <w:rFonts w:ascii="Arial" w:hAnsi="Arial" w:cs="Arial"/>
          <w:sz w:val="24"/>
          <w:szCs w:val="24"/>
        </w:rPr>
      </w:pPr>
    </w:p>
    <w:p w14:paraId="126E7CE6" w14:textId="3BCC661E" w:rsidR="00E511EE" w:rsidRPr="00103A0B" w:rsidRDefault="00E511EE" w:rsidP="00CD5919">
      <w:pPr>
        <w:pStyle w:val="Heading2"/>
        <w:numPr>
          <w:ilvl w:val="0"/>
          <w:numId w:val="0"/>
        </w:numPr>
        <w:jc w:val="both"/>
        <w:rPr>
          <w:rFonts w:ascii="Arial" w:hAnsi="Arial" w:cs="Arial"/>
          <w:sz w:val="28"/>
        </w:rPr>
      </w:pPr>
      <w:bookmarkStart w:id="401" w:name="_Toc151548336"/>
      <w:r w:rsidRPr="00103A0B">
        <w:rPr>
          <w:rFonts w:ascii="Arial" w:hAnsi="Arial" w:cs="Arial"/>
          <w:sz w:val="28"/>
        </w:rPr>
        <w:t>8.2. Evaluation of Aims and Objectives</w:t>
      </w:r>
      <w:bookmarkEnd w:id="401"/>
    </w:p>
    <w:p w14:paraId="33BA475E" w14:textId="44500460"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The first aim of this research was to investigate which factors associated with recruitment and the programme itself, are associated with higher uptake and retention of DPPs in general. Associated with this was the following objective which will be discussed in further detail: </w:t>
      </w:r>
    </w:p>
    <w:p w14:paraId="0C50A363" w14:textId="6CCBFB3F" w:rsidR="00E511EE" w:rsidRPr="00103A0B" w:rsidRDefault="00E511EE" w:rsidP="00CD5919">
      <w:pPr>
        <w:pStyle w:val="ListParagraph"/>
        <w:numPr>
          <w:ilvl w:val="0"/>
          <w:numId w:val="20"/>
        </w:numPr>
        <w:spacing w:line="360" w:lineRule="auto"/>
        <w:jc w:val="both"/>
        <w:rPr>
          <w:rFonts w:ascii="Arial" w:hAnsi="Arial" w:cs="Arial"/>
          <w:i/>
          <w:iCs/>
          <w:sz w:val="24"/>
          <w:szCs w:val="24"/>
        </w:rPr>
      </w:pPr>
      <w:r w:rsidRPr="00103A0B">
        <w:rPr>
          <w:rFonts w:ascii="Arial" w:hAnsi="Arial" w:cs="Arial"/>
          <w:i/>
          <w:iCs/>
          <w:sz w:val="24"/>
          <w:szCs w:val="24"/>
        </w:rPr>
        <w:t xml:space="preserve">To identify important recruitment and </w:t>
      </w:r>
      <w:proofErr w:type="spellStart"/>
      <w:r w:rsidRPr="00103A0B">
        <w:rPr>
          <w:rFonts w:ascii="Arial" w:hAnsi="Arial" w:cs="Arial"/>
          <w:i/>
          <w:iCs/>
          <w:sz w:val="24"/>
          <w:szCs w:val="24"/>
        </w:rPr>
        <w:t>programme</w:t>
      </w:r>
      <w:proofErr w:type="spellEnd"/>
      <w:r w:rsidRPr="00103A0B">
        <w:rPr>
          <w:rFonts w:ascii="Arial" w:hAnsi="Arial" w:cs="Arial"/>
          <w:i/>
          <w:iCs/>
          <w:sz w:val="24"/>
          <w:szCs w:val="24"/>
        </w:rPr>
        <w:t xml:space="preserve">-level factors (e.g., recruitment strategies and common </w:t>
      </w:r>
      <w:proofErr w:type="spellStart"/>
      <w:r w:rsidRPr="00103A0B">
        <w:rPr>
          <w:rFonts w:ascii="Arial" w:hAnsi="Arial" w:cs="Arial"/>
          <w:i/>
          <w:iCs/>
          <w:sz w:val="24"/>
          <w:szCs w:val="24"/>
        </w:rPr>
        <w:t>behaviour</w:t>
      </w:r>
      <w:proofErr w:type="spellEnd"/>
      <w:r w:rsidRPr="00103A0B">
        <w:rPr>
          <w:rFonts w:ascii="Arial" w:hAnsi="Arial" w:cs="Arial"/>
          <w:i/>
          <w:iCs/>
          <w:sz w:val="24"/>
          <w:szCs w:val="24"/>
        </w:rPr>
        <w:t xml:space="preserve"> change techniques) in group-based DPPs that are associated with high response, </w:t>
      </w:r>
      <w:proofErr w:type="gramStart"/>
      <w:r w:rsidRPr="00103A0B">
        <w:rPr>
          <w:rFonts w:ascii="Arial" w:hAnsi="Arial" w:cs="Arial"/>
          <w:i/>
          <w:iCs/>
          <w:sz w:val="24"/>
          <w:szCs w:val="24"/>
        </w:rPr>
        <w:t>uptake</w:t>
      </w:r>
      <w:proofErr w:type="gramEnd"/>
      <w:r w:rsidRPr="00103A0B">
        <w:rPr>
          <w:rFonts w:ascii="Arial" w:hAnsi="Arial" w:cs="Arial"/>
          <w:i/>
          <w:iCs/>
          <w:sz w:val="24"/>
          <w:szCs w:val="24"/>
        </w:rPr>
        <w:t xml:space="preserve"> and retention in the published literature.</w:t>
      </w:r>
    </w:p>
    <w:p w14:paraId="0C98D653" w14:textId="350CF8D1"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This objective w</w:t>
      </w:r>
      <w:r w:rsidR="00A457B2" w:rsidRPr="00103A0B">
        <w:rPr>
          <w:rFonts w:ascii="Arial" w:hAnsi="Arial" w:cs="Arial"/>
          <w:sz w:val="24"/>
          <w:szCs w:val="24"/>
        </w:rPr>
        <w:t>as</w:t>
      </w:r>
      <w:r w:rsidRPr="00103A0B">
        <w:rPr>
          <w:rFonts w:ascii="Arial" w:hAnsi="Arial" w:cs="Arial"/>
          <w:sz w:val="24"/>
          <w:szCs w:val="24"/>
        </w:rPr>
        <w:t xml:space="preserve"> explored by the systematic review (Chapter 2) which found that it was difficult to identify trends or associations between recruitment methods and response or uptake rates, due to being able to calculate the response rate for only two DPPs, and uptake rates for </w:t>
      </w:r>
      <w:r w:rsidR="00A457B2" w:rsidRPr="00103A0B">
        <w:rPr>
          <w:rFonts w:ascii="Arial" w:hAnsi="Arial" w:cs="Arial"/>
          <w:sz w:val="24"/>
          <w:szCs w:val="24"/>
        </w:rPr>
        <w:t xml:space="preserve">only </w:t>
      </w:r>
      <w:r w:rsidRPr="00103A0B">
        <w:rPr>
          <w:rFonts w:ascii="Arial" w:hAnsi="Arial" w:cs="Arial"/>
          <w:sz w:val="24"/>
          <w:szCs w:val="24"/>
        </w:rPr>
        <w:t xml:space="preserve">36% of included DPPs. This highlights the need for more consistent and detailed reporting of recruitment methods to better understand which recruitment strategies are most effective in promoting initial responses to address the common challenges in recruiting to DPPs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{"citationItems":[{"id":"ITEM-1","itemData":{"DOI":"10.1136/bmjdrc-2015-000131","ISBN":"2052-4897","ISSN":"20524897","PMID":"26464804","abstract":"ObjectiveTo assess effectiveness and implementability of the public health programme Life! Taking action on diabetes in Australian people at risk of developing type 2 diabetes. Research design and methodsMelbourne Diabetes Prevention Study (MDPS) was a unique study assessing effectiveness of Life! that used a randomized controlled trial design. Intervention participants with AUSDRISK score [&amp;ge;]15 received 1 individual and 5 structured 90 min group sessions. Controls received usual care. Outcome measures were obtained for all participants at baseline and 12 months and, additionally, for intervention participants at 3 months. Per protocol set (PPS) and intention to treat (ITT) analyses were performed. ResultsPPS analyses were considered more informative from our study. In PPS analyses, intervention participants significantly improved in weight (-1.13 kg, p=0.016), waist circumference (-1.35 cm, p=0.044), systolic (-5.2 mm Hg, p=0.028) and diastolic blood pressure (-3.2 mm Hg, p=0.030) compared with controls. Based on observed weight change, estimated risk of developing diabetes reduced by 9.6% in the intervention and increased by 3.3% in control participants. Absolute 5-year cardiovascular disease (CVD) risk reduced significantly for intervention participants by 0.97 percentage points from 9.35% (10.4% relative risk reduction). In control participants, the risk increased by 0.11 percentage points (1.3% relative risk increase). The net effect for the change in CVD risk was -1.08 percentage points of absolute risk (p=0.013). ConclusionsMDPS effectively reduced the risk of diabetes and CVD, but the intervention effect on weight and waist reduction was modest due to the challenges in recruiting high-risk individuals and the abbreviated intervention.\\n","author":[{"dropping-particle":"","family":"Dunbar","given":"James A.","non-dropping-particle":"","parse-names":false,"suffix":""},{"dropping-particle":"","family":"Hernan","given":"Andrea L.","non-dropping-particle":"","parse-names":false,"suffix":""},{"dropping-particle":"","family":"Janus","given":"Edward D.","non-dropping-particle":"","parse-names":false,"suffix":""},{"dropping-particle":"","family":"Vartiainen","given":"Erkki","non-dropping-particle":"","parse-names":false,"suffix":""},{"dropping-particle":"","family":"Laatikainen","given":"Tiina","non-dropping-particle":"","parse-names":false,"suffix":""},{"dropping-particle":"","family":"Versace","given":"Vincent L.","non-dropping-particle":"","parse-names":false,"suffix":""},{"dropping-particle":"","family":"Reynolds","given":"John","non-dropping-particle":"","parse-names":false,"suffix":""},{"dropping-particle":"","family":"Best","given":"James D.","non-dropping-particle":"","parse-names":false,"suffix":""},{"dropping-particle":"","family":"Skinner","given":"Timothy C.","non-dropping-particle":"","parse-names":false,"suffix":""},{"dropping-particle":"","family":"O’Reilly","given":"Sharleen L.","non-dropping-particle":"","parse-names":false,"suffix":""},{"dropping-particle":"","family":"Namara","given":"Kevin P.Mc","non-dropping-particle":"","parse-names":false,"suffix":""},{"dropping-particle":"","family":"Stewart","given":"Elizabeth","non-dropping-particle":"","parse-names":false,"suffix":""},{"dropping-particle":"","family":"Coates","given":"Michael","non-dropping-particle":"","parse-names":false,"suffix":""},{"dropping-particle":"","family":"Bennett","given":"Catherine M.","non-dropping-particle":"","parse-names":false,"suffix":""},{"dropping-particle":"","family":"Carter","given":"Rob","non-dropping-particle":"","parse-names":false,"suffix":""}],"container-title":"BMJ Open Diabetes Research and Care","id":"ITEM-1","issue":"1","issued":{"date-parts":[["2015"]]},"page":"2-4","title":"Challenges of diabetes prevention in the real world: results and lessons from the Melbourne diabetes prevention study","type":"article-journal","volume":"3"},"uris":["http://www.mendeley.com/documents/?uuid=2cc5ffe1-2c1b-43ba-aaee-719dceb5bd77","http://www.mendeley.com/documents/?uuid=811d9458-35f5-4645-bd90-cd6e95c5c1a5"]}],"mendeley":{"formattedCitation":"(Dunbar et al., 2015)","plainTextFormattedCitation":"(Dunbar et al., 2015)","previouslyFormattedCitation":"(Dunbar et al., 2015)"},"properties":{"noteIndex":0},"schema":"https://github.com/citation-style-language/schema/raw/master/csl-citation.json"}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(Dunbar et al., 2015)</w:t>
      </w:r>
      <w:r w:rsidRPr="00103A0B">
        <w:rPr>
          <w:rFonts w:ascii="Arial" w:hAnsi="Arial" w:cs="Arial"/>
          <w:sz w:val="24"/>
          <w:szCs w:val="24"/>
        </w:rPr>
        <w:fldChar w:fldCharType="end"/>
      </w:r>
      <w:r w:rsidRPr="00103A0B">
        <w:rPr>
          <w:rFonts w:ascii="Arial" w:hAnsi="Arial" w:cs="Arial"/>
          <w:sz w:val="24"/>
          <w:szCs w:val="24"/>
        </w:rPr>
        <w:t xml:space="preserve">, as well as highlighting the need for robust reporting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{"citationItems":[{"id":"ITEM-1","itemData":{"DOI":"10.2337/diaclin.28.2.53","ISBN":"0891-8929","ISSN":"0891-8929","abstract":"This review offers a discussion of various strategies for the prevention of type 2 diabetes. It includes results from recent clinical trials targeting patients who are at highest risk for the development of diabetes, with a particular emphasis on lifestyle modification strategies and the implementation of such programs in community-based settings.","author":[{"dropping-particle":"","family":"Ahmad","given":"L. A.","non-dropping-particle":"","parse-names":false,"suffix":""},{"dropping-particle":"","family":"Crandall","given":"J. P.","non-dropping-particle":"","parse-names":false,"suffix":""}],"container-title":"Clinical Diabetes","id":"ITEM-1","issue":"2","issued":{"date-parts":[["2010"]]},"page":"53-59","title":"Type 2 diabetes prevention: a review","type":"article-journal","volume":"28"},"uris":["http://www.mendeley.com/documents/?uuid=da9e04b3-871f-4bfa-ac60-8126d6ee51f1"]}],"mendeley":{"formattedCitation":"(Ahmad &amp; Crandall, 2010)","plainTextFormattedCitation":"(Ahmad &amp; Crandall, 2010)","previouslyFormattedCitation":"(Ahmad &amp; Crandall,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(Ahmad &amp; Crandall, 2010)</w:t>
      </w:r>
      <w:r w:rsidRPr="00103A0B">
        <w:rPr>
          <w:rFonts w:ascii="Arial" w:hAnsi="Arial" w:cs="Arial"/>
          <w:sz w:val="24"/>
          <w:szCs w:val="24"/>
        </w:rPr>
        <w:fldChar w:fldCharType="end"/>
      </w:r>
      <w:r w:rsidRPr="00103A0B">
        <w:rPr>
          <w:rFonts w:ascii="Arial" w:hAnsi="Arial" w:cs="Arial"/>
          <w:sz w:val="24"/>
          <w:szCs w:val="24"/>
        </w:rPr>
        <w:t xml:space="preserve">.  </w:t>
      </w:r>
    </w:p>
    <w:p w14:paraId="5E62DAF5" w14:textId="3C359BFB"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lastRenderedPageBreak/>
        <w:t xml:space="preserve">The qualitative study (Chapter 5) provided an insight into programme-level factors that could influence decisions to start a </w:t>
      </w:r>
      <w:r w:rsidR="00A457B2" w:rsidRPr="00103A0B">
        <w:rPr>
          <w:rFonts w:ascii="Arial" w:hAnsi="Arial" w:cs="Arial"/>
          <w:sz w:val="24"/>
          <w:szCs w:val="24"/>
        </w:rPr>
        <w:t xml:space="preserve">specific </w:t>
      </w:r>
      <w:r w:rsidRPr="00103A0B">
        <w:rPr>
          <w:rFonts w:ascii="Arial" w:hAnsi="Arial" w:cs="Arial"/>
          <w:sz w:val="24"/>
          <w:szCs w:val="24"/>
        </w:rPr>
        <w:t>DPP</w:t>
      </w:r>
      <w:r w:rsidR="00A457B2" w:rsidRPr="00103A0B">
        <w:rPr>
          <w:rFonts w:ascii="Arial" w:hAnsi="Arial" w:cs="Arial"/>
          <w:sz w:val="24"/>
          <w:szCs w:val="24"/>
        </w:rPr>
        <w:t xml:space="preserve"> in Southwark</w:t>
      </w:r>
      <w:r w:rsidRPr="00103A0B">
        <w:rPr>
          <w:rFonts w:ascii="Arial" w:hAnsi="Arial" w:cs="Arial"/>
          <w:sz w:val="24"/>
          <w:szCs w:val="24"/>
        </w:rPr>
        <w:t xml:space="preserve">. It was found that programme accessibility issues influenced motivation and attendance, where location of the session and lack of time were also identified as barriers for attendance. These accessibility issues included difficulties booking onto the programmes, and could be partly explained due to the unexpectedly large number of referrals received for the NHSDPP </w:t>
      </w:r>
      <w:r w:rsidRPr="00103A0B">
        <w:rPr>
          <w:rFonts w:ascii="Arial" w:hAnsi="Arial" w:cs="Arial"/>
          <w:sz w:val="24"/>
          <w:szCs w:val="24"/>
        </w:rPr>
        <w:fldChar w:fldCharType="begin" w:fldLock="1"/>
      </w:r>
      <w:r w:rsidR="00992026" w:rsidRPr="00103A0B">
        <w:rPr>
          <w:rFonts w:ascii="Arial" w:hAnsi="Arial" w:cs="Arial"/>
          <w:sz w:val="24"/>
          <w:szCs w:val="24"/>
        </w:rPr>
        <w:instrText>ADDIN CSL_CITATION {"citationItems":[{"id":"ITEM-1","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Medicine","id":"ITEM-1","issued":{"date-parts":[["2018"]]},"page":"513-518","title":"Progress of the healthier you: NHS diabetes prevention programme: referrals, uptake and participant characteristics","type":"article-journal","volume":"35"},"uris":["http://www.mendeley.com/documents/?uuid=1f5d47f1-f2c9-41a7-af24-e63deeae9374"]},{"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programme","type":"article-journal","volume":"43"},"uris":["http://www.mendeley.com/documents/?uuid=32a7a44a-df0b-4cde-9269-536e48e08190"]}],"mendeley":{"formattedCitation":"(Barron et al., 2018; Valabhji et al., 2020)","plainTextFormattedCitation":"(Barron et al., 2018; Valabhji et al., 2020)","previouslyFormattedCitation":"(Barron et al., 2018; 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(Barron et al., 2018; Valabhji et al., 2020)</w:t>
      </w:r>
      <w:r w:rsidRPr="00103A0B">
        <w:rPr>
          <w:rFonts w:ascii="Arial" w:hAnsi="Arial" w:cs="Arial"/>
          <w:sz w:val="24"/>
          <w:szCs w:val="24"/>
        </w:rPr>
        <w:fldChar w:fldCharType="end"/>
      </w:r>
      <w:r w:rsidRPr="00103A0B">
        <w:rPr>
          <w:rFonts w:ascii="Arial" w:hAnsi="Arial" w:cs="Arial"/>
          <w:sz w:val="24"/>
          <w:szCs w:val="24"/>
        </w:rPr>
        <w:t>.</w:t>
      </w:r>
      <w:r w:rsidRPr="00103A0B">
        <w:rPr>
          <w:rFonts w:ascii="Arial" w:eastAsia="Times New Roman" w:hAnsi="Arial" w:cs="Arial"/>
          <w:sz w:val="24"/>
          <w:szCs w:val="24"/>
          <w:lang w:eastAsia="en-GB"/>
        </w:rPr>
        <w:t xml:space="preserve"> </w:t>
      </w:r>
      <w:r w:rsidRPr="00103A0B">
        <w:rPr>
          <w:rFonts w:ascii="Arial" w:hAnsi="Arial" w:cs="Arial"/>
          <w:sz w:val="24"/>
          <w:szCs w:val="24"/>
        </w:rPr>
        <w:t xml:space="preserve">Local providers of the NHSDPP must ensure they are able to book participants onto the programme efficiently, with good communication to participants. The important role of referring healthcare professionals was also highlighted, as a higher proportion of those participants who stated that they had received GP recommendations to start the programme managed to attend. This demonstrates the crucial role of GPs who are involved in first informing individuals of their prediabetes and ‘making every contact count’, however brief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{"citationItems":[{"id":"ITEM-1","itemData":{"ISSN":"2044-6055","abstract":"Objectives: Evaluation of the demonstrator phase and first wave roll-out of the National Health Service (NHS) Diabetes Prevention Programme (DPP) in England. To examine: (1) intervention design, provision and fidelity assessment procedures; (2) risk assessment and recruitment pathways and (3) data collection for monitoring and evaluation. To provide recommendations informing decision makers on programme quality, improvements and future evaluation.; Design: We reviewed programme documents, mapping against the NHS DPP specification and National Institute for Health and Care Excellence (NICE) public health guideline: Type 2 diabetes (T2D) prevention in people at high risk (PH38), conducted qualitative research using individual interviews and focus group discussions with stakeholders and examined recruitment, fidelity and data collection procedures.; Setting: Seven NHS DPP demonstrator sites and, subsequently, 27 first wave areas across England.; Interventions: Intensive behavioural intervention with weight loss, diet and physical activity goals. The national programme specifies at least 13 sessions over 9 months, delivered face to face to groups of 15-20 adults with non-diabetic hyperglycaemia, mainly recruited from primary care and NHS Health Checks.; Participants: Participants for qualitative research were purposively sampled to provide a spread of stakeholder experience. Documents for review were provided via the NHS DPP Management Group.; Findings: The NHS DPP specification reflected current evidence with a clear framework for service provision. Providers, with national capacity to deliver, supplied intervention plans compliant with this framework. Stakeholders highlighted limitations in fidelity assessment and recruitment and retention challenges, especially in reach and equity, that could adversely impact on implementation. Risk assessment for first wave eligibility differed from NICE guidance.; Conclusions: The NHS DPP provides an evidence-based behavioural intervention for prevention of T2D in adults at high risk, with capacity to deliver nationally. Framework specification allows for balance between consistency and contextual variation in intervention delivery, with session details devolved to providers. Limitations in fidelity assurance, data collection procedures and recruitment issues could adversely impact on intervention effectiveness and restrict evaluation.; © Article author(s) (or their employer(s) unless otherwise stated in the text of th…","author":[{"dropping-particle":"","family":"Penn","given":"Linda","non-dropping-particle":"","parse-names":false,"suffix":""},{"dropping-particle":"","family":"Rodrigues","given":"Angela","non-dropping-particle":"","parse-names":false,"suffix":""},{"dropping-particle":"","family":"Haste","given":"Anna","non-dropping-particle":"","parse-names":false,"suffix":""},{"dropping-particle":"","family":"Marques","given":"Marta M","non-dropping-particle":"","parse-names":false,"suffix":""},{"dropping-particle":"","family":"Budig","given":"Kirsten","non-dropping-particle":"","parse-names":false,"suffix":""},{"dropping-particle":"","family":"Sainsbury","given":"Kirby","non-dropping-particle":"","parse-names":false,"suffix":""},{"dropping-particle":"","family":"Al.","given":"Et","non-dropping-particle":"","parse-names":false,"suffix":""}],"container-title":"BMJ Open","id":"ITEM-1","issued":{"date-parts":[["2018"]]},"note":"Accession Number: 29467134. Language: English. Date Revised: 20180906. Date Created: 20180223. Date Completed: 20180906. Update Code: 20180907. Publication Type: Evaluation Studies. Journal ID: 101552874. Publication Model: Electronic. Cited Medium: Internet. NLM ISO Abbr: BMJ Open. Comment: Cites: Diabetes Care. 2003 Mar;26(3):725-31. (PMID: 12610029). Cites: BMC Public Health. 2009 Sep 16;9:342. (PMID: 19758428). Cites: Cochrane Database Syst Rev. 2010 Dec 08;(12):MR000028. (PMID: 21154402). Cites: J Epidemiol Community Health. 2000 Mar;54(3):173-7. (PMID: 10746110). Cites: Science. 2011 Sep 9;333(6048):1393-400. (PMID: 21903802). Cites: BMJ Open. 2014 Jul 08;4(7):e004530. (PMID: 25005595). Cites: BMC Public Health. 2011 May 19;11:350. (PMID: 21595955). Cites: PLoS One. 2013;8(2):e57143. (PMID: 23451166). Cites: Lancet. 2007 Sep 29;370(9593):1153-63. (PMID: 17905168). Cites: Transl Behav Med. 2015 Dec;5(4):401-14. (PMID: 26622913). Cites: Ann Intern Med. 2005 Mar 1;142(5):323-32. (PMID: 15738451). Cites: Trials. 2012 Aug 28;13:152. (PMID: 22929458). Cites: Diabetes Care Educ Newsl. 2012 Summer;33(4):4-7. (PMID: 26451082). Cites: Health Technol Assess. 2013 Aug;17 (35):1-90. (PMID: 23972041). Cites: Lancet. 2005 Jan 1-7;365(9453):82-93. (PMID: 15639683). Cites: Health Educ Res. 2005 Jun;20(3):275-90. (PMID: 15632099). Cites: Res Nurs Health. 2010 Apr;33(2):164-73. (PMID: 20198637). Cites: Public Health Rep. 2007 Mar-Apr;122(2):258-63. (PMID: 17357369). Cites: PLoS Med. 2016 Jul 12;13(7):e1002080. (PMID: 27404268). Cites: BMJ. 2011 Oct 17;343:d6386. (PMID: 22006953). Cites: Diabetes Care. 2003 Jan;26(1):36-47. (PMID: 12502656). Cites: Diabetes Care. 2010 Oct;33(10):2146-51. (PMID: 20664020). Cites: Lancet. 2006 Apr 8;367(9517):1128-30. (PMID: 16616547). Cites: N Engl J Med. 2001 May 3;344(18):1343-50. (PMID: 11333990). Cites: Diab Vasc Dis Res. 2007 Dec;4(4):353-7. (PMID: 18158707). Cites: BMJ. 2015 Mar 19;350:h1258. (PMID: 25791983). Cites: BMC Public Health. 2007 Sep 19;7:249. (PMID: 17877832). Cites: N Engl J Med. 2002 Feb 7;346(6):393-403. (PMID: 11832527). Cites: Diabetes Care. 2014 Apr;37(4):934-42. (PMID: 24319121). Cites: BMJ Open. 2013 Jun 28;3(6):null. (PMID: 23811173). Cites: BMJ. 2015 Sep 07;351:h4717. (PMID: 26346375). Cites: J Health Psychol. 2004 Jan;9(1):73-84. (PMID: 14683570). Cites: Diabetes Care. 2009 Aug;32(8):1418-20. (PMID: 19401442). Cites: Arch Intern Med. 2011 Aug 8;171(15):1352-60. (PMID: 21824948). Cites: BMJ. 2009 Mar 17;338:b880. (PMID: 19297312). Cites: BMC Public Health. 2011 Feb 18;11:119. (PMID: 21333011). Linking ISSN: 20446055. Subset: IM; Grant Information: United Kingdom British Heart Foundation; United Kingdom Medical Research Council; NIHR-RP-02-12-001 United Kingdom Department of Health; United Kingdom Cancer Research UK; MR/K02325X/1 United Kingdom Medical Research Council Date of Electronic Publication: 2018 Feb 21. ; Original Imprints: Publication: [London] : BMJ Publishing Group Ltd, 2011-","page":"e019467","publisher":"BMJ Publishing Group Ltd","publisher-place":"Institute of Health &amp; Society, Newcastle University, Newcastle upon Tyne, UK.; Fuse: UKCRC Centre for Translational Research in Public Health, Newcastle upon Tyne, UK.; Human Nutrition Research Centre, Newcastle University, Newcastle upon Tyne, UK.","title":"NHS diabetes prevention programme in England: formative evaluation of the programme in early phase implementation.","type":"article-journal","volume":"8"},"uris":["http://www.mendeley.com/documents/?uuid=0a421108-0e51-4039-8549-33e6c08f2b12"]}],"mendeley":{"formattedCitation":"(Penn et al., 2018)","plainTextFormattedCitation":"(Penn et al., 2018)","previouslyFormattedCitation":"(Penn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(Penn et al., 2018)</w:t>
      </w:r>
      <w:r w:rsidRPr="00103A0B">
        <w:rPr>
          <w:rFonts w:ascii="Arial" w:hAnsi="Arial" w:cs="Arial"/>
          <w:sz w:val="24"/>
          <w:szCs w:val="24"/>
        </w:rPr>
        <w:fldChar w:fldCharType="end"/>
      </w:r>
      <w:r w:rsidRPr="00103A0B">
        <w:rPr>
          <w:rFonts w:ascii="Arial" w:hAnsi="Arial" w:cs="Arial"/>
          <w:sz w:val="24"/>
          <w:szCs w:val="24"/>
        </w:rPr>
        <w:t xml:space="preserve">. </w:t>
      </w:r>
    </w:p>
    <w:p w14:paraId="1176DAAC" w14:textId="4EE35505" w:rsidR="00E511EE" w:rsidRPr="00103A0B" w:rsidRDefault="00E511EE"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Regarding important programme-level factors that are associated with high retention in group-based DPPs, the systematic review found that programmes with high levels of retention were more likely to provide incentives for participation, use problem-solving, demonstrate the behaviour, use behavioural practice/</w:t>
      </w:r>
      <w:proofErr w:type="gramStart"/>
      <w:r w:rsidRPr="00103A0B">
        <w:rPr>
          <w:rFonts w:ascii="Arial" w:hAnsi="Arial" w:cs="Arial"/>
          <w:sz w:val="24"/>
          <w:szCs w:val="24"/>
        </w:rPr>
        <w:t>rehearsal</w:t>
      </w:r>
      <w:proofErr w:type="gramEnd"/>
      <w:r w:rsidRPr="00103A0B">
        <w:rPr>
          <w:rFonts w:ascii="Arial" w:hAnsi="Arial" w:cs="Arial"/>
          <w:sz w:val="24"/>
          <w:szCs w:val="24"/>
        </w:rPr>
        <w:t xml:space="preserve"> and use techniques to reduce negative emotions. </w:t>
      </w:r>
      <w:proofErr w:type="gramStart"/>
      <w:r w:rsidRPr="00103A0B">
        <w:rPr>
          <w:rFonts w:ascii="Arial" w:hAnsi="Arial" w:cs="Arial"/>
          <w:sz w:val="24"/>
          <w:szCs w:val="24"/>
        </w:rPr>
        <w:t>These behaviour</w:t>
      </w:r>
      <w:proofErr w:type="gramEnd"/>
      <w:r w:rsidRPr="00103A0B">
        <w:rPr>
          <w:rFonts w:ascii="Arial" w:hAnsi="Arial" w:cs="Arial"/>
          <w:sz w:val="24"/>
          <w:szCs w:val="24"/>
        </w:rPr>
        <w:t xml:space="preserve"> change techniques (BCTs) can be considered by programme designers to ensure that these are incorporated into their programmes to optimise retention (see sections 8.3: Theoretical implications and 8.6: Recommendations for practice). </w:t>
      </w:r>
      <w:r w:rsidRPr="00103A0B">
        <w:rPr>
          <w:rFonts w:ascii="Arial" w:eastAsia="Times New Roman" w:hAnsi="Arial" w:cs="Arial"/>
          <w:sz w:val="24"/>
          <w:szCs w:val="24"/>
          <w:lang w:eastAsia="en-GB"/>
        </w:rPr>
        <w:t>Following a recent top-up search (articles published 22</w:t>
      </w:r>
      <w:r w:rsidRPr="00103A0B">
        <w:rPr>
          <w:rFonts w:ascii="Arial" w:eastAsia="Times New Roman" w:hAnsi="Arial" w:cs="Arial"/>
          <w:sz w:val="24"/>
          <w:szCs w:val="24"/>
          <w:vertAlign w:val="superscript"/>
          <w:lang w:eastAsia="en-GB"/>
        </w:rPr>
        <w:t>nd</w:t>
      </w:r>
      <w:r w:rsidRPr="00103A0B">
        <w:rPr>
          <w:rFonts w:ascii="Arial" w:eastAsia="Times New Roman" w:hAnsi="Arial" w:cs="Arial"/>
          <w:sz w:val="24"/>
          <w:szCs w:val="24"/>
          <w:lang w:eastAsia="en-GB"/>
        </w:rPr>
        <w:t xml:space="preserve"> October 2019-14</w:t>
      </w:r>
      <w:r w:rsidRPr="00103A0B">
        <w:rPr>
          <w:rFonts w:ascii="Arial" w:eastAsia="Times New Roman" w:hAnsi="Arial" w:cs="Arial"/>
          <w:sz w:val="24"/>
          <w:szCs w:val="24"/>
          <w:vertAlign w:val="superscript"/>
          <w:lang w:eastAsia="en-GB"/>
        </w:rPr>
        <w:t>th</w:t>
      </w:r>
      <w:r w:rsidRPr="00103A0B">
        <w:rPr>
          <w:rFonts w:ascii="Arial" w:eastAsia="Times New Roman" w:hAnsi="Arial" w:cs="Arial"/>
          <w:sz w:val="24"/>
          <w:szCs w:val="24"/>
          <w:lang w:eastAsia="en-GB"/>
        </w:rPr>
        <w:t xml:space="preserve"> June 2021), six additional papers were found</w:t>
      </w:r>
      <w:r w:rsidR="005D7703" w:rsidRPr="00103A0B">
        <w:rPr>
          <w:rFonts w:ascii="Arial" w:eastAsia="Times New Roman" w:hAnsi="Arial" w:cs="Arial"/>
          <w:sz w:val="24"/>
          <w:szCs w:val="24"/>
          <w:lang w:eastAsia="en-GB"/>
        </w:rPr>
        <w:t xml:space="preserve"> </w:t>
      </w:r>
      <w:r w:rsidR="005D7703" w:rsidRPr="00103A0B">
        <w:rPr>
          <w:rFonts w:ascii="Arial" w:eastAsia="Times New Roman" w:hAnsi="Arial" w:cs="Arial"/>
          <w:sz w:val="24"/>
          <w:szCs w:val="24"/>
          <w:lang w:eastAsia="en-GB"/>
        </w:rPr>
        <w:fldChar w:fldCharType="begin" w:fldLock="1"/>
      </w:r>
      <w:r w:rsidR="005C6715" w:rsidRPr="00103A0B">
        <w:rPr>
          <w:rFonts w:ascii="Arial" w:eastAsia="Times New Roman" w:hAnsi="Arial" w:cs="Arial"/>
          <w:sz w:val="24"/>
          <w:szCs w:val="24"/>
          <w:lang w:eastAsia="en-GB"/>
        </w:rPr>
        <w:instrText>ADDIN CSL_CITATION {"citationItems":[{"id":"ITEM-1","itemData":{"DOI":"10.1177/0145721719880503","ISSN":"15546063","PMID":"31608798","abstract":"Purpose: The purpose of this study was to identify patient and program delivery characteristics associated with engagement and weight loss in a Diabetes Prevention Program (DPP) implemented in an urban hospital system. Methods: Patient and program delivery data were collected between July 2015 and December 2017. DPP eligibility was determined based on age, body mass index (BMI), and hemoglobin A1C data via the electronic health record. Engagement was measured at 3 levels: ≤3 sessions, 4 to 8 sessions, and ≥9 sessions. Weight was measured at each DPP session. Results: Among the eligible patients (N = 31 524), referrals and engagement were lower in men than women, in Spanish speakers than English speakers, in younger (18-34 years) and middle-aged (35-54 years) than older adults, and in patients receiving Medicaid than other patients. Referral and engagement were higher in patients with higher BMIs and those prescribed ≥5 medications. Current smokers were less frequently engaged. Prior health care provider contact was associated with higher engagement. Overall, 28% of DPP participants achieved ≥5% weight loss; younger and middle-aged patients and those who gained weight in the prior 2 years were less likely to lose weight. Conclusion: This assessment identified characteristics of patients with lower levels of referral and engagement. The DPP staff may need to increase outreach to address barriers to referral and during all points of engagement among men, younger patients, and Spanish speakers. Future research is needed to increase understanding with regard to why referrals and engagement are lower among these groups.","author":[{"dropping-particle":"","family":"Chambers","given":"Earle C.","non-dropping-particle":"","parse-names":false,"suffix":""},{"dropping-particle":"","family":"Gonzalez","given":"Jeffrey S.","non-dropping-particle":"","parse-names":false,"suffix":""},{"dropping-particle":"","family":"Marquez","given":"Melinda E.","non-dropping-particle":"","parse-names":false,"suffix":""},{"dropping-particle":"","family":"Parsons","given":"Amanda","non-dropping-particle":"","parse-names":false,"suffix":""},{"dropping-particle":"","family":"Rehm","given":"Colin D.","non-dropping-particle":"","parse-names":false,"suffix":""}],"container-title":"Diabetes Educator","id":"ITEM-1","issue":"6","issued":{"date-parts":[["2019"]]},"page":"616-628","title":"The reach of an urban hospital system-based diabetes prevention program: patient engagement and weight loss characteristics","type":"article-journal","volume":"45"},"uris":["http://www.mendeley.com/documents/?uuid=39c758bb-06e6-4f36-bd99-5bdeb83ca01e"]},{"id":"ITEM-2","itemData":{"DOI":"10.1136/bmjopen-2019-033397","ISSN":"20446055","PMID":"31969366","abstract":"Objectives (1) To estimate weight change from a low-carbohydrate diabetes prevention programme (LC-DPP) and (2) to evaluate the feasibility and acceptability of an LC-DPP. Research design Single-arm, mixed methods (ie, integration of quantitative and qualitative data) pilot study. Setting Primary care clinic within a large academic medical centre in the USA. Participants Adults with pre-diabetes and Body Mass Index of ≥25 kg/m 2. Intervention We adapted the Centers for Disease Control and Prevention's National Diabetes Prevention Program (NDPP) - an evidence-based, low-fat dietary intervention - to teach participants to follow a very low-carbohydrate diet (VLCD). Participants attended 23 group-based classes over 1 year. Outcome measures Primary outcome measures were (1) weight change and (2) percentage of participants who achieved ≥5% wt loss. Secondary outcome measures included intervention feasibility and acceptability (eg, attendance and qualitative interview feedback). Results Our enrolment target was 22. One person dropped out before a baseline weight was obtained; data from 21 individuals were analysed. Mean weight loss in kilogram was 4.3 (SD 4.8) at 6 months and 4.9 (SD 5.8) at 12 months. Mean per cent body weight changes were 4.5 (SD 5.0) at 6 months and 5.2 (SD 6.0) at 12 months; 8/21 individuals (38%) achieved ≥5% wt loss at 12 months. Mean attendance was 10.3/16 weekly sessions and 3.4/7 biweekly or monthly sessions. Among interviewees (n=14), three factors facilitated VLCD adherence: (1) enjoyment of low-carbohydrate foods, (2) diminished hunger and cravings and (3) health benefits beyond weight loss. Three factors hindered VLCD adherence: (1) enjoyment of high-carbohydrate foods, (2) lack of social support and (3) difficulty preplanning meals. Conclusions An LC-DPP is feasible, acceptable and may be an effective option to help individuals with pre-diabetes to lose weight. Data from this pilot will be used to plan a fully powered randomised controlled trial of weight loss among NDPP versus LC-DPP participants. Trial registration number NCT03258918.","author":[{"dropping-particle":"","family":"Griauzde","given":"Dina Hafez","non-dropping-particle":"","parse-names":false,"suffix":""},{"dropping-particle":"","family":"Saslow","given":"Laura","non-dropping-particle":"","parse-names":false,"suffix":""},{"dropping-particle":"","family":"Patterson","given":"Kaitlyn","non-dropping-particle":"","parse-names":false,"suffix":""},{"dropping-particle":"","family":"Ansari","given":"Tahoora","non-dropping-particle":"","parse-names":false,"suffix":""},{"dropping-particle":"","family":"Liestenfeltz","given":"Bradley","non-dropping-particle":"","parse-names":false,"suffix":""},{"dropping-particle":"","family":"Tisack","given":"Aaron","non-dropping-particle":"","parse-names":false,"suffix":""},{"dropping-particle":"","family":"Bihn","given":"Patti","non-dropping-particle":"","parse-names":false,"suffix":""},{"dropping-particle":"","family":"Shopinski","given":"Samuel","non-dropping-particle":"","parse-names":false,"suffix":""},{"dropping-particle":"","family":"Richardson","given":"Caroline R.","non-dropping-particle":"","parse-names":false,"suffix":""}],"container-title":"BMJ Open","id":"ITEM-2","issued":{"date-parts":[["2020"]]},"page":"e033397","title":"Mixed methods pilot study of a low-carbohydrate diabetes prevention programme among adults with pre-diabetes in the USA","type":"article-journal","volume":"10"},"uris":["http://www.mendeley.com/documents/?uuid=5bb988c6-ce9e-4cf4-8d93-3aafa5c25e23"]},{"id":"ITEM-3","itemData":{"DOI":"10.1177/0890117120958545","ISSN":"08901171","PMID":"32945175","abstract":"Purpose: Previous DPP translations in African American women have been suboptimal. This trial evaluated a community-based participatory research developed faith-based diabetes prevention program (DPP) to improve weight loss in African American women. Design: This cluster randomized trial allocated churches to faith-based (FDPP) or standard (SDPP) DPP interventions. Setting. African American churches. Subjects. Eleven churches with 221 African American women (aged 48.8 ± 11.2 years, BMI = 36.7 ± 8.4) received the FDPP (n = 6) or SDPP (n = 5) intervention. Intervention: FDPP incorporated 5 faith-based components, including pastor involvement, into the standard DPP curriculum. The SDPP used the standard DPP curriculum. Lay health leaders facilitated interventions at church sites. Measures: Weight and biometrics were collected by blinded staff at baseline, 4- and 10-months. Analysis: A multilevel hierarchical regression model compared the FDPP and SDPP groups on outcomes. Results: FDPP and SDPP churches significantly lost weight at 10-months (overall −2.6%, p &lt;.01). Women in FDPP churches who attended at least 15 sessions lost an additional 6.1 pounds at 4-months compared to SDPP corresponding to a 5.8% reduction at 10-months (p &lt;.05). Both groups had significant improvements in health behaviors and biometrics. Conclusions: Faith-based and standard DPP interventions led by lay health leaders successfully improved weight, health behaviors, and chronic disease risk. However, the faith-based DPP when fully implemented met the CDC’s recommendation for weight loss for diabetes prevention in African American women.","author":[{"dropping-particle":"","family":"Kitzman","given":"Heather","non-dropping-particle":"","parse-names":false,"suffix":""},{"dropping-particle":"","family":"Mamun","given":"Abdullah","non-dropping-particle":"","parse-names":false,"suffix":""},{"dropping-particle":"","family":"Dodgen","given":"Leilani","non-dropping-particle":"","parse-names":false,"suffix":""},{"dropping-particle":"","family":"Slater","given":"Donna","non-dropping-particle":"","parse-names":false,"suffix":""},{"dropping-particle":"","family":"King","given":"George","non-dropping-particle":"","parse-names":false,"suffix":""},{"dropping-particle":"","family":"King","given":"Alene","non-dropping-particle":"","parse-names":false,"suffix":""},{"dropping-particle":"","family":"Slater","given":"J. Lee","non-dropping-particle":"","parse-names":false,"suffix":""},{"dropping-particle":"","family":"DeHaven","given":"Mark","non-dropping-particle":"","parse-names":false,"suffix":""}],"container-title":"American Journal of Health Promotion","id":"ITEM-3","issue":"2","issued":{"date-parts":[["2021"]]},"page":"202-213","title":"Better me within randomized trial: faith-based diabetes prevention program for weight loss in African American women","type":"article-journal","volume":"35"},"uris":["http://www.mendeley.com/documents/?uuid=2b6674e2-3f65-4f31-966a-cd0995a1cfd9"]},{"id":"ITEM-4","itemData":{"DOI":"10.1016/j.ypmed.2020.106068","ISBN":"1261100026","ISSN":"10960260","PMID":"32194098","abstract":"We aimed to examine whether a lifestyle intervention was effective in reducing cardiovascular disease (CVD) risk in individuals at high-risk of developing diabetes in a low- and middle-income setting. The Kerala Diabetes Prevention Program was evaluated by a cluster-randomized controlled trial (2013–2016) of 1007 individuals (aged 30–60 years) at high-risk for diabetes (Indian Diabetes Risk Score ≥ 60 and without diabetes) in Kerala state, India. Sixty polling areas in Kerala were randomized to intervention or control groups by an independent statistician using a computer-generated randomization sequence. Participants from 30 intervention communities received a 12-month structured peer-support lifestyle intervention program involving 15 group sessions and linked community activities, aimed at supporting and maintaining lifestyle change. The primary outcome for this analysis was the predicted 10-year CVD risk at two years, assessed using the Framingham Risk Score. The mean age at baseline was 46.0 (SD: 7.5) years, and 47.2% were women. Baseline 10-year CVD risk was similar between study groups. The follow-up rate at two years was 95.7%. The absolute risk reduction in predicted 10-year CVD risk between study groups was 0.69% (95% CI: 0.09% to 1.29%, p=0.024) at one year and 0.69% (95% CI: 0.10% to 1.29%, p=0.023) at two years. The favorable change in CVD risk with the intervention condition was mainly due to the reduction in tobacco use (change index: −0.25, 95% CI: −0.42 to −0.09). Our findings suggest that a community-based peer-support lifestyle intervention could reduce CVD risk in individuals at high-risk of developing diabetes in India. Trial registration: Australia and New Zealand Clinical Trials Registry ACTRN12611000262909.","author":[{"dropping-particle":"","family":"Lotfaliany","given":"Mojtaba","non-dropping-particle":"","parse-names":false,"suffix":""},{"dropping-particle":"","family":"Sathish","given":"Thirunavukkarasu","non-dropping-particle":"","parse-names":false,"suffix":""},{"dropping-particle":"","family":"Shaw","given":"Jonathan","non-dropping-particle":"","parse-names":false,"suffix":""},{"dropping-particle":"","family":"Thomas","given":"Emma","non-dropping-particle":"","parse-names":false,"suffix":""},{"dropping-particle":"","family":"Tapp","given":"Robyn Jennifer","non-dropping-particle":"","parse-names":false,"suffix":""},{"dropping-particle":"","family":"Kapoor","given":"Nitin","non-dropping-particle":"","parse-names":false,"suffix":""},{"dropping-particle":"","family":"Thankappan","given":"Kavumpurathu Raman","non-dropping-particle":"","parse-names":false,"suffix":""},{"dropping-particle":"","family":"Oldenburg","given":"Brian","non-dropping-particle":"","parse-names":false,"suffix":""}],"container-title":"Preventive Medicine","id":"ITEM-4","issued":{"date-parts":[["2020"]]},"page":"106068","publisher":"Elsevier","title":"Effects of a lifestyle intervention on cardiovascular risk among high-risk individuals for diabetes in a low- and middle-income setting: secondary analysis of the Kerala diabetes prevention program","type":"article-journal","volume":"139"},"uris":["http://www.mendeley.com/documents/?uuid=8fac6efa-a3f7-4e5e-a7fc-2d496f9e6c30"]},{"id":"ITEM-5","itemData":{"DOI":"10.1186/s12966-019-0877-3","ISSN":"14795868","PMID":"31771589","abstract":"Objective: This two-site randomised trial compared the effectiveness of a voluntary sector-led, community-based diabetes prevention programme to a waiting-list control group at 6 months, and included an observational follow-up of the intervention arm to 12 months. Methods: Adults aged 18-75 years at increased risk of developing type 2 diabetes due to elevated blood glucose and being overweight were recruited from primary care practices at two UK sites, with data collected in participants' homes or community venues. Participants were randomised using an online central allocation service. The intervention, comprising the prototype \"Living Well, Taking Control\" (LWTC) programme, involved four weekly two-hour group sessions held in local community venues to promote changes in diet and physical activity, plus planned follow-up contacts at two, three, six, nine and 12 months alongside 5 hours of additional activities/classes. Waiting list controls received usual care for 6 months before accessing the programme. The primary outcome was weight loss at 6 months. Secondary outcomes included glycated haemoglobin (HbA1c), blood pressure, physical activity, diet, health status and well-being. Only researchers conducting analyses were blinded. Results: The target sample of 314 participants (157 each arm) was largely representative of local populations, including 44% men, 26% from ethnic minorities and 33% living in deprived areas. Primary outcome data were available for 285 (91%) participants (141 intervention, 144 control). Between baseline and 6 months, intervention participants on average lost more weight than controls (- 1.7 kg, 95% CI - 2.59 to - 0.85). Higher attendance was associated with greater weight loss (- 3.0 kg, 95% CI - 4.5 to - 1.5). The prototype LWTC programme more than doubled the proportion of participants losing &gt; 5% of their body weight (21% intervention vs. 8% control, OR 2.83, 95% CI 1.36 to 5.90) and improved self-reported dietary behaviour and health status. There were no impacts on HbA1c, blood pressure, physical activity and well-being at 6 months and, amongst intervention participants, few further changes from six to 12-months (e.g. average weight re-gain 0.36 kg, 95% CI - 0.20 to 0.91). There were no serious adverse events but four exercise-related injuries were reported in the intervention arm. Conclusions: This voluntary sector-led diabetes prevention programme reached a broad spectrum of the population and had modest effects on weight…","author":[{"dropping-particle":"","family":"Smith","given":"Jane R.","non-dropping-particle":"","parse-names":false,"suffix":""},{"dropping-particle":"","family":"Greaves","given":"Colin J.","non-dropping-particle":"","parse-names":false,"suffix":""},{"dropping-particle":"","family":"Thompson","given":"Janice L.","non-dropping-particle":"","parse-names":false,"suffix":""},{"dropping-particle":"","family":"Taylor","given":"Rod S.","non-dropping-particle":"","parse-names":false,"suffix":""},{"dropping-particle":"","family":"Jones","given":"Matthew","non-dropping-particle":"","parse-names":false,"suffix":""},{"dropping-particle":"","family":"Armstrong","given":"Rosy","non-dropping-particle":"","parse-names":false,"suffix":""},{"dropping-particle":"","family":"Moorlock","given":"Sarah","non-dropping-particle":"","parse-names":false,"suffix":""},{"dropping-particle":"","family":"Griffin","given":"Ann","non-dropping-particle":"","parse-names":false,"suffix":""},{"dropping-particle":"","family":"Solomon-Moore","given":"Emma","non-dropping-particle":"","parse-names":false,"suffix":""},{"dropping-particle":"","family":"Biddle","given":"Michele S.Y.","non-dropping-particle":"","parse-names":false,"suffix":""},{"dropping-particle":"","family":"Price","given":"Lisa","non-dropping-particle":"","parse-names":false,"suffix":""},{"dropping-particle":"","family":"Abraham","given":"Charles","non-dropping-particle":"","parse-names":false,"suffix":""}],"container-title":"International Journal of Behavioral Nutrition and Physical Activity","id":"ITEM-5","issued":{"date-parts":[["2019"]]},"page":"112","publisher":"International Journal of Behavioral Nutrition and Physical Activity","title":"The community-based prevention of diabetes (ComPoD) study: a randomised, waiting list controlled trial of a voluntary sector-led diabetes prevention programme","type":"article-journal","volume":"16"},"uris":["http://www.mendeley.com/documents/?uuid=ebd60753-e18e-4575-803f-dcdc56ae1d44"]},{"id":"ITEM-6","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Care","id":"ITEM-6","issued":{"date-parts":[["2020"]]},"page":"152-160","title":"Early outcomes from the English National Health Service diabetes prevention programme","type":"article-journal","volume":"43"},"uris":["http://www.mendeley.com/documents/?uuid=32a7a44a-df0b-4cde-9269-536e48e08190"]}],"mendeley":{"formattedCitation":"(Chambers et al., 2019; D. H. Griauzde et al., 2020; Kitzman et al., 2021; Lotfaliany et al., 2020; J. R. Smith et al., 2019; Valabhji et al., 2020)","manualFormatting":"(Chambers et al., 2019; Griauzde et al., 2020; Kitzman et al., 2021; Lotfaliany et al., 2020; Smith et al., 2019; Valabhji et al., 2020)","plainTextFormattedCitation":"(Chambers et al., 2019; D. H. Griauzde et al., 2020; Kitzman et al., 2021; Lotfaliany et al., 2020; J. R. Smith et al., 2019; Valabhji et al., 2020)","previouslyFormattedCitation":"(Chambers et al., 2019; D. H. Griauzde et al., 2020; Kitzman et al., 2021; Lotfaliany et al., 2020; J. R. Smith et al., 2019; Valabhji et al., 2020)"},"properties":{"noteIndex":0},"schema":"https://github.com/citation-style-language/schema/raw/master/csl-citation.json"}</w:instrText>
      </w:r>
      <w:r w:rsidR="005D7703" w:rsidRPr="00103A0B">
        <w:rPr>
          <w:rFonts w:ascii="Arial" w:eastAsia="Times New Roman" w:hAnsi="Arial" w:cs="Arial"/>
          <w:sz w:val="24"/>
          <w:szCs w:val="24"/>
          <w:lang w:eastAsia="en-GB"/>
        </w:rPr>
        <w:fldChar w:fldCharType="separate"/>
      </w:r>
      <w:r w:rsidR="002830A0" w:rsidRPr="00103A0B">
        <w:rPr>
          <w:rFonts w:ascii="Arial" w:eastAsia="Times New Roman" w:hAnsi="Arial" w:cs="Arial"/>
          <w:noProof/>
          <w:sz w:val="24"/>
          <w:szCs w:val="24"/>
          <w:lang w:eastAsia="en-GB"/>
        </w:rPr>
        <w:t>(Chambers et al., 2019;</w:t>
      </w:r>
      <w:r w:rsidR="00A457B2" w:rsidRPr="00103A0B">
        <w:rPr>
          <w:rFonts w:ascii="Arial" w:eastAsia="Times New Roman" w:hAnsi="Arial" w:cs="Arial"/>
          <w:noProof/>
          <w:sz w:val="24"/>
          <w:szCs w:val="24"/>
          <w:lang w:eastAsia="en-GB"/>
        </w:rPr>
        <w:t xml:space="preserve"> </w:t>
      </w:r>
      <w:r w:rsidR="002830A0" w:rsidRPr="00103A0B">
        <w:rPr>
          <w:rFonts w:ascii="Arial" w:eastAsia="Times New Roman" w:hAnsi="Arial" w:cs="Arial"/>
          <w:noProof/>
          <w:sz w:val="24"/>
          <w:szCs w:val="24"/>
          <w:lang w:eastAsia="en-GB"/>
        </w:rPr>
        <w:t>Griauzde et al., 2020; Kitzman et al., 2021; Lotfaliany et al., 2020;</w:t>
      </w:r>
      <w:r w:rsidR="00A457B2" w:rsidRPr="00103A0B">
        <w:rPr>
          <w:rFonts w:ascii="Arial" w:eastAsia="Times New Roman" w:hAnsi="Arial" w:cs="Arial"/>
          <w:noProof/>
          <w:sz w:val="24"/>
          <w:szCs w:val="24"/>
          <w:lang w:eastAsia="en-GB"/>
        </w:rPr>
        <w:t xml:space="preserve"> </w:t>
      </w:r>
      <w:r w:rsidR="002830A0" w:rsidRPr="00103A0B">
        <w:rPr>
          <w:rFonts w:ascii="Arial" w:eastAsia="Times New Roman" w:hAnsi="Arial" w:cs="Arial"/>
          <w:noProof/>
          <w:sz w:val="24"/>
          <w:szCs w:val="24"/>
          <w:lang w:eastAsia="en-GB"/>
        </w:rPr>
        <w:t>Smith et al., 2019; Valabhji et al., 2020)</w:t>
      </w:r>
      <w:r w:rsidR="005D7703"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These papers also reported interventions which contained BCTs such as problem-solving</w:t>
      </w:r>
      <w:r w:rsidR="005D7703" w:rsidRPr="00103A0B">
        <w:rPr>
          <w:rFonts w:ascii="Arial" w:eastAsia="Times New Roman" w:hAnsi="Arial" w:cs="Arial"/>
          <w:sz w:val="24"/>
          <w:szCs w:val="24"/>
          <w:lang w:eastAsia="en-GB"/>
        </w:rPr>
        <w:t xml:space="preserve"> </w:t>
      </w:r>
      <w:r w:rsidR="005D7703" w:rsidRPr="00103A0B">
        <w:rPr>
          <w:rFonts w:ascii="Arial" w:eastAsia="Times New Roman" w:hAnsi="Arial" w:cs="Arial"/>
          <w:sz w:val="24"/>
          <w:szCs w:val="24"/>
          <w:lang w:eastAsia="en-GB"/>
        </w:rPr>
        <w:fldChar w:fldCharType="begin" w:fldLock="1"/>
      </w:r>
      <w:r w:rsidR="005C6715" w:rsidRPr="00103A0B">
        <w:rPr>
          <w:rFonts w:ascii="Arial" w:eastAsia="Times New Roman" w:hAnsi="Arial" w:cs="Arial"/>
          <w:sz w:val="24"/>
          <w:szCs w:val="24"/>
          <w:lang w:eastAsia="en-GB"/>
        </w:rPr>
        <w:instrText>ADDIN CSL_CITATION {"citationItems":[{"id":"ITEM-1","itemData":{"DOI":"10.1136/bmjopen-2019-033397","ISSN":"20446055","PMID":"31969366","abstract":"Objectives (1) To estimate weight change from a low-carbohydrate diabetes prevention programme (LC-DPP) and (2) to evaluate the feasibility and acceptability of an LC-DPP. Research design Single-arm, mixed methods (ie, integration of quantitative and qualitative data) pilot study. Setting Primary care clinic within a large academic medical centre in the USA. Participants Adults with pre-diabetes and Body Mass Index of ≥25 kg/m 2. Intervention We adapted the Centers for Disease Control and Prevention's National Diabetes Prevention Program (NDPP) - an evidence-based, low-fat dietary intervention - to teach participants to follow a very low-carbohydrate diet (VLCD). Participants attended 23 group-based classes over 1 year. Outcome measures Primary outcome measures were (1) weight change and (2) percentage of participants who achieved ≥5% wt loss. Secondary outcome measures included intervention feasibility and acceptability (eg, attendance and qualitative interview feedback). Results Our enrolment target was 22. One person dropped out before a baseline weight was obtained; data from 21 individuals were analysed. Mean weight loss in kilogram was 4.3 (SD 4.8) at 6 months and 4.9 (SD 5.8) at 12 months. Mean per cent body weight changes were 4.5 (SD 5.0) at 6 months and 5.2 (SD 6.0) at 12 months; 8/21 individuals (38%) achieved ≥5% wt loss at 12 months. Mean attendance was 10.3/16 weekly sessions and 3.4/7 biweekly or monthly sessions. Among interviewees (n=14), three factors facilitated VLCD adherence: (1) enjoyment of low-carbohydrate foods, (2) diminished hunger and cravings and (3) health benefits beyond weight loss. Three factors hindered VLCD adherence: (1) enjoyment of high-carbohydrate foods, (2) lack of social support and (3) difficulty preplanning meals. Conclusions An LC-DPP is feasible, acceptable and may be an effective option to help individuals with pre-diabetes to lose weight. Data from this pilot will be used to plan a fully powered randomised controlled trial of weight loss among NDPP versus LC-DPP participants. Trial registration number NCT03258918.","author":[{"dropping-particle":"","family":"Griauzde","given":"Dina Hafez","non-dropping-particle":"","parse-names":false,"suffix":""},{"dropping-particle":"","family":"Saslow","given":"Laura","non-dropping-particle":"","parse-names":false,"suffix":""},{"dropping-particle":"","family":"Patterson","given":"Kaitlyn","non-dropping-particle":"","parse-names":false,"suffix":""},{"dropping-particle":"","family":"Ansari","given":"Tahoora","non-dropping-particle":"","parse-names":false,"suffix":""},{"dropping-particle":"","family":"Liestenfeltz","given":"Bradley","non-dropping-particle":"","parse-names":false,"suffix":""},{"dropping-particle":"","family":"Tisack","given":"Aaron","non-dropping-particle":"","parse-names":false,"suffix":""},{"dropping-particle":"","family":"Bihn","given":"Patti","non-dropping-particle":"","parse-names":false,"suffix":""},{"dropping-particle":"","family":"Shopinski","given":"Samuel","non-dropping-particle":"","parse-names":false,"suffix":""},{"dropping-particle":"","family":"Richardson","given":"Caroline R.","non-dropping-particle":"","parse-names":false,"suffix":""}],"container-title":"BMJ Open","id":"ITEM-1","issued":{"date-parts":[["2020"]]},"page":"e033397","title":"Mixed methods pilot study of a low-carbohydrate diabetes prevention programme among adults with pre-diabetes in the USA","type":"article-journal","volume":"10"},"uris":["http://www.mendeley.com/documents/?uuid=5bb988c6-ce9e-4cf4-8d93-3aafa5c25e23"]},{"id":"ITEM-2","itemData":{"DOI":"10.1177/0890117120958545","ISSN":"08901171","PMID":"32945175","abstract":"Purpose: Previous DPP translations in African American women have been suboptimal. This trial evaluated a community-based participatory research developed faith-based diabetes prevention program (DPP) to improve weight loss in African American women. Design: This cluster randomized trial allocated churches to faith-based (FDPP) or standard (SDPP) DPP interventions. Setting. African American churches. Subjects. Eleven churches with 221 African American women (aged 48.8 ± 11.2 years, BMI = 36.7 ± 8.4) received the FDPP (n = 6) or SDPP (n = 5) intervention. Intervention: FDPP incorporated 5 faith-based components, including pastor involvement, into the standard DPP curriculum. The SDPP used the standard DPP curriculum. Lay health leaders facilitated interventions at church sites. Measures: Weight and biometrics were collected by blinded staff at baseline, 4- and 10-months. Analysis: A multilevel hierarchical regression model compared the FDPP and SDPP groups on outcomes. Results: FDPP and SDPP churches significantly lost weight at 10-months (overall −2.6%, p &lt;.01). Women in FDPP churches who attended at least 15 sessions lost an additional 6.1 pounds at 4-months compared to SDPP corresponding to a 5.8% reduction at 10-months (p &lt;.05). Both groups had significant improvements in health behaviors and biometrics. Conclusions: Faith-based and standard DPP interventions led by lay health leaders successfully improved weight, health behaviors, and chronic disease risk. However, the faith-based DPP when fully implemented met the CDC’s recommendation for weight loss for diabetes prevention in African American women.","author":[{"dropping-particle":"","family":"Kitzman","given":"Heather","non-dropping-particle":"","parse-names":false,"suffix":""},{"dropping-particle":"","family":"Mamun","given":"Abdullah","non-dropping-particle":"","parse-names":false,"suffix":""},{"dropping-particle":"","family":"Dodgen","given":"Leilani","non-dropping-particle":"","parse-names":false,"suffix":""},{"dropping-particle":"","family":"Slater","given":"Donna","non-dropping-particle":"","parse-names":false,"suffix":""},{"dropping-particle":"","family":"King","given":"George","non-dropping-particle":"","parse-names":false,"suffix":""},{"dropping-particle":"","family":"King","given":"Alene","non-dropping-particle":"","parse-names":false,"suffix":""},{"dropping-particle":"","family":"Slater","given":"J. Lee","non-dropping-particle":"","parse-names":false,"suffix":""},{"dropping-particle":"","family":"DeHaven","given":"Mark","non-dropping-particle":"","parse-names":false,"suffix":""}],"container-title":"American Journal of Health Promotion","id":"ITEM-2","issue":"2","issued":{"date-parts":[["2021"]]},"page":"202-213","title":"Better me within randomized trial: faith-based diabetes prevention program for weight loss in African American women","type":"article-journal","volume":"35"},"uris":["http://www.mendeley.com/documents/?uuid=2b6674e2-3f65-4f31-966a-cd0995a1cfd9"]},{"id":"ITEM-3","itemData":{"DOI":"10.1186/s12966-019-0877-3","ISSN":"14795868","PMID":"31771589","abstract":"Objective: This two-site randomised trial compared the effectiveness of a voluntary sector-led, community-based diabetes prevention programme to a waiting-list control group at 6 months, and included an observational follow-up of the intervention arm to 12 months. Methods: Adults aged 18-75 years at increased risk of developing type 2 diabetes due to elevated blood glucose and being overweight were recruited from primary care practices at two UK sites, with data collected in participants' homes or community venues. Participants were randomised using an online central allocation service. The intervention, comprising the prototype \"Living Well, Taking Control\" (LWTC) programme, involved four weekly two-hour group sessions held in local community venues to promote changes in diet and physical activity, plus planned follow-up contacts at two, three, six, nine and 12 months alongside 5 hours of additional activities/classes. Waiting list controls received usual care for 6 months before accessing the programme. The primary outcome was weight loss at 6 months. Secondary outcomes included glycated haemoglobin (HbA1c), blood pressure, physical activity, diet, health status and well-being. Only researchers conducting analyses were blinded. Results: The target sample of 314 participants (157 each arm) was largely representative of local populations, including 44% men, 26% from ethnic minorities and 33% living in deprived areas. Primary outcome data were available for 285 (91%) participants (141 intervention, 144 control). Between baseline and 6 months, intervention participants on average lost more weight than controls (- 1.7 kg, 95% CI - 2.59 to - 0.85). Higher attendance was associated with greater weight loss (- 3.0 kg, 95% CI - 4.5 to - 1.5). The prototype LWTC programme more than doubled the proportion of participants losing &gt; 5% of their body weight (21% intervention vs. 8% control, OR 2.83, 95% CI 1.36 to 5.90) and improved self-reported dietary behaviour and health status. There were no impacts on HbA1c, blood pressure, physical activity and well-being at 6 months and, amongst intervention participants, few further changes from six to 12-months (e.g. average weight re-gain 0.36 kg, 95% CI - 0.20 to 0.91). There were no serious adverse events but four exercise-related injuries were reported in the intervention arm. Conclusions: This voluntary sector-led diabetes prevention programme reached a broad spectrum of the population and had modest effects on weight…","author":[{"dropping-particle":"","family":"Smith","given":"Jane R.","non-dropping-particle":"","parse-names":false,"suffix":""},{"dropping-particle":"","family":"Greaves","given":"Colin J.","non-dropping-particle":"","parse-names":false,"suffix":""},{"dropping-particle":"","family":"Thompson","given":"Janice L.","non-dropping-particle":"","parse-names":false,"suffix":""},{"dropping-particle":"","family":"Taylor","given":"Rod S.","non-dropping-particle":"","parse-names":false,"suffix":""},{"dropping-particle":"","family":"Jones","given":"Matthew","non-dropping-particle":"","parse-names":false,"suffix":""},{"dropping-particle":"","family":"Armstrong","given":"Rosy","non-dropping-particle":"","parse-names":false,"suffix":""},{"dropping-particle":"","family":"Moorlock","given":"Sarah","non-dropping-particle":"","parse-names":false,"suffix":""},{"dropping-particle":"","family":"Griffin","given":"Ann","non-dropping-particle":"","parse-names":false,"suffix":""},{"dropping-particle":"","family":"Solomon-Moore","given":"Emma","non-dropping-particle":"","parse-names":false,"suffix":""},{"dropping-particle":"","family":"Biddle","given":"Michele S.Y.","non-dropping-particle":"","parse-names":false,"suffix":""},{"dropping-particle":"","family":"Price","given":"Lisa","non-dropping-particle":"","parse-names":false,"suffix":""},{"dropping-particle":"","family":"Abraham","given":"Charles","non-dropping-particle":"","parse-names":false,"suffix":""}],"container-title":"International Journal of Behavioral Nutrition and Physical Activity","id":"ITEM-3","issued":{"date-parts":[["2019"]]},"page":"112","publisher":"International Journal of Behavioral Nutrition and Physical Activity","title":"The community-based prevention of diabetes (ComPoD) study: a randomised, waiting list controlled trial of a voluntary sector-led diabetes prevention programme","type":"article-journal","volume":"16"},"uris":["http://www.mendeley.com/documents/?uuid=ebd60753-e18e-4575-803f-dcdc56ae1d44"]},{"id":"ITEM-4","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Care","id":"ITEM-4","issued":{"date-parts":[["2020"]]},"page":"152-160","title":"Early outcomes from the English National Health Service diabetes prevention programme","type":"article-journal","volume":"43"},"uris":["http://www.mendeley.com/documents/?uuid=32a7a44a-df0b-4cde-9269-536e48e08190"]}],"mendeley":{"formattedCitation":"(D. H. Griauzde et al., 2020; Kitzman et al., 2021; J. R. Smith et al., 2019; Valabhji et al., 2020)","manualFormatting":"(Griauzde et al., 2020; Kitzman et al., 2021; Smith et al., 2019; Valabhji et al., 2020)","plainTextFormattedCitation":"(D. H. Griauzde et al., 2020; Kitzman et al., 2021; J. R. Smith et al., 2019; Valabhji et al., 2020)","previouslyFormattedCitation":"(D. H. Griauzde et al., 2020; Kitzman et al., 2021; J. R. Smith et al., 2019; Valabhji et al., 2020)"},"properties":{"noteIndex":0},"schema":"https://github.com/citation-style-language/schema/raw/master/csl-citation.json"}</w:instrText>
      </w:r>
      <w:r w:rsidR="005D7703" w:rsidRPr="00103A0B">
        <w:rPr>
          <w:rFonts w:ascii="Arial" w:eastAsia="Times New Roman" w:hAnsi="Arial" w:cs="Arial"/>
          <w:sz w:val="24"/>
          <w:szCs w:val="24"/>
          <w:lang w:eastAsia="en-GB"/>
        </w:rPr>
        <w:fldChar w:fldCharType="separate"/>
      </w:r>
      <w:r w:rsidR="002830A0" w:rsidRPr="00103A0B">
        <w:rPr>
          <w:rFonts w:ascii="Arial" w:eastAsia="Times New Roman" w:hAnsi="Arial" w:cs="Arial"/>
          <w:noProof/>
          <w:sz w:val="24"/>
          <w:szCs w:val="24"/>
          <w:lang w:eastAsia="en-GB"/>
        </w:rPr>
        <w:t>(Griauzde et al., 2020; Kitzman et al., 2021;</w:t>
      </w:r>
      <w:r w:rsidR="00A457B2" w:rsidRPr="00103A0B">
        <w:rPr>
          <w:rFonts w:ascii="Arial" w:eastAsia="Times New Roman" w:hAnsi="Arial" w:cs="Arial"/>
          <w:noProof/>
          <w:sz w:val="24"/>
          <w:szCs w:val="24"/>
          <w:lang w:eastAsia="en-GB"/>
        </w:rPr>
        <w:t xml:space="preserve"> </w:t>
      </w:r>
      <w:r w:rsidR="002830A0" w:rsidRPr="00103A0B">
        <w:rPr>
          <w:rFonts w:ascii="Arial" w:eastAsia="Times New Roman" w:hAnsi="Arial" w:cs="Arial"/>
          <w:noProof/>
          <w:sz w:val="24"/>
          <w:szCs w:val="24"/>
          <w:lang w:eastAsia="en-GB"/>
        </w:rPr>
        <w:t>Smith et al., 2019; Valabhji et al., 2020)</w:t>
      </w:r>
      <w:r w:rsidR="005D7703"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reducing negative emotions</w:t>
      </w:r>
      <w:r w:rsidR="002830A0" w:rsidRPr="00103A0B">
        <w:rPr>
          <w:rFonts w:ascii="Arial" w:eastAsia="Times New Roman" w:hAnsi="Arial" w:cs="Arial"/>
          <w:sz w:val="24"/>
          <w:szCs w:val="24"/>
          <w:lang w:eastAsia="en-GB"/>
        </w:rPr>
        <w:t xml:space="preserve"> </w:t>
      </w:r>
      <w:r w:rsidR="002830A0" w:rsidRPr="00103A0B">
        <w:rPr>
          <w:rFonts w:ascii="Arial" w:eastAsia="Times New Roman" w:hAnsi="Arial" w:cs="Arial"/>
          <w:sz w:val="24"/>
          <w:szCs w:val="24"/>
          <w:lang w:eastAsia="en-GB"/>
        </w:rPr>
        <w:fldChar w:fldCharType="begin" w:fldLock="1"/>
      </w:r>
      <w:r w:rsidR="005C6715" w:rsidRPr="00103A0B">
        <w:rPr>
          <w:rFonts w:ascii="Arial" w:eastAsia="Times New Roman" w:hAnsi="Arial" w:cs="Arial"/>
          <w:sz w:val="24"/>
          <w:szCs w:val="24"/>
          <w:lang w:eastAsia="en-GB"/>
        </w:rPr>
        <w:instrText>ADDIN CSL_CITATION {"citationItems":[{"id":"ITEM-1","itemData":{"DOI":"10.1177/0890117120958545","ISSN":"08901171","PMID":"32945175","abstract":"Purpose: Previous DPP translations in African American women have been suboptimal. This trial evaluated a community-based participatory research developed faith-based diabetes prevention program (DPP) to improve weight loss in African American women. Design: This cluster randomized trial allocated churches to faith-based (FDPP) or standard (SDPP) DPP interventions. Setting. African American churches. Subjects. Eleven churches with 221 African American women (aged 48.8 ± 11.2 years, BMI = 36.7 ± 8.4) received the FDPP (n = 6) or SDPP (n = 5) intervention. Intervention: FDPP incorporated 5 faith-based components, including pastor involvement, into the standard DPP curriculum. The SDPP used the standard DPP curriculum. Lay health leaders facilitated interventions at church sites. Measures: Weight and biometrics were collected by blinded staff at baseline, 4- and 10-months. Analysis: A multilevel hierarchical regression model compared the FDPP and SDPP groups on outcomes. Results: FDPP and SDPP churches significantly lost weight at 10-months (overall −2.6%, p &lt;.01). Women in FDPP churches who attended at least 15 sessions lost an additional 6.1 pounds at 4-months compared to SDPP corresponding to a 5.8% reduction at 10-months (p &lt;.05). Both groups had significant improvements in health behaviors and biometrics. Conclusions: Faith-based and standard DPP interventions led by lay health leaders successfully improved weight, health behaviors, and chronic disease risk. However, the faith-based DPP when fully implemented met the CDC’s recommendation for weight loss for diabetes prevention in African American women.","author":[{"dropping-particle":"","family":"Kitzman","given":"Heather","non-dropping-particle":"","parse-names":false,"suffix":""},{"dropping-particle":"","family":"Mamun","given":"Abdullah","non-dropping-particle":"","parse-names":false,"suffix":""},{"dropping-particle":"","family":"Dodgen","given":"Leilani","non-dropping-particle":"","parse-names":false,"suffix":""},{"dropping-particle":"","family":"Slater","given":"Donna","non-dropping-particle":"","parse-names":false,"suffix":""},{"dropping-particle":"","family":"King","given":"George","non-dropping-particle":"","parse-names":false,"suffix":""},{"dropping-particle":"","family":"King","given":"Alene","non-dropping-particle":"","parse-names":false,"suffix":""},{"dropping-particle":"","family":"Slater","given":"J. Lee","non-dropping-particle":"","parse-names":false,"suffix":""},{"dropping-particle":"","family":"DeHaven","given":"Mark","non-dropping-particle":"","parse-names":false,"suffix":""}],"container-title":"American Journal of Health Promotion","id":"ITEM-1","issue":"2","issued":{"date-parts":[["2021"]]},"page":"202-213","title":"Better me within randomized trial: faith-based diabetes prevention program for weight loss in African American women","type":"article-journal","volume":"35"},"uris":["http://www.mendeley.com/documents/?uuid=2b6674e2-3f65-4f31-966a-cd0995a1cfd9"]},{"id":"ITEM-2","itemData":{"DOI":"10.1186/s12966-019-0877-3","ISSN":"14795868","PMID":"31771589","abstract":"Objective: This two-site randomised trial compared the effectiveness of a voluntary sector-led, community-based diabetes prevention programme to a waiting-list control group at 6 months, and included an observational follow-up of the intervention arm to 12 months. Methods: Adults aged 18-75 years at increased risk of developing type 2 diabetes due to elevated blood glucose and being overweight were recruited from primary care practices at two UK sites, with data collected in participants' homes or community venues. Participants were randomised using an online central allocation service. The intervention, comprising the prototype \"Living Well, Taking Control\" (LWTC) programme, involved four weekly two-hour group sessions held in local community venues to promote changes in diet and physical activity, plus planned follow-up contacts at two, three, six, nine and 12 months alongside 5 hours of additional activities/classes. Waiting list controls received usual care for 6 months before accessing the programme. The primary outcome was weight loss at 6 months. Secondary outcomes included glycated haemoglobin (HbA1c), blood pressure, physical activity, diet, health status and well-being. Only researchers conducting analyses were blinded. Results: The target sample of 314 participants (157 each arm) was largely representative of local populations, including 44% men, 26% from ethnic minorities and 33% living in deprived areas. Primary outcome data were available for 285 (91%) participants (141 intervention, 144 control). Between baseline and 6 months, intervention participants on average lost more weight than controls (- 1.7 kg, 95% CI - 2.59 to - 0.85). Higher attendance was associated with greater weight loss (- 3.0 kg, 95% CI - 4.5 to - 1.5). The prototype LWTC programme more than doubled the proportion of participants losing &gt; 5% of their body weight (21% intervention vs. 8% control, OR 2.83, 95% CI 1.36 to 5.90) and improved self-reported dietary behaviour and health status. There were no impacts on HbA1c, blood pressure, physical activity and well-being at 6 months and, amongst intervention participants, few further changes from six to 12-months (e.g. average weight re-gain 0.36 kg, 95% CI - 0.20 to 0.91). There were no serious adverse events but four exercise-related injuries were reported in the intervention arm. Conclusions: This voluntary sector-led diabetes prevention programme reached a broad spectrum of the population and had modest effects on weight…","author":[{"dropping-particle":"","family":"Smith","given":"Jane R.","non-dropping-particle":"","parse-names":false,"suffix":""},{"dropping-particle":"","family":"Greaves","given":"Colin J.","non-dropping-particle":"","parse-names":false,"suffix":""},{"dropping-particle":"","family":"Thompson","given":"Janice L.","non-dropping-particle":"","parse-names":false,"suffix":""},{"dropping-particle":"","family":"Taylor","given":"Rod S.","non-dropping-particle":"","parse-names":false,"suffix":""},{"dropping-particle":"","family":"Jones","given":"Matthew","non-dropping-particle":"","parse-names":false,"suffix":""},{"dropping-particle":"","family":"Armstrong","given":"Rosy","non-dropping-particle":"","parse-names":false,"suffix":""},{"dropping-particle":"","family":"Moorlock","given":"Sarah","non-dropping-particle":"","parse-names":false,"suffix":""},{"dropping-particle":"","family":"Griffin","given":"Ann","non-dropping-particle":"","parse-names":false,"suffix":""},{"dropping-particle":"","family":"Solomon-Moore","given":"Emma","non-dropping-particle":"","parse-names":false,"suffix":""},{"dropping-particle":"","family":"Biddle","given":"Michele S.Y.","non-dropping-particle":"","parse-names":false,"suffix":""},{"dropping-particle":"","family":"Price","given":"Lisa","non-dropping-particle":"","parse-names":false,"suffix":""},{"dropping-particle":"","family":"Abraham","given":"Charles","non-dropping-particle":"","parse-names":false,"suffix":""}],"container-title":"International Journal of Behavioral Nutrition and Physical Activity","id":"ITEM-2","issued":{"date-parts":[["2019"]]},"page":"112","publisher":"International Journal of Behavioral Nutrition and Physical Activity","title":"The community-based prevention of diabetes (ComPoD) study: a randomised, waiting list controlled trial of a voluntary sector-led diabetes prevention programme","type":"article-journal","volume":"16"},"uris":["http://www.mendeley.com/documents/?uuid=ebd60753-e18e-4575-803f-dcdc56ae1d44"]}],"mendeley":{"formattedCitation":"(Kitzman et al., 2021; J. R. Smith et al., 2019)","manualFormatting":"(Kitzman et al., 2021; Smith et al., 2019)","plainTextFormattedCitation":"(Kitzman et al., 2021; J. R. Smith et al., 2019)","previouslyFormattedCitation":"(Kitzman et al., 2021; J. R. Smith et al., 2019)"},"properties":{"noteIndex":0},"schema":"https://github.com/citation-style-language/schema/raw/master/csl-citation.json"}</w:instrText>
      </w:r>
      <w:r w:rsidR="002830A0" w:rsidRPr="00103A0B">
        <w:rPr>
          <w:rFonts w:ascii="Arial" w:eastAsia="Times New Roman" w:hAnsi="Arial" w:cs="Arial"/>
          <w:sz w:val="24"/>
          <w:szCs w:val="24"/>
          <w:lang w:eastAsia="en-GB"/>
        </w:rPr>
        <w:fldChar w:fldCharType="separate"/>
      </w:r>
      <w:r w:rsidR="002830A0" w:rsidRPr="00103A0B">
        <w:rPr>
          <w:rFonts w:ascii="Arial" w:eastAsia="Times New Roman" w:hAnsi="Arial" w:cs="Arial"/>
          <w:noProof/>
          <w:sz w:val="24"/>
          <w:szCs w:val="24"/>
          <w:lang w:eastAsia="en-GB"/>
        </w:rPr>
        <w:t>(Kitzman et al., 2021;</w:t>
      </w:r>
      <w:r w:rsidR="00A457B2" w:rsidRPr="00103A0B">
        <w:rPr>
          <w:rFonts w:ascii="Arial" w:eastAsia="Times New Roman" w:hAnsi="Arial" w:cs="Arial"/>
          <w:noProof/>
          <w:sz w:val="24"/>
          <w:szCs w:val="24"/>
          <w:lang w:eastAsia="en-GB"/>
        </w:rPr>
        <w:t xml:space="preserve"> </w:t>
      </w:r>
      <w:r w:rsidR="002830A0" w:rsidRPr="00103A0B">
        <w:rPr>
          <w:rFonts w:ascii="Arial" w:eastAsia="Times New Roman" w:hAnsi="Arial" w:cs="Arial"/>
          <w:noProof/>
          <w:sz w:val="24"/>
          <w:szCs w:val="24"/>
          <w:lang w:eastAsia="en-GB"/>
        </w:rPr>
        <w:t>Smith et al., 2019)</w:t>
      </w:r>
      <w:r w:rsidR="002830A0"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incentives for participation </w:t>
      </w:r>
      <w:r w:rsidRPr="00103A0B">
        <w:rPr>
          <w:rFonts w:ascii="Arial" w:eastAsia="Times New Roman" w:hAnsi="Arial" w:cs="Arial"/>
          <w:sz w:val="24"/>
          <w:szCs w:val="24"/>
          <w:lang w:eastAsia="en-GB"/>
        </w:rPr>
        <w:fldChar w:fldCharType="begin" w:fldLock="1"/>
      </w:r>
      <w:r w:rsidR="007E0EE7" w:rsidRPr="00103A0B">
        <w:rPr>
          <w:rFonts w:ascii="Arial" w:eastAsia="Times New Roman" w:hAnsi="Arial" w:cs="Arial"/>
          <w:sz w:val="24"/>
          <w:szCs w:val="24"/>
          <w:lang w:eastAsia="en-GB"/>
        </w:rPr>
        <w:instrText>ADDIN CSL_CITATION {"citationItems":[{"id":"ITEM-1","itemData":{"DOI":"10.1177/0890117120958545","ISSN":"08901171","PMID":"32945175","abstract":"Purpose: Previous DPP translations in African American women have been suboptimal. This trial evaluated a community-based participatory research developed faith-based diabetes prevention program (DPP) to improve weight loss in African American women. Design: This cluster randomized trial allocated churches to faith-based (FDPP) or standard (SDPP) DPP interventions. Setting. African American churches. Subjects. Eleven churches with 221 African American women (aged 48.8 ± 11.2 years, BMI = 36.7 ± 8.4) received the FDPP (n = 6) or SDPP (n = 5) intervention. Intervention: FDPP incorporated 5 faith-based components, including pastor involvement, into the standard DPP curriculum. The SDPP used the standard DPP curriculum. Lay health leaders facilitated interventions at church sites. Measures: Weight and biometrics were collected by blinded staff at baseline, 4- and 10-months. Analysis: A multilevel hierarchical regression model compared the FDPP and SDPP groups on outcomes. Results: FDPP and SDPP churches significantly lost weight at 10-months (overall −2.6%, p &lt;.01). Women in FDPP churches who attended at least 15 sessions lost an additional 6.1 pounds at 4-months compared to SDPP corresponding to a 5.8% reduction at 10-months (p &lt;.05). Both groups had significant improvements in health behaviors and biometrics. Conclusions: Faith-based and standard DPP interventions led by lay health leaders successfully improved weight, health behaviors, and chronic disease risk. However, the faith-based DPP when fully implemented met the CDC’s recommendation for weight loss for diabetes prevention in African American women.","author":[{"dropping-particle":"","family":"Kitzman","given":"Heather","non-dropping-particle":"","parse-names":false,"suffix":""},{"dropping-particle":"","family":"Mamun","given":"Abdullah","non-dropping-particle":"","parse-names":false,"suffix":""},{"dropping-particle":"","family":"Dodgen","given":"Leilani","non-dropping-particle":"","parse-names":false,"suffix":""},{"dropping-particle":"","family":"Slater","given":"Donna","non-dropping-particle":"","parse-names":false,"suffix":""},{"dropping-particle":"","family":"King","given":"George","non-dropping-particle":"","parse-names":false,"suffix":""},{"dropping-particle":"","family":"King","given":"Alene","non-dropping-particle":"","parse-names":false,"suffix":""},{"dropping-particle":"","family":"Slater","given":"J. Lee","non-dropping-particle":"","parse-names":false,"suffix":""},{"dropping-particle":"","family":"DeHaven","given":"Mark","non-dropping-particle":"","parse-names":false,"suffix":""}],"container-title":"American Journal of Health Promotion","id":"ITEM-1","issue":"2","issued":{"date-parts":[["2021"]]},"page":"202-213","title":"Better me within randomized trial: faith-based diabetes prevention program for weight loss in African American women","type":"article-journal","volume":"35"},"uris":["http://www.mendeley.com/documents/?uuid=2b6674e2-3f65-4f31-966a-cd0995a1cfd9"]}],"mendeley":{"formattedCitation":"(Kitzman et al., 2021)","plainTextFormattedCitation":"(Kitzman et al., 2021)","previouslyFormattedCitation":"(Kitzman et al., 2021)"},"properties":{"noteIndex":0},"schema":"https://github.com/citation-style-language/schema/raw/master/csl-citation.json"}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(Kitzman et al., 2021)</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demonstrat</w:t>
      </w:r>
      <w:r w:rsidR="00A457B2" w:rsidRPr="00103A0B">
        <w:rPr>
          <w:rFonts w:ascii="Arial" w:eastAsia="Times New Roman" w:hAnsi="Arial" w:cs="Arial"/>
          <w:sz w:val="24"/>
          <w:szCs w:val="24"/>
          <w:lang w:eastAsia="en-GB"/>
        </w:rPr>
        <w:t>ion of</w:t>
      </w:r>
      <w:r w:rsidRPr="00103A0B">
        <w:rPr>
          <w:rFonts w:ascii="Arial" w:eastAsia="Times New Roman" w:hAnsi="Arial" w:cs="Arial"/>
          <w:sz w:val="24"/>
          <w:szCs w:val="24"/>
          <w:lang w:eastAsia="en-GB"/>
        </w:rPr>
        <w:t xml:space="preserve"> the behaviour, and behavioural practice/rehearsal</w:t>
      </w:r>
      <w:r w:rsidR="002830A0" w:rsidRPr="00103A0B">
        <w:rPr>
          <w:rFonts w:ascii="Arial" w:eastAsia="Times New Roman" w:hAnsi="Arial" w:cs="Arial"/>
          <w:sz w:val="24"/>
          <w:szCs w:val="24"/>
          <w:lang w:eastAsia="en-GB"/>
        </w:rPr>
        <w:t xml:space="preserve"> </w:t>
      </w:r>
      <w:r w:rsidR="002830A0" w:rsidRPr="00103A0B">
        <w:rPr>
          <w:rFonts w:ascii="Arial" w:eastAsia="Times New Roman" w:hAnsi="Arial" w:cs="Arial"/>
          <w:sz w:val="24"/>
          <w:szCs w:val="24"/>
          <w:lang w:eastAsia="en-GB"/>
        </w:rPr>
        <w:fldChar w:fldCharType="begin" w:fldLock="1"/>
      </w:r>
      <w:r w:rsidR="005C6715" w:rsidRPr="00103A0B">
        <w:rPr>
          <w:rFonts w:ascii="Arial" w:eastAsia="Times New Roman" w:hAnsi="Arial" w:cs="Arial"/>
          <w:sz w:val="24"/>
          <w:szCs w:val="24"/>
          <w:lang w:eastAsia="en-GB"/>
        </w:rPr>
        <w:instrText>ADDIN CSL_CITATION {"citationItems":[{"id":"ITEM-1","itemData":{"DOI":"10.1177/0890117120958545","ISSN":"08901171","PMID":"32945175","abstract":"Purpose: Previous DPP translations in African American women have been suboptimal. This trial evaluated a community-based participatory research developed faith-based diabetes prevention program (DPP) to improve weight loss in African American women. Design: This cluster randomized trial allocated churches to faith-based (FDPP) or standard (SDPP) DPP interventions. Setting. African American churches. Subjects. Eleven churches with 221 African American women (aged 48.8 ± 11.2 years, BMI = 36.7 ± 8.4) received the FDPP (n = 6) or SDPP (n = 5) intervention. Intervention: FDPP incorporated 5 faith-based components, including pastor involvement, into the standard DPP curriculum. The SDPP used the standard DPP curriculum. Lay health leaders facilitated interventions at church sites. Measures: Weight and biometrics were collected by blinded staff at baseline, 4- and 10-months. Analysis: A multilevel hierarchical regression model compared the FDPP and SDPP groups on outcomes. Results: FDPP and SDPP churches significantly lost weight at 10-months (overall −2.6%, p &lt;.01). Women in FDPP churches who attended at least 15 sessions lost an additional 6.1 pounds at 4-months compared to SDPP corresponding to a 5.8% reduction at 10-months (p &lt;.05). Both groups had significant improvements in health behaviors and biometrics. Conclusions: Faith-based and standard DPP interventions led by lay health leaders successfully improved weight, health behaviors, and chronic disease risk. However, the faith-based DPP when fully implemented met the CDC’s recommendation for weight loss for diabetes prevention in African American women.","author":[{"dropping-particle":"","family":"Kitzman","given":"Heather","non-dropping-particle":"","parse-names":false,"suffix":""},{"dropping-particle":"","family":"Mamun","given":"Abdullah","non-dropping-particle":"","parse-names":false,"suffix":""},{"dropping-particle":"","family":"Dodgen","given":"Leilani","non-dropping-particle":"","parse-names":false,"suffix":""},{"dropping-particle":"","family":"Slater","given":"Donna","non-dropping-particle":"","parse-names":false,"suffix":""},{"dropping-particle":"","family":"King","given":"George","non-dropping-particle":"","parse-names":false,"suffix":""},{"dropping-particle":"","family":"King","given":"Alene","non-dropping-particle":"","parse-names":false,"suffix":""},{"dropping-particle":"","family":"Slater","given":"J. Lee","non-dropping-particle":"","parse-names":false,"suffix":""},{"dropping-particle":"","family":"DeHaven","given":"Mark","non-dropping-particle":"","parse-names":false,"suffix":""}],"container-title":"American Journal of Health Promotion","id":"ITEM-1","issue":"2","issued":{"date-parts":[["2021"]]},"page":"202-213","title":"Better me within randomized trial: faith-based diabetes prevention program for weight loss in African American women","type":"article-journal","volume":"35"},"uris":["http://www.mendeley.com/documents/?uuid=2b6674e2-3f65-4f31-966a-cd0995a1cfd9"]},{"id":"ITEM-2","itemData":{"DOI":"10.1016/j.ypmed.2020.106068","ISBN":"1261100026","ISSN":"10960260","PMID":"32194098","abstract":"We aimed to examine whether a lifestyle intervention was effective in reducing cardiovascular disease (CVD) risk in individuals at high-risk of developing diabetes in a low- and middle-income setting. The Kerala Diabetes Prevention Program was evaluated by a cluster-randomized controlled trial (2013–2016) of 1007 individuals (aged 30–60 years) at high-risk for diabetes (Indian Diabetes Risk Score ≥ 60 and without diabetes) in Kerala state, India. Sixty polling areas in Kerala were randomized to intervention or control groups by an independent statistician using a computer-generated randomization sequence. Participants from 30 intervention communities received a 12-month structured peer-support lifestyle intervention program involving 15 group sessions and linked community activities, aimed at supporting and maintaining lifestyle change. The primary outcome for this analysis was the predicted 10-year CVD risk at two years, assessed using the Framingham Risk Score. The mean age at baseline was 46.0 (SD: 7.5) years, and 47.2% were women. Baseline 10-year CVD risk was similar between study groups. The follow-up rate at two years was 95.7%. The absolute risk reduction in predicted 10-year CVD risk between study groups was 0.69% (95% CI: 0.09% to 1.29%, p=0.024) at one year and 0.69% (95% CI: 0.10% to 1.29%, p=0.023) at two years. The favorable change in CVD risk with the intervention condition was mainly due to the reduction in tobacco use (change index: −0.25, 95% CI: −0.42 to −0.09). Our findings suggest that a community-based peer-support lifestyle intervention could reduce CVD risk in individuals at high-risk of developing diabetes in India. Trial registration: Australia and New Zealand Clinical Trials Registry ACTRN12611000262909.","author":[{"dropping-particle":"","family":"Lotfaliany","given":"Mojtaba","non-dropping-particle":"","parse-names":false,"suffix":""},{"dropping-particle":"","family":"Sathish","given":"Thirunavukkarasu","non-dropping-particle":"","parse-names":false,"suffix":""},{"dropping-particle":"","family":"Shaw","given":"Jonathan","non-dropping-particle":"","parse-names":false,"suffix":""},{"dropping-particle":"","family":"Thomas","given":"Emma","non-dropping-particle":"","parse-names":false,"suffix":""},{"dropping-particle":"","family":"Tapp","given":"Robyn Jennifer","non-dropping-particle":"","parse-names":false,"suffix":""},{"dropping-particle":"","family":"Kapoor","given":"Nitin","non-dropping-particle":"","parse-names":false,"suffix":""},{"dropping-particle":"","family":"Thankappan","given":"Kavumpurathu Raman","non-dropping-particle":"","parse-names":false,"suffix":""},{"dropping-particle":"","family":"Oldenburg","given":"Brian","non-dropping-particle":"","parse-names":false,"suffix":""}],"container-title":"Preventive Medicine","id":"ITEM-2","issued":{"date-parts":[["2020"]]},"page":"106068","publisher":"Elsevier","title":"Effects of a lifestyle intervention on cardiovascular risk among high-risk individuals for diabetes in a low- and middle-income setting: secondary analysis of the Kerala diabetes prevention program","type":"article-journal","volume":"139"},"uris":["http://www.mendeley.com/documents/?uuid=8fac6efa-a3f7-4e5e-a7fc-2d496f9e6c30"]},{"id":"ITEM-3","itemData":{"DOI":"10.1186/s12966-019-0877-3","ISSN":"14795868","PMID":"31771589","abstract":"Objective: This two-site randomised trial compared the effectiveness of a voluntary sector-led, community-based diabetes prevention programme to a waiting-list control group at 6 months, and included an observational follow-up of the intervention arm to 12 months. Methods: Adults aged 18-75 years at increased risk of developing type 2 diabetes due to elevated blood glucose and being overweight were recruited from primary care practices at two UK sites, with data collected in participants' homes or community venues. Participants were randomised using an online central allocation service. The intervention, comprising the prototype \"Living Well, Taking Control\" (LWTC) programme, involved four weekly two-hour group sessions held in local community venues to promote changes in diet and physical activity, plus planned follow-up contacts at two, three, six, nine and 12 months alongside 5 hours of additional activities/classes. Waiting list controls received usual care for 6 months before accessing the programme. The primary outcome was weight loss at 6 months. Secondary outcomes included glycated haemoglobin (HbA1c), blood pressure, physical activity, diet, health status and well-being. Only researchers conducting analyses were blinded. Results: The target sample of 314 participants (157 each arm) was largely representative of local populations, including 44% men, 26% from ethnic minorities and 33% living in deprived areas. Primary outcome data were available for 285 (91%) participants (141 intervention, 144 control). Between baseline and 6 months, intervention participants on average lost more weight than controls (- 1.7 kg, 95% CI - 2.59 to - 0.85). Higher attendance was associated with greater weight loss (- 3.0 kg, 95% CI - 4.5 to - 1.5). The prototype LWTC programme more than doubled the proportion of participants losing &gt; 5% of their body weight (21% intervention vs. 8% control, OR 2.83, 95% CI 1.36 to 5.90) and improved self-reported dietary behaviour and health status. There were no impacts on HbA1c, blood pressure, physical activity and well-being at 6 months and, amongst intervention participants, few further changes from six to 12-months (e.g. average weight re-gain 0.36 kg, 95% CI - 0.20 to 0.91). There were no serious adverse events but four exercise-related injuries were reported in the intervention arm. Conclusions: This voluntary sector-led diabetes prevention programme reached a broad spectrum of the population and had modest effects on weight…","author":[{"dropping-particle":"","family":"Smith","given":"Jane R.","non-dropping-particle":"","parse-names":false,"suffix":""},{"dropping-particle":"","family":"Greaves","given":"Colin J.","non-dropping-particle":"","parse-names":false,"suffix":""},{"dropping-particle":"","family":"Thompson","given":"Janice L.","non-dropping-particle":"","parse-names":false,"suffix":""},{"dropping-particle":"","family":"Taylor","given":"Rod S.","non-dropping-particle":"","parse-names":false,"suffix":""},{"dropping-particle":"","family":"Jones","given":"Matthew","non-dropping-particle":"","parse-names":false,"suffix":""},{"dropping-particle":"","family":"Armstrong","given":"Rosy","non-dropping-particle":"","parse-names":false,"suffix":""},{"dropping-particle":"","family":"Moorlock","given":"Sarah","non-dropping-particle":"","parse-names":false,"suffix":""},{"dropping-particle":"","family":"Griffin","given":"Ann","non-dropping-particle":"","parse-names":false,"suffix":""},{"dropping-particle":"","family":"Solomon-Moore","given":"Emma","non-dropping-particle":"","parse-names":false,"suffix":""},{"dropping-particle":"","family":"Biddle","given":"Michele S.Y.","non-dropping-particle":"","parse-names":false,"suffix":""},{"dropping-particle":"","family":"Price","given":"Lisa","non-dropping-particle":"","parse-names":false,"suffix":""},{"dropping-particle":"","family":"Abraham","given":"Charles","non-dropping-particle":"","parse-names":false,"suffix":""}],"container-title":"International Journal of Behavioral Nutrition and Physical Activity","id":"ITEM-3","issued":{"date-parts":[["2019"]]},"page":"112","publisher":"International Journal of Behavioral Nutrition and Physical Activity","title":"The community-based prevention of diabetes (ComPoD) study: a randomised, waiting list controlled trial of a voluntary sector-led diabetes prevention programme","type":"article-journal","volume":"16"},"uris":["http://www.mendeley.com/documents/?uuid=ebd60753-e18e-4575-803f-dcdc56ae1d44"]}],"mendeley":{"formattedCitation":"(Kitzman et al., 2021; Lotfaliany et al., 2020; J. R. Smith et al., 2019)","manualFormatting":"(Kitzman et al., 2021; Lotfaliany et al., 2020; Smith et al., 2019)","plainTextFormattedCitation":"(Kitzman et al., 2021; Lotfaliany et al., 2020; J. R. Smith et al., 2019)","previouslyFormattedCitation":"(Kitzman et al., 2021; Lotfaliany et al., 2020; J. R. Smith et al., 2019)"},"properties":{"noteIndex":0},"schema":"https://github.com/citation-style-language/schema/raw/master/csl-citation.json"}</w:instrText>
      </w:r>
      <w:r w:rsidR="002830A0" w:rsidRPr="00103A0B">
        <w:rPr>
          <w:rFonts w:ascii="Arial" w:eastAsia="Times New Roman" w:hAnsi="Arial" w:cs="Arial"/>
          <w:sz w:val="24"/>
          <w:szCs w:val="24"/>
          <w:lang w:eastAsia="en-GB"/>
        </w:rPr>
        <w:fldChar w:fldCharType="separate"/>
      </w:r>
      <w:r w:rsidR="002830A0" w:rsidRPr="00103A0B">
        <w:rPr>
          <w:rFonts w:ascii="Arial" w:eastAsia="Times New Roman" w:hAnsi="Arial" w:cs="Arial"/>
          <w:noProof/>
          <w:sz w:val="24"/>
          <w:szCs w:val="24"/>
          <w:lang w:eastAsia="en-GB"/>
        </w:rPr>
        <w:t>(Kitzman et al., 2021; Lotfaliany et al., 2020;</w:t>
      </w:r>
      <w:r w:rsidR="00A457B2" w:rsidRPr="00103A0B">
        <w:rPr>
          <w:rFonts w:ascii="Arial" w:eastAsia="Times New Roman" w:hAnsi="Arial" w:cs="Arial"/>
          <w:noProof/>
          <w:sz w:val="24"/>
          <w:szCs w:val="24"/>
          <w:lang w:eastAsia="en-GB"/>
        </w:rPr>
        <w:t xml:space="preserve"> </w:t>
      </w:r>
      <w:r w:rsidR="002830A0" w:rsidRPr="00103A0B">
        <w:rPr>
          <w:rFonts w:ascii="Arial" w:eastAsia="Times New Roman" w:hAnsi="Arial" w:cs="Arial"/>
          <w:noProof/>
          <w:sz w:val="24"/>
          <w:szCs w:val="24"/>
          <w:lang w:eastAsia="en-GB"/>
        </w:rPr>
        <w:t>Smith et al., 2019)</w:t>
      </w:r>
      <w:r w:rsidR="002830A0"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(see Appendix </w:t>
      </w:r>
      <w:r w:rsidR="0057544E" w:rsidRPr="00103A0B">
        <w:rPr>
          <w:rFonts w:ascii="Arial" w:eastAsia="Times New Roman" w:hAnsi="Arial" w:cs="Arial"/>
          <w:sz w:val="24"/>
          <w:szCs w:val="24"/>
          <w:lang w:eastAsia="en-GB"/>
        </w:rPr>
        <w:t>31</w:t>
      </w:r>
      <w:r w:rsidRPr="00103A0B">
        <w:rPr>
          <w:rFonts w:ascii="Arial" w:eastAsia="Times New Roman" w:hAnsi="Arial" w:cs="Arial"/>
          <w:sz w:val="24"/>
          <w:szCs w:val="24"/>
          <w:lang w:eastAsia="en-GB"/>
        </w:rPr>
        <w:t>). This further strengthens the findings in Chapter 2 that these BCTs are important for retention.</w:t>
      </w:r>
    </w:p>
    <w:p w14:paraId="17AFC105" w14:textId="238C108B" w:rsidR="00E511EE" w:rsidRPr="00103A0B" w:rsidRDefault="00E511EE" w:rsidP="000576F9">
      <w:pPr>
        <w:spacing w:line="360" w:lineRule="auto"/>
        <w:jc w:val="both"/>
        <w:rPr>
          <w:rFonts w:ascii="Arial" w:eastAsia="Times New Roman" w:hAnsi="Arial" w:cs="Arial"/>
          <w:sz w:val="24"/>
          <w:szCs w:val="24"/>
          <w:lang w:eastAsia="en-GB"/>
        </w:rPr>
      </w:pPr>
      <w:r w:rsidRPr="00103A0B">
        <w:rPr>
          <w:rFonts w:ascii="Arial" w:hAnsi="Arial" w:cs="Arial"/>
          <w:sz w:val="24"/>
          <w:szCs w:val="24"/>
        </w:rPr>
        <w:lastRenderedPageBreak/>
        <w:t xml:space="preserve">The “BCT taxonomy v1” is an extensive hierarchical taxonomy consisting of 93 distinct BCTs that were agreed through consensus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interventions","type":"article-journal","volume":"46"},"uris":["http://www.mendeley.com/documents/?uuid=68bb257f-2ddf-4a99-bd79-a2640572189d"]}],"mendeley":{"formattedCitation":"(Susan Michie et al., 2013)","manualFormatting":"(Michie et al., 2013)","plainTextFormattedCitation":"(Susan Michie et al., 2013)","previouslyFormattedCitation":"(Susan Michie et al., 2013)"},"properties":{"noteIndex":0},"schema":"https://github.com/citation-style-language/schema/raw/master/csl-citation.json"}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2013)</w:t>
      </w:r>
      <w:r w:rsidRPr="00103A0B">
        <w:rPr>
          <w:rFonts w:ascii="Arial" w:hAnsi="Arial" w:cs="Arial"/>
          <w:sz w:val="24"/>
          <w:szCs w:val="24"/>
        </w:rPr>
        <w:fldChar w:fldCharType="end"/>
      </w:r>
      <w:r w:rsidRPr="00103A0B">
        <w:rPr>
          <w:rFonts w:ascii="Arial" w:hAnsi="Arial" w:cs="Arial"/>
          <w:sz w:val="24"/>
          <w:szCs w:val="24"/>
        </w:rPr>
        <w:t xml:space="preserve">. Developers of the BCT taxonomy v1 have expected that further development and refinement of this taxonomy will take place in light of feedback from researchers and practitioners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interventions","type":"article-journal","volume":"46"},"uris":["http://www.mendeley.com/documents/?uuid=68bb257f-2ddf-4a99-bd79-a2640572189d"]}],"mendeley":{"formattedCitation":"(Susan Michie et al., 2013)","manualFormatting":"(Michie et al., 2013)","plainTextFormattedCitation":"(Susan Michie et al., 2013)","previouslyFormattedCitation":"(Susan Michie et al., 2013)"},"properties":{"noteIndex":0},"schema":"https://github.com/citation-style-language/schema/raw/master/csl-citation.json"}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2013)</w:t>
      </w:r>
      <w:r w:rsidRPr="00103A0B">
        <w:rPr>
          <w:rFonts w:ascii="Arial" w:hAnsi="Arial" w:cs="Arial"/>
          <w:sz w:val="24"/>
          <w:szCs w:val="24"/>
        </w:rPr>
        <w:fldChar w:fldCharType="end"/>
      </w:r>
      <w:r w:rsidRPr="00103A0B">
        <w:rPr>
          <w:rFonts w:ascii="Arial" w:hAnsi="Arial" w:cs="Arial"/>
          <w:sz w:val="24"/>
          <w:szCs w:val="24"/>
        </w:rPr>
        <w:t>. The BCT “</w:t>
      </w:r>
      <w:r w:rsidRPr="00103A0B">
        <w:rPr>
          <w:rFonts w:ascii="Arial" w:eastAsia="Times New Roman" w:hAnsi="Arial" w:cs="Arial"/>
          <w:sz w:val="24"/>
          <w:szCs w:val="24"/>
          <w:lang w:eastAsia="en-GB"/>
        </w:rPr>
        <w:t xml:space="preserve">providing incentives for participation” was commonly </w:t>
      </w:r>
      <w:r w:rsidRPr="00103A0B">
        <w:rPr>
          <w:rFonts w:ascii="Arial" w:hAnsi="Arial" w:cs="Arial"/>
          <w:sz w:val="24"/>
          <w:szCs w:val="24"/>
        </w:rPr>
        <w:t xml:space="preserve">found in programmes with high retention. </w:t>
      </w:r>
      <w:r w:rsidRPr="00103A0B">
        <w:rPr>
          <w:rFonts w:ascii="Arial" w:eastAsia="Times New Roman" w:hAnsi="Arial" w:cs="Arial"/>
          <w:sz w:val="24"/>
          <w:szCs w:val="24"/>
          <w:lang w:eastAsia="en-GB"/>
        </w:rPr>
        <w:t>However, this BCT did not fit into any of the 93 BCTs from the taxonomy as it referred to using incentives/rewards to encourage taking part, rather than rewards to encourage performing the health behaviour</w:t>
      </w:r>
      <w:r w:rsidR="00A457B2" w:rsidRPr="00103A0B">
        <w:rPr>
          <w:rFonts w:ascii="Arial" w:eastAsia="Times New Roman" w:hAnsi="Arial" w:cs="Arial"/>
          <w:sz w:val="24"/>
          <w:szCs w:val="24"/>
          <w:lang w:eastAsia="en-GB"/>
        </w:rPr>
        <w:t xml:space="preserve"> i.e. changing diet or increasing exercise</w:t>
      </w:r>
      <w:r w:rsidRPr="00103A0B">
        <w:rPr>
          <w:rFonts w:ascii="Arial" w:eastAsia="Times New Roman" w:hAnsi="Arial" w:cs="Arial"/>
          <w:sz w:val="24"/>
          <w:szCs w:val="24"/>
          <w:lang w:eastAsia="en-GB"/>
        </w:rPr>
        <w:t xml:space="preserve"> (referred to as 10.1 Material incentive (behaviour) or 10.2 Material reward (behaviour) in the BCT taxonomy </w:t>
      </w:r>
      <w:r w:rsidRPr="00103A0B">
        <w:rPr>
          <w:rStyle w:val="FootnoteReference"/>
          <w:rFonts w:ascii="Arial" w:eastAsia="Times New Roman" w:hAnsi="Arial" w:cs="Arial"/>
          <w:sz w:val="24"/>
          <w:szCs w:val="24"/>
          <w:lang w:eastAsia="en-GB"/>
        </w:rPr>
        <w:fldChar w:fldCharType="begin" w:fldLock="1"/>
      </w:r>
      <w:r w:rsidRPr="00103A0B">
        <w:rPr>
          <w:rFonts w:ascii="Arial" w:eastAsia="Times New Roman" w:hAnsi="Arial" w:cs="Arial"/>
          <w:sz w:val="24"/>
          <w:szCs w:val="24"/>
          <w:lang w:eastAsia="en-GB"/>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interventions","type":"article-journal","volume":"46"},"uris":["http://www.mendeley.com/documents/?uuid=68bb257f-2ddf-4a99-bd79-a2640572189d"]}],"mendeley":{"formattedCitation":"(Susan Michie et al., 2013)","manualFormatting":"(Michie et al., 2013)","plainTextFormattedCitation":"(Susan Michie et al., 2013)","previouslyFormattedCitation":"(Susan Michie et al., 2013)"},"properties":{"noteIndex":0},"schema":"https://github.com/citation-style-language/schema/raw/master/csl-citation.json"}</w:instrText>
      </w:r>
      <w:r w:rsidRPr="00103A0B">
        <w:rPr>
          <w:rStyle w:val="FootnoteReference"/>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(Michie et al., 2013)</w:t>
      </w:r>
      <w:r w:rsidRPr="00103A0B">
        <w:rPr>
          <w:rStyle w:val="FootnoteReference"/>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More recent studies </w:t>
      </w:r>
      <w:r w:rsidRPr="00103A0B">
        <w:rPr>
          <w:rFonts w:ascii="Arial" w:eastAsia="Times New Roman" w:hAnsi="Arial" w:cs="Arial"/>
          <w:sz w:val="24"/>
          <w:szCs w:val="24"/>
          <w:lang w:eastAsia="en-GB"/>
        </w:rPr>
        <w:fldChar w:fldCharType="begin" w:fldLock="1"/>
      </w:r>
      <w:r w:rsidR="00AF410C" w:rsidRPr="00103A0B">
        <w:rPr>
          <w:rFonts w:ascii="Arial" w:eastAsia="Times New Roman" w:hAnsi="Arial" w:cs="Arial"/>
          <w:sz w:val="24"/>
          <w:szCs w:val="24"/>
          <w:lang w:eastAsia="en-GB"/>
        </w:rPr>
        <w:instrText>ADDIN CSL_CITATION {"citationItems":[{"id":"ITEM-1","itemData":{"DOI":"10.1177/0890117118794087","ISBN":"0890117118794","ISSN":"08901171","PMID":"30122055","abstract":"Purpose: To test the role of financial incentives to motivate engagement in diabetes prevention programs (DPPs). Design: Minnesota, Montana, and New York randomized 3 different approaches to providing incentives: incentivizing class attendance and weight loss (all states), class attendance only (NY), and weight loss only (NY). We used New York to test how different approaches to providing incentives influence DPP completion and attendance. Setting: Health-care facilities and local young men’s Christian association. Participants: Eight hundred thirty one Medicaid enrollees in Minnesota, 204 in Montana, and 560 in New York. Intervention Measure: Impact of the financial incentives on DPP program completion rates. We measured completion of DPP classes in 2 ways: completing 9 or more or 16 or more DPP classes. Analysis: Multivariate logistic model to compare completion of DPP classes between participants randomized into receiving financial incentives and controls. Results: Receipt of incentives was associated with higher odds at attending 9 or more classes (odds ratio [OR]: 2.2; P &lt;.01) in Minnesota, Montana (OR: 2.2; P &lt;.05), and New York (OR: 1.9; P &lt;.01) as well as attending 16 or more classes in Minnesota (OR: 3.1; P &lt;.01), Montana (OR: 2.1; P &lt;.01), and New York (OR: 2.9; P &lt;.01). In New York, individuals paid to attend classes attended more classes than individuals paid based on results only. Conclusion: Among Medicaid beneficiaries, financial incentives improve DPP class attendance.","author":[{"dropping-particle":"","family":"Alva","given":"M.L.","non-dropping-particle":"","parse-names":false,"suffix":""},{"dropping-particle":"","family":"Romaire","given":"Melissa","non-dropping-particle":"","parse-names":false,"suffix":""},{"dropping-particle":"","family":"Acquah","given":"Joseph","non-dropping-particle":"","parse-names":false,"suffix":""}],"container-title":"American Journal of Health Promotion","id":"ITEM-1","issue":"4","issued":{"date-parts":[["2019"]]},"page":"601-605","title":"Impact of financial incentives on diabetes prevention class attendance and program completion: evidence from Minnesota, Montana, and New York","type":"article-journal","volume":"33"},"uris":["http://www.mendeley.com/documents/?uuid=33160f77-8a56-4e5c-b43b-1725c73f44b1"]},{"id":"ITEM-2","itemData":{"DOI":"https://doi.org/10.1016/j.cct.2020.105960","ISSN":"15592030","PMID":"32087338","abstract":"Diabetes prevalence has risen rapidly and has become a global health challenge. The Diabetes Prevention Program (DPP) has been shown to prevent or delay the development of diabetes among individuals with prediabetes. Yet, diabetes prevention studies within the Medicaid population are limited and results are mixed. This study aimed to evaluate the impact of different financial incentive strategies on the utilization of the DPP for Medicaid managed care adults in New York State. A four-arm randomized controlled trial was conducted among Medicaid managed care adult enrollees diagnosed with prediabetes and/or obesity. Study participants were offered a 16-week DPP with various incentive strategies based on class attendance and weight loss as follows: Attendance-Only, Weight-Loss Only, and both Attendance and Weight-Loss. A control group was offered DPP with no incentives for attendance or weight loss. We evaluated the impact of incentives on achievement of the program completion and weight-loss milestone. Participants who received incentives for the Attendance-Only class were least likely to be lost to follow-up, more likely to complete the program, and had two times higher percentage of meeting the weight-loss milestone compared to the control group. Results for the other incentive cohorts were mixed. A strong positive association was observed for participants who attended 9 or more classes and weight-loss regardless of incentive strategies. Providing monetary incentives for DPP class attendance had a positive impact on program completion and achieving the weight-loss milestone. However, the results from this study indicate that participant enrollment and retention remained challenges despite the incentives.","author":[{"dropping-particle":"","family":"Chin","given":"Jo Yu","non-dropping-particle":"","parse-names":false,"suffix":""},{"dropping-particle":"","family":"Matson","given":"Jacqueline","non-dropping-particle":"","parse-names":false,"suffix":""},{"dropping-particle":"","family":"McCauley","given":"Susan","non-dropping-particle":"","parse-names":false,"suffix":""},{"dropping-particle":"","family":"Anarella","given":"Joseph","non-dropping-particle":"","parse-names":false,"suffix":""},{"dropping-particle":"","family":"Gesten","given":"Foster","non-dropping-particle":"","parse-names":false,"suffix":""},{"dropping-particle":"","family":"Roohan","given":"Patrick","non-dropping-particle":"","parse-names":false,"suffix":""}],"container-title":"Contemporary Clinical Trials","id":"ITEM-2","issued":{"date-parts":[["2020"]]},"page":"105960","publisher":"Elsevier","title":"The impact of financial incentives on utilization and outcomes of diabetes prevention programs among Medicaid managed care adults in New York state","type":"article-journal","volume":"91"},"uris":["http://www.mendeley.com/documents/?uuid=73705fca-c50d-4e34-861c-f5f59cddb6a5"]}],"mendeley":{"formattedCitation":"(Alva et al., 2019; Chin et al., 2020)","plainTextFormattedCitation":"(Alva et al., 2019; Chin et al., 2020)","previouslyFormattedCitation":"(Alva et al., 2019; Chin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(Alva et al., 2019; Chin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investigating the role of financial incentives to motivate engagement in DPPs have also found that financial incentives improve DPP completion. This suggests that providing incentives for people to participate in behaviour change programmes (not necessarily financial) is a novel Behaviour Change Technique that should be considered </w:t>
      </w:r>
      <w:proofErr w:type="gramStart"/>
      <w:r w:rsidRPr="00103A0B">
        <w:rPr>
          <w:rFonts w:ascii="Arial" w:eastAsia="Times New Roman" w:hAnsi="Arial" w:cs="Arial"/>
          <w:sz w:val="24"/>
          <w:szCs w:val="24"/>
          <w:lang w:eastAsia="en-GB"/>
        </w:rPr>
        <w:t>in order to</w:t>
      </w:r>
      <w:proofErr w:type="gramEnd"/>
      <w:r w:rsidRPr="00103A0B">
        <w:rPr>
          <w:rFonts w:ascii="Arial" w:eastAsia="Times New Roman" w:hAnsi="Arial" w:cs="Arial"/>
          <w:sz w:val="24"/>
          <w:szCs w:val="24"/>
          <w:lang w:eastAsia="en-GB"/>
        </w:rPr>
        <w:t xml:space="preserve"> promote retention in behaviour change programmes by motivating participants to continue attending. </w:t>
      </w:r>
      <w:bookmarkStart w:id="402" w:name="_Hlk81931250"/>
      <w:r w:rsidR="00DA2BF2" w:rsidRPr="00103A0B">
        <w:rPr>
          <w:rFonts w:ascii="Arial" w:eastAsia="Times New Roman" w:hAnsi="Arial" w:cs="Arial"/>
          <w:sz w:val="24"/>
          <w:szCs w:val="24"/>
          <w:lang w:eastAsia="en-GB"/>
        </w:rPr>
        <w:t xml:space="preserve">Feedback has also been provided to the developers of the BCT taxonomy v1 regarding this novel BCT, so it can be taken into consideration when developing and refining the taxonomy. </w:t>
      </w:r>
      <w:bookmarkEnd w:id="402"/>
    </w:p>
    <w:p w14:paraId="4F6375B8" w14:textId="65EC941E" w:rsidR="000D0AAC" w:rsidRPr="00103A0B" w:rsidRDefault="0004005A" w:rsidP="000576F9">
      <w:pPr>
        <w:spacing w:after="240" w:line="360" w:lineRule="auto"/>
        <w:jc w:val="both"/>
        <w:rPr>
          <w:rFonts w:ascii="Arial" w:hAnsi="Arial" w:cs="Arial"/>
          <w:sz w:val="24"/>
          <w:szCs w:val="24"/>
        </w:rPr>
      </w:pPr>
      <w:bookmarkStart w:id="403" w:name="_Hlk81932925"/>
      <w:r w:rsidRPr="00103A0B">
        <w:rPr>
          <w:rFonts w:ascii="Arial" w:hAnsi="Arial" w:cs="Arial"/>
          <w:sz w:val="24"/>
          <w:szCs w:val="24"/>
        </w:rPr>
        <w:t xml:space="preserve">The systematic review also highlighted that although </w:t>
      </w:r>
      <w:r w:rsidRPr="00103A0B">
        <w:rPr>
          <w:rFonts w:ascii="Arial" w:eastAsia="Times New Roman" w:hAnsi="Arial" w:cs="Arial"/>
          <w:sz w:val="24"/>
          <w:szCs w:val="24"/>
          <w:lang w:eastAsia="en-GB"/>
        </w:rPr>
        <w:t>goal setting is an important BCT for diabetes prevention programmes, focusing on the outcome of the behaviour change may not be helpful (as those programmes with lowest retention tend to focus on the goal setting outcome such as weight, rather than the behaviour). Furthermore, programmes with lowest retention included self-m</w:t>
      </w:r>
      <w:r w:rsidR="006F7340" w:rsidRPr="00103A0B">
        <w:rPr>
          <w:rFonts w:ascii="Arial" w:eastAsia="Times New Roman" w:hAnsi="Arial" w:cs="Arial"/>
          <w:sz w:val="24"/>
          <w:szCs w:val="24"/>
          <w:lang w:eastAsia="en-GB"/>
        </w:rPr>
        <w:t xml:space="preserve">onitoring of behaviour which could be time-consuming or burdensome for participants, particularly if a high level of self-monitoring was required. </w:t>
      </w:r>
      <w:r w:rsidRPr="00103A0B">
        <w:rPr>
          <w:rFonts w:ascii="Arial" w:eastAsia="Times New Roman" w:hAnsi="Arial" w:cs="Arial"/>
          <w:sz w:val="24"/>
          <w:szCs w:val="24"/>
          <w:lang w:eastAsia="en-GB"/>
        </w:rPr>
        <w:t>Th</w:t>
      </w:r>
      <w:r w:rsidR="006F7340" w:rsidRPr="00103A0B">
        <w:rPr>
          <w:rFonts w:ascii="Arial" w:eastAsia="Times New Roman" w:hAnsi="Arial" w:cs="Arial"/>
          <w:sz w:val="24"/>
          <w:szCs w:val="24"/>
          <w:lang w:eastAsia="en-GB"/>
        </w:rPr>
        <w:t>ese findings</w:t>
      </w:r>
      <w:r w:rsidRPr="00103A0B">
        <w:rPr>
          <w:rFonts w:ascii="Arial" w:eastAsia="Times New Roman" w:hAnsi="Arial" w:cs="Arial"/>
          <w:sz w:val="24"/>
          <w:szCs w:val="24"/>
          <w:lang w:eastAsia="en-GB"/>
        </w:rPr>
        <w:t xml:space="preserve"> could be explored further in research. </w:t>
      </w:r>
    </w:p>
    <w:p w14:paraId="4C8C89B3" w14:textId="5751DD1C" w:rsidR="00E511EE" w:rsidRPr="00103A0B" w:rsidRDefault="00E511EE" w:rsidP="00CD5919">
      <w:pPr>
        <w:spacing w:line="360" w:lineRule="auto"/>
        <w:jc w:val="both"/>
        <w:rPr>
          <w:rFonts w:ascii="Arial" w:hAnsi="Arial" w:cs="Arial"/>
          <w:sz w:val="24"/>
          <w:szCs w:val="24"/>
        </w:rPr>
      </w:pPr>
      <w:bookmarkStart w:id="404" w:name="_Hlk75687274"/>
      <w:bookmarkEnd w:id="403"/>
      <w:r w:rsidRPr="00103A0B">
        <w:rPr>
          <w:rFonts w:ascii="Arial" w:hAnsi="Arial" w:cs="Arial"/>
          <w:sz w:val="24"/>
          <w:szCs w:val="24"/>
        </w:rPr>
        <w:t>The qualitative study (Chapter 6) also provided an insight into programme-level factors that could influence DPP completion</w:t>
      </w:r>
      <w:r w:rsidR="00E706BA" w:rsidRPr="00103A0B">
        <w:rPr>
          <w:rFonts w:ascii="Arial" w:hAnsi="Arial" w:cs="Arial"/>
          <w:sz w:val="24"/>
          <w:szCs w:val="24"/>
        </w:rPr>
        <w:t xml:space="preserve"> in a specific programme</w:t>
      </w:r>
      <w:r w:rsidRPr="00103A0B">
        <w:rPr>
          <w:rFonts w:ascii="Arial" w:hAnsi="Arial" w:cs="Arial"/>
          <w:sz w:val="24"/>
          <w:szCs w:val="24"/>
        </w:rPr>
        <w:t>.</w:t>
      </w:r>
      <w:bookmarkEnd w:id="404"/>
      <w:r w:rsidRPr="00103A0B">
        <w:rPr>
          <w:rFonts w:ascii="Arial" w:hAnsi="Arial" w:cs="Arial"/>
          <w:sz w:val="24"/>
          <w:szCs w:val="24"/>
        </w:rPr>
        <w:t xml:space="preserve"> Some non-completers reported negative experiences of their instructor or other group members (group experience), or that their programme expectations and needs were not met. This </w:t>
      </w:r>
      <w:proofErr w:type="gramStart"/>
      <w:r w:rsidRPr="00103A0B">
        <w:rPr>
          <w:rFonts w:ascii="Arial" w:hAnsi="Arial" w:cs="Arial"/>
          <w:sz w:val="24"/>
          <w:szCs w:val="24"/>
        </w:rPr>
        <w:t>was in contrast to</w:t>
      </w:r>
      <w:proofErr w:type="gramEnd"/>
      <w:r w:rsidRPr="00103A0B">
        <w:rPr>
          <w:rFonts w:ascii="Arial" w:hAnsi="Arial" w:cs="Arial"/>
          <w:sz w:val="24"/>
          <w:szCs w:val="24"/>
        </w:rPr>
        <w:t xml:space="preserve"> completers who had an overall positive programme experience with their groups and instructors. Positive social influences of group-based delivery such as </w:t>
      </w:r>
      <w:r w:rsidRPr="00103A0B">
        <w:rPr>
          <w:rFonts w:ascii="Arial" w:hAnsi="Arial" w:cs="Arial"/>
          <w:sz w:val="24"/>
          <w:szCs w:val="24"/>
        </w:rPr>
        <w:lastRenderedPageBreak/>
        <w:t xml:space="preserve">having a supportive leader, was found to be one of the main drivers of continued engagement in group-based weight management programmes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Gidlow","given":"C.","non-dropping-particle":"","parse-names":false,"suffix":""},{"dropping-particle":"","family":"Povey","given":"R.","non-dropping-particle":"","parse-names":false,"suffix":""},{"dropping-particle":"","family":"Ellis","given":"N.","non-dropping-particle":"","parse-names":false,"suffix":""},{"dropping-particle":"","family":"Begum","given":"S.","non-dropping-particle":"","parse-names":false,"suffix":""},{"dropping-particle":"","family":"Riley","given":"V.","non-dropping-particle":"","parse-names":false,"suffix":""},{"dropping-particle":"","family":"Chadwick","given":"P.","non-dropping-particle":"","parse-names":false,"suffix":""},{"dropping-particle":"","family":"Chadborn","given":"T.","non-dropping-particle":"","parse-names":false,"suffix":""},{"dropping-particle":"","family":"Gold","given":"N.","non-dropping-particle":"","parse-names":false,"suffix":""}],"id":"ITEM-1","issued":{"date-parts":[["2018"]]},"number-of-pages":"1-92","title":"Uptake and retention in group-based weight-management services","type":"report"},"uris":["http://www.mendeley.com/documents/?uuid=61411186-5f6d-4d8e-9f1a-27b3c50aa121"]}],"mendeley":{"formattedCitation":"(Gidlow et al., 2018)","plainTextFormattedCitation":"(Gidlow et al., 2018)","previouslyFormattedCitation":"(Gidlow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(Gidlow et al., 2018)</w:t>
      </w:r>
      <w:r w:rsidRPr="00103A0B">
        <w:rPr>
          <w:rFonts w:ascii="Arial" w:hAnsi="Arial" w:cs="Arial"/>
          <w:sz w:val="24"/>
          <w:szCs w:val="24"/>
        </w:rPr>
        <w:fldChar w:fldCharType="end"/>
      </w:r>
      <w:r w:rsidRPr="00103A0B">
        <w:rPr>
          <w:rFonts w:ascii="Arial" w:hAnsi="Arial" w:cs="Arial"/>
          <w:sz w:val="24"/>
          <w:szCs w:val="24"/>
        </w:rPr>
        <w:t xml:space="preserve">. </w:t>
      </w:r>
    </w:p>
    <w:p w14:paraId="468B6A4C" w14:textId="2E5C7F7C"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Another programme-level factor was communication. This was an important theme</w:t>
      </w:r>
      <w:r w:rsidR="00E706BA" w:rsidRPr="00103A0B">
        <w:rPr>
          <w:rFonts w:ascii="Arial" w:hAnsi="Arial" w:cs="Arial"/>
          <w:sz w:val="24"/>
          <w:szCs w:val="24"/>
        </w:rPr>
        <w:t xml:space="preserve"> but only</w:t>
      </w:r>
      <w:r w:rsidRPr="00103A0B">
        <w:rPr>
          <w:rFonts w:ascii="Arial" w:hAnsi="Arial" w:cs="Arial"/>
          <w:sz w:val="24"/>
          <w:szCs w:val="24"/>
        </w:rPr>
        <w:t xml:space="preserve"> for non-completers</w:t>
      </w:r>
      <w:r w:rsidR="00E706BA" w:rsidRPr="00103A0B">
        <w:rPr>
          <w:rFonts w:ascii="Arial" w:hAnsi="Arial" w:cs="Arial"/>
          <w:sz w:val="24"/>
          <w:szCs w:val="24"/>
        </w:rPr>
        <w:t xml:space="preserve"> </w:t>
      </w:r>
      <w:r w:rsidRPr="00103A0B">
        <w:rPr>
          <w:rFonts w:ascii="Arial" w:hAnsi="Arial" w:cs="Arial"/>
          <w:sz w:val="24"/>
          <w:szCs w:val="24"/>
        </w:rPr>
        <w:t xml:space="preserve">as they experienced difficulties with miscommunication about the venue or session times, and phone calls not being answered when help was needed, reflecting other findings from research on the NHSDPP </w:t>
      </w:r>
      <w:r w:rsidRPr="00103A0B">
        <w:rPr>
          <w:rFonts w:ascii="Arial" w:hAnsi="Arial" w:cs="Arial"/>
          <w:sz w:val="24"/>
          <w:szCs w:val="24"/>
        </w:rPr>
        <w:fldChar w:fldCharType="begin" w:fldLock="1"/>
      </w:r>
      <w:r w:rsidR="007C66BC" w:rsidRPr="00103A0B">
        <w:rPr>
          <w:rFonts w:ascii="Arial" w:hAnsi="Arial" w:cs="Arial"/>
          <w:sz w:val="24"/>
          <w:szCs w:val="24"/>
        </w:rPr>
        <w:instrText>ADDIN CSL_CITATION {"citationItems":[{"id":"ITEM-1","itemData":{"ISSN":"14726963","PMID":"33246460","abstract":"Background: The NHS Diabetes Prevention Programme (NHS-DPP) is a nine-month, group-based behavioural intervention for adults in England at risk of developing Type 2 diabetes. Four independent providers were commissioned to deliver versions of the NHS-DPP, in line with NHS England specifications. This observational study maps NHS-DPP delivery in routine practice against the NHS specification, and compares service delivery with observed patient experiences. Methods: Researchers observed service delivery across eight complete NHS-DPP courses (118 sessions, median 14 sessions per course), consenting 455 participants (36 staff, 398 patients, 21 accompanying persons). Key features of NHS-DPP delivery were described using the Template for Intervention Description and Replication (TIDieR) framework. Researchers wrote detailed field notes during each session, including observations of patient experience. Field notes were content analysed; instances of positive and negative experiences were labelled and grouped into categories. Researchers used a novel method of comparing observed patient experiences to variations in programme delivery. Results: Delivery broadly followed NHS England’s specification and the plans set out by providers. Deviations included the scheduling and larger group sizes in some sessions. There was variation in the type and format of activities delivered by providers. Positive patient experiences included engagement, satisfaction with the programme, good within-group relationships and reported behavioural changes. Negative experiences included poor scheduling, large groups, and dissatisfaction with the venue. Where more interactive and visual activities were delivered in smaller groups of 10–15 people with good rapport, there were generally more instances of positive patient experiences, and where there were structural issues such as problems with the scheduling of sessions, poor venues and inadequate resources, there tended to be more negative patient experiences. Conclusions: Addressing issues that we have identified as being linked to negative experiences with the NHS-DPP could increase uptake, reduce patient drop-out and increase the overall effectiveness of the programme. In particular, modifying structural aspects of the NHS-DPP (e.g. reliable session scheduling, reducing group sizes, enough session resources) and increasing interaction appear particularly promising for improving these outcomes.","author":[{"dropping-particle":"","family":"Hawkes","given":"R.E.","non-dropping-particle":"","parse-names":false,"suffix":""},{"dropping-particle":"","family":"Cameron","given":"Elaine","non-dropping-particle":"","parse-names":false,"suffix":""},{"dropping-particle":"","family":"Cotterill","given":"Sarah","non-dropping-particle":"","parse-names":false,"suffix":""},{"dropping-particle":"","family":"Bower","given":"Peter","non-dropping-particle":"","parse-names":false,"suffix":""},{"dropping-particle":"","family":"French","given":"David P.","non-dropping-particle":"","parse-names":false,"suffix":""}],"container-title":"BMC Health Services Research","id":"ITEM-1","issued":{"date-parts":[["2020"]]},"page":"1098","publisher":"BMC Health Services Research","title":"The NHS diabetes prevention programme: an observational study of service delivery and patient experience","type":"article-journal","volume":"20"},"uris":["http://www.mendeley.com/documents/?uuid=144b4659-423e-454d-8d8d-99a99782d903"]}],"mendeley":{"formattedCitation":"(R.E. Hawkes et al., 2020)","manualFormatting":"(Hawkes et al., 2020)","plainTextFormattedCitation":"(R.E. Hawkes et al., 2020)","previouslyFormattedCitation":"(R.E. Hawkes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(Hawkes et al., 2020)</w:t>
      </w:r>
      <w:r w:rsidRPr="00103A0B">
        <w:rPr>
          <w:rFonts w:ascii="Arial" w:hAnsi="Arial" w:cs="Arial"/>
          <w:sz w:val="24"/>
          <w:szCs w:val="24"/>
        </w:rPr>
        <w:fldChar w:fldCharType="end"/>
      </w:r>
      <w:r w:rsidRPr="00103A0B">
        <w:rPr>
          <w:rFonts w:ascii="Arial" w:hAnsi="Arial" w:cs="Arial"/>
          <w:sz w:val="24"/>
          <w:szCs w:val="24"/>
        </w:rPr>
        <w:t>. Practicalities such as venue issues can also influence motivation to complete.</w:t>
      </w:r>
      <w:r w:rsidR="0061491B" w:rsidRPr="00103A0B">
        <w:rPr>
          <w:rFonts w:ascii="Arial" w:hAnsi="Arial" w:cs="Arial"/>
          <w:sz w:val="24"/>
          <w:szCs w:val="24"/>
        </w:rPr>
        <w:t xml:space="preserve"> </w:t>
      </w:r>
      <w:r w:rsidRPr="00103A0B">
        <w:rPr>
          <w:rFonts w:ascii="Arial" w:hAnsi="Arial" w:cs="Arial"/>
          <w:sz w:val="24"/>
          <w:szCs w:val="24"/>
        </w:rPr>
        <w:t>If participants are finding it difficult to attend when venue issues are experienced such as venue changes with short notice, or issues with finding the correct venue/session room,</w:t>
      </w:r>
      <w:r w:rsidR="00E706BA" w:rsidRPr="00103A0B">
        <w:rPr>
          <w:rFonts w:ascii="Arial" w:hAnsi="Arial" w:cs="Arial"/>
          <w:sz w:val="24"/>
          <w:szCs w:val="24"/>
        </w:rPr>
        <w:t xml:space="preserve"> </w:t>
      </w:r>
      <w:r w:rsidRPr="00103A0B">
        <w:rPr>
          <w:rFonts w:ascii="Arial" w:hAnsi="Arial" w:cs="Arial"/>
          <w:sz w:val="24"/>
          <w:szCs w:val="24"/>
        </w:rPr>
        <w:t xml:space="preserve">this can remove opportunity to complete programmes like the NHSDPP due to physical environmental barriers, leading to non-completion. Overall, the systematic review and qualitative studies found a range of different programme-level factors which influenced uptake and retention and helped to address the first aim and objective of this research. </w:t>
      </w:r>
    </w:p>
    <w:p w14:paraId="15B449CF" w14:textId="2D9390EA" w:rsidR="00E706BA" w:rsidRPr="00103A0B" w:rsidRDefault="00E706BA" w:rsidP="00CD5919">
      <w:pPr>
        <w:spacing w:line="360" w:lineRule="auto"/>
        <w:jc w:val="both"/>
        <w:rPr>
          <w:rFonts w:ascii="Arial" w:hAnsi="Arial" w:cs="Arial"/>
          <w:sz w:val="24"/>
          <w:szCs w:val="24"/>
        </w:rPr>
      </w:pPr>
      <w:r w:rsidRPr="00103A0B">
        <w:rPr>
          <w:rFonts w:ascii="Arial" w:hAnsi="Arial" w:cs="Arial"/>
          <w:sz w:val="24"/>
          <w:szCs w:val="24"/>
        </w:rPr>
        <w:t xml:space="preserve">The second aim of this research was to focus in on a DPP in a socioeconomically deprived </w:t>
      </w:r>
      <w:proofErr w:type="gramStart"/>
      <w:r w:rsidRPr="00103A0B">
        <w:rPr>
          <w:rFonts w:ascii="Arial" w:hAnsi="Arial" w:cs="Arial"/>
          <w:sz w:val="24"/>
          <w:szCs w:val="24"/>
        </w:rPr>
        <w:t>area</w:t>
      </w:r>
      <w:r w:rsidR="0061491B" w:rsidRPr="00103A0B">
        <w:rPr>
          <w:rFonts w:ascii="Arial" w:hAnsi="Arial" w:cs="Arial"/>
          <w:sz w:val="24"/>
          <w:szCs w:val="24"/>
        </w:rPr>
        <w:t>,</w:t>
      </w:r>
      <w:r w:rsidRPr="00103A0B">
        <w:rPr>
          <w:rFonts w:ascii="Arial" w:hAnsi="Arial" w:cs="Arial"/>
          <w:sz w:val="24"/>
          <w:szCs w:val="24"/>
        </w:rPr>
        <w:t xml:space="preserve"> and</w:t>
      </w:r>
      <w:proofErr w:type="gramEnd"/>
      <w:r w:rsidRPr="00103A0B">
        <w:rPr>
          <w:rFonts w:ascii="Arial" w:hAnsi="Arial" w:cs="Arial"/>
          <w:sz w:val="24"/>
          <w:szCs w:val="24"/>
        </w:rPr>
        <w:t xml:space="preserve"> explore what influences participants to attend and complete the programme.  Associated with this were two related objectives: </w:t>
      </w:r>
    </w:p>
    <w:p w14:paraId="753C1338" w14:textId="7B3B0415" w:rsidR="00E511EE" w:rsidRPr="00103A0B" w:rsidRDefault="00E511EE" w:rsidP="00CD5919">
      <w:pPr>
        <w:pStyle w:val="ListParagraph"/>
        <w:numPr>
          <w:ilvl w:val="0"/>
          <w:numId w:val="20"/>
        </w:numPr>
        <w:spacing w:line="360" w:lineRule="auto"/>
        <w:jc w:val="both"/>
        <w:rPr>
          <w:rFonts w:ascii="Arial" w:hAnsi="Arial" w:cs="Arial"/>
          <w:i/>
          <w:iCs/>
          <w:sz w:val="24"/>
          <w:szCs w:val="24"/>
        </w:rPr>
      </w:pPr>
      <w:r w:rsidRPr="00103A0B">
        <w:rPr>
          <w:rFonts w:ascii="Arial" w:hAnsi="Arial" w:cs="Arial"/>
          <w:i/>
          <w:iCs/>
          <w:sz w:val="24"/>
          <w:szCs w:val="24"/>
        </w:rPr>
        <w:t>To explore key influences of participants’ decisions to start and attend the NHSDPP</w:t>
      </w:r>
      <w:r w:rsidR="00912C87" w:rsidRPr="00103A0B">
        <w:rPr>
          <w:rFonts w:ascii="Arial" w:hAnsi="Arial" w:cs="Arial"/>
          <w:i/>
          <w:iCs/>
          <w:sz w:val="24"/>
          <w:szCs w:val="24"/>
        </w:rPr>
        <w:t xml:space="preserve"> in a socioeconomically deprived area</w:t>
      </w:r>
      <w:r w:rsidRPr="00103A0B">
        <w:rPr>
          <w:rFonts w:ascii="Arial" w:hAnsi="Arial" w:cs="Arial"/>
          <w:i/>
          <w:iCs/>
          <w:sz w:val="24"/>
          <w:szCs w:val="24"/>
        </w:rPr>
        <w:t xml:space="preserve">. </w:t>
      </w:r>
    </w:p>
    <w:p w14:paraId="276B7BFA" w14:textId="321D5F31" w:rsidR="00E706BA" w:rsidRPr="00103A0B" w:rsidRDefault="00E511EE" w:rsidP="00E61B27">
      <w:pPr>
        <w:pStyle w:val="ListParagraph"/>
        <w:numPr>
          <w:ilvl w:val="0"/>
          <w:numId w:val="20"/>
        </w:numPr>
        <w:spacing w:line="360" w:lineRule="auto"/>
        <w:jc w:val="both"/>
        <w:rPr>
          <w:rFonts w:ascii="Arial" w:hAnsi="Arial" w:cs="Arial"/>
          <w:i/>
          <w:iCs/>
          <w:sz w:val="24"/>
          <w:szCs w:val="24"/>
        </w:rPr>
      </w:pPr>
      <w:r w:rsidRPr="00103A0B">
        <w:rPr>
          <w:rFonts w:ascii="Arial" w:hAnsi="Arial" w:cs="Arial"/>
          <w:i/>
          <w:iCs/>
          <w:sz w:val="24"/>
          <w:szCs w:val="24"/>
        </w:rPr>
        <w:t xml:space="preserve">To explore key influences on why </w:t>
      </w:r>
      <w:proofErr w:type="gramStart"/>
      <w:r w:rsidRPr="00103A0B">
        <w:rPr>
          <w:rFonts w:ascii="Arial" w:hAnsi="Arial" w:cs="Arial"/>
          <w:i/>
          <w:iCs/>
          <w:sz w:val="24"/>
          <w:szCs w:val="24"/>
        </w:rPr>
        <w:t>participants</w:t>
      </w:r>
      <w:proofErr w:type="gramEnd"/>
      <w:r w:rsidRPr="00103A0B">
        <w:rPr>
          <w:rFonts w:ascii="Arial" w:hAnsi="Arial" w:cs="Arial"/>
          <w:i/>
          <w:iCs/>
          <w:sz w:val="24"/>
          <w:szCs w:val="24"/>
        </w:rPr>
        <w:t xml:space="preserve"> complete/do not complete the NHSDPP</w:t>
      </w:r>
      <w:r w:rsidR="00912C87" w:rsidRPr="00103A0B">
        <w:rPr>
          <w:rFonts w:ascii="Arial" w:hAnsi="Arial" w:cs="Arial"/>
          <w:i/>
          <w:iCs/>
          <w:sz w:val="24"/>
          <w:szCs w:val="24"/>
        </w:rPr>
        <w:t xml:space="preserve"> in a socioeconomically deprived area</w:t>
      </w:r>
      <w:r w:rsidRPr="00103A0B">
        <w:rPr>
          <w:rFonts w:ascii="Arial" w:hAnsi="Arial" w:cs="Arial"/>
          <w:i/>
          <w:iCs/>
          <w:sz w:val="24"/>
          <w:szCs w:val="24"/>
        </w:rPr>
        <w:t>.</w:t>
      </w:r>
    </w:p>
    <w:p w14:paraId="30479EBF" w14:textId="5A75B42F"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The above aim and objectives were met through conducting the qualitative studies (Chapters 5 and 6), which identified many similarities and differences in key influences of attendance and completion. These will be briefly discussed. Motivation was important for both attendance and completion, but this was presented in different ways (Chapters 5 and 6). Both attenders and non-attenders seemed motivated as they discussed different aspects related to motivation such as how committed they were to start the programme. However, for non-attenders, other factors appeared to influence their non-attendance regardless of how motivated they were (which will be discussed more later). In terms of completion,</w:t>
      </w:r>
      <w:r w:rsidR="00E61B27" w:rsidRPr="00103A0B">
        <w:rPr>
          <w:rFonts w:ascii="Arial" w:hAnsi="Arial" w:cs="Arial"/>
          <w:sz w:val="24"/>
          <w:szCs w:val="24"/>
        </w:rPr>
        <w:t xml:space="preserve"> the theme of</w:t>
      </w:r>
      <w:r w:rsidRPr="00103A0B">
        <w:rPr>
          <w:rFonts w:ascii="Arial" w:hAnsi="Arial" w:cs="Arial"/>
          <w:sz w:val="24"/>
          <w:szCs w:val="24"/>
        </w:rPr>
        <w:t xml:space="preserve"> motivation only applied to completers. Here they discussed their motivation behind attending the NHSDPP which involved reasons like not wanting prediabetes/T2DM, how it</w:t>
      </w:r>
      <w:r w:rsidR="00E61B27" w:rsidRPr="00103A0B">
        <w:rPr>
          <w:rFonts w:ascii="Arial" w:hAnsi="Arial" w:cs="Arial"/>
          <w:sz w:val="24"/>
          <w:szCs w:val="24"/>
        </w:rPr>
        <w:t xml:space="preserve"> was up to them</w:t>
      </w:r>
      <w:r w:rsidRPr="00103A0B">
        <w:rPr>
          <w:rFonts w:ascii="Arial" w:hAnsi="Arial" w:cs="Arial"/>
          <w:sz w:val="24"/>
          <w:szCs w:val="24"/>
        </w:rPr>
        <w:t xml:space="preserve"> to make changes </w:t>
      </w:r>
      <w:r w:rsidRPr="00103A0B">
        <w:rPr>
          <w:rFonts w:ascii="Arial" w:hAnsi="Arial" w:cs="Arial"/>
          <w:sz w:val="24"/>
          <w:szCs w:val="24"/>
        </w:rPr>
        <w:lastRenderedPageBreak/>
        <w:t>to remove T2DM risk, or how the programme encouraged them to keep going. Qualitative data confirmed</w:t>
      </w:r>
      <w:r w:rsidR="00E61B27" w:rsidRPr="00103A0B">
        <w:rPr>
          <w:rFonts w:ascii="Arial" w:hAnsi="Arial" w:cs="Arial"/>
          <w:sz w:val="24"/>
          <w:szCs w:val="24"/>
        </w:rPr>
        <w:t xml:space="preserve"> </w:t>
      </w:r>
      <w:r w:rsidRPr="00103A0B">
        <w:rPr>
          <w:rFonts w:ascii="Arial" w:hAnsi="Arial" w:cs="Arial"/>
          <w:sz w:val="24"/>
          <w:szCs w:val="24"/>
        </w:rPr>
        <w:t xml:space="preserve">that completers were more motivated to complete the programme than non-completers. Research has shown motivation is important, not only for initial attendance but also continued motivation is important for completion of DPPs </w:t>
      </w:r>
      <w:r w:rsidRPr="00103A0B">
        <w:rPr>
          <w:rFonts w:ascii="Arial" w:hAnsi="Arial" w:cs="Arial"/>
          <w:sz w:val="24"/>
          <w:szCs w:val="24"/>
        </w:rPr>
        <w:fldChar w:fldCharType="begin" w:fldLock="1"/>
      </w:r>
      <w:r w:rsidR="007C3391" w:rsidRPr="00103A0B">
        <w:rPr>
          <w:rFonts w:ascii="Arial" w:hAnsi="Arial" w:cs="Arial"/>
          <w:sz w:val="24"/>
          <w:szCs w:val="24"/>
        </w:rPr>
        <w:instrText>ADDIN CSL_CITATION {"citationItems":[{"id":"ITEM-1","itemData":{"DOI":"https://doi.org/10.1177/0890117119848985","author":[{"dropping-particle":"","family":"Alva","given":"M.L.","non-dropping-particle":"","parse-names":false,"suffix":""}],"container-title":"American Journal of Health Promotion","id":"ITEM-1","issue":"7","issued":{"date-parts":[["2019"]]},"page":"1067-72","title":"How much does attendance impact weight loss and health care spending in a diabetes prevention program serving older adults?","type":"article-journal","volume":"33"},"uris":["http://www.mendeley.com/documents/?uuid=ab27f0b0-3076-419f-87af-9f779434d81e"]}],"mendeley":{"formattedCitation":"(Alva, 2019a)","plainTextFormattedCitation":"(Alva, 2019a)","previouslyFormattedCitation":"(Alva, 2019a)"},"properties":{"noteIndex":0},"schema":"https://github.com/citation-style-language/schema/raw/master/csl-citation.json"}</w:instrText>
      </w:r>
      <w:r w:rsidRPr="00103A0B">
        <w:rPr>
          <w:rFonts w:ascii="Arial" w:hAnsi="Arial" w:cs="Arial"/>
          <w:sz w:val="24"/>
          <w:szCs w:val="24"/>
        </w:rPr>
        <w:fldChar w:fldCharType="separate"/>
      </w:r>
      <w:r w:rsidR="00597BD1" w:rsidRPr="00103A0B">
        <w:rPr>
          <w:rFonts w:ascii="Arial" w:hAnsi="Arial" w:cs="Arial"/>
          <w:noProof/>
          <w:sz w:val="24"/>
          <w:szCs w:val="24"/>
        </w:rPr>
        <w:t>(Alva, 2019a)</w:t>
      </w:r>
      <w:r w:rsidRPr="00103A0B">
        <w:rPr>
          <w:rFonts w:ascii="Arial" w:hAnsi="Arial" w:cs="Arial"/>
          <w:sz w:val="24"/>
          <w:szCs w:val="24"/>
        </w:rPr>
        <w:fldChar w:fldCharType="end"/>
      </w:r>
      <w:r w:rsidRPr="00103A0B">
        <w:rPr>
          <w:rFonts w:ascii="Arial" w:hAnsi="Arial" w:cs="Arial"/>
          <w:sz w:val="24"/>
          <w:szCs w:val="24"/>
        </w:rPr>
        <w:t xml:space="preserve">.  </w:t>
      </w:r>
    </w:p>
    <w:p w14:paraId="46A1E1D9" w14:textId="17F3CA18"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Participants in both studies expressed their current T2DM knowledge such as T2DM is for </w:t>
      </w:r>
      <w:proofErr w:type="gramStart"/>
      <w:r w:rsidRPr="00103A0B">
        <w:rPr>
          <w:rFonts w:ascii="Arial" w:hAnsi="Arial" w:cs="Arial"/>
          <w:sz w:val="24"/>
          <w:szCs w:val="24"/>
        </w:rPr>
        <w:t>life</w:t>
      </w:r>
      <w:proofErr w:type="gramEnd"/>
      <w:r w:rsidRPr="00103A0B">
        <w:rPr>
          <w:rFonts w:ascii="Arial" w:hAnsi="Arial" w:cs="Arial"/>
          <w:sz w:val="24"/>
          <w:szCs w:val="24"/>
        </w:rPr>
        <w:t xml:space="preserve"> and it is hereditary which was a similarity (Chapters 5 and 6). It is important to note that how individuals understand their illness plays a vital role in motivation and behaviour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{"citationItems":[{"id":"ITEM-1","itemData":{"author":[{"dropping-particle":"","family":"Dickinson","given":"Jane K","non-dropping-particle":"","parse-names":false,"suffix":""},{"dropping-particle":"","family":"Guzman","given":"Susan J","non-dropping-particle":"","parse-names":false,"suffix":""},{"dropping-particle":"","family":"Maryniuk","given":"Melinda D","non-dropping-particle":"","parse-names":false,"suffix":""},{"dropping-particle":"","family":"Brian","given":"Catherine A O","non-dropping-particle":"","parse-names":false,"suffix":""},{"dropping-particle":"","family":"Kadohiro","given":"Jane K","non-dropping-particle":"","parse-names":false,"suffix":""},{"dropping-particle":"","family":"Jackson","given":"Richard A","non-dropping-particle":"","parse-names":false,"suffix":""},{"dropping-particle":"","family":"Al","given":"Et","non-dropping-particle":"","parse-names":false,"suffix":""}],"container-title":"Diabetes Care","id":"ITEM-1","issue":"12","issued":{"date-parts":[["2017"]]},"page":"1790-99","title":"The use of language in diabetes care and education","type":"article-journal","volume":"40"},"uris":["http://www.mendeley.com/documents/?uuid=5a42bfc2-c358-4d2d-bb3f-1639c2693dcf"]}],"mendeley":{"formattedCitation":"(Dickinson et al., 2017)","plainTextFormattedCitation":"(Dickinson et al., 2017)","previouslyFormattedCitation":"(Dickinson et al., 2017)"},"properties":{"noteIndex":0},"schema":"https://github.com/citation-style-language/schema/raw/master/csl-citation.json"}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(Dickinson et al., 2017)</w:t>
      </w:r>
      <w:r w:rsidRPr="00103A0B">
        <w:rPr>
          <w:rFonts w:ascii="Arial" w:hAnsi="Arial" w:cs="Arial"/>
          <w:sz w:val="24"/>
          <w:szCs w:val="24"/>
        </w:rPr>
        <w:fldChar w:fldCharType="end"/>
      </w:r>
      <w:r w:rsidRPr="00103A0B">
        <w:rPr>
          <w:rFonts w:ascii="Arial" w:hAnsi="Arial" w:cs="Arial"/>
          <w:sz w:val="24"/>
          <w:szCs w:val="24"/>
        </w:rPr>
        <w:t>. Those attending the IA generally showed</w:t>
      </w:r>
      <w:r w:rsidR="00E61B27" w:rsidRPr="00103A0B">
        <w:rPr>
          <w:rFonts w:ascii="Arial" w:hAnsi="Arial" w:cs="Arial"/>
          <w:sz w:val="24"/>
          <w:szCs w:val="24"/>
        </w:rPr>
        <w:t xml:space="preserve"> some</w:t>
      </w:r>
      <w:r w:rsidRPr="00103A0B">
        <w:rPr>
          <w:rFonts w:ascii="Arial" w:hAnsi="Arial" w:cs="Arial"/>
          <w:sz w:val="24"/>
          <w:szCs w:val="24"/>
        </w:rPr>
        <w:t xml:space="preserve"> knowledge of T2DM, although a higher proportion of attenders than non-attenders stated difficulties with understanding their risk and with GP communication. Perhaps this lack of </w:t>
      </w:r>
      <w:r w:rsidR="00E61B27" w:rsidRPr="00103A0B">
        <w:rPr>
          <w:rFonts w:ascii="Arial" w:hAnsi="Arial" w:cs="Arial"/>
          <w:sz w:val="24"/>
          <w:szCs w:val="24"/>
        </w:rPr>
        <w:t>understanding</w:t>
      </w:r>
      <w:r w:rsidRPr="00103A0B">
        <w:rPr>
          <w:rFonts w:ascii="Arial" w:hAnsi="Arial" w:cs="Arial"/>
          <w:sz w:val="24"/>
          <w:szCs w:val="24"/>
        </w:rPr>
        <w:t xml:space="preserve"> resulted in motivating them to attend the DPP to improve their understanding. This finding also highlights that understanding risk and having good communication, particularly amongst a population where English may not be the first language, is key to improving attendance.</w:t>
      </w:r>
      <w:r w:rsidR="00E61B27" w:rsidRPr="00103A0B">
        <w:rPr>
          <w:rFonts w:ascii="Arial" w:hAnsi="Arial" w:cs="Arial"/>
          <w:sz w:val="24"/>
          <w:szCs w:val="24"/>
        </w:rPr>
        <w:t xml:space="preserve"> N</w:t>
      </w:r>
      <w:r w:rsidRPr="00103A0B">
        <w:rPr>
          <w:rFonts w:ascii="Arial" w:hAnsi="Arial" w:cs="Arial"/>
          <w:sz w:val="24"/>
          <w:szCs w:val="24"/>
        </w:rPr>
        <w:t>on-completers discussed T2DM as a “bad sickness” which can cause death, and completers stated how fear and severity of T2DM encouraged them to complete the programme. Although this suggests both completers and non-completers viewed T2DM as a severe condition, completers may have been more motivated to complete due to</w:t>
      </w:r>
      <w:r w:rsidR="00E61B27" w:rsidRPr="00103A0B">
        <w:rPr>
          <w:rFonts w:ascii="Arial" w:hAnsi="Arial" w:cs="Arial"/>
          <w:sz w:val="24"/>
          <w:szCs w:val="24"/>
        </w:rPr>
        <w:t xml:space="preserve"> being</w:t>
      </w:r>
      <w:r w:rsidRPr="00103A0B">
        <w:rPr>
          <w:rFonts w:ascii="Arial" w:hAnsi="Arial" w:cs="Arial"/>
          <w:sz w:val="24"/>
          <w:szCs w:val="24"/>
        </w:rPr>
        <w:t xml:space="preserve"> fear</w:t>
      </w:r>
      <w:r w:rsidR="00E61B27" w:rsidRPr="00103A0B">
        <w:rPr>
          <w:rFonts w:ascii="Arial" w:hAnsi="Arial" w:cs="Arial"/>
          <w:sz w:val="24"/>
          <w:szCs w:val="24"/>
        </w:rPr>
        <w:t>ful</w:t>
      </w:r>
      <w:r w:rsidRPr="00103A0B">
        <w:rPr>
          <w:rFonts w:ascii="Arial" w:hAnsi="Arial" w:cs="Arial"/>
          <w:sz w:val="24"/>
          <w:szCs w:val="24"/>
        </w:rPr>
        <w:t xml:space="preserve"> of T2DM. This demonstrates some fear can be helpful as a motivator to drive change, although this needs to be carefully managed (refer to section 8.3: Theoretical implications). </w:t>
      </w:r>
    </w:p>
    <w:p w14:paraId="4B622137" w14:textId="77777777"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The idea of learning to reduce risk or being able to control T2DM risk successfully influenced attendance and completion in different ways (Chapters 5 and 6). Some non-attenders felt that they were no longer at risk or were able to control their risk independently, suggesting that they did not see the need to attend as they were able to control their prediabetes. In terms of completion, both completers </w:t>
      </w:r>
      <w:r w:rsidRPr="00103A0B">
        <w:rPr>
          <w:rFonts w:ascii="Arial" w:hAnsi="Arial" w:cs="Arial"/>
          <w:i/>
          <w:iCs/>
          <w:sz w:val="24"/>
          <w:szCs w:val="24"/>
        </w:rPr>
        <w:t>and</w:t>
      </w:r>
      <w:r w:rsidRPr="00103A0B">
        <w:rPr>
          <w:rFonts w:ascii="Arial" w:hAnsi="Arial" w:cs="Arial"/>
          <w:sz w:val="24"/>
          <w:szCs w:val="24"/>
        </w:rPr>
        <w:t xml:space="preserve"> non-completers expressed that they had learnt how to reduce their T2DM risk and felt their blood sugar levels had gone back to normal. Although this is a positive outcome for completers, it also suggests non-completers may have felt confident in making the required lifestyle changes to reduce their risk. Therefore, non-completers may have perceived the programme to no longer be of benefit and decided not to continue.</w:t>
      </w:r>
    </w:p>
    <w:p w14:paraId="0EA11D97" w14:textId="112B3BD3"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lastRenderedPageBreak/>
        <w:t xml:space="preserve">The idea of group support was present across both studies. In Chapter 5, participants anticipated group support and felt they would get support from other people on the programme and in Chapter 6, completers discussed how group members were supportive. However, differences were present in discussions of support as participants in Chapter 5 focused on additional support from family and friends, whereas non-completers </w:t>
      </w:r>
      <w:r w:rsidR="004D45AD" w:rsidRPr="00103A0B">
        <w:rPr>
          <w:rFonts w:ascii="Arial" w:hAnsi="Arial" w:cs="Arial"/>
          <w:sz w:val="24"/>
          <w:szCs w:val="24"/>
        </w:rPr>
        <w:t xml:space="preserve">in Chapter 6 </w:t>
      </w:r>
      <w:r w:rsidRPr="00103A0B">
        <w:rPr>
          <w:rFonts w:ascii="Arial" w:hAnsi="Arial" w:cs="Arial"/>
          <w:sz w:val="24"/>
          <w:szCs w:val="24"/>
        </w:rPr>
        <w:t>focused on negative experiences of support from their instructor and other group members (group experience)</w:t>
      </w:r>
      <w:r w:rsidR="0061491B" w:rsidRPr="00103A0B">
        <w:rPr>
          <w:rFonts w:ascii="Arial" w:hAnsi="Arial" w:cs="Arial"/>
          <w:sz w:val="24"/>
          <w:szCs w:val="24"/>
        </w:rPr>
        <w:t>,</w:t>
      </w:r>
      <w:r w:rsidRPr="00103A0B">
        <w:rPr>
          <w:rFonts w:ascii="Arial" w:hAnsi="Arial" w:cs="Arial"/>
          <w:sz w:val="24"/>
          <w:szCs w:val="24"/>
        </w:rPr>
        <w:t xml:space="preserve"> leading them </w:t>
      </w:r>
      <w:proofErr w:type="gramStart"/>
      <w:r w:rsidRPr="00103A0B">
        <w:rPr>
          <w:rFonts w:ascii="Arial" w:hAnsi="Arial" w:cs="Arial"/>
          <w:sz w:val="24"/>
          <w:szCs w:val="24"/>
        </w:rPr>
        <w:t>to</w:t>
      </w:r>
      <w:proofErr w:type="gramEnd"/>
      <w:r w:rsidRPr="00103A0B">
        <w:rPr>
          <w:rFonts w:ascii="Arial" w:hAnsi="Arial" w:cs="Arial"/>
          <w:sz w:val="24"/>
          <w:szCs w:val="24"/>
        </w:rPr>
        <w:t xml:space="preserve"> not complete. This contrasted with completers who had an overall positive experience with their groups and instructors, indicating positive support received. </w:t>
      </w:r>
    </w:p>
    <w:p w14:paraId="566411A5" w14:textId="4FF0866C" w:rsidR="004D45AD" w:rsidRPr="00103A0B" w:rsidRDefault="004D45AD" w:rsidP="004D45AD">
      <w:pPr>
        <w:spacing w:line="360" w:lineRule="auto"/>
        <w:jc w:val="both"/>
        <w:rPr>
          <w:rFonts w:ascii="Arial" w:hAnsi="Arial" w:cs="Arial"/>
          <w:sz w:val="24"/>
          <w:szCs w:val="24"/>
        </w:rPr>
      </w:pPr>
      <w:r w:rsidRPr="00103A0B">
        <w:rPr>
          <w:rFonts w:ascii="Arial" w:hAnsi="Arial" w:cs="Arial"/>
          <w:sz w:val="24"/>
          <w:szCs w:val="24"/>
        </w:rPr>
        <w:t xml:space="preserve">Family was an important social influence across this research, influencing both attendance and completion. For example, in both studies, participants made comparisons with their family members with T2DM or discussed how they had influence from their family. Attenders in particular were motivated to do something as T2DM was in the </w:t>
      </w:r>
      <w:proofErr w:type="gramStart"/>
      <w:r w:rsidRPr="00103A0B">
        <w:rPr>
          <w:rFonts w:ascii="Arial" w:hAnsi="Arial" w:cs="Arial"/>
          <w:sz w:val="24"/>
          <w:szCs w:val="24"/>
        </w:rPr>
        <w:t>family, and</w:t>
      </w:r>
      <w:proofErr w:type="gramEnd"/>
      <w:r w:rsidRPr="00103A0B">
        <w:rPr>
          <w:rFonts w:ascii="Arial" w:hAnsi="Arial" w:cs="Arial"/>
          <w:sz w:val="24"/>
          <w:szCs w:val="24"/>
        </w:rPr>
        <w:t xml:space="preserve"> had a better understanding of T2DM due to knowing people with it such as family and friends. Non-completers were influenced by their family in different ways such as having family responsibilities which can create barriers, reducing opportunities to complete, or they expressed how friends and others did not know what T2DM is, so they were giving advice or sharing knowledge with their friends. This research demonstrates the importance of social influences such as from group members, </w:t>
      </w:r>
      <w:proofErr w:type="gramStart"/>
      <w:r w:rsidRPr="00103A0B">
        <w:rPr>
          <w:rFonts w:ascii="Arial" w:hAnsi="Arial" w:cs="Arial"/>
          <w:sz w:val="24"/>
          <w:szCs w:val="24"/>
        </w:rPr>
        <w:t>family</w:t>
      </w:r>
      <w:proofErr w:type="gramEnd"/>
      <w:r w:rsidRPr="00103A0B">
        <w:rPr>
          <w:rFonts w:ascii="Arial" w:hAnsi="Arial" w:cs="Arial"/>
          <w:sz w:val="24"/>
          <w:szCs w:val="24"/>
        </w:rPr>
        <w:t xml:space="preserve"> or friends in influencing attendance and completion. </w:t>
      </w:r>
    </w:p>
    <w:p w14:paraId="478954F7" w14:textId="361ED28F"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Making lifestyle changes and experiencing difficulties whilst making these changes may mean different things in relation to attending and completing a diabetes prevention programme. All participants across this research expressed how they have made or are making lifestyle changes, as well as some of the difficulties they had experienced when making them. </w:t>
      </w:r>
      <w:proofErr w:type="gramStart"/>
      <w:r w:rsidRPr="00103A0B">
        <w:rPr>
          <w:rFonts w:ascii="Arial" w:hAnsi="Arial" w:cs="Arial"/>
          <w:sz w:val="24"/>
          <w:szCs w:val="24"/>
        </w:rPr>
        <w:t>In particular, those</w:t>
      </w:r>
      <w:proofErr w:type="gramEnd"/>
      <w:r w:rsidRPr="00103A0B">
        <w:rPr>
          <w:rFonts w:ascii="Arial" w:hAnsi="Arial" w:cs="Arial"/>
          <w:sz w:val="24"/>
          <w:szCs w:val="24"/>
        </w:rPr>
        <w:t xml:space="preserve"> who had already made lifestyle changes prior to starting the programme were more likely to attend and become attenders (Chapter 5).</w:t>
      </w:r>
      <w:r w:rsidR="004D45AD" w:rsidRPr="00103A0B">
        <w:rPr>
          <w:rFonts w:ascii="Arial" w:hAnsi="Arial" w:cs="Arial"/>
          <w:sz w:val="24"/>
          <w:szCs w:val="24"/>
        </w:rPr>
        <w:t xml:space="preserve"> Perhaps previous experiences increased motivation</w:t>
      </w:r>
      <w:r w:rsidRPr="00103A0B">
        <w:rPr>
          <w:rFonts w:ascii="Arial" w:hAnsi="Arial" w:cs="Arial"/>
          <w:sz w:val="24"/>
          <w:szCs w:val="24"/>
        </w:rPr>
        <w:t xml:space="preserve"> to attend, possibly through wanting to find out more on how to make changes, achieve their long-term goals such as weight loss, and improve health </w:t>
      </w:r>
      <w:r w:rsidRPr="00103A0B">
        <w:rPr>
          <w:rFonts w:ascii="Arial" w:hAnsi="Arial" w:cs="Arial"/>
          <w:sz w:val="24"/>
          <w:szCs w:val="24"/>
        </w:rPr>
        <w:fldChar w:fldCharType="begin" w:fldLock="1"/>
      </w:r>
      <w:r w:rsidR="00873997" w:rsidRPr="00103A0B">
        <w:rPr>
          <w:rFonts w:ascii="Arial" w:hAnsi="Arial" w:cs="Arial"/>
          <w:sz w:val="24"/>
          <w:szCs w:val="24"/>
        </w:rPr>
        <w:instrText>ADDIN CSL_CITATION {"citationItems":[{"id":"ITEM-1","itemData":{"DOI":"10.1111/bjhp.1","author":[{"dropping-particle":"","family":"Borek","given":"Aleksandra J","non-dropping-particle":"","parse-names":false,"suffix":""},{"dropping-particle":"","family":"Abraham","given":"Charles","non-dropping-particle":"","parse-names":false,"suffix":""},{"dropping-particle":"","family":"Greaves","given":"Colin J","non-dropping-particle":"","parse-names":false,"suffix":""},{"dropping-particle":"","family":"Tarrant","given":"Mark","non-dropping-particle":"","parse-names":false,"suffix":""},{"dropping-particle":"","family":"Garner","given":"Nikki","non-dropping-particle":"","parse-names":false,"suffix":""},{"dropping-particle":"","family":"Pascale","given":"Melanie","non-dropping-particle":"","parse-names":false,"suffix":""}],"container-title":"British Journal of Health Psychology","id":"ITEM-1","issued":{"date-parts":[["2019"]]},"page":"787-805","title":"‘ We ’re all in the same boat ’: a qualitative study on how groups work in a diabetes prevention and management programme","type":"article-journal","volume":"24"},"uris":["http://www.mendeley.com/documents/?uuid=894ef5cc-3b9e-4f33-ba76-2387fb2a3e8e"]}],"mendeley":{"formattedCitation":"(Borek et al., 2019)","plainTextFormattedCitation":"(Borek et al., 2019)","previouslyFormattedCitation":"(Borek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(Borek et al., 2019)</w:t>
      </w:r>
      <w:r w:rsidRPr="00103A0B">
        <w:rPr>
          <w:rFonts w:ascii="Arial" w:hAnsi="Arial" w:cs="Arial"/>
          <w:sz w:val="24"/>
          <w:szCs w:val="24"/>
        </w:rPr>
        <w:fldChar w:fldCharType="end"/>
      </w:r>
      <w:r w:rsidRPr="00103A0B">
        <w:rPr>
          <w:rFonts w:ascii="Arial" w:hAnsi="Arial" w:cs="Arial"/>
          <w:sz w:val="24"/>
          <w:szCs w:val="24"/>
        </w:rPr>
        <w:t xml:space="preserve">. </w:t>
      </w:r>
    </w:p>
    <w:p w14:paraId="7A8D5B6C" w14:textId="42A2C6D3"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Effective communication in primary prevention of T2DM is key</w:t>
      </w:r>
      <w:r w:rsidR="0061491B" w:rsidRPr="00103A0B">
        <w:rPr>
          <w:rFonts w:ascii="Arial" w:hAnsi="Arial" w:cs="Arial"/>
          <w:sz w:val="24"/>
          <w:szCs w:val="24"/>
        </w:rPr>
        <w:t>,</w:t>
      </w:r>
      <w:r w:rsidRPr="00103A0B">
        <w:rPr>
          <w:rFonts w:ascii="Arial" w:hAnsi="Arial" w:cs="Arial"/>
          <w:sz w:val="24"/>
          <w:szCs w:val="24"/>
        </w:rPr>
        <w:t xml:space="preserve"> in order to ensure those who are hardest to reach and most at risk such as those from certain ethnic groups and/or from lower socio-economic status are able to access appropriate </w:t>
      </w:r>
      <w:r w:rsidRPr="00103A0B">
        <w:rPr>
          <w:rFonts w:ascii="Arial" w:hAnsi="Arial" w:cs="Arial"/>
          <w:sz w:val="24"/>
          <w:szCs w:val="24"/>
        </w:rPr>
        <w:lastRenderedPageBreak/>
        <w:t xml:space="preserve">services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{"citationItems":[{"id":"ITEM-1","itemData":{"DOI":"10.1371/journal.pone.0232250","ISSN":"19326203","PMID":"32401778","abstract":"Aims Type 2 diabetes mellitus (T2DM) and gestational diabetes (GDM) are globally on the rise, accompanied by comorbidities and associated health costs. Increased physical activity, healthy nutrition, and weight loss have shown the potential to prevent T2DM/GDM. Despite this, reaching vulnerable groups remains a key challenge. The aim of this scoping review was to identify barriers and facilitating factors in the prevention of T2DM/GDM in vulnerable groups. Methods We conducted a systematic literature search in May 2018, updated in September 2019, in several databases (e.g. PubMed, Embase) to identify barriers and facilitating factors in the prevention of T2DM/GDM in vulnerable groups. Two reviewers independently screened the results. Extracted data was charted, categorized, and summarized. Results We included 125 articles. Ninety-eight studies were extracted, and eight categories of barriers and facilitating factors were formed. The most common categories of barriers were limited knowledge, family/friends, and economic factors, and the most common categories of facilitating factors were family/friends, social support, and knowledge. Conclusion This scoping review identified various barriers and facilitating factors in vulnerable groups. Preventive interventions should consider these barriers and facilitating factors in developing preventive interventions or in adapting existing ones.","author":[{"dropping-particle":"","family":"Breuing","given":"Jessica","non-dropping-particle":"","parse-names":false,"suffix":""},{"dropping-particle":"","family":"Graf","given":"Christine","non-dropping-particle":"","parse-names":false,"suffix":""},{"dropping-particle":"","family":"Neuhaus","given":"Annika Lena","non-dropping-particle":"","parse-names":false,"suffix":""},{"dropping-particle":"","family":"Heß","given":"Simone","non-dropping-particle":"","parse-names":false,"suffix":""},{"dropping-particle":"","family":"Lütkemeier","given":"Lena","non-dropping-particle":"","parse-names":false,"suffix":""},{"dropping-particle":"","family":"Haas","given":"Fabiola","non-dropping-particle":"","parse-names":false,"suffix":""},{"dropping-particle":"","family":"Spiller","given":"Mark","non-dropping-particle":"","parse-names":false,"suffix":""},{"dropping-particle":"","family":"Pieper","given":"Dawid","non-dropping-particle":"","parse-names":false,"suffix":""}],"container-title":"Systematic Reviews","id":"ITEM-1","issued":{"date-parts":[["2019"]]},"page":"98","publisher":"Systematic Reviews","title":"Communication strategies in the prevention of type 2 and gestational diabetes in vulnerable groups: a scoping review","type":"article-journal","volume":"8"},"uris":["http://www.mendeley.com/documents/?uuid=60714609-e141-435e-926b-35363eb864fb"]}],"mendeley":{"formattedCitation":"(Breuing et al., 2019)","plainTextFormattedCitation":"(Breuing et al., 2019)","previouslyFormattedCitation":"(Breuing et al., 2019)"},"properties":{"noteIndex":0},"schema":"https://github.com/citation-style-language/schema/raw/master/csl-citation.json"}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(Breuing et al., 2019)</w:t>
      </w:r>
      <w:r w:rsidRPr="00103A0B">
        <w:rPr>
          <w:rFonts w:ascii="Arial" w:hAnsi="Arial" w:cs="Arial"/>
          <w:sz w:val="24"/>
          <w:szCs w:val="24"/>
        </w:rPr>
        <w:fldChar w:fldCharType="end"/>
      </w:r>
      <w:r w:rsidRPr="00103A0B">
        <w:rPr>
          <w:rFonts w:ascii="Arial" w:hAnsi="Arial" w:cs="Arial"/>
          <w:sz w:val="24"/>
          <w:szCs w:val="24"/>
        </w:rPr>
        <w:t>. Non-completers discussed communication issues in the context of delays between the initial assessment and starting the programme, miscommunication with the venue, or poor communication with the local provider. Chapter 5 also highlighted the importance of initial communication from GPs. Taking into consideration that participants in these studies were from an ethnically diverse group, and for some, English may have not been their first language, appropriate communication is even more important</w:t>
      </w:r>
      <w:r w:rsidRPr="00103A0B" w:rsidDel="00CC03D8">
        <w:rPr>
          <w:rFonts w:ascii="Arial" w:hAnsi="Arial" w:cs="Arial"/>
          <w:sz w:val="24"/>
          <w:szCs w:val="24"/>
        </w:rPr>
        <w:t xml:space="preserve"> </w:t>
      </w:r>
      <w:r w:rsidRPr="00103A0B">
        <w:rPr>
          <w:rFonts w:ascii="Arial" w:hAnsi="Arial" w:cs="Arial"/>
          <w:sz w:val="24"/>
          <w:szCs w:val="24"/>
        </w:rPr>
        <w:t>in influencing both attendance and completion.</w:t>
      </w:r>
      <w:r w:rsidR="0044266D" w:rsidRPr="00103A0B">
        <w:rPr>
          <w:rFonts w:ascii="Arial" w:hAnsi="Arial" w:cs="Arial"/>
          <w:sz w:val="24"/>
          <w:szCs w:val="24"/>
        </w:rPr>
        <w:t xml:space="preserve"> </w:t>
      </w:r>
      <w:r w:rsidRPr="00103A0B">
        <w:rPr>
          <w:rFonts w:ascii="Arial" w:hAnsi="Arial" w:cs="Arial"/>
          <w:sz w:val="24"/>
          <w:szCs w:val="24"/>
        </w:rPr>
        <w:t xml:space="preserve">Perhaps different ways of communicating with these groups would be helpful such as making use of diagrams, images or videos when communicating T2DM risk, but this would need further exploration. </w:t>
      </w:r>
    </w:p>
    <w:p w14:paraId="1BF93A51" w14:textId="67EEFDB4"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Finally, regardless of how motivated individuals are, important practical issues can hinder attendance and/or completion. Practicalities were found to be important in both studies, where participants discussed how they experienced venue or location issues, time constraints such as lack of time or being too busy to attend, and issues with timing of sessions. These findings are in line with previous research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{"citationItems":[{"id":"ITEM-1","itemData":{"ISSN":"18367399","PMID":"31581978","abstract":"Lifestyle changes are central to preventing type 2 diabetes. Embarking upon and sustaining change is challenging, and translation of prevention approaches into a wider range of real-world settings is needed. In this study, a locally adapted community-led diabetes prevention program with local young Aboriginal facilitators was created and trialled through the Derby Aboriginal Health Service (DAHS). The 8-week program highlighted causes and consequences of diabetes, incorporated physical activity and healthy eating topics with a focus on practical activities, and included stress management to support healthy lifestyles. Ten Aboriginal women and men aged 18-38 years participated in the pilot program. The program was found to be acceptable and appropriate, and other community members and organisations expressed interest in future participation. Participants reported that they gained important new knowledge and made changes in behaviours including shopping choices, portioning and soft drink consumption. Limitations included participant recruitment and attendance difficulties, which were attributed to program timing and competing demands. While this program was designed to be sustainable, and there were indications of feasibility, resource constraints impeded its integration into routine primary health care. Prevention of diabetes is a high priority for DAHS, and this program, with appropriate resources, provides a basis for ongoing practical prevention strategies.","author":[{"dropping-particle":"","family":"Seear","given":"Kimberley H.","non-dropping-particle":"","parse-names":false,"suffix":""},{"dropping-particle":"","family":"Atkinson","given":"David N.","non-dropping-particle":"","parse-names":false,"suffix":""},{"dropping-particle":"","family":"Lelievre","given":"Matthew P.","non-dropping-particle":"","parse-names":false,"suffix":""},{"dropping-particle":"","family":"Henderson-Yates","given":"Lynette M.","non-dropping-particle":"","parse-names":false,"suffix":""},{"dropping-particle":"V.","family":"Marley","given":"Julia","non-dropping-particle":"","parse-names":false,"suffix":""}],"container-title":"Australian Journal of Primary Health","id":"ITEM-1","issue":"5","issued":{"date-parts":[["2019"]]},"page":"495-500","title":"Piloting a culturally appropriate, localised diabetes prevention program for young Aboriginal people in a remote town","type":"article-journal","volume":"25"},"uris":["http://www.mendeley.com/documents/?uuid=f1fa1efe-b1c1-4b73-beb5-a4873b26c154"]},{"id":"ITEM-2","itemData":{"ISSN":"0168-8227","abstract":"Aims To explore the acceptability of a telephone- or a group-delivered diabetes prevention program for women with previous gestational diabetes and to compare the characteristics associated with program engagement. Methods Postpartum women participated in a lifestyle modification program delivered by telephone (n=33) or group format (n=284). Semi-structured interviews on barriers and enablers to program engagement (defined as completing≥80% sessions) were conducted before (Group) and after (Group and Telephone) interventions. The Health Action Process Approach theory was used as the framework for inquiry. Psychological measures were compared between engagement subgroups before and after group-delivered intervention. Results In the telephone-delivered program 82% participants met the engagement criteria compared with 38% for the group-delivered program. Engaged participants (Group) had significantly higher risk perception, outcome expectancy, and activity self-efficacy at baseline (P&lt;0.05). There was a greater decrease in body weight (−1.45±3.9 vs −0.26±3.5, P=0.024) and waist circumference (−3.56±5.1 vs −1.24±5.3, P=0.002) for engaged vs non-engaged participants following group program completion. Conclusions Telephone delivery was associated with greater engagement in postpartum women. Engagement was associated with greater reduction in weight and waist circumference. Further studies are required to confirm the effectiveness of telephone-delivered program for diabetes prevention in postpartum women.","author":[{"dropping-particle":"","family":"Lim","given":"Siew","non-dropping-particle":"","parse-names":false,"suffix":""},{"dropping-particle":"","family":"Dunbar","given":"James A","non-dropping-particle":"","parse-names":false,"suffix":""},{"dropping-particle":"","family":"Versace","given":"Vincent L","non-dropping-particle":"","parse-names":false,"suffix":""},{"dropping-particle":"","family":"Janus","given":"Edward","non-dropping-particle":"","parse-names":false,"suffix":""},{"dropping-particle":"","family":"Wildey","given":"Carol","non-dropping-particle":"","parse-names":false,"suffix":""},{"dropping-particle":"","family":"Skinner","given":"Timothy","non-dropping-particle":"","parse-names":false,"suffix":""},{"dropping-particle":"","family":"O'Reilly","given":"Sharleen","non-dropping-particle":"","parse-names":false,"suffix":""}],"container-title":"Diabetes Research and Clinical Practice","id":"ITEM-2","issued":{"date-parts":[["2017"]]},"page":"254-262","title":"Comparing a telephone- and a group-delivered diabetes prevention program: characteristics of engaged and non-engaged postpartum mothers with a history of gestational diabetes","type":"article-journal","volume":"126"},"uris":["http://www.mendeley.com/documents/?uuid=1e1989aa-8480-458e-9774-bce442753e6b"]},{"id":"ITEM-3","itemData":{"abstract":"It has been shown that real-life implementation studies for the prevention of type 2 diabetes (DM2) performed in different settings and populations can be effective. However, not enough information is available on factors influencing the reach of DM2 prevention programmes. This study examines the predictors of completing an intervention programme targeted at people at high risk of DM2 in Krakow, Poland as part of the DE-PLAN project.A total of 262 middle-aged people, everyday patients of 9 general practitioners' (GP) practices, at high risk of DM2 (Finnish Diabetes Risk Score (FINDRISK) &gt;14) agreed to participate in the lifestyle intervention to prevent DM2. Intervention consisted of 11 lifestyle counseling sessions, organized physical activity sessions followed by motivational phone calls and letters. Measurements were performed at baseline and 1 year after the initiation of the intervention.Seventy percent of the study participants enrolled completed the core curriculum (n = 184), 22% were men. When compared to noncompleters, completers had a healthier baseline diabetes risk profile (P &lt;.05). People who completed the intervention were less frequently employed versus noncompleters (P = .037), less often had hypertension (P = .043), and more frequently consumed vegetables and fruit daily (P = .055).In multiple logistic regression model, employment reduced the likelihood of completing the intervention 2 times (odds ratio [OR] 0.45, 95% confidence interval [CI] 0.25-0.81). Higher glucose 2 hours after glucose load and hypertension were the independent factors decreasing the chance to participate in the intervention (OR 0.79, 95% 0.69-0.92 and OR 0.52, 95% CI 0.27-0.99, respectively). Daily consumption of vegetables and fruits increased the likelihood of completing the intervention (OR 1.86, 95% 1.01-3.41).In conclusion, people with healthier behavior and risk profile are more predisposed to complete diabetes prevention interventions. Male, those who work and those with a worse health profile, are less likely to participate and complete interventions. Targeted strategies are needed in real-life diabetes prevention interventions to improve male participation and to reach those who are working as well as people with a higher risk profile.;","author":[{"dropping-particle":"","family":"Gilis-Januszewska","given":"Aleksandra","non-dropping-particle":"","parse-names":false,"suffix":""},{"dropping-particle":"","family":"Lindström","given":"Jaana","non-dropping-particle":"","parse-names":false,"suffix":""},{"dropping-particle":"","family":"Barengo","given":"Noël C","non-dropping-particle":"","parse-names":false,"suffix":""},{"dropping-particle":"","family":"Tuomilehto","given":"Jaakko","non-dropping-particle":"","parse-names":false,"suffix":""},{"dropping-particle":"","family":"Schwarz","given":"Peter Eh","non-dropping-particle":"","parse-names":false,"suffix":""},{"dropping-particle":"","family":"Wójtowicz","given":"Ewa","non-dropping-particle":"","parse-names":false,"suffix":""},{"dropping-particle":"","family":"Piwońska-Solska","given":"Beata","non-dropping-particle":"","parse-names":false,"suffix":""},{"dropping-particle":"","family":"Szybiński","given":"Zbigniew","non-dropping-particle":"","parse-names":false,"suffix":""},{"dropping-particle":"","family":"Windak","given":"Adam","non-dropping-particle":"","parse-names":false,"suffix":""},{"dropping-particle":"","family":"Hubalewska-Dydejczyk","given":"Alicja","non-dropping-particle":"","parse-names":false,"suffix":""}],"container-title":"Medicine","id":"ITEM-3","issue":"5","issued":{"date-parts":[["2018"]]},"note":"Accession Number: 29384876. Language: English. Date Revised: 20180221. Date Created: 20180201. Date Completed: 20180209. Update Code: 20180221. Publication Type: Journal Article. Journal ID: 2985248R. Publication Model: Print. Cited Medium: Internet. NLM ISO Abbr: Medicine (Baltimore). Comment: Cites: Prim Care Diabetes. 2015 Apr;9(2):96-104. (PMID: 25128324). Cites: BMC Med Res Methodol. 2014 Jan 24;14:13. (PMID: 24461045). Cites: Scand J Work Environ Health. 2010 May;36(3):202-15. (PMID: 20066386). Cites: Diabetes Care. 2003 Dec;26(12):3230-6. (PMID: 14633807). Cites: Diabet Med. 2010 Apr;27(4):459-65. (PMID: 20536519). Cites: Horm Metab Res. 2010 Apr;42 Suppl 1:S37-55. (PMID: 20391307). Cites: Obes Rev. 2005 Feb;6(1):43-65. (PMID: 15655038). Cites: Prim Care Diabetes. 2012 Dec;6(4):277-83. (PMID: 22868007). Cites: BMC Public Health. 2017 Feb 15;17 (1):198. (PMID: 28202029). Cites: Diabetes Care. 2007 Oct;30(10):2465-70. (PMID: 17586741). Cites: Horm Metab Res. 2010 Apr;42 Suppl 1:S3-36. (PMID: 20391306). Cites: Diabetes Care. 2014 Apr;37(4):922-33. (PMID: 24652723). Cites: Am J Prev Med. 2009 Oct;37(4):340-57. (PMID: 19765507). Cites: BMC Health Serv Res. 2013 May 31;13:201. (PMID: 23725521). Cites: Exp Clin Endocrinol Diabetes. 2008 Mar;116(3):167-72. (PMID: 18350480). Cites: Metabolism. 2013 Feb;62(2):303-14. (PMID: 22959500). Cites: J Med Internet Res. 2015 Apr 10;17(4):e92. (PMID: 25863515). Cites: Am J Prev Med. 2007 May;32(5):419-34. (PMID: 17478269). Cites: BMC Health Serv Res. 2008 Feb 04;8:33. (PMID: 18248673). Cites: J Cardiovasc Nurs. 2006 Jul-Aug;21(4):251-8; quiz 259-60. (PMID: 16823276). Cites: Diabetologia. 2012 May;55(5):1319-28. (PMID: 22322921). Cites: Diabetes. 1997 Apr;46(4):701-10. (PMID: 9075814). Cites: N Engl J Med. 2001 May 3;344(18):1343-50. (PMID: 11333990). Cites: Health Educ Res. 2009 Aug;24(4):699-720. (PMID: 19286893). Cites: BMC Public Health. 2012 Sep 24;12:822. (PMID: 23006577). Cites: BMC Public Health. 2007 Sep 19;7:249. (PMID: 17877832). Cites: N Engl J Med. 2002 Feb 7;346(6):393-403. (PMID: 11832527). Cites: Addict Behav. 1996 Jul-Aug;21(4):509-13. (PMID: 8830908). Cites: Am J Prev Med. 2009 Feb;36(2):142-9. (PMID: 19062240). Cites: Diabet Med. 2013 Jan;30(1):3-15. (PMID: 22998334). Cites: Diabetes Res Clin Pract. 2016 Feb;112:13-19. (PMID: 26724186). Linking ISSN: 00257974. Subset: AIM; IM; Date of Electronic Publication: 20180201. ; Original Imprints: Publication: Hagerstown, Md : Lippincott Williams &amp;amp; Wilkins","page":"e9790","title":"Predictors of completing a primary health care diabetes prevention intervention programme in people at high risk of type 2 diabetes: experiences of the DE-PLAN project.","type":"article-journal","volume":"97"},"uris":["http://www.mendeley.com/documents/?uuid=57445cef-4f0f-4d72-8634-76a2864ec486"]}],"mendeley":{"formattedCitation":"(Gilis-Januszewska, Lindström, et al., 2018; Lim et al., 2017; Seear et al., 2019)","plainTextFormattedCitation":"(Gilis-Januszewska, Lindström, et al., 2018; Lim et al., 2017; Seear et al., 2019)","previouslyFormattedCitation":"(Gilis-Januszewska, Lindström, et al., 2018; Lim et al., 2017; Seear et al., 2019)"},"properties":{"noteIndex":0},"schema":"https://github.com/citation-style-language/schema/raw/master/csl-citation.json"}</w:instrText>
      </w:r>
      <w:r w:rsidRPr="00103A0B">
        <w:rPr>
          <w:rFonts w:ascii="Arial" w:hAnsi="Arial" w:cs="Arial"/>
          <w:sz w:val="24"/>
          <w:szCs w:val="24"/>
        </w:rPr>
        <w:fldChar w:fldCharType="separate"/>
      </w:r>
      <w:r w:rsidR="00AF410C" w:rsidRPr="00103A0B">
        <w:rPr>
          <w:rFonts w:ascii="Arial" w:hAnsi="Arial" w:cs="Arial"/>
          <w:noProof/>
          <w:sz w:val="24"/>
          <w:szCs w:val="24"/>
        </w:rPr>
        <w:t>(Gilis-Januszewska, Lindström, et al., 2018; Lim et al., 2017; Seear et al., 2019)</w:t>
      </w:r>
      <w:r w:rsidRPr="00103A0B">
        <w:rPr>
          <w:rFonts w:ascii="Arial" w:hAnsi="Arial" w:cs="Arial"/>
          <w:sz w:val="24"/>
          <w:szCs w:val="24"/>
        </w:rPr>
        <w:fldChar w:fldCharType="end"/>
      </w:r>
      <w:r w:rsidRPr="00103A0B">
        <w:rPr>
          <w:rFonts w:ascii="Arial" w:hAnsi="Arial" w:cs="Arial"/>
          <w:sz w:val="24"/>
          <w:szCs w:val="24"/>
        </w:rPr>
        <w:t xml:space="preserve">. </w:t>
      </w:r>
    </w:p>
    <w:p w14:paraId="433F0779" w14:textId="4856FC88"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Overall, this research demonstrated that motivation is important for both initial attendance and completion of the NHSDPP. This can be affected by participants’ understanding of T2DM, social influences from others such as group support or family, and their previous experiences such as making lifestyle changes. Communication and practical issues can affect motivation to attend and motivation to complete, but equally can directly affect uptake and completion rates regardless of how motivated individuals are. </w:t>
      </w:r>
    </w:p>
    <w:p w14:paraId="567B9136" w14:textId="2A9FA87A" w:rsidR="00E61B27" w:rsidRPr="00103A0B" w:rsidRDefault="0044266D" w:rsidP="00CD5919">
      <w:pPr>
        <w:spacing w:line="360" w:lineRule="auto"/>
        <w:jc w:val="both"/>
        <w:rPr>
          <w:rFonts w:ascii="Arial" w:hAnsi="Arial" w:cs="Arial"/>
          <w:sz w:val="24"/>
          <w:szCs w:val="24"/>
        </w:rPr>
      </w:pPr>
      <w:r w:rsidRPr="00103A0B">
        <w:rPr>
          <w:rFonts w:ascii="Arial" w:hAnsi="Arial" w:cs="Arial"/>
          <w:sz w:val="24"/>
          <w:szCs w:val="24"/>
        </w:rPr>
        <w:t xml:space="preserve">The third aim of this thesis was to examine the role of modifiable psychological factors in predicting uptake and completion of the NHS diabetes prevention programme in England. Associated with this was a final, fourth objective: </w:t>
      </w:r>
    </w:p>
    <w:p w14:paraId="1BBDB8A3" w14:textId="77777777" w:rsidR="00E511EE" w:rsidRPr="00103A0B" w:rsidRDefault="00E511EE" w:rsidP="0061491B">
      <w:pPr>
        <w:pStyle w:val="ListParagraph"/>
        <w:numPr>
          <w:ilvl w:val="0"/>
          <w:numId w:val="20"/>
        </w:numPr>
        <w:spacing w:line="360" w:lineRule="auto"/>
        <w:jc w:val="both"/>
        <w:rPr>
          <w:rFonts w:ascii="Arial" w:hAnsi="Arial" w:cs="Arial"/>
          <w:i/>
          <w:iCs/>
          <w:sz w:val="24"/>
          <w:szCs w:val="24"/>
        </w:rPr>
      </w:pPr>
      <w:r w:rsidRPr="00103A0B">
        <w:rPr>
          <w:rFonts w:ascii="Arial" w:hAnsi="Arial" w:cs="Arial"/>
          <w:i/>
          <w:iCs/>
          <w:sz w:val="24"/>
          <w:szCs w:val="24"/>
        </w:rPr>
        <w:t>To examine whether illness perceptions, self-efficacy, and mental wellbeing predict uptake and/or completion of the NHSDPP, independent from other possible confounders (i.e., non-modifiable factors).</w:t>
      </w:r>
    </w:p>
    <w:p w14:paraId="586112D7" w14:textId="3DA267EE"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This objective w</w:t>
      </w:r>
      <w:r w:rsidR="00ED4513" w:rsidRPr="00103A0B">
        <w:rPr>
          <w:rFonts w:ascii="Arial" w:hAnsi="Arial" w:cs="Arial"/>
          <w:sz w:val="24"/>
          <w:szCs w:val="24"/>
        </w:rPr>
        <w:t>as</w:t>
      </w:r>
      <w:r w:rsidRPr="00103A0B">
        <w:rPr>
          <w:rFonts w:ascii="Arial" w:hAnsi="Arial" w:cs="Arial"/>
          <w:sz w:val="24"/>
          <w:szCs w:val="24"/>
        </w:rPr>
        <w:t xml:space="preserve"> mainly answered through the quantitative study (Chapter 7), with further insights from the qualitative studies (Chapters 5 and 6). This research found that modifiable psychological factors predicted uptake and influenced decisions to </w:t>
      </w:r>
      <w:r w:rsidRPr="00103A0B">
        <w:rPr>
          <w:rFonts w:ascii="Arial" w:hAnsi="Arial" w:cs="Arial"/>
          <w:sz w:val="24"/>
          <w:szCs w:val="24"/>
        </w:rPr>
        <w:lastRenderedPageBreak/>
        <w:t xml:space="preserve">attend the NHSDPP. Perceptions of illness controllability was found to influence attendance (Chapters 5 and 7). Controllability is the extent to which an individual believes that they can control their illness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{"citationItems":[{"id":"ITEM-1","itemData":{"ISSN":"08870446","abstract":"The Illness Perception Questionnaire (IPQ) is a new method for assessing cognitive representations of illness. The IPQ is a theoretically derived measure comprising five scales that provides information about the five components that have been found to underlie the cognitive representation of illness. The five scales assess identity - the symptoms the patient associates with the illness, cause - personal ideas about aetiology, time-line - the perceived duration of the illness, consequences - expected effects and outcome and cure control - how one controls or recovers from the illness. The IPQ has a specific number of core items but allows the user to add items for particular patient groups or health threats. Data is presented supporting the reliability and validity of the IPQ scales in different chronic illness populations.","author":[{"dropping-particle":"","family":"Weinman","given":"John.","non-dropping-particle":"","parse-names":false,"suffix":""},{"dropping-particle":"","family":"Petrie","given":"Keith J.","non-dropping-particle":"","parse-names":false,"suffix":""},{"dropping-particle":"","family":"Moss-Morris","given":"Rona","non-dropping-particle":"","parse-names":false,"suffix":""},{"dropping-particle":"","family":"Horne","given":"Rob","non-dropping-particle":"","parse-names":false,"suffix":""}],"container-title":"Psychology and Health","id":"ITEM-1","issue":"3","issued":{"date-parts":[["1996"]]},"page":"431-445","title":"The illness perception questionnaire: a new method for assessing the cognitive representation of illness","type":"article-journal","volume":"11"},"uris":["http://www.mendeley.com/documents/?uuid=042696dd-59b4-42f9-be46-893b4e2489bb"]}],"mendeley":{"formattedCitation":"(Weinman et al., 1996)","plainTextFormattedCitation":"(Weinman et al., 1996)","previouslyFormattedCitation":"(Weinman et al., 1996)"},"properties":{"noteIndex":0},"schema":"https://github.com/citation-style-language/schema/raw/master/csl-citation.json"}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(Weinman et al., 1996)</w:t>
      </w:r>
      <w:r w:rsidRPr="00103A0B">
        <w:rPr>
          <w:rFonts w:ascii="Arial" w:hAnsi="Arial" w:cs="Arial"/>
          <w:sz w:val="24"/>
          <w:szCs w:val="24"/>
        </w:rPr>
        <w:fldChar w:fldCharType="end"/>
      </w:r>
      <w:r w:rsidRPr="00103A0B">
        <w:rPr>
          <w:rFonts w:ascii="Arial" w:hAnsi="Arial" w:cs="Arial"/>
          <w:sz w:val="24"/>
          <w:szCs w:val="24"/>
        </w:rPr>
        <w:t xml:space="preserve">, and this can be divided into personal and treatment control. Personal control specifically relates to how much an individual feels they have control over their illness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questionnaire","type":"article-journal","volume":"60"},"uris":["http://www.mendeley.com/documents/?uuid=d92e0634-c26f-4845-bdfd-de9e844e3f3b"]}],"mendeley":{"formattedCitation":"(Broadbent et al., 2006)","plainTextFormattedCitation":"(Broadbent et al., 2006)","previouslyFormattedCitation":"(Broadbent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(Broadbent et al., 2006)</w:t>
      </w:r>
      <w:r w:rsidRPr="00103A0B">
        <w:rPr>
          <w:rFonts w:ascii="Arial" w:hAnsi="Arial" w:cs="Arial"/>
          <w:sz w:val="24"/>
          <w:szCs w:val="24"/>
        </w:rPr>
        <w:fldChar w:fldCharType="end"/>
      </w:r>
      <w:r w:rsidRPr="00103A0B">
        <w:rPr>
          <w:rFonts w:ascii="Arial" w:hAnsi="Arial" w:cs="Arial"/>
          <w:sz w:val="24"/>
          <w:szCs w:val="24"/>
        </w:rPr>
        <w:t xml:space="preserve">. </w:t>
      </w:r>
    </w:p>
    <w:p w14:paraId="1F1CA2D7" w14:textId="3BF1EFD8"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Chapter 7 highlighted that participants who saw treatment as being effective at controlling their prediabetes were more likely to start the NHSDPP. This is in line with other research on attendance of cardiac rehabilitation programmes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{"citationItems":[{"id":"ITEM-1","itemData":{"DOI":"10.1136/hrt.82.2.234","ISSN":"13556037","PMID":"10409543","abstract":"Objective - Many patients fail to attend cardiac rehabilitation. Attempts to identify sociodemographic or clinical predictors of non- attendance have not been very successful; therefore, this study aimed to determine whether the illness beliefs held during hospitalisation by patients who had suffered acute myocardial infarction or who had undergone coronary artery bypass graft surgery could predict cardiac rehabilitation attendance. Subjects and methods - 152 patients were prospectively studied of whom 41% had attended cardiac rehabilitation at six months. Results - In addition to being older, less aware of their cholesterol values, and less likely to be employed, non-attenders were less likely to believe their condition was controllable and that their lifestyle may have contributed to their illness. Conclusion - It should now be determined whether interventions aimed at optimising certain perceptions could promote cardiac rehabilitation uptake among those patients who could benefit the most.","author":[{"dropping-particle":"","family":"Cooper","given":"A.","non-dropping-particle":"","parse-names":false,"suffix":""},{"dropping-particle":"","family":"Lloyd","given":"G.","non-dropping-particle":"","parse-names":false,"suffix":""},{"dropping-particle":"","family":"Weinman","given":"J.","non-dropping-particle":"","parse-names":false,"suffix":""},{"dropping-particle":"","family":"Jackson","given":"G.","non-dropping-particle":"","parse-names":false,"suffix":""}],"container-title":"Heart","id":"ITEM-1","issue":"2","issued":{"date-parts":[["1999"]]},"page":"234-236","title":"Why patients do not attend cardiac rehabilitation: role of intentions and illness beliefs","type":"article-journal","volume":"82"},"uris":["http://www.mendeley.com/documents/?uuid=34c09c5a-879d-422b-93bf-3ab284d34bb2"]},{"id":"ITEM-2","itemData":{"ISSN":"00223999","abstract":"Objective: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Research","id":"ITEM-2","issued":{"date-parts":[["2006"]]},"page":"757-767","title":"Illness perceptions predict attendance at cardiac rehabilitation following acute myocardial infarction: a systematic review with meta-analysis","type":"article-journal","volume":"61"},"uris":["http://www.mendeley.com/documents/?uuid=046866de-6856-4a38-87d2-91dee1be78bc"]},{"id":"ITEM-3","itemData":{"DOI":"10.1136/bmj.312.7040.1191","ISSN":"09598146","PMID":"8634561","abstract":"Objective - To examine whether patients' initial perceptions of their myocardial infarction predict subsequent attendance at a cardiac rehabilitation course, return to work, disability, and sexual dysfunction. Design - Patients' perceptions of their illness were measured at admission with their first myocardial infarction and at follow up three and six months later. Setting - Two large teaching hospitals in Auckland, New Zealand. Subjects - 143 consecutive patients aged under 65 with their first myocardial infarction. Main outcome measures - Attendance at rehabilitation course; time before returning to work; measures of disability with sickness impact profile questionnaire for sleep and rest, social interaction, recreational activity, and home management; and sexual dysfunction. Results - Attendance at the rehabilitation course was significantly related to a stronger belief during admission that the illness could be cured or controlled (t = 2.08, P = 0.04). Return to work within six weeks was significantly predicted by the perception that the illness would last a short time (t = -2.52, P = 0.01) and have less grave consequences for the patient (t = -2.87, P = 0.005). Patients' belief that their heart disease would have serious consequences was significantly related to later disability in work around the house, recreational activities, and social interaction. A strong illness identity was significantly related to greater sexual dysfunction at both three and six months. Conclusions - Patients' initial perceptions of illness are important determinants of different aspects of recovery after myocardial infarction. Specific illness perceptions need to be identified at an early stage as a basis for optimising outcomes from rehabilitation programmes.","author":[{"dropping-particle":"","family":"Petrie","given":"Keith J.","non-dropping-particle":"","parse-names":false,"suffix":""},{"dropping-particle":"","family":"Weinman","given":"John","non-dropping-particle":"","parse-names":false,"suffix":""},{"dropping-particle":"","family":"Sharpe","given":"Norman","non-dropping-particle":"","parse-names":false,"suffix":""},{"dropping-particle":"","family":"Buckley","given":"Judith","non-dropping-particle":"","parse-names":false,"suffix":""}],"container-title":"British Medical Journal","id":"ITEM-3","issued":{"date-parts":[["1996"]]},"page":"1191-1194","title":"Role of patients' view of their illness in predicting return to work and functioning after myocardial infarction: longitudinal study","type":"article-journal","volume":"312"},"uris":["http://www.mendeley.com/documents/?uuid=5a054578-2b1d-4019-a4c6-90d9fe0d8d78"]}],"mendeley":{"formattedCitation":"(Cooper et al., 1999; French et al., 2006; Petrie et al., 1996)","manualFormatting":"(Cooper et al., 1999; French et al., 2006; Petrie et al., 1996)","plainTextFormattedCitation":"(Cooper et al., 1999; French et al., 2006; Petrie et al., 1996)","previouslyFormattedCitation":"(A. Cooper et al., 1999; French et al., 2006; Petrie et al., 1996)"},"properties":{"noteIndex":0},"schema":"https://github.com/citation-style-language/schema/raw/master/csl-citation.json"}</w:instrText>
      </w:r>
      <w:r w:rsidRPr="00103A0B">
        <w:rPr>
          <w:rFonts w:ascii="Arial" w:hAnsi="Arial" w:cs="Arial"/>
          <w:sz w:val="24"/>
          <w:szCs w:val="24"/>
        </w:rPr>
        <w:fldChar w:fldCharType="separate"/>
      </w:r>
      <w:r w:rsidR="007C66BC" w:rsidRPr="00103A0B">
        <w:rPr>
          <w:rFonts w:ascii="Arial" w:hAnsi="Arial" w:cs="Arial"/>
          <w:noProof/>
          <w:sz w:val="24"/>
          <w:szCs w:val="24"/>
        </w:rPr>
        <w:t>(Cooper et al., 1999; French et al., 2006; Petrie et al., 1996)</w:t>
      </w:r>
      <w:r w:rsidRPr="00103A0B">
        <w:rPr>
          <w:rFonts w:ascii="Arial" w:hAnsi="Arial" w:cs="Arial"/>
          <w:sz w:val="24"/>
          <w:szCs w:val="24"/>
        </w:rPr>
        <w:fldChar w:fldCharType="end"/>
      </w:r>
      <w:r w:rsidRPr="00103A0B">
        <w:rPr>
          <w:rFonts w:ascii="Arial" w:hAnsi="Arial" w:cs="Arial"/>
          <w:sz w:val="24"/>
          <w:szCs w:val="24"/>
        </w:rPr>
        <w:t>.  Regarding personal control, it was found that some non-attenders felt that they were able to control their risk independently.</w:t>
      </w:r>
      <w:r w:rsidR="0044266D" w:rsidRPr="00103A0B">
        <w:rPr>
          <w:rFonts w:ascii="Arial" w:hAnsi="Arial" w:cs="Arial"/>
          <w:sz w:val="24"/>
          <w:szCs w:val="24"/>
        </w:rPr>
        <w:t xml:space="preserve"> </w:t>
      </w:r>
      <w:r w:rsidRPr="00103A0B">
        <w:rPr>
          <w:rStyle w:val="CommentReference"/>
          <w:rFonts w:ascii="Arial" w:hAnsi="Arial" w:cs="Arial"/>
          <w:sz w:val="24"/>
          <w:szCs w:val="24"/>
        </w:rPr>
        <w:t>Th</w:t>
      </w:r>
      <w:r w:rsidRPr="00103A0B">
        <w:rPr>
          <w:rFonts w:ascii="Arial" w:hAnsi="Arial" w:cs="Arial"/>
          <w:sz w:val="24"/>
          <w:szCs w:val="24"/>
        </w:rPr>
        <w:t xml:space="preserve">is suggests that they did not see the need to attend as they felt able to control their prediabetes without external help. Furthermore, the quantitative study (Chapter 7) found those more concerned about their prediabetes were more likely to start the programme, which supports evidence from other DPPs </w:t>
      </w:r>
      <w:r w:rsidRPr="00103A0B">
        <w:rPr>
          <w:rFonts w:ascii="Arial" w:hAnsi="Arial" w:cs="Arial"/>
          <w:sz w:val="24"/>
          <w:szCs w:val="24"/>
        </w:rPr>
        <w:fldChar w:fldCharType="begin" w:fldLock="1"/>
      </w:r>
      <w:r w:rsidR="00810F86" w:rsidRPr="00103A0B">
        <w:rPr>
          <w:rFonts w:ascii="Arial" w:hAnsi="Arial" w:cs="Arial"/>
          <w:sz w:val="24"/>
          <w:szCs w:val="24"/>
        </w:rPr>
        <w:instrText>ADDIN CSL_CITATION {"citationItems":[{"id":"ITEM-1","itemData":{"ISBN":"00900036","ISSN":"00900036","PMID":"52016494","abstract":"Objectives. Our community-academic partnership employed community-based participatory research to develop and pilot a simple, peer-led intervention to promote weight loss, which can prevent diabetes and eliminate racial/ ethnic disparities in incident diabetes among overweight adults with prediabetes. Methods. We recruited overweight adults at community sites, performed oral glucose tolerance testing to identify persons with blood glucose levels in the prediabetes range, and randomized eligible people to a peer-led lifestyle intervention group or delayed intervention in 1 year. Outcomes, including weight, blood pressure, and health behaviors, were measured at baseline and 3, 6, and 12 months. Results. More than half of those tested (56%, or 99 of 178) had prediabetes and enrolled in the study. Participants were predominantly Spanish-speaking, low-income, undereducated women. The intervention group lost significantly more weight than the control group and maintained weight loss at 12 months (7.2 versus 2.4 pounds; P&gt;.01). One fourth (24 of 99) of participants progressed to diabetes. Conclusions. In underserved minority communities, prediabetes prevalence may be higher than previously reported. Low-cost, community-based interventions can succeed in encouraging weight loss to prevent diabetes. [ABSTRACT FROM AUTHOR]]]&gt;&amp;#xD;&lt;![CDATA[Copyright of American Journal of Public Health is the property of American Public Health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Abstracts.)","author":[{"dropping-particle":"","family":"Parikh","given":"Punam","non-dropping-particle":"","parse-names":false,"suffix":""},{"dropping-particle":"","family":"Simon","given":"Ellen P.","non-dropping-particle":"","parse-names":false,"suffix":""},{"dropping-particle":"","family":"Fei","given":"Kezhen","non-dropping-particle":"","parse-names":false,"suffix":""},{"dropping-particle":"","family":"Looker","given":"Helen","non-dropping-particle":"","parse-names":false,"suffix":""},{"dropping-particle":"","family":"Goytia","given":"Crispin","non-dropping-particle":"","parse-names":false,"suffix":""},{"dropping-particle":"","family":"Horowitz","given":"Carol R.","non-dropping-particle":"","parse-names":false,"suffix":""}],"container-title":"American Journal of Public Health","id":"ITEM-1","issued":{"date-parts":[["2010"]]},"page":"232-39","title":"Results of a pilot diabetes prevention intervention in East Harlem, New York city: project HEED","type":"article-journal","volume":"100"},"uris":["http://www.mendeley.com/documents/?uuid=6ca00620-5eb7-44be-86f5-e0fe0414de89"]},{"id":"ITEM-2","itemData":{"DOI":"10.1111/bjhp.1","author":[{"dropping-particle":"","family":"Borek","given":"Aleksandra J","non-dropping-particle":"","parse-names":false,"suffix":""},{"dropping-particle":"","family":"Abraham","given":"Charles","non-dropping-particle":"","parse-names":false,"suffix":""},{"dropping-particle":"","family":"Greaves","given":"Colin J","non-dropping-particle":"","parse-names":false,"suffix":""},{"dropping-particle":"","family":"Tarrant","given":"Mark","non-dropping-particle":"","parse-names":false,"suffix":""},{"dropping-particle":"","family":"Garner","given":"Nikki","non-dropping-particle":"","parse-names":false,"suffix":""},{"dropping-particle":"","family":"Pascale","given":"Melanie","non-dropping-particle":"","parse-names":false,"suffix":""}],"container-title":"British Journal of Health Psychology","id":"ITEM-2","issued":{"date-parts":[["2019"]]},"page":"787-805","title":"‘ We ’re all in the same boat ’: a qualitative study on how groups work in a diabetes prevention and management programme","type":"article-journal","volume":"24"},"uris":["http://www.mendeley.com/documents/?uuid=894ef5cc-3b9e-4f33-ba76-2387fb2a3e8e"]}],"mendeley":{"formattedCitation":"(Borek et al., 2019; Parikh et al., 2010)","plainTextFormattedCitation":"(Borek et al., 2019; Parikh et al., 2010)","previouslyFormattedCitation":"(Borek et al., 2019; Parikh et al.,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(Borek et al., 2019; Parikh et al., 2010)</w:t>
      </w:r>
      <w:r w:rsidRPr="00103A0B">
        <w:rPr>
          <w:rFonts w:ascii="Arial" w:hAnsi="Arial" w:cs="Arial"/>
          <w:sz w:val="24"/>
          <w:szCs w:val="24"/>
        </w:rPr>
        <w:fldChar w:fldCharType="end"/>
      </w:r>
      <w:r w:rsidRPr="00103A0B">
        <w:rPr>
          <w:rFonts w:ascii="Arial" w:hAnsi="Arial" w:cs="Arial"/>
          <w:sz w:val="24"/>
          <w:szCs w:val="24"/>
        </w:rPr>
        <w:t xml:space="preserve"> (see section 8.3: Theoretical implications). </w:t>
      </w:r>
    </w:p>
    <w:p w14:paraId="26932ACE" w14:textId="63B69023" w:rsidR="00295B0D" w:rsidRPr="00103A0B" w:rsidRDefault="00E511EE" w:rsidP="000576F9">
      <w:pPr>
        <w:spacing w:after="0" w:line="360" w:lineRule="auto"/>
        <w:jc w:val="both"/>
        <w:rPr>
          <w:rFonts w:ascii="Arial" w:hAnsi="Arial" w:cs="Arial"/>
          <w:sz w:val="24"/>
          <w:szCs w:val="24"/>
        </w:rPr>
      </w:pPr>
      <w:r w:rsidRPr="00103A0B">
        <w:rPr>
          <w:rFonts w:ascii="Arial" w:hAnsi="Arial" w:cs="Arial"/>
          <w:sz w:val="24"/>
          <w:szCs w:val="24"/>
        </w:rPr>
        <w:t xml:space="preserve">Another modifiable psychological factor that was found to predict uptake was mental wellbeing (MWB). This research demonstrated that those with moderate </w:t>
      </w:r>
      <w:r w:rsidRPr="00103A0B">
        <w:rPr>
          <w:rFonts w:ascii="Arial" w:eastAsia="Times New Roman" w:hAnsi="Arial" w:cs="Arial"/>
          <w:sz w:val="24"/>
          <w:szCs w:val="24"/>
          <w:lang w:eastAsia="en-GB"/>
        </w:rPr>
        <w:t>mental wellbeing</w:t>
      </w:r>
      <w:r w:rsidRPr="00103A0B">
        <w:rPr>
          <w:rFonts w:ascii="Arial" w:hAnsi="Arial" w:cs="Arial"/>
          <w:sz w:val="24"/>
          <w:szCs w:val="24"/>
        </w:rPr>
        <w:t xml:space="preserve"> were more likely to start than those with high</w:t>
      </w:r>
      <w:r w:rsidR="007C66BC" w:rsidRPr="00103A0B">
        <w:rPr>
          <w:rFonts w:ascii="Arial" w:hAnsi="Arial" w:cs="Arial"/>
          <w:sz w:val="24"/>
          <w:szCs w:val="24"/>
        </w:rPr>
        <w:t xml:space="preserve"> or low</w:t>
      </w:r>
      <w:r w:rsidRPr="00103A0B">
        <w:rPr>
          <w:rFonts w:ascii="Arial" w:hAnsi="Arial" w:cs="Arial"/>
          <w:sz w:val="24"/>
          <w:szCs w:val="24"/>
        </w:rPr>
        <w:t xml:space="preserve"> levels (i.e., those with greater</w:t>
      </w:r>
      <w:r w:rsidR="007C66BC" w:rsidRPr="00103A0B">
        <w:rPr>
          <w:rFonts w:ascii="Arial" w:hAnsi="Arial" w:cs="Arial"/>
          <w:sz w:val="24"/>
          <w:szCs w:val="24"/>
        </w:rPr>
        <w:t>/lower</w:t>
      </w:r>
      <w:r w:rsidRPr="00103A0B">
        <w:rPr>
          <w:rFonts w:ascii="Arial" w:hAnsi="Arial" w:cs="Arial"/>
          <w:sz w:val="24"/>
          <w:szCs w:val="24"/>
        </w:rPr>
        <w:t xml:space="preserve"> positive wellbeing) (Chapter 7). This is an unexpected finding.</w:t>
      </w:r>
      <w:r w:rsidR="007C66BC" w:rsidRPr="00103A0B">
        <w:rPr>
          <w:rFonts w:ascii="Arial" w:hAnsi="Arial" w:cs="Arial"/>
          <w:sz w:val="24"/>
          <w:szCs w:val="24"/>
        </w:rPr>
        <w:t xml:space="preserve"> </w:t>
      </w:r>
      <w:bookmarkStart w:id="405" w:name="_Hlk81929516"/>
      <w:r w:rsidRPr="00103A0B">
        <w:rPr>
          <w:rFonts w:ascii="Arial" w:hAnsi="Arial" w:cs="Arial"/>
          <w:sz w:val="24"/>
          <w:szCs w:val="24"/>
        </w:rPr>
        <w:t xml:space="preserve">One possible explanation could be that those with </w:t>
      </w:r>
      <w:r w:rsidR="00295B0D" w:rsidRPr="00103A0B">
        <w:rPr>
          <w:rFonts w:ascii="Arial" w:hAnsi="Arial" w:cs="Arial"/>
          <w:sz w:val="24"/>
          <w:szCs w:val="24"/>
        </w:rPr>
        <w:t>low MWB may have</w:t>
      </w:r>
      <w:r w:rsidR="00441130" w:rsidRPr="00103A0B">
        <w:rPr>
          <w:rFonts w:ascii="Arial" w:hAnsi="Arial" w:cs="Arial"/>
          <w:sz w:val="24"/>
          <w:szCs w:val="24"/>
        </w:rPr>
        <w:t xml:space="preserve"> had low mood,</w:t>
      </w:r>
      <w:r w:rsidR="00295B0D" w:rsidRPr="00103A0B">
        <w:rPr>
          <w:rFonts w:ascii="Arial" w:hAnsi="Arial" w:cs="Arial"/>
          <w:sz w:val="24"/>
          <w:szCs w:val="24"/>
        </w:rPr>
        <w:t xml:space="preserve"> felt depressed or </w:t>
      </w:r>
      <w:r w:rsidR="00441130" w:rsidRPr="00103A0B">
        <w:rPr>
          <w:rFonts w:ascii="Arial" w:hAnsi="Arial" w:cs="Arial"/>
          <w:sz w:val="24"/>
          <w:szCs w:val="24"/>
        </w:rPr>
        <w:t xml:space="preserve">perhaps </w:t>
      </w:r>
      <w:r w:rsidR="00295B0D" w:rsidRPr="00103A0B">
        <w:rPr>
          <w:rFonts w:ascii="Arial" w:hAnsi="Arial" w:cs="Arial"/>
          <w:sz w:val="24"/>
          <w:szCs w:val="24"/>
        </w:rPr>
        <w:t xml:space="preserve">too anxious to start, as research has shown those with depression are less likely to start lifestyle change programmes </w:t>
      </w:r>
      <w:r w:rsidR="00295B0D" w:rsidRPr="00103A0B">
        <w:rPr>
          <w:rFonts w:ascii="Arial" w:hAnsi="Arial" w:cs="Arial"/>
          <w:sz w:val="24"/>
          <w:szCs w:val="24"/>
        </w:rPr>
        <w:fldChar w:fldCharType="begin" w:fldLock="1"/>
      </w:r>
      <w:r w:rsidR="004E0154" w:rsidRPr="00103A0B">
        <w:rPr>
          <w:rFonts w:ascii="Arial" w:hAnsi="Arial" w:cs="Arial"/>
          <w:sz w:val="24"/>
          <w:szCs w:val="24"/>
        </w:rPr>
        <w:instrText>ADDIN CSL_CITATION {"citationItems":[{"id":"ITEM-1","itemData":{"author":[{"dropping-particle":"","family":"Murray","given":"Jenni","non-dropping-particle":"","parse-names":false,"suffix":""},{"dropping-particle":"","family":"Craigs","given":"Cheryl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Disorders","id":"ITEM-1","issued":{"date-parts":[["2012"]]},"page":"120","title":"A systematic review of patient reported factors associated with uptake and completion of cardiovascular lifestyle behaviour change","type":"article-journal","volume":"12"},"uris":["http://www.mendeley.com/documents/?uuid=8909c03f-c8a9-4dd2-84c1-a3cf90717072"]}],"mendeley":{"formattedCitation":"(Murray et al., 2012)","plainTextFormattedCitation":"(Murray et al., 2012)","previouslyFormattedCitation":"(Murray et al., 2012)"},"properties":{"noteIndex":0},"schema":"https://github.com/citation-style-language/schema/raw/master/csl-citation.json"}</w:instrText>
      </w:r>
      <w:r w:rsidR="00295B0D" w:rsidRPr="00103A0B">
        <w:rPr>
          <w:rFonts w:ascii="Arial" w:hAnsi="Arial" w:cs="Arial"/>
          <w:sz w:val="24"/>
          <w:szCs w:val="24"/>
        </w:rPr>
        <w:fldChar w:fldCharType="separate"/>
      </w:r>
      <w:r w:rsidR="00295B0D" w:rsidRPr="00103A0B">
        <w:rPr>
          <w:rFonts w:ascii="Arial" w:hAnsi="Arial" w:cs="Arial"/>
          <w:noProof/>
          <w:sz w:val="24"/>
          <w:szCs w:val="24"/>
        </w:rPr>
        <w:t>(Murray et al., 2012)</w:t>
      </w:r>
      <w:r w:rsidR="00295B0D" w:rsidRPr="00103A0B">
        <w:rPr>
          <w:rFonts w:ascii="Arial" w:hAnsi="Arial" w:cs="Arial"/>
          <w:sz w:val="24"/>
          <w:szCs w:val="24"/>
        </w:rPr>
        <w:fldChar w:fldCharType="end"/>
      </w:r>
      <w:r w:rsidR="00295B0D" w:rsidRPr="00103A0B">
        <w:rPr>
          <w:rFonts w:ascii="Arial" w:hAnsi="Arial" w:cs="Arial"/>
          <w:sz w:val="24"/>
          <w:szCs w:val="24"/>
        </w:rPr>
        <w:t>.</w:t>
      </w:r>
      <w:bookmarkEnd w:id="405"/>
      <w:r w:rsidR="00295B0D" w:rsidRPr="00103A0B">
        <w:rPr>
          <w:rFonts w:ascii="Arial" w:hAnsi="Arial" w:cs="Arial"/>
          <w:sz w:val="24"/>
          <w:szCs w:val="24"/>
        </w:rPr>
        <w:t xml:space="preserve"> </w:t>
      </w:r>
      <w:r w:rsidR="00441130" w:rsidRPr="00103A0B">
        <w:rPr>
          <w:rFonts w:ascii="Arial" w:hAnsi="Arial" w:cs="Arial"/>
          <w:sz w:val="24"/>
          <w:szCs w:val="24"/>
        </w:rPr>
        <w:t>It would be helpful to explore whether a different approach would be more suitable for people with low levels of MWB (i.e., if you are feeling anxious or depressed you may not want to attend a group intervention). Those</w:t>
      </w:r>
      <w:r w:rsidR="00295B0D" w:rsidRPr="00103A0B">
        <w:rPr>
          <w:rFonts w:ascii="Arial" w:hAnsi="Arial" w:cs="Arial"/>
          <w:sz w:val="24"/>
          <w:szCs w:val="24"/>
        </w:rPr>
        <w:t xml:space="preserve"> with </w:t>
      </w:r>
      <w:r w:rsidRPr="00103A0B">
        <w:rPr>
          <w:rFonts w:ascii="Arial" w:hAnsi="Arial" w:cs="Arial"/>
          <w:sz w:val="24"/>
          <w:szCs w:val="24"/>
        </w:rPr>
        <w:t xml:space="preserve">high </w:t>
      </w:r>
      <w:r w:rsidRPr="00103A0B">
        <w:rPr>
          <w:rFonts w:ascii="Arial" w:eastAsia="Times New Roman" w:hAnsi="Arial" w:cs="Arial"/>
          <w:sz w:val="24"/>
          <w:szCs w:val="24"/>
          <w:lang w:eastAsia="en-GB"/>
        </w:rPr>
        <w:t>MWB</w:t>
      </w:r>
      <w:r w:rsidRPr="00103A0B">
        <w:rPr>
          <w:rFonts w:ascii="Arial" w:hAnsi="Arial" w:cs="Arial"/>
          <w:sz w:val="24"/>
          <w:szCs w:val="24"/>
        </w:rPr>
        <w:t xml:space="preserve"> may not have felt the need to attend due to already feeling psychologically well and confident in making the required lifestyle </w:t>
      </w:r>
      <w:r w:rsidR="00693812" w:rsidRPr="00103A0B">
        <w:rPr>
          <w:rFonts w:ascii="Arial" w:hAnsi="Arial" w:cs="Arial"/>
          <w:sz w:val="24"/>
          <w:szCs w:val="24"/>
        </w:rPr>
        <w:t xml:space="preserve">changes. Those </w:t>
      </w:r>
      <w:r w:rsidRPr="00103A0B">
        <w:rPr>
          <w:rFonts w:ascii="Arial" w:hAnsi="Arial" w:cs="Arial"/>
          <w:sz w:val="24"/>
          <w:szCs w:val="24"/>
        </w:rPr>
        <w:t xml:space="preserve">who had moderate mental wellbeing may have had more concern about their prediabetes which encouraged them to start, which relates to the study findings in Chapter 7 where concern about prediabetes was also a predictor of uptake. </w:t>
      </w:r>
    </w:p>
    <w:p w14:paraId="42943359" w14:textId="77777777" w:rsidR="000576F9" w:rsidRPr="00103A0B" w:rsidRDefault="000576F9" w:rsidP="00295B0D">
      <w:pPr>
        <w:spacing w:after="0" w:line="360" w:lineRule="auto"/>
        <w:rPr>
          <w:rFonts w:ascii="Arial" w:hAnsi="Arial" w:cs="Arial"/>
          <w:sz w:val="24"/>
          <w:szCs w:val="24"/>
        </w:rPr>
      </w:pPr>
    </w:p>
    <w:p w14:paraId="7CF560F5" w14:textId="77777777" w:rsidR="0061491B" w:rsidRPr="00103A0B" w:rsidRDefault="00E511EE" w:rsidP="00B764BF">
      <w:pPr>
        <w:spacing w:after="0" w:line="360" w:lineRule="auto"/>
        <w:jc w:val="both"/>
        <w:rPr>
          <w:rFonts w:ascii="Arial" w:hAnsi="Arial" w:cs="Arial"/>
          <w:sz w:val="24"/>
          <w:szCs w:val="24"/>
        </w:rPr>
      </w:pPr>
      <w:r w:rsidRPr="00103A0B">
        <w:rPr>
          <w:rFonts w:ascii="Arial" w:hAnsi="Arial" w:cs="Arial"/>
          <w:sz w:val="24"/>
          <w:szCs w:val="24"/>
        </w:rPr>
        <w:t xml:space="preserve">This research found non-modifiable factors including age, deprivation and programme area predicted uptake and/or completion of the NHSDPP. Older individuals were more </w:t>
      </w:r>
      <w:r w:rsidRPr="00103A0B">
        <w:rPr>
          <w:rFonts w:ascii="Arial" w:hAnsi="Arial" w:cs="Arial"/>
          <w:sz w:val="24"/>
          <w:szCs w:val="24"/>
        </w:rPr>
        <w:lastRenderedPageBreak/>
        <w:t xml:space="preserve">likely to start and complete the programme compared to the under 40s. One explanation for this could be that older adults have more time to take part through having fewer work or caring responsibilities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Medicine","id":"ITEM-1","issue":"7","issued":{"date-parts":[["2016"]]},"page":"e1002078","title":"Engagement, retention, and progression to type 2 diabetes: a retrospective analysis of the cluster-randomised \"Let's Prevent Diabetes\" trial","type":"article-journal","volume":"13"},"uris":["http://www.mendeley.com/documents/?uuid=34e3af29-349e-4120-a3cb-a3a7408ba3b4"]},{"id":"ITEM-2","itemData":{"ISSN":"08901171","abstract":"&lt;bold&gt;Purpose: &lt;/bold&gt;Our objective is to evaluate the \"reach\" component of the Reach Effectiveness Adoption Implementation Maintenance (RE-AIM) framework by comparing prediabetics who were and were not interested in enrolling in a free work site diabetes prevention program (DPP) during the first year of the program. Reach is defined as the proportion of eligible participants who enroll in a health program.&lt;bold&gt;Design: &lt;/bold&gt;A cross-sectional study design was used.&lt;bold&gt;Setting: &lt;/bold&gt;The setting was a large health system in the Midwest.&lt;bold&gt;Participants: &lt;/bold&gt;Prediabetic health plan enrollees and spouses (N = 2158).&lt;bold&gt;Measures: &lt;/bold&gt;An online health survey, annual voluntary biometric screenings delivered by a trained health-care professional using standardized protocols via point-of-care testing, and records from the DPP office were the sources of data for this study.&lt;bold&gt;Analysis: &lt;/bold&gt;Health behaviors and biometric screening results were simultaneously compared using multivariable logistic regression.&lt;bold&gt;Results: &lt;/bold&gt;The study population was 63% female, 79% white, and 16% black, and the mean age was 50.2 years (SD = 10.2). The reach of this program was 10%. Prediabetics were more likely to express interest in the DPP, if they were female (adjusted odds ratio [AOR]: 2.4; 95% confidence interval [95% CI]: 1.55-3.72; P &lt; .001), black (AOR = 2.23; 95% CI: 1.43-3.47; P &lt; .001), older in age (AOR: 1.08; 95% CI: 0.99-1.17; P = .05), or had a high-risk waist circumference (AOR = 1.44; 95% CI: 0.98-2.13; P = .07), lower self-efficacy to make healthy changes (AOR = 0.48; 95% CI: 0.26-0.91; P = .03), and 5 or more doctor visits in the last year (AOR = 2.13; 95% CI: 0.99-4.57; P = .05), after controlling for other covariates.&lt;bold&gt;Conclusion: &lt;/bold&gt;Current recruitment and implementation strategies are reaching only a small group of individuals who are not representative of the larger prediabetic population. These findings inform future engagement strategies, and we recommend that public health practitioners evaluate reach to ensure that health promotion programs are of high value. ABSTRACT FROM AUTHOR","author":[{"dropping-particle":"","family":"Zigmont","given":"Victoria A","non-dropping-particle":"","parse-names":false,"suffix":""},{"dropping-particle":"","family":"Shoben","given":"Abigail B","non-dropping-particle":"","parse-names":false,"suffix":""},{"dropping-particle":"","family":"Kaye","given":"Gail L","non-dropping-particle":"","parse-names":false,"suffix":""},{"dropping-particle":"","family":"Snow","given":"Richard J","non-dropping-particle":"","parse-names":false,"suffix":""},{"dropping-particle":"","family":"Clinton","given":"Steven K","non-dropping-particle":"","parse-names":false,"suffix":""},{"dropping-particle":"","family":"Harris","given":"Randall E","non-dropping-particle":"","parse-names":false,"suffix":""},{"dropping-particle":"","family":"Olivo-Marston","given":"Susan E","non-dropping-particle":"","parse-names":false,"suffix":""}],"container-title":"American Journal of Health Promotion","id":"ITEM-2","issue":"6","issued":{"date-parts":[["2018"]]},"note":"Accession Number: 130506972; Author: Zigmont, Victoria A.: 1 email: vzigmont42@gmail.com. Author: Shoben, Abigail B.: 2 Author: Kaye, Gail L.: 3 Author: Snow, Richard J.: 4 Author: Clinton, Steven K.: 5 Author: Harris, Randall E.: 6 Author: Olivo-Marston, Susan E.: 6 ; Author Affiliation: 1 Department of Public Health, Southern Connecticut State University, New Haven, CT, USA: 2 Division of Biostatistics, College of Public Health, The Ohio State University, Columbus, OH, USA: 3 Division of Health Promotion, College of Public Health, The Ohio State University, Columbus, OH, USA: 4 Touro College of Osteopathic Medicine, Touro University, Vallejo, CA, USA: 5 Department of Internal Medicine, The Ohio State University College of Medicine, Columbus, OH, USA: 6 Division of Epidemiology, College of Public Health, The Ohio State University, Columbus, OH, USA; No. of Pages: 8; Language: English; Publication Type: journal article; Update Code: 20180706","page":"1417-1424","title":"An evaluation of reach for a work site implementation of the national diabetes prevention program focusing on diet and exercise.","type":"article-journal","volume":"32"},"uris":["http://www.mendeley.com/documents/?uuid=eadca763-b969-4148-b924-ba4cd499e859"]},{"id":"ITEM-3","itemData":{"author":[{"dropping-particle":"","family":"Aujla","given":"Navneet","non-dropping-particle":"","parse-names":false,"suffix":""},{"dropping-particle":"","family":"Yates","given":"Thomas","non-dropping-particle":"","parse-names":false,"suffix":""},{"dropping-particle":"","family":"Dallosso","given":"Helen","non-dropping-particle":"","parse-names":false,"suffix":""},{"dropping-particle":"","family":"Kai","given":"Joe","non-dropping-particle":"","parse-names":false,"suffix":""}],"container-title":"BMJ Open","id":"ITEM-3","issued":{"date-parts":[["2019"]]},"page":"e028491","title":"Users ’ experiences of a pragmatic diabetes prevention intervention implemented in primary care: qualitative study","type":"article-journal","volume":"9"},"uris":["http://www.mendeley.com/documents/?uuid=883930c4-afe2-4928-a344-24e5a77c114f"]}],"mendeley":{"formattedCitation":"(Aujla et al., 2019; Gray et al., 2016; Zigmont et al., 2018)","plainTextFormattedCitation":"(Aujla et al., 2019; Gray et al., 2016; Zigmont et al., 2018)","previouslyFormattedCitation":"(Aujla et al., 2019; Gray et al., 2016; Zigmont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(Aujla et al., 2019; Gray et al., 2016; Zigmont et al., 2018)</w:t>
      </w:r>
      <w:r w:rsidRPr="00103A0B">
        <w:rPr>
          <w:rFonts w:ascii="Arial" w:hAnsi="Arial" w:cs="Arial"/>
          <w:sz w:val="24"/>
          <w:szCs w:val="24"/>
        </w:rPr>
        <w:fldChar w:fldCharType="end"/>
      </w:r>
      <w:r w:rsidRPr="00103A0B">
        <w:rPr>
          <w:rFonts w:ascii="Arial" w:hAnsi="Arial" w:cs="Arial"/>
          <w:sz w:val="24"/>
          <w:szCs w:val="24"/>
        </w:rPr>
        <w:t>. The qualitative stud</w:t>
      </w:r>
      <w:r w:rsidR="00693812" w:rsidRPr="00103A0B">
        <w:rPr>
          <w:rFonts w:ascii="Arial" w:hAnsi="Arial" w:cs="Arial"/>
          <w:sz w:val="24"/>
          <w:szCs w:val="24"/>
        </w:rPr>
        <w:t>ies</w:t>
      </w:r>
      <w:r w:rsidRPr="00103A0B">
        <w:rPr>
          <w:rFonts w:ascii="Arial" w:hAnsi="Arial" w:cs="Arial"/>
          <w:sz w:val="24"/>
          <w:szCs w:val="24"/>
        </w:rPr>
        <w:t xml:space="preserve"> (Chapter</w:t>
      </w:r>
      <w:r w:rsidR="00693812" w:rsidRPr="00103A0B">
        <w:rPr>
          <w:rFonts w:ascii="Arial" w:hAnsi="Arial" w:cs="Arial"/>
          <w:sz w:val="24"/>
          <w:szCs w:val="24"/>
        </w:rPr>
        <w:t>s</w:t>
      </w:r>
      <w:r w:rsidRPr="00103A0B">
        <w:rPr>
          <w:rFonts w:ascii="Arial" w:hAnsi="Arial" w:cs="Arial"/>
          <w:sz w:val="24"/>
          <w:szCs w:val="24"/>
        </w:rPr>
        <w:t xml:space="preserve"> 5</w:t>
      </w:r>
      <w:r w:rsidR="00693812" w:rsidRPr="00103A0B">
        <w:rPr>
          <w:rFonts w:ascii="Arial" w:hAnsi="Arial" w:cs="Arial"/>
          <w:sz w:val="24"/>
          <w:szCs w:val="24"/>
        </w:rPr>
        <w:t xml:space="preserve"> and 6</w:t>
      </w:r>
      <w:r w:rsidRPr="00103A0B">
        <w:rPr>
          <w:rFonts w:ascii="Arial" w:hAnsi="Arial" w:cs="Arial"/>
          <w:sz w:val="24"/>
          <w:szCs w:val="24"/>
        </w:rPr>
        <w:t>) support this finding</w:t>
      </w:r>
      <w:r w:rsidR="0061491B" w:rsidRPr="00103A0B">
        <w:rPr>
          <w:rFonts w:ascii="Arial" w:hAnsi="Arial" w:cs="Arial"/>
          <w:sz w:val="24"/>
          <w:szCs w:val="24"/>
        </w:rPr>
        <w:t>,</w:t>
      </w:r>
      <w:r w:rsidRPr="00103A0B">
        <w:rPr>
          <w:rFonts w:ascii="Arial" w:hAnsi="Arial" w:cs="Arial"/>
          <w:sz w:val="24"/>
          <w:szCs w:val="24"/>
        </w:rPr>
        <w:t xml:space="preserve"> as it was also found that majority of attenders were older when compared to non-attenders</w:t>
      </w:r>
      <w:r w:rsidR="00693812" w:rsidRPr="00103A0B">
        <w:rPr>
          <w:rFonts w:ascii="Arial" w:hAnsi="Arial" w:cs="Arial"/>
          <w:sz w:val="24"/>
          <w:szCs w:val="24"/>
        </w:rPr>
        <w:t>, and non-completers discussed having work-related issues.</w:t>
      </w:r>
    </w:p>
    <w:p w14:paraId="3F193D8E" w14:textId="77777777" w:rsidR="0061491B" w:rsidRPr="00103A0B" w:rsidRDefault="0061491B" w:rsidP="00B764BF">
      <w:pPr>
        <w:spacing w:after="0" w:line="360" w:lineRule="auto"/>
        <w:jc w:val="both"/>
        <w:rPr>
          <w:rFonts w:ascii="Arial" w:hAnsi="Arial" w:cs="Arial"/>
          <w:sz w:val="24"/>
          <w:szCs w:val="24"/>
        </w:rPr>
      </w:pPr>
    </w:p>
    <w:p w14:paraId="09534667" w14:textId="7433CEB2" w:rsidR="00693812" w:rsidRPr="00103A0B" w:rsidRDefault="00E511EE" w:rsidP="00B764BF">
      <w:pPr>
        <w:spacing w:after="0" w:line="360" w:lineRule="auto"/>
        <w:jc w:val="both"/>
        <w:rPr>
          <w:rFonts w:ascii="Arial" w:hAnsi="Arial" w:cs="Arial"/>
          <w:sz w:val="24"/>
          <w:szCs w:val="24"/>
        </w:rPr>
      </w:pPr>
      <w:r w:rsidRPr="00103A0B">
        <w:rPr>
          <w:rFonts w:ascii="Arial" w:hAnsi="Arial" w:cs="Arial"/>
          <w:sz w:val="24"/>
          <w:szCs w:val="24"/>
        </w:rPr>
        <w:t>Those from the most affluent areas were more likely to start compared with those from the most deprived areas (Chapter 7). Those from more deprived areas may have been less able than those living in more affluent areas to start the programme due to practicalities such as, not being able to afford to take time off work or having a lack of time. This is supported by the qualitative study (Chapter 5) in which the sample consisted of participants living in a socioeconomically deprived area. It was found some non-attenders were not able to start due to work</w:t>
      </w:r>
      <w:r w:rsidR="0061491B" w:rsidRPr="00103A0B">
        <w:rPr>
          <w:rFonts w:ascii="Arial" w:hAnsi="Arial" w:cs="Arial"/>
          <w:sz w:val="24"/>
          <w:szCs w:val="24"/>
        </w:rPr>
        <w:t>,</w:t>
      </w:r>
      <w:r w:rsidRPr="00103A0B">
        <w:rPr>
          <w:rFonts w:ascii="Arial" w:hAnsi="Arial" w:cs="Arial"/>
          <w:sz w:val="24"/>
          <w:szCs w:val="24"/>
        </w:rPr>
        <w:t xml:space="preserve"> and location of the session was also identified as a barrier for both attenders and non-attenders.</w:t>
      </w:r>
      <w:r w:rsidR="00693812" w:rsidRPr="00103A0B">
        <w:rPr>
          <w:rFonts w:ascii="Arial" w:hAnsi="Arial" w:cs="Arial"/>
          <w:sz w:val="24"/>
          <w:szCs w:val="24"/>
        </w:rPr>
        <w:t xml:space="preserve"> This may have resulted in access and cost of transport being an important factor for those living in socioeconomically deprived areas. Other prevention programmes like screening programmes have found lower uptake amongst those from low socioeconomic status was due to having fatalistic attitudes, previous experiences of ill-health, and distrust in the medical system </w:t>
      </w:r>
      <w:r w:rsidR="00693812" w:rsidRPr="00103A0B">
        <w:rPr>
          <w:rStyle w:val="FootnoteReference"/>
          <w:rFonts w:ascii="Arial" w:hAnsi="Arial" w:cs="Arial"/>
          <w:sz w:val="24"/>
          <w:szCs w:val="24"/>
        </w:rPr>
        <w:fldChar w:fldCharType="begin" w:fldLock="1"/>
      </w:r>
      <w:r w:rsidR="00693812" w:rsidRPr="00103A0B">
        <w:rPr>
          <w:rFonts w:ascii="Arial" w:hAnsi="Arial" w:cs="Arial"/>
          <w:sz w:val="24"/>
          <w:szCs w:val="24"/>
        </w:rPr>
        <w:instrText>ADDIN CSL_CITATION {"citationItems":[{"id":"ITEM-1","itemData":{"DOI":"10.1093/epirev/mxq018","author":[{"dropping-particle":"Von","family":"Wagner","given":"C","non-dropping-particle":"","parse-names":false,"suffix":""},{"dropping-particle":"","family":"Good","given":"A","non-dropping-particle":"","parse-names":false,"suffix":""},{"dropping-particle":"","family":"Whitaker","given":"K L","non-dropping-particle":"","parse-names":false,"suffix":""},{"dropping-particle":"","family":"Wardle","given":"J","non-dropping-particle":"","parse-names":false,"suffix":""}],"container-title":"Epidemiologic Reviews","id":"ITEM-1","issued":{"date-parts":[["2011"]]},"page":"135-147","title":"Psychosocial determinants of socioeconomic inequalities in cancer screening participation: a conceptual framework","type":"article-journal","volume":"33"},"uris":["http://www.mendeley.com/documents/?uuid=2f5bd043-d924-4812-84fb-bcbbad283658"]}],"mendeley":{"formattedCitation":"(Wagner et al., 2011)","plainTextFormattedCitation":"(Wagner et al., 2011)","previouslyFormattedCitation":"(Wagner et al., 2011)"},"properties":{"noteIndex":0},"schema":"https://github.com/citation-style-language/schema/raw/master/csl-citation.json"}</w:instrText>
      </w:r>
      <w:r w:rsidR="00693812" w:rsidRPr="00103A0B">
        <w:rPr>
          <w:rStyle w:val="FootnoteReference"/>
          <w:rFonts w:ascii="Arial" w:hAnsi="Arial" w:cs="Arial"/>
          <w:sz w:val="24"/>
          <w:szCs w:val="24"/>
        </w:rPr>
        <w:fldChar w:fldCharType="separate"/>
      </w:r>
      <w:r w:rsidR="00693812" w:rsidRPr="00103A0B">
        <w:rPr>
          <w:rFonts w:ascii="Arial" w:hAnsi="Arial" w:cs="Arial"/>
          <w:noProof/>
          <w:sz w:val="24"/>
          <w:szCs w:val="24"/>
        </w:rPr>
        <w:t>(Wagner et al., 2011)</w:t>
      </w:r>
      <w:r w:rsidR="00693812" w:rsidRPr="00103A0B">
        <w:rPr>
          <w:rStyle w:val="FootnoteReference"/>
          <w:rFonts w:ascii="Arial" w:hAnsi="Arial" w:cs="Arial"/>
          <w:sz w:val="24"/>
          <w:szCs w:val="24"/>
        </w:rPr>
        <w:fldChar w:fldCharType="end"/>
      </w:r>
      <w:r w:rsidR="00693812" w:rsidRPr="00103A0B">
        <w:rPr>
          <w:rFonts w:ascii="Arial" w:hAnsi="Arial" w:cs="Arial"/>
          <w:sz w:val="24"/>
          <w:szCs w:val="24"/>
        </w:rPr>
        <w:t>. Programme organisers should take these factors into consideration and ensure appropriate strategies are in place to encourage those who are less likely to start diabetes prevention programmes</w:t>
      </w:r>
      <w:r w:rsidR="00127896" w:rsidRPr="00103A0B">
        <w:rPr>
          <w:rFonts w:ascii="Arial" w:hAnsi="Arial" w:cs="Arial"/>
          <w:sz w:val="24"/>
          <w:szCs w:val="24"/>
        </w:rPr>
        <w:t>,</w:t>
      </w:r>
      <w:r w:rsidR="00693812" w:rsidRPr="00103A0B">
        <w:rPr>
          <w:rFonts w:ascii="Arial" w:hAnsi="Arial" w:cs="Arial"/>
          <w:sz w:val="24"/>
          <w:szCs w:val="24"/>
        </w:rPr>
        <w:t xml:space="preserve"> such as younger adults and those living in the most deprived areas. </w:t>
      </w:r>
    </w:p>
    <w:p w14:paraId="2B0755E5" w14:textId="77777777" w:rsidR="00693812" w:rsidRPr="00103A0B" w:rsidRDefault="00693812" w:rsidP="00B764BF">
      <w:pPr>
        <w:spacing w:after="0" w:line="360" w:lineRule="auto"/>
        <w:jc w:val="both"/>
        <w:rPr>
          <w:rFonts w:ascii="Arial" w:hAnsi="Arial" w:cs="Arial"/>
          <w:sz w:val="24"/>
          <w:szCs w:val="24"/>
          <w:lang w:eastAsia="en-GB"/>
        </w:rPr>
      </w:pPr>
    </w:p>
    <w:p w14:paraId="215F3FE9" w14:textId="77777777" w:rsidR="00693812" w:rsidRPr="00103A0B" w:rsidRDefault="00E511EE" w:rsidP="000576F9">
      <w:pPr>
        <w:spacing w:after="0" w:line="360" w:lineRule="auto"/>
        <w:jc w:val="both"/>
        <w:rPr>
          <w:rFonts w:ascii="Arial" w:hAnsi="Arial" w:cs="Arial"/>
          <w:sz w:val="24"/>
          <w:szCs w:val="24"/>
          <w:lang w:eastAsia="en-GB"/>
        </w:rPr>
      </w:pPr>
      <w:r w:rsidRPr="00103A0B">
        <w:rPr>
          <w:rFonts w:ascii="Arial" w:hAnsi="Arial" w:cs="Arial"/>
          <w:sz w:val="24"/>
          <w:szCs w:val="24"/>
        </w:rPr>
        <w:t xml:space="preserve">Finally, programme area was also found to be a significant predictor for completion (Chapter 7), and further research as to why those living in </w:t>
      </w:r>
      <w:r w:rsidR="00693812" w:rsidRPr="00103A0B">
        <w:rPr>
          <w:rFonts w:ascii="Arial" w:hAnsi="Arial" w:cs="Arial"/>
          <w:sz w:val="24"/>
          <w:szCs w:val="24"/>
        </w:rPr>
        <w:t>certain</w:t>
      </w:r>
      <w:r w:rsidRPr="00103A0B">
        <w:rPr>
          <w:rFonts w:ascii="Arial" w:hAnsi="Arial" w:cs="Arial"/>
          <w:sz w:val="24"/>
          <w:szCs w:val="24"/>
        </w:rPr>
        <w:t xml:space="preserve"> programme areas were more likely to complete the NHSDPP when compared to a specific area (West Yorkshire) would help improve completion rates at a local level. Although the same programme was delivered across each of the six areas, inter-area differences in delivery such that local adaptation (for example, accommodating for differences in availability of venues not being possible), are likely to influence participant engagement in ways that could not be captured through this research for some of those areas. </w:t>
      </w:r>
      <w:r w:rsidR="00693812" w:rsidRPr="00103A0B">
        <w:rPr>
          <w:rFonts w:ascii="Arial" w:hAnsi="Arial" w:cs="Arial"/>
          <w:sz w:val="24"/>
          <w:szCs w:val="24"/>
        </w:rPr>
        <w:t>M</w:t>
      </w:r>
      <w:r w:rsidRPr="00103A0B">
        <w:rPr>
          <w:rFonts w:ascii="Arial" w:hAnsi="Arial" w:cs="Arial"/>
          <w:sz w:val="24"/>
          <w:szCs w:val="24"/>
        </w:rPr>
        <w:t xml:space="preserve">ore research on this would provide further insights into other factors which could impact completion at a local level. </w:t>
      </w:r>
    </w:p>
    <w:p w14:paraId="5EC5EE0A" w14:textId="77777777" w:rsidR="002916BA" w:rsidRPr="00103A0B" w:rsidRDefault="002916BA" w:rsidP="00693812">
      <w:pPr>
        <w:spacing w:after="0" w:line="360" w:lineRule="auto"/>
        <w:rPr>
          <w:rFonts w:ascii="Arial" w:hAnsi="Arial" w:cs="Arial"/>
          <w:sz w:val="24"/>
          <w:szCs w:val="24"/>
          <w:lang w:eastAsia="en-GB"/>
        </w:rPr>
      </w:pPr>
    </w:p>
    <w:p w14:paraId="229A1770" w14:textId="73491713" w:rsidR="00E511EE" w:rsidRPr="00103A0B" w:rsidRDefault="00E511EE" w:rsidP="00B764BF">
      <w:pPr>
        <w:spacing w:after="0" w:line="360" w:lineRule="auto"/>
        <w:jc w:val="both"/>
        <w:rPr>
          <w:rFonts w:ascii="Arial" w:hAnsi="Arial" w:cs="Arial"/>
          <w:sz w:val="24"/>
          <w:szCs w:val="24"/>
        </w:rPr>
      </w:pPr>
      <w:r w:rsidRPr="00103A0B">
        <w:rPr>
          <w:rFonts w:ascii="Arial" w:hAnsi="Arial" w:cs="Arial"/>
          <w:sz w:val="24"/>
          <w:szCs w:val="24"/>
        </w:rPr>
        <w:t xml:space="preserve">Modifiable psychological factors such as self-efficacy are important for DPPs to consider as they can influence completion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Smith","given":"J.","non-dropping-particle":"","parse-names":false,"suffix":""},{"dropping-particle":"","family":"Gardner","given":"Benjamin","non-dropping-particle":"","parse-names":false,"suffix":""},{"dropping-particle":"","family":"Michie","given":"Susan","non-dropping-particle":"","parse-names":false,"suffix":""}],"id":"ITEM-1","issued":{"date-parts":[["2010"]]},"number-of-pages":"1-12","title":"Self efficacy guidance material for health trainer services","type":"report"},"uris":["http://www.mendeley.com/documents/?uuid=b9ae5e48-4d43-42dd-8cfc-e090b62b1d2f"]}],"mendeley":{"formattedCitation":"(J. Smith et al., 2010)","manualFormatting":"(Smith et al., 2010)","plainTextFormattedCitation":"(J. Smith et al., 2010)","previouslyFormattedCitation":"(J. Smith et al., 2010)"},"properties":{"noteIndex":0},"schema":"https://github.com/citation-style-language/schema/raw/master/csl-citation.json"}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(Smith et al., 2010)</w:t>
      </w:r>
      <w:r w:rsidRPr="00103A0B">
        <w:rPr>
          <w:rFonts w:ascii="Arial" w:hAnsi="Arial" w:cs="Arial"/>
          <w:sz w:val="24"/>
          <w:szCs w:val="24"/>
        </w:rPr>
        <w:fldChar w:fldCharType="end"/>
      </w:r>
      <w:r w:rsidRPr="00103A0B">
        <w:rPr>
          <w:rFonts w:ascii="Arial" w:hAnsi="Arial" w:cs="Arial"/>
          <w:sz w:val="24"/>
          <w:szCs w:val="24"/>
        </w:rPr>
        <w:t xml:space="preserve">. Chapter 7 highlighted that participants with higher self-efficacy levels (i.e., felt more confident in making lifestyle changes), were less likely to complete the NHSDPP which was unexpected and not in line with previous research on other health programmes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author":[{"dropping-particle":"","family":"Bernier","given":"Michel","non-dropping-particle":"","parse-names":false,"suffix":""},{"dropping-particle":"","family":"Avard","given":"Jacqueline","non-dropping-particle":"","parse-names":false,"suffix":""}],"container-title":"Cognitive Therapy and Research","id":"ITEM-1","issue":"3","issued":{"date-parts":[["1986"]]},"page":"319-338","title":"Self-efficacy, outcome, and attrition in weight-reduction program","type":"article-journal","volume":"10"},"uris":["http://www.mendeley.com/documents/?uuid=bdc6575d-b477-48c3-90a4-7863e2488b55"]},{"id":"ITEM-2","itemData":{"DOI":"10.1016/S0163-8343(02)00179-2","ISSN":"01638343","PMID":"12062136","abstract":"Cardiovascular disease (CVD) is the leading cause of death and disability for women and men. Substantial health risks continue following ischemic coronary events (ICEs), but secondary prevention efforts, including cardiac rehabilitation (CR), have beneficial effects on both early and late mortality and morbidity. This prospective study examined the relationship among psychosocial factors and CR referral and participation patterns in 906 (586 men, 320 women) patients from the coronary intensive care unit (CICU) over the course of six months. Only 30% of participants were referred to CR programs, with significantly fewer women being referred. A logistic regression analysis was used to determine whether depression, anxiety, self-efficacy, or social support predicted CR participation six months following an ICE, while controlling for sociodemographic factors. Results show that higher family income, greater anxiety symptomatology, and higher self-efficacy were significantly predictive of CR participation at six months. Implications for women's recovery from an ICE are discussed. © 2002 Elsevier Science Inc. All rights reserved.","author":[{"dropping-particle":"","family":"Grace","given":"Sherry L.","non-dropping-particle":"","parse-names":false,"suffix":""},{"dropping-particle":"","family":"Abbey","given":"Susan E.","non-dropping-particle":"","parse-names":false,"suffix":""},{"dropping-particle":"","family":"Shnek","given":"Zachary M.","non-dropping-particle":"","parse-names":false,"suffix":""},{"dropping-particle":"","family":"Irvine","given":"Jane","non-dropping-particle":"","parse-names":false,"suffix":""},{"dropping-particle":"","family":"Franche","given":"Renée Louise","non-dropping-particle":"","parse-names":false,"suffix":""},{"dropping-particle":"","family":"Stewart","given":"Donna E.","non-dropping-particle":"","parse-names":false,"suffix":""}],"container-title":"General Hospital Psychiatry","id":"ITEM-2","issue":"3","issued":{"date-parts":[["2002"]]},"page":"127-134","title":"Cardiac rehabilitation II: referral and participation","type":"article-journal","volume":"24"},"uris":["http://www.mendeley.com/documents/?uuid=15b1d444-7c5e-4d66-9fc8-6746405f760a"]},{"id":"ITEM-3","itemData":{"ISSN":"1543267X","abstract":"This study investigated attrition in a 6-month physical activity intervention for older adults. The program was based on the social-cognitive theory incorporating self-efficacy factors. Two hundred forty-eight insufficiently active 65- to 74-year-olds were recruited from the Australian federal electoral roll. The intervention comprised walking and strength and flexibility exercises and was conducted in 30 local neighborhoods where the participants resided. Characteristics of individuals lost to attrition (n = 86, 35%) were compared with those of program completers (n = 162, 65%). Logistic-regression analysis showed that those lost to attrition came from areas of lower socioeconomic status, were overweight and less physically active, and had lower walking self-efficacy scores and higher loneliness scores. The results suggest that early assessment of these characteristics should be undertaken to identify individuals at risk of attrition, to improve retention, and to avoid potential bias. © 2007 Human Kinetics, Inc.","author":[{"dropping-particle":"","family":"Jancey","given":"Jonine","non-dropping-particle":"","parse-names":false,"suffix":""},{"dropping-particle":"","family":"Lee","given":"Andy","non-dropping-particle":"","parse-names":false,"suffix":""},{"dropping-particle":"","family":"Howat","given":"Peter","non-dropping-particle":"","parse-names":false,"suffix":""},{"dropping-particle":"","family":"Clarke","given":"Ann","non-dropping-particle":"","parse-names":false,"suffix":""},{"dropping-particle":"","family":"Wang","given":"Kui","non-dropping-particle":"","parse-names":false,"suffix":""},{"dropping-particle":"","family":"Shilton","given":"Trevor","non-dropping-particle":"","parse-names":false,"suffix":""}],"container-title":"Journal of Aging and Physical Activity","id":"ITEM-3","issue":"2","issued":{"date-parts":[["2007"]]},"page":"152-165","title":"Reducing attrition in physical activity programs for older adults","type":"article-journal","volume":"15"},"uris":["http://www.mendeley.com/documents/?uuid=92dd1e44-3c9e-4ca6-a0a5-cca50dc9df28"]},{"id":"ITEM-4","itemData":{"ISSN":"14795868","PMID":"27612561","abstract":"Background: The purpose of this study was to identify demographic, clinical, psychosocial, physical and environmental factors that are associated with participation in and adherence to a combined resistance and endurance exercise program among cancer survivors, shortly after completion of primary cancer treatment. Data from the randomized controlled Resistance and Endurance exercise After ChemoTherapy (REACT) study were used for this study. Methods: The participants of the REACT study were randomly allocated to either a high intensity (HI) or low-to-moderate intensity (LMI) exercise program. Patients' participation rate was defined as the cancer survivors' decision to participate in the REACT study. Exercise adherence reflected participants' attendance to the scheduled exercise sessions and their compliance to the prescribed exercises. High session attendance rates were defined as attending at least 80 % of the sessions. High compliance rates were defined as performing at least of 90 % of the prescribed exercise across all sessions. Correlates of exercise adherence were studied separately for HI and LMI exercise. Demographic, clinical, and physical factors were assessed using self-reported questionnaires. Relevant clinical information was extracted from medical records. Multivariable logistic regression analyses were applied to identify correlates that were significantly associated with participation, high session attendance, high compliance with resistance and high compliance with endurance exercises. Results: Participants were more likely to have higher education, be non-smokers, have lower psychological distress, higher outcome expectations, and perceive more exercise barriers than non-participants. In HI exercise, higher self-efficacy was significantly associated with high session attendance and high compliance with endurance exercises, and lower psychological distress was significantly associated with high compliance with resistance exercises. In LMI exercise, being a non-smoker was significantly associated with high compliance with resistance exercises and higher BMI was significantly associated with high compliance with resistance and endurance exercises. Furthermore, breast cancer survivors were less likely to report high compliance with resistance and endurance exercises in LMI exercise compared to survivors of other types of cancer. The discriminative ability of the multivariable models ranged from 0.62 to 0.75. Conclusion: Several demographic…","author":[{"dropping-particle":"","family":"Kampshoff","given":"Caroline S.","non-dropping-particle":"","parse-names":false,"suffix":""},{"dropping-particle":"","family":"Mechelen","given":"Willem","non-dropping-particle":"","parse-names":false,"suffix":""},{"dropping-particle":"","family":"Schep","given":"Goof","non-dropping-particle":"","parse-names":false,"suffix":""},{"dropping-particle":"","family":"Nijziel","given":"Marten R.","non-dropping-particle":"","parse-names":false,"suffix":""},{"dropping-particle":"","family":"Witlox","given":"Lenja","non-dropping-particle":"","parse-names":false,"suffix":""},{"dropping-particle":"","family":"Bosman","given":"Lisa","non-dropping-particle":"","parse-names":false,"suffix":""},{"dropping-particle":"","family":"Chinapaw","given":"Mai J.M.","non-dropping-particle":"","parse-names":false,"suffix":""},{"dropping-particle":"","family":"Brug","given":"Johannes","non-dropping-particle":"","parse-names":false,"suffix":""},{"dropping-particle":"","family":"Buffart","given":"Laurien M.","non-dropping-particle":"","parse-names":false,"suffix":""}],"container-title":"International Journal of Behavioral Nutrition and Physical Activity","id":"ITEM-4","issued":{"date-parts":[["2016"]]},"page":"100","publisher":"International Journal of Behavioral Nutrition and Physical Activity","title":"Participation in and adherence to physical exercise after completion of primary cancer treatment","type":"article-journal","volume":"13"},"uris":["http://www.mendeley.com/documents/?uuid=278d7aff-d6ba-4e39-8ace-5c16057e7469"]}],"mendeley":{"formattedCitation":"(Bernier &amp; Avard, 1986; Grace et al., 2002; Jancey et al., 2007; Kampshoff et al., 2016)","plainTextFormattedCitation":"(Bernier &amp; Avard, 1986; Grace et al., 2002; Jancey et al., 2007; Kampshoff et al., 2016)","previouslyFormattedCitation":"(Bernier &amp; Avard, 1986; Grace et al., 2002; Jancey et al., 2007; Kampshoff et al.,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(Bernier &amp; Avard, 1986; Grace et al., 2002; Jancey et al., 2007; Kampshoff et al., 2016)</w:t>
      </w:r>
      <w:r w:rsidRPr="00103A0B">
        <w:rPr>
          <w:rFonts w:ascii="Arial" w:hAnsi="Arial" w:cs="Arial"/>
          <w:sz w:val="24"/>
          <w:szCs w:val="24"/>
        </w:rPr>
        <w:fldChar w:fldCharType="end"/>
      </w:r>
      <w:r w:rsidRPr="00103A0B">
        <w:rPr>
          <w:rFonts w:ascii="Arial" w:hAnsi="Arial" w:cs="Arial"/>
          <w:sz w:val="24"/>
          <w:szCs w:val="24"/>
        </w:rPr>
        <w:t xml:space="preserve">.  This finding could be due to the result of those participants with higher SE feeling already confident in making the necessary lifestyle changes, so no longer needing the programme. </w:t>
      </w:r>
      <w:r w:rsidR="002916BA" w:rsidRPr="00103A0B">
        <w:rPr>
          <w:rFonts w:ascii="Arial" w:hAnsi="Arial" w:cs="Arial"/>
          <w:sz w:val="24"/>
          <w:szCs w:val="24"/>
        </w:rPr>
        <w:t xml:space="preserve">This is also reflected in the qualitative data reported in Chapter 6, where it was shown that some non-completers stated that they had already learnt how to make lifestyle changes and reduce their T2DM risk and therefore did not need the programme. </w:t>
      </w:r>
      <w:r w:rsidRPr="00103A0B">
        <w:rPr>
          <w:rFonts w:ascii="Arial" w:hAnsi="Arial" w:cs="Arial"/>
          <w:sz w:val="24"/>
          <w:szCs w:val="24"/>
        </w:rPr>
        <w:t xml:space="preserve">Levels of SE could be measured at different points during the NHSDPP so techniques such as incentives for participation which were commonly found in higher retention studies (Chapter 2) could be used to encourage completion. </w:t>
      </w:r>
    </w:p>
    <w:p w14:paraId="0BF2376D" w14:textId="77777777" w:rsidR="002916BA" w:rsidRPr="00103A0B" w:rsidRDefault="002916BA" w:rsidP="00693812">
      <w:pPr>
        <w:spacing w:after="0" w:line="360" w:lineRule="auto"/>
        <w:rPr>
          <w:rFonts w:ascii="Arial" w:hAnsi="Arial" w:cs="Arial"/>
          <w:sz w:val="24"/>
          <w:szCs w:val="24"/>
        </w:rPr>
      </w:pPr>
    </w:p>
    <w:p w14:paraId="0D6B9556" w14:textId="77777777" w:rsidR="00B764BF"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Overall, both modifiable psychological factors and non-modifiable factors were found to predict uptake and completion. Individuals who saw treatment as being effective at controlling their prediabetes, who were more concerned about their prediabetes, who had moderate mental wellbeing levels, who were older and/or were from more affluent areas, were significantly more likely to start the NHSDPP. Also, those with higher self-efficacy levels, who were younger and/or from a particular programme area (West Yorkshire) were less likely to complete the NHSDPP. The theoretical implications for this research will now be considered.</w:t>
      </w:r>
    </w:p>
    <w:p w14:paraId="0C81F118" w14:textId="00711627" w:rsidR="00E511EE" w:rsidRPr="00103A0B" w:rsidRDefault="00E511EE" w:rsidP="00CD5919">
      <w:pPr>
        <w:spacing w:line="360" w:lineRule="auto"/>
        <w:jc w:val="both"/>
        <w:rPr>
          <w:rFonts w:ascii="Arial" w:hAnsi="Arial" w:cs="Arial"/>
          <w:sz w:val="24"/>
          <w:szCs w:val="24"/>
        </w:rPr>
      </w:pPr>
      <w:r w:rsidRPr="00103A0B">
        <w:rPr>
          <w:rFonts w:ascii="Arial" w:hAnsi="Arial" w:cs="Arial"/>
          <w:sz w:val="24"/>
          <w:szCs w:val="24"/>
        </w:rPr>
        <w:t xml:space="preserve"> </w:t>
      </w:r>
    </w:p>
    <w:p w14:paraId="5D10D12A" w14:textId="66451561" w:rsidR="00ED4513" w:rsidRPr="00103A0B" w:rsidRDefault="00ED4513" w:rsidP="00CD5919">
      <w:pPr>
        <w:pStyle w:val="Heading2"/>
        <w:numPr>
          <w:ilvl w:val="0"/>
          <w:numId w:val="0"/>
        </w:numPr>
        <w:jc w:val="both"/>
        <w:rPr>
          <w:rFonts w:ascii="Arial" w:hAnsi="Arial" w:cs="Arial"/>
          <w:sz w:val="28"/>
        </w:rPr>
      </w:pPr>
      <w:bookmarkStart w:id="406" w:name="_Toc151548337"/>
      <w:r w:rsidRPr="00103A0B">
        <w:rPr>
          <w:rFonts w:ascii="Arial" w:hAnsi="Arial" w:cs="Arial"/>
          <w:sz w:val="28"/>
        </w:rPr>
        <w:t>8.3. Theoretical Implications</w:t>
      </w:r>
      <w:bookmarkEnd w:id="406"/>
    </w:p>
    <w:p w14:paraId="035220B4" w14:textId="0A456C50" w:rsidR="002916BA" w:rsidRPr="00103A0B" w:rsidRDefault="002916BA" w:rsidP="002916BA">
      <w:pPr>
        <w:spacing w:line="360" w:lineRule="auto"/>
        <w:rPr>
          <w:rFonts w:ascii="Arial" w:hAnsi="Arial" w:cs="Arial"/>
          <w:b/>
          <w:bCs/>
          <w:sz w:val="24"/>
          <w:szCs w:val="24"/>
        </w:rPr>
      </w:pPr>
      <w:r w:rsidRPr="00103A0B">
        <w:rPr>
          <w:rFonts w:ascii="Arial" w:hAnsi="Arial" w:cs="Arial"/>
          <w:b/>
          <w:bCs/>
          <w:sz w:val="24"/>
          <w:szCs w:val="24"/>
        </w:rPr>
        <w:t>8.3.1 Behaviour Change Techniques and the COM-B</w:t>
      </w:r>
    </w:p>
    <w:p w14:paraId="69353310" w14:textId="5CBCC8D5" w:rsidR="00ED4513" w:rsidRPr="00103A0B" w:rsidRDefault="00ED4513" w:rsidP="00CD5919">
      <w:pPr>
        <w:spacing w:line="360" w:lineRule="auto"/>
        <w:jc w:val="both"/>
        <w:rPr>
          <w:rFonts w:ascii="Arial" w:hAnsi="Arial" w:cs="Arial"/>
          <w:sz w:val="24"/>
          <w:szCs w:val="24"/>
        </w:rPr>
      </w:pPr>
      <w:r w:rsidRPr="00103A0B">
        <w:rPr>
          <w:rFonts w:ascii="Arial" w:hAnsi="Arial" w:cs="Arial"/>
          <w:sz w:val="24"/>
          <w:szCs w:val="24"/>
        </w:rPr>
        <w:t xml:space="preserve">The NHSDPP content is outlined within a published service specification which was informed by research, including a commissioned review on effective behavioural interventions in preventing T2DM, and followed recommendations made by the National Institute for Health and Care Excellence (NICE) </w:t>
      </w:r>
      <w:r w:rsidRPr="00103A0B">
        <w:rPr>
          <w:rFonts w:ascii="Arial" w:hAnsi="Arial" w:cs="Arial"/>
          <w:sz w:val="24"/>
          <w:szCs w:val="24"/>
        </w:rPr>
        <w:fldChar w:fldCharType="begin" w:fldLock="1"/>
      </w:r>
      <w:r w:rsidR="00F11C4C" w:rsidRPr="00103A0B">
        <w:rPr>
          <w:rFonts w:ascii="Arial" w:hAnsi="Arial" w:cs="Arial"/>
          <w:sz w:val="24"/>
          <w:szCs w:val="24"/>
        </w:rPr>
        <w:instrText>ADDIN CSL_CITATION {"citationItems":[{"id":"ITEM-1","itemData":{"abstract":"This guideline covers how to identify adults at high risk of type 2 diabetes. It aims to remind practitioners that age is no barrier to being at high risk of, or developing, the condition. It also aims to help them provide those at high risk with an effective and appropriate intensive lifestyle-change programme to prevent or delay the onset of type 2 diabetes. The recommendations in this guideline can be used alongside the NHS Health Check programme. NICE has also produced a guideline on population and community-level interventions for preventing type 2 diabetes. In September 2017, we reviewed the evidence for intensive lifestyle-change programmes and metformin for people at risk of type 2 diabetes. We added new recommendations on lifestyle-change programmes (recommendations 1.5.5 and 1.5.6) and changed the recommendation about offering metformin (recommendation 1.19.1). Recommendations This guideline includes recommendations on: risk assessment and risk identification physical activity weight management and dietary advice vulnerable groups metformin and orlistat","author":[{"dropping-particle":"","family":"National Institute of Clinical Excellence","given":"","non-dropping-particle":"","parse-names":false,"suffix":""}],"container-title":"NICE guidance","id":"ITEM-1","issued":{"date-parts":[["2012"]]},"number-of-pages":"1-40","title":"Type 2 diabetes: prevention in people at high risk","type":"report"},"uris":["http://www.mendeley.com/documents/?uuid=00b3e3a4-a0ba-4511-b2af-57efe3ea8012"]},{"id":"ITEM-2","itemData":{"URL":"https://www.england.nhs.uk/diabetes/diabetes-prevention/exp-ref-grp/","author":[{"dropping-particle":"","family":"NHS England","given":"","non-dropping-particle":"","parse-names":false,"suffix":""}],"id":"ITEM-2","issued":{"date-parts":[["2020"]]},"title":"NHS DPP expert reference group","type":"webpage"},"uris":["http://www.mendeley.com/documents/?uuid=4bed8202-16c9-45d6-83ec-f1340a34fcda"]},{"id":"ITEM-3","itemData":{"abstract":"A systematic review and meta-analysis assessing the effectiveness of pragmatic lifestyle interventions for the prevention of type 2 diabetes mellitus in routine practice 2 About Public Health England Public Health England exists to protect and improve the nation's health and wellbeing, and reduce health inequalities. It does this through world-class science, knowledge and intelligence, advocacy, partnerships and the delivery of specialist public health services. PHE is an operationally autonomous executive agency of the Department of Health.","author":[{"dropping-particle":"","family":"Nuzhat","given":"B.A.","non-dropping-particle":"","parse-names":false,"suffix":""},{"dropping-particle":"","family":"Spong","given":"R.","non-dropping-particle":"","parse-names":false,"suffix":""},{"dropping-particle":"","family":"Carter","given":"P.","non-dropping-particle":"","parse-names":false,"suffix":""},{"dropping-particle":"","family":"Davies","given":"M.","non-dropping-particle":"","parse-names":false,"suffix":""},{"dropping-particle":"","family":"Dunkley","given":"A.","non-dropping-particle":"","parse-names":false,"suffix":""},{"dropping-particle":"","family":"Gillies, C","given":"et al.","non-dropping-particle":"","parse-names":false,"suffix":""}],"container-title":"Public Health England","id":"ITEM-3","issued":{"date-parts":[["2015"]]},"number-of-pages":"1-173","title":"A systematic review and meta- analysis assessing the effectiveness of pragmatic lifestyle interventions for the prevention of type 2 diabetes mellitus in routine practice","type":"report"},"uris":["http://www.mendeley.com/documents/?uuid=7d9fa3fc-50cd-4082-b9b8-2d51de6dfb55"]},{"id":"ITEM-4","itemData":{"author":[{"dropping-particle":"","family":"NHS England","given":"","non-dropping-particle":"","parse-names":false,"suffix":""}],"id":"ITEM-4","issued":{"date-parts":[["2016"]]},"number-of-pages":"1-36","title":"NDPP national service specification","type":"report"},"uris":["http://www.mendeley.com/documents/?uuid=306a6502-c933-4a45-b2c1-94fc05914bd3"]}],"mendeley":{"formattedCitation":"(National Institute of Clinical Excellence, 2012; NHS England, 2016a, 2020b; Nuzhat et al., 2015)","plainTextFormattedCitation":"(National Institute of Clinical Excellence, 2012; NHS England, 2016a, 2020b; Nuzhat et al., 2015)","previouslyFormattedCitation":"(National Institute of Clinical Excellence, 2012; NHS England, 2016a, 2020b; Nuzhat et al., 2015)"},"properties":{"noteIndex":0},"schema":"https://github.com/citation-style-language/schema/raw/master/csl-citation.json"}</w:instrText>
      </w:r>
      <w:r w:rsidRPr="00103A0B">
        <w:rPr>
          <w:rFonts w:ascii="Arial" w:hAnsi="Arial" w:cs="Arial"/>
          <w:sz w:val="24"/>
          <w:szCs w:val="24"/>
        </w:rPr>
        <w:fldChar w:fldCharType="separate"/>
      </w:r>
      <w:r w:rsidR="00062570" w:rsidRPr="00103A0B">
        <w:rPr>
          <w:rFonts w:ascii="Arial" w:hAnsi="Arial" w:cs="Arial"/>
          <w:noProof/>
          <w:sz w:val="24"/>
          <w:szCs w:val="24"/>
        </w:rPr>
        <w:t>(National Institute of Clinical Excellence, 2012; NHS England, 2016a, 2020b; Nuzhat et al., 2015)</w:t>
      </w:r>
      <w:r w:rsidRPr="00103A0B">
        <w:rPr>
          <w:rFonts w:ascii="Arial" w:hAnsi="Arial" w:cs="Arial"/>
          <w:sz w:val="24"/>
          <w:szCs w:val="24"/>
        </w:rPr>
        <w:fldChar w:fldCharType="end"/>
      </w:r>
      <w:r w:rsidRPr="00103A0B">
        <w:rPr>
          <w:rFonts w:ascii="Arial" w:hAnsi="Arial" w:cs="Arial"/>
          <w:sz w:val="24"/>
          <w:szCs w:val="24"/>
        </w:rPr>
        <w:t xml:space="preserve">. A group of </w:t>
      </w:r>
      <w:r w:rsidRPr="00103A0B">
        <w:rPr>
          <w:rFonts w:ascii="Arial" w:hAnsi="Arial" w:cs="Arial"/>
          <w:sz w:val="24"/>
          <w:szCs w:val="24"/>
        </w:rPr>
        <w:lastRenderedPageBreak/>
        <w:t xml:space="preserve">experts were involved in developing the service specification for programme delivery </w:t>
      </w:r>
      <w:r w:rsidRPr="00103A0B">
        <w:rPr>
          <w:rFonts w:ascii="Arial" w:hAnsi="Arial" w:cs="Arial"/>
          <w:sz w:val="24"/>
          <w:szCs w:val="24"/>
        </w:rPr>
        <w:fldChar w:fldCharType="begin" w:fldLock="1"/>
      </w:r>
      <w:r w:rsidR="00F11C4C" w:rsidRPr="00103A0B">
        <w:rPr>
          <w:rFonts w:ascii="Arial" w:hAnsi="Arial" w:cs="Arial"/>
          <w:sz w:val="24"/>
          <w:szCs w:val="24"/>
        </w:rPr>
        <w:instrText>ADDIN CSL_CITATION {"citationItems":[{"id":"ITEM-1","itemData":{"URL":"https://www.england.nhs.uk/diabetes/diabetes-prevention/exp-ref-grp/","author":[{"dropping-particle":"","family":"NHS England","given":"","non-dropping-particle":"","parse-names":false,"suffix":""}],"id":"ITEM-1","issued":{"date-parts":[["2020"]]},"title":"NHS DPP expert reference group","type":"webpage"},"uris":["http://www.mendeley.com/documents/?uuid=4bed8202-16c9-45d6-83ec-f1340a34fcda"]}],"mendeley":{"formattedCitation":"(NHS England, 2020b)","plainTextFormattedCitation":"(NHS England, 2020b)","previouslyFormattedCitation":"(NHS England, 2020b)"},"properties":{"noteIndex":0},"schema":"https://github.com/citation-style-language/schema/raw/master/csl-citation.json"}</w:instrText>
      </w:r>
      <w:r w:rsidRPr="00103A0B">
        <w:rPr>
          <w:rFonts w:ascii="Arial" w:hAnsi="Arial" w:cs="Arial"/>
          <w:sz w:val="24"/>
          <w:szCs w:val="24"/>
        </w:rPr>
        <w:fldChar w:fldCharType="separate"/>
      </w:r>
      <w:r w:rsidR="00062570" w:rsidRPr="00103A0B">
        <w:rPr>
          <w:rFonts w:ascii="Arial" w:hAnsi="Arial" w:cs="Arial"/>
          <w:noProof/>
          <w:sz w:val="24"/>
          <w:szCs w:val="24"/>
        </w:rPr>
        <w:t>(NHS England, 2020b)</w:t>
      </w:r>
      <w:r w:rsidRPr="00103A0B">
        <w:rPr>
          <w:rFonts w:ascii="Arial" w:hAnsi="Arial" w:cs="Arial"/>
          <w:sz w:val="24"/>
          <w:szCs w:val="24"/>
        </w:rPr>
        <w:fldChar w:fldCharType="end"/>
      </w:r>
      <w:r w:rsidRPr="00103A0B">
        <w:rPr>
          <w:rFonts w:ascii="Arial" w:hAnsi="Arial" w:cs="Arial"/>
          <w:sz w:val="24"/>
          <w:szCs w:val="24"/>
        </w:rPr>
        <w:t xml:space="preserve"> (see Chapter 4 for more information on the NHSDPP). The NHSDPP service specification requires providers to specify behaviour change theory and techniques that are utilised, and the expected mechanism of action </w:t>
      </w:r>
      <w:r w:rsidRPr="00103A0B">
        <w:rPr>
          <w:rFonts w:ascii="Arial" w:hAnsi="Arial" w:cs="Arial"/>
          <w:sz w:val="24"/>
          <w:szCs w:val="24"/>
        </w:rPr>
        <w:fldChar w:fldCharType="begin" w:fldLock="1"/>
      </w:r>
      <w:r w:rsidR="00F11C4C" w:rsidRPr="00103A0B">
        <w:rPr>
          <w:rFonts w:ascii="Arial" w:hAnsi="Arial" w:cs="Arial"/>
          <w:sz w:val="24"/>
          <w:szCs w:val="24"/>
        </w:rPr>
        <w:instrText>ADDIN CSL_CITATION {"citationItems":[{"id":"ITEM-1","itemData":{"author":[{"dropping-particle":"","family":"NHS England","given":"","non-dropping-particle":"","parse-names":false,"suffix":""}],"id":"ITEM-1","issued":{"date-parts":[["2016"]]},"number-of-pages":"1-36","title":"NDPP national service specification","type":"report"},"uris":["http://www.mendeley.com/documents/?uuid=306a6502-c933-4a45-b2c1-94fc05914bd3"]}],"mendeley":{"formattedCitation":"(NHS England, 2016a)","plainTextFormattedCitation":"(NHS England, 2016a)","previouslyFormattedCitation":"(NHS England, 2016a)"},"properties":{"noteIndex":0},"schema":"https://github.com/citation-style-language/schema/raw/master/csl-citation.json"}</w:instrText>
      </w:r>
      <w:r w:rsidRPr="00103A0B">
        <w:rPr>
          <w:rFonts w:ascii="Arial" w:hAnsi="Arial" w:cs="Arial"/>
          <w:sz w:val="24"/>
          <w:szCs w:val="24"/>
        </w:rPr>
        <w:fldChar w:fldCharType="separate"/>
      </w:r>
      <w:r w:rsidR="00062570" w:rsidRPr="00103A0B">
        <w:rPr>
          <w:rFonts w:ascii="Arial" w:hAnsi="Arial" w:cs="Arial"/>
          <w:noProof/>
          <w:sz w:val="24"/>
          <w:szCs w:val="24"/>
        </w:rPr>
        <w:t>(NHS England, 2016a)</w:t>
      </w:r>
      <w:r w:rsidRPr="00103A0B">
        <w:rPr>
          <w:rFonts w:ascii="Arial" w:hAnsi="Arial" w:cs="Arial"/>
          <w:sz w:val="24"/>
          <w:szCs w:val="24"/>
        </w:rPr>
        <w:fldChar w:fldCharType="end"/>
      </w:r>
      <w:r w:rsidRPr="00103A0B">
        <w:rPr>
          <w:rFonts w:ascii="Arial" w:hAnsi="Arial" w:cs="Arial"/>
          <w:sz w:val="24"/>
          <w:szCs w:val="24"/>
        </w:rPr>
        <w:t xml:space="preserve">. Behaviour change frameworks which could be used include the CALO-RE taxonomy, a 40-item BCT taxonomy used to help people change their physical activity and healthy eating behaviours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{"citationItems":[{"id":"ITEM-1","itemData":{"DOI":"10.1080/08870446.2010.540664","ISSN":"08870446","PMID":"21678185","abstract":"Background: Current reporting of intervention content in published research articles and protocols is generally poor, with great diversity of terminology, resulting in low replicability. This study aimed to extend the scope and improve the reliability of a 26-item taxonomy of behaviour change techniques developed by Abraham and Michie [Abraham, C. and Michie, S. (2008). A taxonomy of behaviour change techniques used in interventions. Health Psychology, 27(3), 379-387.] in order to optimise the reporting and scientific study of behaviour change interventions. Methods: Three UK study centres collaborated in applying this existing taxonomy to two systematic reviews of interventions to increase physical activity and healthy eating. The taxonomy was refined in iterative steps of (1) coding intervention descriptions, and assessing inter-rater reliability, (2) identifying gaps and problems across study centres and (3) refining the labels and definitions based on consensus discussions. Results: Labels and definitions were improved for all techniques, conceptual overlap between categories was resolved, some categories were split and 14 techniques were added, resulting in a 40-item taxonomy. Inter-rater reliability, assessed on 50 published intervention descriptions, was good (kappa = 0.79). Conclusions: This taxonomy can be used to improve the specification of interventions in published reports, thus improving replication, implementation and evidence syntheses. This will strengthen the scientific study of behaviour change and intervention development. © 2011 Taylor and Francis Group, LLC.","author":[{"dropping-particle":"","family":"Michie","given":"Susan","non-dropping-particle":"","parse-names":false,"suffix":""},{"dropping-particle":"","family":"Ashford","given":"Stefanie","non-dropping-particle":"","parse-names":false,"suffix":""},{"dropping-particle":"","family":"Sniehotta","given":"Falko F.","non-dropping-particle":"","parse-names":false,"suffix":""},{"dropping-particle":"","family":"Dombrowski","given":"Stephan U.","non-dropping-particle":"","parse-names":false,"suffix":""},{"dropping-particle":"","family":"Bishop","given":"Alex","non-dropping-particle":"","parse-names":false,"suffix":""},{"dropping-particle":"","family":"French","given":"David P.","non-dropping-particle":"","parse-names":false,"suffix":""}],"container-title":"Psychology and Health","id":"ITEM-1","issue":"11","issued":{"date-parts":[["2011"]]},"page":"1479-1498","title":"A refined taxonomy of behaviour change techniques to help people change their physical activity and healthy eating behaviours: the CALO-RE taxonomy","type":"article-journal","volume":"26"},"uris":["http://www.mendeley.com/documents/?uuid=6d93780e-4673-45e5-a98d-0824c9a4713b"]}],"mendeley":{"formattedCitation":"(Susan Michie et al., 2011)","manualFormatting":"(Michie et al., 2011)","plainTextFormattedCitation":"(Susan Michie et al., 2011)","previouslyFormattedCitation":"(Susan Michie et al., 2011)"},"properties":{"noteIndex":0},"schema":"https://github.com/citation-style-language/schema/raw/master/csl-citation.json"}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2011)</w:t>
      </w:r>
      <w:r w:rsidRPr="00103A0B">
        <w:rPr>
          <w:rFonts w:ascii="Arial" w:hAnsi="Arial" w:cs="Arial"/>
          <w:sz w:val="24"/>
          <w:szCs w:val="24"/>
        </w:rPr>
        <w:fldChar w:fldCharType="end"/>
      </w:r>
      <w:r w:rsidRPr="00103A0B">
        <w:rPr>
          <w:rFonts w:ascii="Arial" w:hAnsi="Arial" w:cs="Arial"/>
          <w:sz w:val="24"/>
          <w:szCs w:val="24"/>
        </w:rPr>
        <w:t xml:space="preserve">, or the widely used BCT taxonomy v1, an extensive taxonomy of 93 distinct BCTs </w:t>
      </w:r>
      <w:r w:rsidRPr="00103A0B">
        <w:rPr>
          <w:rFonts w:ascii="Arial" w:hAnsi="Arial" w:cs="Arial"/>
          <w:sz w:val="24"/>
          <w:szCs w:val="24"/>
        </w:rPr>
        <w:fldChar w:fldCharType="begin" w:fldLock="1"/>
      </w:r>
      <w:r w:rsidR="00F11C4C" w:rsidRPr="00103A0B">
        <w:rPr>
          <w:rFonts w:ascii="Arial" w:hAnsi="Arial" w:cs="Arial"/>
          <w:sz w:val="24"/>
          <w:szCs w:val="24"/>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interventions","type":"article-journal","volume":"46"},"uris":["http://www.mendeley.com/documents/?uuid=68bb257f-2ddf-4a99-bd79-a2640572189d"]},{"id":"ITEM-2","itemData":{"author":[{"dropping-particle":"","family":"NHS England","given":"","non-dropping-particle":"","parse-names":false,"suffix":""}],"id":"ITEM-2","issued":{"date-parts":[["2016"]]},"number-of-pages":"1-36","title":"NDPP national service specification","type":"report"},"uris":["http://www.mendeley.com/documents/?uuid=306a6502-c933-4a45-b2c1-94fc05914bd3"]}],"mendeley":{"formattedCitation":"(Susan Michie et al., 2013; NHS England, 2016a)","manualFormatting":"(Michie et al., 2013; NHS England, 2016)","plainTextFormattedCitation":"(Susan Michie et al., 2013; NHS England, 2016a)","previouslyFormattedCitation":"(Susan Michie et al., 2013; NHS England, 2016a)"},"properties":{"noteIndex":0},"schema":"https://github.com/citation-style-language/schema/raw/master/csl-citation.json"}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2013; NHS England, 2016)</w:t>
      </w:r>
      <w:r w:rsidRPr="00103A0B">
        <w:rPr>
          <w:rFonts w:ascii="Arial" w:hAnsi="Arial" w:cs="Arial"/>
          <w:sz w:val="24"/>
          <w:szCs w:val="24"/>
        </w:rPr>
        <w:fldChar w:fldCharType="end"/>
      </w:r>
      <w:r w:rsidRPr="00103A0B">
        <w:rPr>
          <w:rFonts w:ascii="Arial" w:hAnsi="Arial" w:cs="Arial"/>
          <w:sz w:val="24"/>
          <w:szCs w:val="24"/>
        </w:rPr>
        <w:t xml:space="preserve">. </w:t>
      </w:r>
    </w:p>
    <w:p w14:paraId="38F4E1DA" w14:textId="292B5432" w:rsidR="00ED4513" w:rsidRPr="00103A0B" w:rsidRDefault="00ED4513" w:rsidP="00CD5919">
      <w:pPr>
        <w:spacing w:line="360" w:lineRule="auto"/>
        <w:jc w:val="both"/>
        <w:rPr>
          <w:rFonts w:ascii="Arial" w:hAnsi="Arial" w:cs="Arial"/>
          <w:sz w:val="24"/>
          <w:szCs w:val="24"/>
        </w:rPr>
      </w:pPr>
      <w:r w:rsidRPr="00103A0B">
        <w:rPr>
          <w:rFonts w:ascii="Arial" w:hAnsi="Arial" w:cs="Arial"/>
          <w:sz w:val="24"/>
          <w:szCs w:val="24"/>
        </w:rPr>
        <w:t xml:space="preserve">The 93 BCTs taxonomy is part of the Capability, Opportunity, Motivation, Behaviour (COM-B) model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author":[{"dropping-particle":"","family":"Michie","given":"S.","non-dropping-particle":"","parse-names":false,"suffix":""},{"dropping-particle":"","family":"Atkins","given":"L.","non-dropping-particle":"","parse-names":false,"suffix":""},{"dropping-particle":"","family":"West","given":"R.","non-dropping-particle":"","parse-names":false,"suffix":""}],"edition":"1st","id":"ITEM-1","issued":{"date-parts":[["2014"]]},"number-of-pages":"1003-10","publisher":"Silverback Publishing","publisher-place":"Great Britain","title":"The behaviour change wheel. a guide to designing interventions","type":"book"},"uris":["http://www.mendeley.com/documents/?uuid=fa4b5338-a450-4e25-bf88-a5b3be9e1c54"]}],"mendeley":{"formattedCitation":"(S. Michie et al., 2014)","manualFormatting":"(Michie et al., 2014)","plainTextFormattedCitation":"(S. Michie et al., 2014)","previouslyFormattedCitation":"(S. Michie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2014)</w:t>
      </w:r>
      <w:r w:rsidRPr="00103A0B">
        <w:rPr>
          <w:rFonts w:ascii="Arial" w:hAnsi="Arial" w:cs="Arial"/>
          <w:sz w:val="24"/>
          <w:szCs w:val="24"/>
        </w:rPr>
        <w:fldChar w:fldCharType="end"/>
      </w:r>
      <w:r w:rsidRPr="00103A0B">
        <w:rPr>
          <w:rFonts w:ascii="Arial" w:hAnsi="Arial" w:cs="Arial"/>
          <w:sz w:val="24"/>
          <w:szCs w:val="24"/>
        </w:rPr>
        <w:t xml:space="preserve">. By changing one or more of these components (i.e., capability, opportunity, motivation) which are related to the actual behaviour or behaviours that support or compete with it, this can lead to behaviour change of an individual, group or population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author":[{"dropping-particle":"","family":"Michie","given":"S.","non-dropping-particle":"","parse-names":false,"suffix":""},{"dropping-particle":"","family":"Atkins","given":"L.","non-dropping-particle":"","parse-names":false,"suffix":""},{"dropping-particle":"","family":"West","given":"R.","non-dropping-particle":"","parse-names":false,"suffix":""}],"edition":"1st","id":"ITEM-1","issued":{"date-parts":[["2014"]]},"number-of-pages":"1003-10","publisher":"Silverback Publishing","publisher-place":"Great Britain","title":"The behaviour change wheel. a guide to designing interventions","type":"book"},"uris":["http://www.mendeley.com/documents/?uuid=fa4b5338-a450-4e25-bf88-a5b3be9e1c54"]}],"mendeley":{"formattedCitation":"(S. Michie et al., 2014)","manualFormatting":"(Michie et al., 2014)","plainTextFormattedCitation":"(S. Michie et al., 2014)","previouslyFormattedCitation":"(S. Michie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2014)</w:t>
      </w:r>
      <w:r w:rsidRPr="00103A0B">
        <w:rPr>
          <w:rFonts w:ascii="Arial" w:hAnsi="Arial" w:cs="Arial"/>
          <w:sz w:val="24"/>
          <w:szCs w:val="24"/>
        </w:rPr>
        <w:fldChar w:fldCharType="end"/>
      </w:r>
      <w:r w:rsidRPr="00103A0B">
        <w:rPr>
          <w:rFonts w:ascii="Arial" w:hAnsi="Arial" w:cs="Arial"/>
          <w:sz w:val="24"/>
          <w:szCs w:val="24"/>
        </w:rPr>
        <w:t xml:space="preserve">. Capability can be either psychological (e.g., knowledge) or physical (e.g., skills); opportunity can be either social (e.g., interpersonal influences) or physical (e.g., environmental resources); and motivation can either be automatic (e.g., desires, impulses) or reflective (e.g., beliefs)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author":[{"dropping-particle":"","family":"Michie","given":"S.","non-dropping-particle":"","parse-names":false,"suffix":""},{"dropping-particle":"","family":"Atkins","given":"L.","non-dropping-particle":"","parse-names":false,"suffix":""},{"dropping-particle":"","family":"West","given":"R.","non-dropping-particle":"","parse-names":false,"suffix":""}],"edition":"1st","id":"ITEM-1","issued":{"date-parts":[["2014"]]},"number-of-pages":"1003-10","publisher":"Silverback Publishing","publisher-place":"Great Britain","title":"The behaviour change wheel. a guide to designing interventions","type":"book"},"uris":["http://www.mendeley.com/documents/?uuid=fa4b5338-a450-4e25-bf88-a5b3be9e1c54"]}],"mendeley":{"formattedCitation":"(S. Michie et al., 2014)","manualFormatting":"(Michie et al., 2014)","plainTextFormattedCitation":"(S. Michie et al., 2014)","previouslyFormattedCitation":"(S. Michie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2014)</w:t>
      </w:r>
      <w:r w:rsidRPr="00103A0B">
        <w:rPr>
          <w:rFonts w:ascii="Arial" w:hAnsi="Arial" w:cs="Arial"/>
          <w:sz w:val="24"/>
          <w:szCs w:val="24"/>
        </w:rPr>
        <w:fldChar w:fldCharType="end"/>
      </w:r>
      <w:r w:rsidRPr="00103A0B">
        <w:rPr>
          <w:rFonts w:ascii="Arial" w:hAnsi="Arial" w:cs="Arial"/>
          <w:sz w:val="24"/>
          <w:szCs w:val="24"/>
        </w:rPr>
        <w:t xml:space="preserve">. This model describes how an interaction of these components can lead to behaviour change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author":[{"dropping-particle":"","family":"Michie","given":"S.","non-dropping-particle":"","parse-names":false,"suffix":""},{"dropping-particle":"","family":"Atkins","given":"L.","non-dropping-particle":"","parse-names":false,"suffix":""},{"dropping-particle":"","family":"West","given":"R.","non-dropping-particle":"","parse-names":false,"suffix":""}],"edition":"1st","id":"ITEM-1","issued":{"date-parts":[["2014"]]},"number-of-pages":"1003-10","publisher":"Silverback Publishing","publisher-place":"Great Britain","title":"The behaviour change wheel. a guide to designing interventions","type":"book"},"uris":["http://www.mendeley.com/documents/?uuid=fa4b5338-a450-4e25-bf88-a5b3be9e1c54"]}],"mendeley":{"formattedCitation":"(S. Michie et al., 2014)","manualFormatting":"(Michie et al., 2014)","plainTextFormattedCitation":"(S. Michie et al., 2014)","previouslyFormattedCitation":"(S. Michie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2014)</w:t>
      </w:r>
      <w:r w:rsidRPr="00103A0B">
        <w:rPr>
          <w:rFonts w:ascii="Arial" w:hAnsi="Arial" w:cs="Arial"/>
          <w:sz w:val="24"/>
          <w:szCs w:val="24"/>
        </w:rPr>
        <w:fldChar w:fldCharType="end"/>
      </w:r>
      <w:r w:rsidRPr="00103A0B">
        <w:rPr>
          <w:rFonts w:ascii="Arial" w:hAnsi="Arial" w:cs="Arial"/>
          <w:sz w:val="24"/>
          <w:szCs w:val="24"/>
        </w:rPr>
        <w:t xml:space="preserve">. COM-B is central to the Behaviour Change Wheel (BCW), a tool kit utilised for developing behaviour change interventions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author":[{"dropping-particle":"","family":"Michie","given":"S.","non-dropping-particle":"","parse-names":false,"suffix":""},{"dropping-particle":"","family":"Atkins","given":"L.","non-dropping-particle":"","parse-names":false,"suffix":""},{"dropping-particle":"","family":"West","given":"R.","non-dropping-particle":"","parse-names":false,"suffix":""}],"edition":"1st","id":"ITEM-1","issued":{"date-parts":[["2014"]]},"number-of-pages":"1003-10","publisher":"Silverback Publishing","publisher-place":"Great Britain","title":"The behaviour change wheel. a guide to designing interventions","type":"book"},"uris":["http://www.mendeley.com/documents/?uuid=fa4b5338-a450-4e25-bf88-a5b3be9e1c54"]}],"mendeley":{"formattedCitation":"(S. Michie et al., 2014)","manualFormatting":"(Michie et al., 2014)","plainTextFormattedCitation":"(S. Michie et al., 2014)","previouslyFormattedCitation":"(S. Michie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2014)</w:t>
      </w:r>
      <w:r w:rsidRPr="00103A0B">
        <w:rPr>
          <w:rFonts w:ascii="Arial" w:hAnsi="Arial" w:cs="Arial"/>
          <w:sz w:val="24"/>
          <w:szCs w:val="24"/>
        </w:rPr>
        <w:fldChar w:fldCharType="end"/>
      </w:r>
      <w:r w:rsidRPr="00103A0B">
        <w:rPr>
          <w:rFonts w:ascii="Arial" w:hAnsi="Arial" w:cs="Arial"/>
          <w:sz w:val="24"/>
          <w:szCs w:val="24"/>
        </w:rPr>
        <w:t xml:space="preserve">. Components of the COM-B model can be mapped onto the BCW and 93 BCTs taxonomy, which can assist in the process of identifying appropriate intervention strategies that are most likely to be effective in addressing the barriers and facilitators for each component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author":[{"dropping-particle":"","family":"Michie","given":"S.","non-dropping-particle":"","parse-names":false,"suffix":""},{"dropping-particle":"","family":"Atkins","given":"L.","non-dropping-particle":"","parse-names":false,"suffix":""},{"dropping-particle":"","family":"West","given":"R.","non-dropping-particle":"","parse-names":false,"suffix":""}],"edition":"1st","id":"ITEM-1","issued":{"date-parts":[["2014"]]},"number-of-pages":"1003-10","publisher":"Silverback Publishing","publisher-place":"Great Britain","title":"The behaviour change wheel. a guide to designing interventions","type":"book"},"uris":["http://www.mendeley.com/documents/?uuid=fa4b5338-a450-4e25-bf88-a5b3be9e1c54"]}],"mendeley":{"formattedCitation":"(S. Michie et al., 2014)","manualFormatting":"(Michie et al., 2014)","plainTextFormattedCitation":"(S. Michie et al., 2014)","previouslyFormattedCitation":"(S. Michie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2014)</w:t>
      </w:r>
      <w:r w:rsidRPr="00103A0B">
        <w:rPr>
          <w:rFonts w:ascii="Arial" w:hAnsi="Arial" w:cs="Arial"/>
          <w:sz w:val="24"/>
          <w:szCs w:val="24"/>
        </w:rPr>
        <w:fldChar w:fldCharType="end"/>
      </w:r>
      <w:r w:rsidRPr="00103A0B">
        <w:rPr>
          <w:rFonts w:ascii="Arial" w:hAnsi="Arial" w:cs="Arial"/>
          <w:sz w:val="24"/>
          <w:szCs w:val="24"/>
        </w:rPr>
        <w:t xml:space="preserve">.  </w:t>
      </w:r>
    </w:p>
    <w:p w14:paraId="25893765" w14:textId="624A4E26" w:rsidR="00ED4513" w:rsidRPr="00103A0B" w:rsidRDefault="00ED4513" w:rsidP="00CD5919">
      <w:pPr>
        <w:spacing w:line="360" w:lineRule="auto"/>
        <w:jc w:val="both"/>
        <w:rPr>
          <w:rFonts w:ascii="Arial" w:hAnsi="Arial" w:cs="Arial"/>
          <w:sz w:val="24"/>
          <w:szCs w:val="24"/>
        </w:rPr>
      </w:pPr>
      <w:r w:rsidRPr="00103A0B">
        <w:rPr>
          <w:rFonts w:ascii="Arial" w:hAnsi="Arial" w:cs="Arial"/>
          <w:sz w:val="24"/>
          <w:szCs w:val="24"/>
        </w:rPr>
        <w:t xml:space="preserve">The “BCT taxonomy v1” is an extensive taxonomy and a methodological tool used to offer a way of specifying intervention content (and does not itself make links with theory)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interventions","type":"article-journal","volume":"46"},"uris":["http://www.mendeley.com/documents/?uuid=68bb257f-2ddf-4a99-bd79-a2640572189d"]}],"mendeley":{"formattedCitation":"(Susan Michie et al., 2013)","manualFormatting":"(Michie et al., 2013)","plainTextFormattedCitation":"(Susan Michie et al., 2013)","previouslyFormattedCitation":"(Susan Michie et al., 2013)"},"properties":{"noteIndex":0},"schema":"https://github.com/citation-style-language/schema/raw/master/csl-citation.json"}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(Michie et al., 2013)</w:t>
      </w:r>
      <w:r w:rsidRPr="00103A0B">
        <w:rPr>
          <w:rFonts w:ascii="Arial" w:hAnsi="Arial" w:cs="Arial"/>
          <w:sz w:val="24"/>
          <w:szCs w:val="24"/>
        </w:rPr>
        <w:fldChar w:fldCharType="end"/>
      </w:r>
      <w:r w:rsidRPr="00103A0B">
        <w:rPr>
          <w:rFonts w:ascii="Arial" w:hAnsi="Arial" w:cs="Arial"/>
          <w:sz w:val="24"/>
          <w:szCs w:val="24"/>
        </w:rPr>
        <w:t xml:space="preserve">. Behaviour change techniques (BCTs) are </w:t>
      </w:r>
      <w:r w:rsidRPr="00103A0B">
        <w:rPr>
          <w:rFonts w:ascii="Arial" w:eastAsia="Times New Roman" w:hAnsi="Arial" w:cs="Arial"/>
          <w:sz w:val="24"/>
          <w:szCs w:val="24"/>
          <w:lang w:eastAsia="en-GB"/>
        </w:rPr>
        <w:t xml:space="preserve">the “active ingredients” of behaviour change and can be described as observable, replicable and irreducible components </w:t>
      </w:r>
      <w:r w:rsidRPr="00103A0B">
        <w:rPr>
          <w:rFonts w:ascii="Arial" w:hAnsi="Arial" w:cs="Arial"/>
        </w:rPr>
        <w:fldChar w:fldCharType="begin" w:fldLock="1"/>
      </w:r>
      <w:r w:rsidR="007E0EE7" w:rsidRPr="00103A0B">
        <w:rPr>
          <w:rFonts w:ascii="Arial" w:eastAsia="Times New Roman" w:hAnsi="Arial" w:cs="Arial"/>
          <w:sz w:val="24"/>
          <w:szCs w:val="24"/>
          <w:lang w:eastAsia="en-GB"/>
        </w:rPr>
        <w:instrText>ADDIN CSL_CITATION {"citationItems":[{"id":"ITEM-1","itemData":{"DOI":"10.1037/0278-6133.27.3.379","ISBN":"0278-6133 (Print)","ISSN":"02786133","PMID":"18624603","abstract":"OBJECTIVE: Without standardized definitions of the techniques included in behavior change interventions, it is difficult to faithfully replicate effective interventions and challenging to identify techniques contributing to effectiveness across interventions. This research aimed to develop and test a theory-linked taxonomy of generally applicable behavior change techniques (BCTs). DESIGN: Twenty-six BCTs were defined. Two psychologists used a 5-page coding manual to independently judge the presence or absence of each technique in published intervention descriptions and in intervention manuals. RESULTS: Three systematic reviews yielded 195 published descriptions. Across 78 reliability tests (i.e., 26 techniques applied to 3 reviews), the average kappa per technique was 0.79, with 93% of judgments being agreements. Interventions were found to vary widely in the range and type of techniques used, even when targeting the same behavior among similar participants. The average agreement for intervention manuals was 85%, and a comparison of BCTs identified in 13 manuals and 13 published articles describing the same interventions generated a technique correspondence rate of 74%, with most mismatches (73%) arising from identification of a technique in the manual but not in the article. CONCLUSIONS: These findings demonstrate the feasibility of developing standardized definitions of BCTs included in behavioral interventions and highlight problematic variability in the reporting of intervention content.","author":[{"dropping-particle":"","family":"Abraham","given":"Charles","non-dropping-particle":"","parse-names":false,"suffix":""},{"dropping-particle":"","family":"Michie","given":"Susan","non-dropping-particle":"","parse-names":false,"suffix":""}],"container-title":"Health Psychology","id":"ITEM-1","issue":"3","issued":{"date-parts":[["2008"]]},"page":"379-387","title":"A taxonomy of behavior change techniques used in interventions","type":"article-journal","volume":"27"},"uris":["http://www.mendeley.com/documents/?uuid=747d1ee4-9921-4f2d-9483-e6f4ee858e70"]},{"id":"ITEM-2","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Medicine","id":"ITEM-2","issue":"1","issued":{"date-parts":[["2013"]]},"page":"81-95","title":"The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id":"ITEM-3","itemData":{"author":[{"dropping-particle":"","family":"Michie","given":"S.","non-dropping-particle":"","parse-names":false,"suffix":""},{"dropping-particle":"","family":"Atkins","given":"L.","non-dropping-particle":"","parse-names":false,"suffix":""},{"dropping-particle":"","family":"West","given":"R.","non-dropping-particle":"","parse-names":false,"suffix":""}],"edition":"1st","id":"ITEM-3","issued":{"date-parts":[["2014"]]},"number-of-pages":"1003-10","publisher":"Silverback Publishing","publisher-place":"Great Britain","title":"The behaviour change wheel. a guide to designing interventions","type":"book"},"uris":["http://www.mendeley.com/documents/?uuid=fa4b5338-a450-4e25-bf88-a5b3be9e1c54"]}],"mendeley":{"formattedCitation":"(Abraham &amp; Michie, 2008; S. Michie et al., 2014; Susan Michie et al., 2013)","manualFormatting":"(Abraham &amp; Michie, 2008; Michie et al., 2014; Michie et al., 2013)","plainTextFormattedCitation":"(Abraham &amp; Michie, 2008; S. Michie et al., 2014; Susan Michie et al., 2013)","previouslyFormattedCitation":"(Abraham &amp; Michie, 2008; S. Michie et al., 2014; Susan Michie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(Abraham &amp; Michie, 2008; Michie et al., 2014; Michie et al., 2013)</w:t>
      </w:r>
      <w:r w:rsidRPr="00103A0B">
        <w:rPr>
          <w:rFonts w:ascii="Arial" w:hAnsi="Arial" w:cs="Arial"/>
        </w:rPr>
        <w:fldChar w:fldCharType="end"/>
      </w:r>
      <w:r w:rsidRPr="00103A0B">
        <w:rPr>
          <w:rFonts w:ascii="Arial" w:eastAsia="Times New Roman" w:hAnsi="Arial" w:cs="Arial"/>
          <w:sz w:val="24"/>
          <w:szCs w:val="24"/>
          <w:lang w:eastAsia="en-GB"/>
        </w:rPr>
        <w:t xml:space="preserve">. These BCTs can be used alone or combined with other BCTs </w:t>
      </w:r>
      <w:r w:rsidRPr="00103A0B">
        <w:rPr>
          <w:rFonts w:ascii="Arial" w:eastAsia="Times New Roman" w:hAnsi="Arial" w:cs="Arial"/>
          <w:sz w:val="24"/>
          <w:szCs w:val="24"/>
          <w:lang w:eastAsia="en-GB"/>
        </w:rPr>
        <w:fldChar w:fldCharType="begin" w:fldLock="1"/>
      </w:r>
      <w:r w:rsidRPr="00103A0B">
        <w:rPr>
          <w:rFonts w:ascii="Arial" w:eastAsia="Times New Roman" w:hAnsi="Arial" w:cs="Arial"/>
          <w:sz w:val="24"/>
          <w:szCs w:val="24"/>
          <w:lang w:eastAsia="en-GB"/>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interventions","type":"article-journal","volume":"46"},"uris":["http://www.mendeley.com/documents/?uuid=68bb257f-2ddf-4a99-bd79-a2640572189d"]}],"mendeley":{"formattedCitation":"(Susan Michie et al., 2013)","manualFormatting":"(Michie et al., 2013)","plainTextFormattedCitation":"(Susan Michie et al., 2013)","previouslyFormattedCitation":"(Susan Michie et al., 2013)"},"properties":{"noteIndex":0},"schema":"https://github.com/citation-style-language/schema/raw/master/csl-citation.json"}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(Michie et al., 2013)</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w:t>
      </w:r>
      <w:r w:rsidRPr="00103A0B">
        <w:rPr>
          <w:rFonts w:ascii="Arial" w:hAnsi="Arial" w:cs="Arial"/>
          <w:sz w:val="24"/>
          <w:szCs w:val="24"/>
        </w:rPr>
        <w:t xml:space="preserve"> </w:t>
      </w:r>
    </w:p>
    <w:p w14:paraId="1C1EF74F" w14:textId="5C46E287" w:rsidR="00ED4513" w:rsidRPr="00103A0B" w:rsidRDefault="00ED4513" w:rsidP="00CD5919">
      <w:pPr>
        <w:spacing w:line="360" w:lineRule="auto"/>
        <w:jc w:val="both"/>
        <w:rPr>
          <w:rFonts w:ascii="Arial" w:hAnsi="Arial" w:cs="Arial"/>
          <w:sz w:val="24"/>
          <w:szCs w:val="24"/>
        </w:rPr>
      </w:pPr>
      <w:r w:rsidRPr="00103A0B">
        <w:rPr>
          <w:rFonts w:ascii="Arial" w:hAnsi="Arial" w:cs="Arial"/>
          <w:sz w:val="24"/>
          <w:szCs w:val="24"/>
        </w:rPr>
        <w:lastRenderedPageBreak/>
        <w:t>The systematic review from this research (Chapter 2) explored the BCTs which are commonly found in high retention diabetes prevention programmes.</w:t>
      </w:r>
      <w:r w:rsidR="002916BA" w:rsidRPr="00103A0B">
        <w:rPr>
          <w:rFonts w:ascii="Arial" w:hAnsi="Arial" w:cs="Arial"/>
          <w:sz w:val="24"/>
          <w:szCs w:val="24"/>
        </w:rPr>
        <w:t xml:space="preserve"> </w:t>
      </w:r>
      <w:r w:rsidRPr="00103A0B">
        <w:rPr>
          <w:rFonts w:ascii="Arial" w:hAnsi="Arial" w:cs="Arial"/>
          <w:sz w:val="24"/>
          <w:szCs w:val="24"/>
        </w:rPr>
        <w:t>Programmes with high levels of retention were more likely to provide incentives for participation, use problem-solving, demonstrate the behaviour, use behavioural practice/</w:t>
      </w:r>
      <w:proofErr w:type="gramStart"/>
      <w:r w:rsidRPr="00103A0B">
        <w:rPr>
          <w:rFonts w:ascii="Arial" w:hAnsi="Arial" w:cs="Arial"/>
          <w:sz w:val="24"/>
          <w:szCs w:val="24"/>
        </w:rPr>
        <w:t>rehearsal</w:t>
      </w:r>
      <w:proofErr w:type="gramEnd"/>
      <w:r w:rsidRPr="00103A0B">
        <w:rPr>
          <w:rFonts w:ascii="Arial" w:hAnsi="Arial" w:cs="Arial"/>
          <w:sz w:val="24"/>
          <w:szCs w:val="24"/>
        </w:rPr>
        <w:t xml:space="preserve"> and use techniques to reduce negative emotions. Table 10 summarises how these specific BCTs map to the COM-B model. </w:t>
      </w:r>
    </w:p>
    <w:p w14:paraId="528910FB" w14:textId="77777777" w:rsidR="00ED4513" w:rsidRPr="00103A0B" w:rsidRDefault="00ED4513" w:rsidP="00CD5919">
      <w:pPr>
        <w:spacing w:line="360" w:lineRule="auto"/>
        <w:jc w:val="both"/>
        <w:rPr>
          <w:rFonts w:ascii="Arial" w:hAnsi="Arial" w:cs="Arial"/>
          <w:i/>
          <w:iCs/>
          <w:sz w:val="24"/>
          <w:szCs w:val="24"/>
        </w:rPr>
      </w:pPr>
      <w:bookmarkStart w:id="407" w:name="_Hlk79776510"/>
      <w:r w:rsidRPr="00103A0B">
        <w:rPr>
          <w:rFonts w:ascii="Arial" w:hAnsi="Arial" w:cs="Arial"/>
          <w:i/>
          <w:iCs/>
          <w:sz w:val="24"/>
          <w:szCs w:val="24"/>
        </w:rPr>
        <w:t>Table 10- Summary of mapping of Behaviour Change Techniques for high retention onto COM-B</w:t>
      </w:r>
    </w:p>
    <w:tbl>
      <w:tblPr>
        <w:tblStyle w:val="TableGrid"/>
        <w:tblW w:w="0" w:type="auto"/>
        <w:tblLook w:val="04A0" w:firstRow="1" w:lastRow="0" w:firstColumn="1" w:lastColumn="0" w:noHBand="0" w:noVBand="1"/>
      </w:tblPr>
      <w:tblGrid>
        <w:gridCol w:w="2830"/>
        <w:gridCol w:w="6186"/>
      </w:tblGrid>
      <w:tr w:rsidR="00ED4513" w:rsidRPr="00103A0B" w14:paraId="22FFD44A" w14:textId="77777777" w:rsidTr="00877D8D">
        <w:trPr>
          <w:trHeight w:val="525"/>
        </w:trPr>
        <w:tc>
          <w:tcPr>
            <w:tcW w:w="2830" w:type="dxa"/>
          </w:tcPr>
          <w:bookmarkEnd w:id="407"/>
          <w:p w14:paraId="6F5D60CC" w14:textId="77777777" w:rsidR="00ED4513" w:rsidRPr="00103A0B" w:rsidRDefault="00ED4513" w:rsidP="00CD5919">
            <w:pPr>
              <w:spacing w:line="360" w:lineRule="auto"/>
              <w:jc w:val="both"/>
              <w:rPr>
                <w:rFonts w:ascii="Arial" w:hAnsi="Arial" w:cs="Arial"/>
                <w:b/>
                <w:bCs/>
                <w:sz w:val="20"/>
                <w:szCs w:val="20"/>
              </w:rPr>
            </w:pPr>
            <w:r w:rsidRPr="00103A0B">
              <w:rPr>
                <w:rFonts w:ascii="Arial" w:hAnsi="Arial" w:cs="Arial"/>
                <w:b/>
                <w:bCs/>
                <w:sz w:val="20"/>
                <w:szCs w:val="20"/>
              </w:rPr>
              <w:t>COM-B</w:t>
            </w:r>
          </w:p>
        </w:tc>
        <w:tc>
          <w:tcPr>
            <w:tcW w:w="6186" w:type="dxa"/>
          </w:tcPr>
          <w:p w14:paraId="6D99091F" w14:textId="5BE825E6" w:rsidR="00ED4513" w:rsidRPr="00103A0B" w:rsidRDefault="00ED4513" w:rsidP="00CD5919">
            <w:pPr>
              <w:spacing w:line="360" w:lineRule="auto"/>
              <w:jc w:val="both"/>
              <w:rPr>
                <w:rFonts w:ascii="Arial" w:hAnsi="Arial" w:cs="Arial"/>
                <w:b/>
                <w:bCs/>
                <w:sz w:val="20"/>
                <w:szCs w:val="20"/>
              </w:rPr>
            </w:pPr>
            <w:r w:rsidRPr="00103A0B">
              <w:rPr>
                <w:rFonts w:ascii="Arial" w:hAnsi="Arial" w:cs="Arial"/>
                <w:b/>
                <w:bCs/>
                <w:sz w:val="20"/>
                <w:szCs w:val="20"/>
              </w:rPr>
              <w:t xml:space="preserve">BCTs associated with high retention </w:t>
            </w:r>
          </w:p>
        </w:tc>
      </w:tr>
      <w:tr w:rsidR="00ED4513" w:rsidRPr="00103A0B" w14:paraId="18BCEFB4" w14:textId="77777777" w:rsidTr="00803D36">
        <w:tc>
          <w:tcPr>
            <w:tcW w:w="2830" w:type="dxa"/>
          </w:tcPr>
          <w:p w14:paraId="4B7FCF42"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sz w:val="20"/>
                <w:szCs w:val="20"/>
              </w:rPr>
              <w:t xml:space="preserve">Physical capability </w:t>
            </w:r>
          </w:p>
        </w:tc>
        <w:tc>
          <w:tcPr>
            <w:tcW w:w="6186" w:type="dxa"/>
          </w:tcPr>
          <w:p w14:paraId="364BE5D5"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i/>
                <w:iCs/>
                <w:sz w:val="20"/>
                <w:szCs w:val="20"/>
              </w:rPr>
              <w:t>8.1 Behavioural practice/rehearsal:</w:t>
            </w:r>
            <w:r w:rsidRPr="00103A0B">
              <w:rPr>
                <w:rFonts w:ascii="Arial" w:hAnsi="Arial" w:cs="Arial"/>
                <w:sz w:val="20"/>
                <w:szCs w:val="20"/>
              </w:rPr>
              <w:t xml:space="preserve"> for example, participants were given the opportunity to cook healthy foods or take part in exercise during DPP sessions. </w:t>
            </w:r>
          </w:p>
        </w:tc>
      </w:tr>
      <w:tr w:rsidR="00ED4513" w:rsidRPr="00103A0B" w14:paraId="006C49FE" w14:textId="77777777" w:rsidTr="00803D36">
        <w:tc>
          <w:tcPr>
            <w:tcW w:w="2830" w:type="dxa"/>
          </w:tcPr>
          <w:p w14:paraId="23447F45"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sz w:val="20"/>
                <w:szCs w:val="20"/>
              </w:rPr>
              <w:t xml:space="preserve">Psychological capability </w:t>
            </w:r>
          </w:p>
        </w:tc>
        <w:tc>
          <w:tcPr>
            <w:tcW w:w="6186" w:type="dxa"/>
          </w:tcPr>
          <w:p w14:paraId="6372890D" w14:textId="411118C4" w:rsidR="00ED4513" w:rsidRPr="00103A0B" w:rsidRDefault="00ED4513" w:rsidP="00CD5919">
            <w:pPr>
              <w:spacing w:line="360" w:lineRule="auto"/>
              <w:jc w:val="both"/>
              <w:rPr>
                <w:rFonts w:ascii="Arial" w:hAnsi="Arial" w:cs="Arial"/>
                <w:sz w:val="20"/>
                <w:szCs w:val="20"/>
              </w:rPr>
            </w:pPr>
            <w:r w:rsidRPr="00103A0B">
              <w:rPr>
                <w:rFonts w:ascii="Arial" w:hAnsi="Arial" w:cs="Arial"/>
                <w:i/>
                <w:iCs/>
                <w:sz w:val="20"/>
                <w:szCs w:val="20"/>
              </w:rPr>
              <w:t>1.2 Problem solving:</w:t>
            </w:r>
            <w:r w:rsidRPr="00103A0B">
              <w:rPr>
                <w:rFonts w:ascii="Arial" w:hAnsi="Arial" w:cs="Arial"/>
                <w:sz w:val="20"/>
                <w:szCs w:val="20"/>
              </w:rPr>
              <w:t xml:space="preserve"> for example, participants identified barriers to making lifestyle changes, for example by using activity logs, and devising strategies to overcome them. </w:t>
            </w:r>
          </w:p>
          <w:p w14:paraId="3C00A951"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i/>
                <w:iCs/>
                <w:sz w:val="20"/>
                <w:szCs w:val="20"/>
              </w:rPr>
              <w:t>11.2 Reduce negative emotions:</w:t>
            </w:r>
            <w:r w:rsidRPr="00103A0B">
              <w:rPr>
                <w:rFonts w:ascii="Arial" w:hAnsi="Arial" w:cs="Arial"/>
                <w:sz w:val="20"/>
                <w:szCs w:val="20"/>
              </w:rPr>
              <w:t xml:space="preserve"> for example, stress-management was used where DPPs informed their participants of finding ways to reduce stress. </w:t>
            </w:r>
          </w:p>
        </w:tc>
      </w:tr>
      <w:tr w:rsidR="00ED4513" w:rsidRPr="00103A0B" w14:paraId="0686D0B3" w14:textId="77777777" w:rsidTr="00803D36">
        <w:tc>
          <w:tcPr>
            <w:tcW w:w="2830" w:type="dxa"/>
          </w:tcPr>
          <w:p w14:paraId="555F4647"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sz w:val="20"/>
                <w:szCs w:val="20"/>
              </w:rPr>
              <w:t xml:space="preserve">Physical opportunity </w:t>
            </w:r>
          </w:p>
        </w:tc>
        <w:tc>
          <w:tcPr>
            <w:tcW w:w="6186" w:type="dxa"/>
          </w:tcPr>
          <w:p w14:paraId="4317E3B1"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sz w:val="20"/>
                <w:szCs w:val="20"/>
              </w:rPr>
              <w:t>n/a</w:t>
            </w:r>
          </w:p>
        </w:tc>
      </w:tr>
      <w:tr w:rsidR="00ED4513" w:rsidRPr="00103A0B" w14:paraId="35EC9DF1" w14:textId="77777777" w:rsidTr="00803D36">
        <w:tc>
          <w:tcPr>
            <w:tcW w:w="2830" w:type="dxa"/>
          </w:tcPr>
          <w:p w14:paraId="7D011CDE"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sz w:val="20"/>
                <w:szCs w:val="20"/>
              </w:rPr>
              <w:t xml:space="preserve">Social opportunity </w:t>
            </w:r>
          </w:p>
        </w:tc>
        <w:tc>
          <w:tcPr>
            <w:tcW w:w="6186" w:type="dxa"/>
          </w:tcPr>
          <w:p w14:paraId="2EBD798B" w14:textId="59276606" w:rsidR="00ED4513" w:rsidRPr="00103A0B" w:rsidRDefault="002916BA" w:rsidP="002916BA">
            <w:pPr>
              <w:spacing w:line="360" w:lineRule="auto"/>
              <w:rPr>
                <w:rFonts w:ascii="Arial" w:hAnsi="Arial" w:cs="Arial"/>
                <w:sz w:val="20"/>
                <w:szCs w:val="20"/>
              </w:rPr>
            </w:pPr>
            <w:r w:rsidRPr="00103A0B">
              <w:rPr>
                <w:rFonts w:ascii="Arial" w:hAnsi="Arial" w:cs="Arial"/>
                <w:i/>
                <w:iCs/>
                <w:sz w:val="20"/>
                <w:szCs w:val="20"/>
              </w:rPr>
              <w:t>6.1 Demonstration of behaviour:</w:t>
            </w:r>
            <w:r w:rsidRPr="00103A0B">
              <w:rPr>
                <w:rFonts w:ascii="Arial" w:hAnsi="Arial" w:cs="Arial"/>
                <w:sz w:val="20"/>
                <w:szCs w:val="20"/>
              </w:rPr>
              <w:t xml:space="preserve"> for example, participants were shown how to perform the behaviour such as healthy eating being shown through healthy cooking methods/portion sizes.</w:t>
            </w:r>
          </w:p>
        </w:tc>
      </w:tr>
      <w:tr w:rsidR="00ED4513" w:rsidRPr="00103A0B" w14:paraId="7DD30DAD" w14:textId="77777777" w:rsidTr="00803D36">
        <w:tc>
          <w:tcPr>
            <w:tcW w:w="2830" w:type="dxa"/>
          </w:tcPr>
          <w:p w14:paraId="5173F53A"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sz w:val="20"/>
                <w:szCs w:val="20"/>
              </w:rPr>
              <w:t xml:space="preserve">Reflective motivation </w:t>
            </w:r>
          </w:p>
        </w:tc>
        <w:tc>
          <w:tcPr>
            <w:tcW w:w="6186" w:type="dxa"/>
          </w:tcPr>
          <w:p w14:paraId="68938144"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sz w:val="20"/>
                <w:szCs w:val="20"/>
              </w:rPr>
              <w:t>n/a</w:t>
            </w:r>
          </w:p>
        </w:tc>
      </w:tr>
      <w:tr w:rsidR="00ED4513" w:rsidRPr="00103A0B" w14:paraId="5DBFBC58" w14:textId="77777777" w:rsidTr="00803D36">
        <w:tc>
          <w:tcPr>
            <w:tcW w:w="2830" w:type="dxa"/>
          </w:tcPr>
          <w:p w14:paraId="24C0AF58" w14:textId="77777777" w:rsidR="00ED4513" w:rsidRPr="00103A0B" w:rsidRDefault="00ED4513" w:rsidP="00CD5919">
            <w:pPr>
              <w:spacing w:line="360" w:lineRule="auto"/>
              <w:jc w:val="both"/>
              <w:rPr>
                <w:rFonts w:ascii="Arial" w:hAnsi="Arial" w:cs="Arial"/>
                <w:sz w:val="20"/>
                <w:szCs w:val="20"/>
              </w:rPr>
            </w:pPr>
            <w:r w:rsidRPr="00103A0B">
              <w:rPr>
                <w:rFonts w:ascii="Arial" w:hAnsi="Arial" w:cs="Arial"/>
                <w:sz w:val="20"/>
                <w:szCs w:val="20"/>
              </w:rPr>
              <w:t xml:space="preserve">Automatic motivation </w:t>
            </w:r>
          </w:p>
        </w:tc>
        <w:tc>
          <w:tcPr>
            <w:tcW w:w="6186" w:type="dxa"/>
          </w:tcPr>
          <w:p w14:paraId="0F9EE4E4" w14:textId="461767C2" w:rsidR="00ED4513" w:rsidRPr="00103A0B" w:rsidRDefault="00ED4513" w:rsidP="00CD5919">
            <w:pPr>
              <w:spacing w:line="360" w:lineRule="auto"/>
              <w:jc w:val="both"/>
              <w:rPr>
                <w:rFonts w:ascii="Arial" w:hAnsi="Arial" w:cs="Arial"/>
                <w:sz w:val="20"/>
                <w:szCs w:val="20"/>
              </w:rPr>
            </w:pPr>
            <w:r w:rsidRPr="00103A0B">
              <w:rPr>
                <w:rFonts w:ascii="Arial" w:hAnsi="Arial" w:cs="Arial"/>
                <w:i/>
                <w:iCs/>
                <w:sz w:val="20"/>
                <w:szCs w:val="20"/>
              </w:rPr>
              <w:t>Incentives for participation:</w:t>
            </w:r>
            <w:r w:rsidRPr="00103A0B">
              <w:rPr>
                <w:rFonts w:ascii="Arial" w:hAnsi="Arial" w:cs="Arial"/>
                <w:sz w:val="20"/>
                <w:szCs w:val="20"/>
              </w:rPr>
              <w:t xml:space="preserve"> for example, </w:t>
            </w:r>
            <w:r w:rsidRPr="00103A0B">
              <w:rPr>
                <w:rFonts w:ascii="Arial" w:eastAsia="Times New Roman" w:hAnsi="Arial" w:cs="Arial"/>
                <w:sz w:val="20"/>
                <w:szCs w:val="20"/>
                <w:lang w:eastAsia="en-GB"/>
              </w:rPr>
              <w:t>participants were being given cash, gift vouchers or certificates for participating at various points in the programme.</w:t>
            </w:r>
          </w:p>
        </w:tc>
      </w:tr>
    </w:tbl>
    <w:p w14:paraId="3F088F77" w14:textId="1CC2CA5C" w:rsidR="00ED4513" w:rsidRPr="00103A0B" w:rsidRDefault="006F6355" w:rsidP="00CD5919">
      <w:pPr>
        <w:spacing w:line="360" w:lineRule="auto"/>
        <w:jc w:val="both"/>
        <w:rPr>
          <w:rFonts w:ascii="Arial" w:hAnsi="Arial" w:cs="Arial"/>
          <w:sz w:val="20"/>
          <w:szCs w:val="20"/>
        </w:rPr>
      </w:pPr>
      <w:r w:rsidRPr="00103A0B">
        <w:rPr>
          <w:rFonts w:ascii="Arial" w:hAnsi="Arial" w:cs="Arial"/>
          <w:sz w:val="20"/>
          <w:szCs w:val="20"/>
        </w:rPr>
        <w:t>P</w:t>
      </w:r>
      <w:r w:rsidR="00ED4513" w:rsidRPr="00103A0B">
        <w:rPr>
          <w:rFonts w:ascii="Arial" w:hAnsi="Arial" w:cs="Arial"/>
          <w:sz w:val="20"/>
          <w:szCs w:val="20"/>
        </w:rPr>
        <w:t xml:space="preserve">lease note that the numbers assigned at the start of each BCT represent their number in the BCT Taxonomy v1 </w:t>
      </w:r>
      <w:r w:rsidR="00ED4513" w:rsidRPr="00103A0B">
        <w:rPr>
          <w:rFonts w:ascii="Arial" w:hAnsi="Arial" w:cs="Arial"/>
          <w:sz w:val="20"/>
          <w:szCs w:val="20"/>
        </w:rPr>
        <w:fldChar w:fldCharType="begin" w:fldLock="1"/>
      </w:r>
      <w:r w:rsidR="00062570" w:rsidRPr="00103A0B">
        <w:rPr>
          <w:rFonts w:ascii="Arial" w:hAnsi="Arial" w:cs="Arial"/>
          <w:sz w:val="20"/>
          <w:szCs w:val="20"/>
        </w:rPr>
        <w:instrText>ADDIN CSL_CITATION {"citationItems":[{"id":"ITEM-1","itemData":{"DOI":"10.1007/s12160-013-9486-6","ISBN":"0883-6612","ISSN":"08836612","PMID":"23512568","abstract":"BACKGROUND: CONSORT guidelines call for precise reporting of behavior change interventions: we need rigorous methods of characterizing active content of interventions with precision and specificity.\\n\\nOBJECTIVES: The objective of this study is to develop an extensive, consensually agreed hierarchically structured taxonomy of techniques [behavior change techniques (BCTs)] used in behavior change interventions.\\n\\nMETHODS: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assessed.\\n\\nRESULTS: This resulted in 93 BCTs clustered into 16 groups. Of the 26 BCTs occurring at least five times, 23 had adjusted kappas of 0.60 or above.\\n\\nCONCLUSIONS: \"BCT taxonomy v1,\" an extensive taxonomy of 93 consensually agreed, distinct BCTs, offers a step change as a method for specifying interventions, but we anticipate further development and evaluation based on international, interdisciplinary consensus.","author":[{"dropping-particle":"","family":"Michie","given":"Susan","non-dropping-particle":"","parse-names":false,"suffix":""},{"dropping-particle":"","family":"Richardson","given":"Michelle","non-dropping-particle":"","parse-names":false,"suffix":""},{"dropping-particle":"","family":"Johnston","given":"Marie","non-dropping-particle":"","parse-names":false,"suffix":""},{"dropping-particle":"","family":"Abraham","given":"Charles","non-dropping-particle":"","parse-names":false,"suffix":""},{"dropping-particle":"","family":"Francis","given":"Jill","non-dropping-particle":"","parse-names":false,"suffix":""},{"dropping-particle":"","family":"Hardeman","given":"Wendy","non-dropping-particle":"","parse-names":false,"suffix":""},{"dropping-particle":"","family":"Eccles","given":"Martin P.","non-dropping-particle":"","parse-names":false,"suffix":""},{"dropping-particle":"","family":"Cane","given":"James","non-dropping-particle":"","parse-names":false,"suffix":""},{"dropping-particle":"","family":"Wood","given":"Caroline E.","non-dropping-particle":"","parse-names":false,"suffix":""}],"container-title":"Annals of Behavioral Medicine","id":"ITEM-1","issue":"1","issued":{"date-parts":[["2013"]]},"page":"81-95","title":"The behavior change technique taxonomy (v1) of 93 hierarchically clustered techniques: building an international consensus for the reporting of behavior change interventions","type":"article-journal","volume":"46"},"uris":["http://www.mendeley.com/documents/?uuid=68bb257f-2ddf-4a99-bd79-a2640572189d"]}],"mendeley":{"formattedCitation":"(Susan Michie et al., 2013)","manualFormatting":"(Michie et al., 2013)","plainTextFormattedCitation":"(Susan Michie et al., 2013)","previouslyFormattedCitation":"(Susan Michie et al., 2013)"},"properties":{"noteIndex":0},"schema":"https://github.com/citation-style-language/schema/raw/master/csl-citation.json"}</w:instrText>
      </w:r>
      <w:r w:rsidR="00ED4513" w:rsidRPr="00103A0B">
        <w:rPr>
          <w:rFonts w:ascii="Arial" w:hAnsi="Arial" w:cs="Arial"/>
          <w:sz w:val="20"/>
          <w:szCs w:val="20"/>
        </w:rPr>
        <w:fldChar w:fldCharType="separate"/>
      </w:r>
      <w:r w:rsidR="00ED4513" w:rsidRPr="00103A0B">
        <w:rPr>
          <w:rFonts w:ascii="Arial" w:hAnsi="Arial" w:cs="Arial"/>
          <w:noProof/>
          <w:sz w:val="20"/>
          <w:szCs w:val="20"/>
        </w:rPr>
        <w:t>(Michie et al., 2013)</w:t>
      </w:r>
      <w:r w:rsidR="00ED4513" w:rsidRPr="00103A0B">
        <w:rPr>
          <w:rFonts w:ascii="Arial" w:hAnsi="Arial" w:cs="Arial"/>
          <w:sz w:val="20"/>
          <w:szCs w:val="20"/>
        </w:rPr>
        <w:fldChar w:fldCharType="end"/>
      </w:r>
      <w:r w:rsidR="00ED4513" w:rsidRPr="00103A0B">
        <w:rPr>
          <w:rFonts w:ascii="Arial" w:hAnsi="Arial" w:cs="Arial"/>
          <w:sz w:val="20"/>
          <w:szCs w:val="20"/>
        </w:rPr>
        <w:t>.</w:t>
      </w:r>
    </w:p>
    <w:p w14:paraId="4674A24B" w14:textId="608300CE" w:rsidR="00ED4513" w:rsidRPr="00103A0B" w:rsidRDefault="00ED4513" w:rsidP="00CD5919">
      <w:pPr>
        <w:spacing w:line="360" w:lineRule="auto"/>
        <w:jc w:val="both"/>
        <w:rPr>
          <w:rFonts w:ascii="Arial" w:hAnsi="Arial" w:cs="Arial"/>
          <w:sz w:val="24"/>
          <w:szCs w:val="24"/>
        </w:rPr>
      </w:pPr>
      <w:r w:rsidRPr="00103A0B">
        <w:rPr>
          <w:rFonts w:ascii="Arial" w:hAnsi="Arial" w:cs="Arial"/>
          <w:sz w:val="24"/>
          <w:szCs w:val="24"/>
        </w:rPr>
        <w:t>Table 10 demonstrates how these specific BCTs which were found in high retention DPPs,</w:t>
      </w:r>
      <w:r w:rsidR="006F6355" w:rsidRPr="00103A0B">
        <w:rPr>
          <w:rFonts w:ascii="Arial" w:hAnsi="Arial" w:cs="Arial"/>
          <w:sz w:val="24"/>
          <w:szCs w:val="24"/>
        </w:rPr>
        <w:t xml:space="preserve"> mainly improved physical and psychological capability, and to some extent automatic motivation and social opportunity. </w:t>
      </w:r>
      <w:r w:rsidRPr="00103A0B">
        <w:rPr>
          <w:rFonts w:ascii="Arial" w:hAnsi="Arial" w:cs="Arial"/>
          <w:sz w:val="24"/>
          <w:szCs w:val="24"/>
        </w:rPr>
        <w:t xml:space="preserve">By participants being shown how to perform the ideal behaviour such as healthy eating through healthy cooking methods, and then given the opportunity to practice and rehearse this behaviour as part of the behaviour change strategy, for example by cooking healthy foods, this can lead to </w:t>
      </w:r>
      <w:r w:rsidRPr="00103A0B">
        <w:rPr>
          <w:rFonts w:ascii="Arial" w:hAnsi="Arial" w:cs="Arial"/>
          <w:sz w:val="24"/>
          <w:szCs w:val="24"/>
        </w:rPr>
        <w:lastRenderedPageBreak/>
        <w:t xml:space="preserve">participants feeling more confident and physically capable in making the required lifestyle changes thus encouraging continued attendance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{"citationItems":[{"id":"ITEM-1","itemData":{"author":[{"dropping-particle":"","family":"Dixon","given":"Anna","non-dropping-particle":"","parse-names":false,"suffix":""}],"id":"ITEM-1","issued":{"date-parts":[["2008"]]},"number-of-pages":"1-20","title":"Motivation and confidence : what does it take to change behaviour?","type":"report"},"uris":["http://www.mendeley.com/documents/?uuid=187a6deb-e3d0-4ca7-bb9a-5b915af9201c"]}],"mendeley":{"formattedCitation":"(Dixon, 2008)","plainTextFormattedCitation":"(Dixon, 2008)","previouslyFormattedCitation":"(Dixon, 2008)"},"properties":{"noteIndex":0},"schema":"https://github.com/citation-style-language/schema/raw/master/csl-citation.json"}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(Dixon, 2008)</w:t>
      </w:r>
      <w:r w:rsidRPr="00103A0B">
        <w:rPr>
          <w:rFonts w:ascii="Arial" w:hAnsi="Arial" w:cs="Arial"/>
          <w:sz w:val="24"/>
          <w:szCs w:val="24"/>
        </w:rPr>
        <w:fldChar w:fldCharType="end"/>
      </w:r>
      <w:r w:rsidRPr="00103A0B">
        <w:rPr>
          <w:rFonts w:ascii="Arial" w:hAnsi="Arial" w:cs="Arial"/>
          <w:sz w:val="24"/>
          <w:szCs w:val="24"/>
        </w:rPr>
        <w:t>.</w:t>
      </w:r>
    </w:p>
    <w:p w14:paraId="0382FDD4" w14:textId="77777777" w:rsidR="00ED4513" w:rsidRPr="00103A0B" w:rsidRDefault="00ED4513" w:rsidP="00CD5919">
      <w:pPr>
        <w:spacing w:line="360" w:lineRule="auto"/>
        <w:jc w:val="both"/>
        <w:rPr>
          <w:rFonts w:ascii="Arial" w:hAnsi="Arial" w:cs="Arial"/>
          <w:sz w:val="24"/>
          <w:szCs w:val="24"/>
        </w:rPr>
      </w:pPr>
      <w:r w:rsidRPr="00103A0B">
        <w:rPr>
          <w:rFonts w:ascii="Arial" w:hAnsi="Arial" w:cs="Arial"/>
          <w:sz w:val="24"/>
          <w:szCs w:val="24"/>
        </w:rPr>
        <w:t xml:space="preserve">By using problem solving as a BCT where participants are asked to identify barriers to making lifestyle changes, for example by using activity logs, and devising strategies to overcome them, this can increase their cognitive ability and psychological capability in overcoming lifestyle challenges when faced with them. This BCT is important for improving retention as it allows participants to have an active involvement in making the desired changes, which can encourage them to continue with group-based weight management programmes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Gidlow","given":"C.","non-dropping-particle":"","parse-names":false,"suffix":""},{"dropping-particle":"","family":"Povey","given":"R.","non-dropping-particle":"","parse-names":false,"suffix":""},{"dropping-particle":"","family":"Ellis","given":"N.","non-dropping-particle":"","parse-names":false,"suffix":""},{"dropping-particle":"","family":"Begum","given":"S.","non-dropping-particle":"","parse-names":false,"suffix":""},{"dropping-particle":"","family":"Riley","given":"V.","non-dropping-particle":"","parse-names":false,"suffix":""},{"dropping-particle":"","family":"Chadwick","given":"P.","non-dropping-particle":"","parse-names":false,"suffix":""},{"dropping-particle":"","family":"Chadborn","given":"T.","non-dropping-particle":"","parse-names":false,"suffix":""},{"dropping-particle":"","family":"Gold","given":"N.","non-dropping-particle":"","parse-names":false,"suffix":""}],"id":"ITEM-1","issued":{"date-parts":[["2018"]]},"number-of-pages":"1-92","title":"Uptake and retention in group-based weight-management services","type":"report"},"uris":["http://www.mendeley.com/documents/?uuid=61411186-5f6d-4d8e-9f1a-27b3c50aa121"]}],"mendeley":{"formattedCitation":"(Gidlow et al., 2018)","plainTextFormattedCitation":"(Gidlow et al., 2018)","previouslyFormattedCitation":"(Gidlow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(Gidlow et al., 2018)</w:t>
      </w:r>
      <w:r w:rsidRPr="00103A0B">
        <w:rPr>
          <w:rFonts w:ascii="Arial" w:hAnsi="Arial" w:cs="Arial"/>
          <w:sz w:val="24"/>
          <w:szCs w:val="24"/>
        </w:rPr>
        <w:fldChar w:fldCharType="end"/>
      </w:r>
      <w:r w:rsidRPr="00103A0B">
        <w:rPr>
          <w:rFonts w:ascii="Arial" w:hAnsi="Arial" w:cs="Arial"/>
          <w:sz w:val="24"/>
          <w:szCs w:val="24"/>
        </w:rPr>
        <w:t xml:space="preserve">. </w:t>
      </w:r>
    </w:p>
    <w:p w14:paraId="535054AE" w14:textId="77D9F7FF" w:rsidR="00ED4513" w:rsidRPr="00103A0B" w:rsidRDefault="00ED4513" w:rsidP="00CD5919">
      <w:pPr>
        <w:spacing w:line="360" w:lineRule="auto"/>
        <w:jc w:val="both"/>
        <w:rPr>
          <w:rFonts w:ascii="Arial" w:eastAsia="Times New Roman" w:hAnsi="Arial" w:cs="Arial"/>
          <w:sz w:val="24"/>
          <w:szCs w:val="24"/>
          <w:lang w:eastAsia="en-GB"/>
        </w:rPr>
      </w:pPr>
      <w:r w:rsidRPr="00103A0B">
        <w:rPr>
          <w:rFonts w:ascii="Arial" w:hAnsi="Arial" w:cs="Arial"/>
          <w:sz w:val="24"/>
          <w:szCs w:val="24"/>
        </w:rPr>
        <w:t xml:space="preserve">When participants were asked to reduce their negative emotions through stress-management and finding ways to reduce stress, this can increase their psychological capability in managing their emotions whilst participating in DPPs, as they are given the correct tools to deal with any negative emotions when making lifestyle changes. This can increase motivation to change which can help encourage them to complete DPPs </w:t>
      </w:r>
      <w:r w:rsidRPr="00103A0B">
        <w:rPr>
          <w:rFonts w:ascii="Arial" w:hAnsi="Arial" w:cs="Arial"/>
          <w:sz w:val="24"/>
          <w:szCs w:val="24"/>
        </w:rPr>
        <w:fldChar w:fldCharType="begin" w:fldLock="1"/>
      </w:r>
      <w:r w:rsidR="00AF410C" w:rsidRPr="00103A0B">
        <w:rPr>
          <w:rFonts w:ascii="Arial" w:hAnsi="Arial" w:cs="Arial"/>
          <w:sz w:val="24"/>
          <w:szCs w:val="24"/>
        </w:rPr>
        <w:instrText>ADDIN CSL_CITATION {"citationItems":[{"id":"ITEM-1","itemData":{"DOI":"http://dx.doi.org/10.1037/a0030259","author":[{"dropping-particle":"","family":"DeSteno","given":"David","non-dropping-particle":"","parse-names":false,"suffix":""},{"dropping-particle":"","family":"Gross","given":"James J","non-dropping-particle":"","parse-names":false,"suffix":""},{"dropping-particle":"","family":"Kubzansky","given":"Laura","non-dropping-particle":"","parse-names":false,"suffix":""}],"container-title":"Health Psychology","id":"ITEM-1","issue":"5","issued":{"date-parts":[["2013"]]},"page":"474-486","title":"Affective science and health: the importance of emotion and emotion regulation","type":"article-journal","volume":"32"},"uris":["http://www.mendeley.com/documents/?uuid=4c9605fa-4fc2-4fc3-b35c-2af17121daeb"]},{"id":"ITEM-2","itemData":{"author":[{"dropping-particle":"","family":"Dixon","given":"Anna","non-dropping-particle":"","parse-names":false,"suffix":""}],"id":"ITEM-2","issued":{"date-parts":[["2008"]]},"number-of-pages":"1-20","title":"Motivation and confidence : what does it take to change behaviour?","type":"report"},"uris":["http://www.mendeley.com/documents/?uuid=187a6deb-e3d0-4ca7-bb9a-5b915af9201c"]}],"mendeley":{"formattedCitation":"(DeSteno et al., 2013; Dixon, 2008)","plainTextFormattedCitation":"(DeSteno et al., 2013; Dixon, 2008)","previouslyFormattedCitation":"(DeSteno et al., 2013; Dixon, 2008)"},"properties":{"noteIndex":0},"schema":"https://github.com/citation-style-language/schema/raw/master/csl-citation.json"}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(DeSteno et al., 2013; Dixon, 2008)</w:t>
      </w:r>
      <w:r w:rsidRPr="00103A0B">
        <w:rPr>
          <w:rFonts w:ascii="Arial" w:hAnsi="Arial" w:cs="Arial"/>
          <w:sz w:val="24"/>
          <w:szCs w:val="24"/>
        </w:rPr>
        <w:fldChar w:fldCharType="end"/>
      </w:r>
      <w:r w:rsidRPr="00103A0B">
        <w:rPr>
          <w:rFonts w:ascii="Arial" w:hAnsi="Arial" w:cs="Arial"/>
          <w:sz w:val="24"/>
          <w:szCs w:val="24"/>
        </w:rPr>
        <w:t xml:space="preserve">. </w:t>
      </w:r>
      <w:r w:rsidRPr="00103A0B">
        <w:rPr>
          <w:rFonts w:ascii="Arial" w:eastAsia="Times New Roman" w:hAnsi="Arial" w:cs="Arial"/>
          <w:sz w:val="24"/>
          <w:szCs w:val="24"/>
          <w:lang w:eastAsia="en-GB"/>
        </w:rPr>
        <w:t xml:space="preserve">Although providing incentives for participation is a technique that did not fit with the BCT taxonomy, by offering incentives which can be non-monetary as a reward for participating at different points in the programme, this can motivate participants to continue attending and complete DPPs. </w:t>
      </w:r>
    </w:p>
    <w:p w14:paraId="6D05BE3B" w14:textId="1EEE9E55" w:rsidR="006F6355" w:rsidRPr="00103A0B" w:rsidRDefault="006F6355" w:rsidP="005D22A4">
      <w:pPr>
        <w:spacing w:line="360" w:lineRule="auto"/>
        <w:jc w:val="both"/>
        <w:rPr>
          <w:rFonts w:ascii="Arial" w:hAnsi="Arial" w:cs="Arial"/>
          <w:sz w:val="24"/>
          <w:szCs w:val="24"/>
        </w:rPr>
      </w:pPr>
      <w:r w:rsidRPr="00103A0B">
        <w:rPr>
          <w:rFonts w:ascii="Arial" w:eastAsia="Times New Roman" w:hAnsi="Arial" w:cs="Arial"/>
          <w:sz w:val="24"/>
          <w:szCs w:val="24"/>
          <w:lang w:eastAsia="en-GB"/>
        </w:rPr>
        <w:t xml:space="preserve">To summarise, physical and psychological capability in engaging with lifestyle behaviour change programmes can be increased by demonstrating and rehearsing the health behaviour, informing participants how to solve </w:t>
      </w:r>
      <w:proofErr w:type="gramStart"/>
      <w:r w:rsidRPr="00103A0B">
        <w:rPr>
          <w:rFonts w:ascii="Arial" w:eastAsia="Times New Roman" w:hAnsi="Arial" w:cs="Arial"/>
          <w:sz w:val="24"/>
          <w:szCs w:val="24"/>
          <w:lang w:eastAsia="en-GB"/>
        </w:rPr>
        <w:t>problems</w:t>
      </w:r>
      <w:proofErr w:type="gramEnd"/>
      <w:r w:rsidRPr="00103A0B">
        <w:rPr>
          <w:rFonts w:ascii="Arial" w:eastAsia="Times New Roman" w:hAnsi="Arial" w:cs="Arial"/>
          <w:sz w:val="24"/>
          <w:szCs w:val="24"/>
          <w:lang w:eastAsia="en-GB"/>
        </w:rPr>
        <w:t xml:space="preserve"> and educating them how to reduce any negative emotions when faced with lifestyle behaviour change challenges.</w:t>
      </w:r>
      <w:r w:rsidR="00877D8D" w:rsidRPr="00103A0B">
        <w:rPr>
          <w:rFonts w:ascii="Arial" w:eastAsia="Times New Roman" w:hAnsi="Arial" w:cs="Arial"/>
          <w:sz w:val="24"/>
          <w:szCs w:val="24"/>
          <w:lang w:eastAsia="en-GB"/>
        </w:rPr>
        <w:t xml:space="preserve"> </w:t>
      </w:r>
      <w:r w:rsidRPr="00103A0B">
        <w:rPr>
          <w:rFonts w:ascii="Arial" w:eastAsia="Times New Roman" w:hAnsi="Arial" w:cs="Arial"/>
          <w:sz w:val="24"/>
          <w:szCs w:val="24"/>
          <w:lang w:eastAsia="en-GB"/>
        </w:rPr>
        <w:t xml:space="preserve">When physical and psychological capability is increased, together with providing incentives for participating, and demonstrating the behaviour, this can increase opportunities and motivation to make the required lifestyle changes, thus increasing motivation to remain in and complete DPPs.  </w:t>
      </w:r>
    </w:p>
    <w:p w14:paraId="21E46381" w14:textId="52E2DF92" w:rsidR="00ED4513" w:rsidRPr="00103A0B" w:rsidRDefault="00ED4513" w:rsidP="00CD5919">
      <w:pPr>
        <w:spacing w:line="36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Although the programme specification for the NHSDPP recommends that problem solving and behavioural practice/rehearsal should be included in the programme design of each of the four NHSDPP providers, reducing negative emotions and demonstration of behaviour is not specified </w:t>
      </w:r>
      <w:r w:rsidRPr="00103A0B">
        <w:rPr>
          <w:rFonts w:ascii="Arial" w:eastAsia="Times New Roman" w:hAnsi="Arial" w:cs="Arial"/>
          <w:sz w:val="24"/>
          <w:szCs w:val="24"/>
          <w:lang w:eastAsia="en-GB"/>
        </w:rPr>
        <w:fldChar w:fldCharType="begin" w:fldLock="1"/>
      </w:r>
      <w:r w:rsidR="007C66BC" w:rsidRPr="00103A0B">
        <w:rPr>
          <w:rFonts w:ascii="Arial" w:eastAsia="Times New Roman" w:hAnsi="Arial" w:cs="Arial"/>
          <w:sz w:val="24"/>
          <w:szCs w:val="24"/>
          <w:lang w:eastAsia="en-GB"/>
        </w:rPr>
        <w:instrText>ADDIN CSL_CITATION {"citationItems":[{"id":"ITEM-1","itemData":{"DOI":"10.1111/dme.14201","ISSN":"14645491","PMID":"31808578","abstract":"Aims: To assess fidelity of the Healthier You: NHS Diabetes Prevention Programme (NHS-DPP), a behavioural intervention for people in England at high risk of developing type 2 diabetes, to the specified programme features. Methods: Document analysis of the NHS-DPP programme specification, including National Institute for Health and Care Excellence (NICE) PH38 diabetes prevention guidance. This was compared with the intervention design (framework response documents and programme manuals) from all four independent providers delivering the NHS-DPP. Documents were coded using the Template for Intervention Description and Replication framework (describing service parameters) and the Behaviour Change Technique Taxonomy v1. Results: Providers demonstrated good fidelity to service parameters of the NHS-DPP. The NHS-DPP specification indicated 19 unique behaviour change techniques. Framework responses for the four providers contained between 24 and 32 distinct behaviour change techniques, and programme manuals contained between 23 and 45 distinct behaviour change techniques, indicating variation in behaviour change content between providers’ intervention documents. Thus, each provider planned to deliver 74% of the unique behaviour change techniques specified, and a large amount of behaviour change content not mandated. Conclusions: There is good fidelity to the specified service parameters of the NHS-DPP; however, the four providers planned to deliver approximately three-quarters of behaviour change techniques specified by the NHS-DPP. Given that behaviour change techniques are the ‘active ingredients’ of interventions, and some of these techniques in the programme manuals may be missed in practice, this highlights possible limitations with fidelity to the NHS-DPP programme specification at the intervention design stage.","author":[{"dropping-particle":"","family":"Hawkes","given":"R. E.","non-dropping-particle":"","parse-names":false,"suffix":""},{"dropping-particle":"","family":"Cameron","given":"E.","non-dropping-particle":"","parse-names":false,"suffix":""},{"dropping-particle":"","family":"Bower","given":"P.","non-dropping-particle":"","parse-names":false,"suffix":""},{"dropping-particle":"","family":"French","given":"D. P.","non-dropping-particle":"","parse-names":false,"suffix":""}],"container-title":"Diabetic Medicine","id":"ITEM-1","issue":"8","issued":{"date-parts":[["2020"]]},"page":"1357-1366","title":"Does the design of the NHS diabetes prevention programme intervention have fidelity to the programme specification? a document analysis","type":"article-journal","volume":"37"},"uris":["http://www.mendeley.com/documents/?uuid=8d06e7d9-1dc1-4b76-b5a1-67c7d13659b4"]}],"mendeley":{"formattedCitation":"(R. E. Hawkes et al., 2020)","manualFormatting":"(Hawkes et al., 2020)","plainTextFormattedCitation":"(R. E. Hawkes et al., 2020)","previouslyFormattedCitation":"(R. E. Hawkes et al., 2020)"},"properties":{"noteIndex":0},"schema":"https://github.com/citation-style-language/schema/raw/master/csl-citation.json"}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(Hawkes et al., 2020)</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w:t>
      </w:r>
      <w:r w:rsidR="005D22A4" w:rsidRPr="00103A0B">
        <w:rPr>
          <w:rFonts w:ascii="Arial" w:eastAsia="Times New Roman" w:hAnsi="Arial" w:cs="Arial"/>
          <w:sz w:val="24"/>
          <w:szCs w:val="24"/>
          <w:lang w:eastAsia="en-GB"/>
        </w:rPr>
        <w:t>However, the current</w:t>
      </w:r>
      <w:r w:rsidRPr="00103A0B">
        <w:rPr>
          <w:rFonts w:ascii="Arial" w:eastAsia="Times New Roman" w:hAnsi="Arial" w:cs="Arial"/>
          <w:sz w:val="24"/>
          <w:szCs w:val="24"/>
          <w:lang w:eastAsia="en-GB"/>
        </w:rPr>
        <w:t xml:space="preserve"> research links these BCTs with high retention in DPPs, making them an </w:t>
      </w:r>
      <w:r w:rsidRPr="00103A0B">
        <w:rPr>
          <w:rFonts w:ascii="Arial" w:eastAsia="Times New Roman" w:hAnsi="Arial" w:cs="Arial"/>
          <w:sz w:val="24"/>
          <w:szCs w:val="24"/>
          <w:lang w:eastAsia="en-GB"/>
        </w:rPr>
        <w:lastRenderedPageBreak/>
        <w:t xml:space="preserve">important consideration for the NHSDPP (Chapter 2). Furthermore, research has found that NHSDPP providers were not training their staff in all key BCTs detailed in their programme plans, as they were only trained in 66% of specified BCTs </w:t>
      </w:r>
      <w:r w:rsidRPr="00103A0B">
        <w:rPr>
          <w:rFonts w:ascii="Arial" w:eastAsia="Times New Roman" w:hAnsi="Arial" w:cs="Arial"/>
          <w:sz w:val="24"/>
          <w:szCs w:val="24"/>
          <w:lang w:eastAsia="en-GB"/>
        </w:rPr>
        <w:fldChar w:fldCharType="begin" w:fldLock="1"/>
      </w:r>
      <w:r w:rsidR="008E0722" w:rsidRPr="00103A0B">
        <w:rPr>
          <w:rFonts w:ascii="Arial" w:eastAsia="Times New Roman" w:hAnsi="Arial" w:cs="Arial"/>
          <w:sz w:val="24"/>
          <w:szCs w:val="24"/>
          <w:lang w:eastAsia="en-GB"/>
        </w:rPr>
        <w:instrText>ADDIN CSL_CITATION {"citationItems":[{"id":"ITEM-1","itemData":{"DOI":"10.1007/s12529-021-09961-5","ISBN":"0123456789","ISSN":"15327558","abstract":"Background: The National Health Service Diabetes Prevention Programme (NHS-DPP) is a behavioural intervention for people identified as high risk for developing type 2 diabetes that has been rolled out across England. The present study evaluates whether the four commercial providers of the NHS-DPP train staff to deliver behaviour change technique (BCT) content with fidelity to intervention plans. Method: One set of mandatory training courses across the four NHS-DPP providers (seven courses across 13 days) was audio-recorded, and all additional training materials used were collected. Recordings and training materials were coded for BCT content using the BCT Taxonomy v1. BCTs and depth of training (e.g. instruction, demonstration, practice) of BCT content was checked against providers’ intervention plans. Results: Ten trainers and 78 trainees were observed, and 12 documents examined. The number of unique BCTs in audio recordings and associated training materials ranged from 19 to 44 across providers, and staff were trained in 53 unique BCTs across the whole NHS-DPP. Staff were trained in 66% of BCTs that were in intervention plans, though two providers trained staff in approximately half of BCTs to be delivered. The most common way that staff were trained in BCT delivery was through instruction. Training delivery style (e.g. experiential versus educational) varied between providers. Conclusion: Observed training evidences dilution from providers’ intervention plans. NHS-DPP providers should review their training to ensure staff are trained in all key intervention components, ensuring thorough training of BCTs (e.g. demonstrating and practicing how to deliver) to enhance BCT delivery.","author":[{"dropping-particle":"","family":"Hawkes","given":"Rhiannon E.","non-dropping-particle":"","parse-names":false,"suffix":""},{"dropping-particle":"","family":"Cameron","given":"Elaine","non-dropping-particle":"","parse-names":false,"suffix":""},{"dropping-particle":"","family":"Miles","given":"Lisa M.","non-dropping-particle":"","parse-names":false,"suffix":""},{"dropping-particle":"","family":"French","given":"David P.","non-dropping-particle":"","parse-names":false,"suffix":""}],"container-title":"International Journal of Behavioral Medicine","id":"ITEM-1","issued":{"date-parts":[["2021"]]},"publisher":"Springer US","title":"The fidelity of training in behaviour change techniques to intervention design in a national diabetes prevention programme","type":"article-journal"},"uris":["http://www.mendeley.com/documents/?uuid=6269a573-61d2-46dd-be44-68219ffed334"]}],"mendeley":{"formattedCitation":"(Rhiannon E. Hawkes et al., 2021)","manualFormatting":"(Hawkes, Cameron, et al., 2021)","plainTextFormattedCitation":"(Rhiannon E. Hawkes et al., 2021)","previouslyFormattedCitation":"(Rhiannon E. Hawkes et al., 2021)"},"properties":{"noteIndex":0},"schema":"https://github.com/citation-style-language/schema/raw/master/csl-citation.json"}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(Hawkes, Cameron, et al., 2021)</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Training staff in all key BCTs will ensure those commonly found in high retention studies (Chapter 2) are implemented in practice. Other research found considerable under-delivery of BCTs designed to improve self-regulation of behaviour, such as problem solving, which was the least commonly used </w:t>
      </w:r>
      <w:r w:rsidRPr="00103A0B">
        <w:rPr>
          <w:rFonts w:ascii="Arial" w:eastAsia="Times New Roman" w:hAnsi="Arial" w:cs="Arial"/>
          <w:sz w:val="24"/>
          <w:szCs w:val="24"/>
          <w:lang w:eastAsia="en-GB"/>
        </w:rPr>
        <w:fldChar w:fldCharType="begin" w:fldLock="1"/>
      </w:r>
      <w:r w:rsidR="00AF410C" w:rsidRPr="00103A0B">
        <w:rPr>
          <w:rFonts w:ascii="Arial" w:eastAsia="Times New Roman" w:hAnsi="Arial" w:cs="Arial"/>
          <w:sz w:val="24"/>
          <w:szCs w:val="24"/>
          <w:lang w:eastAsia="en-GB"/>
        </w:rPr>
        <w:instrText>ADDIN CSL_CITATION {"citationItems":[{"id":"ITEM-1","itemData":{"DOI":"10.1093/abm/kaaa108","ISSN":"0883-6612","abstract":"BACKGROUND: The NHS Diabetes Prevention Programme (NHS-DPP) has been delivered by four commercial organizations across England, to prevent people with impaired glucose tolerance developing Type 2 diabetes. Evidence reviews underpinning the NHS-DPP design specification identified 19 Behavior Change Techniques (BCTs) that are the intervention &amp;quot;active ingredients.&amp;quot; It is important to understand the discrepancies between BCTs specified in design and BCTs actually delivered. PURPOSE: To compare observed fidelity of delivery of BCTs that were delivered to (a) the NHS-DPP design specification, and (b) the programme manuals of four provider organizations. METHODS: Audio-recordings were made of complete delivery of NHS-DPP courses at eight diverse sites (two courses per provider organization). The eight courses consisted of 111 group sessions, with 409 patients and 35 facilitators. BCT Taxonomy v1 was used to reliably code the contents of NHS-DPP design specification documents, programme manuals for each provider organization, and observed NHS-DPP group sessions. RESULTS: The NHS-DPP design specification indicated 19 BCTs that should be delivered, whereas only seven (37%) were delivered during the programme in all eight courses. By contrast, between 70% and 89% of BCTs specified in programme manuals were delivered. There was substantial under-delivery of BCTs that were designed to improve self-regulation of behavior, for example, those involving problem solving and self-monitoring of behavior. CONCLUSIONS: A lack of fidelity in delivery to the underlying evidence base was apparent, due to poor translation of design specification to programme manuals. By contrast, the fidelity of delivery to the programme manuals was relatively good. Future commissioning should focus on ensuring the evidence base is more accurately translated into the programme manual contents.","author":[{"dropping-particle":"","family":"French","given":"David P","non-dropping-particle":"","parse-names":false,"suffix":""},{"dropping-particle":"","family":"Hawkes","given":"Rhiannon E","non-dropping-particle":"","parse-names":false,"suffix":""},{"dropping-particle":"","family":"Bower","given":"Peter","non-dropping-particle":"","parse-names":false,"suffix":""},{"dropping-particle":"","family":"Cameron","given":"Elaine","non-dropping-particle":"","parse-names":false,"suffix":""}],"container-title":"Annals of Behavioral Medicine","id":"ITEM-1","issued":{"date-parts":[["2021"]]},"page":"1-12","title":"Is the NHS diabetes prevention programme intervention delivered as planned? an observational study of fidelity of intervention delivery","type":"article-journal","volume":"XX"},"uris":["http://www.mendeley.com/documents/?uuid=4b8c9bab-6c33-4d8d-b2cc-6c8710b39a76"]}],"mendeley":{"formattedCitation":"(French et al., 2021)","plainTextFormattedCitation":"(French et al., 2021)","previouslyFormattedCitation":"(French et al., 2021)"},"properties":{"noteIndex":0},"schema":"https://github.com/citation-style-language/schema/raw/master/csl-citation.json"}</w:instrText>
      </w:r>
      <w:r w:rsidRPr="00103A0B">
        <w:rPr>
          <w:rFonts w:ascii="Arial" w:eastAsia="Times New Roman" w:hAnsi="Arial" w:cs="Arial"/>
          <w:sz w:val="24"/>
          <w:szCs w:val="24"/>
          <w:lang w:eastAsia="en-GB"/>
        </w:rPr>
        <w:fldChar w:fldCharType="separate"/>
      </w:r>
      <w:r w:rsidRPr="00103A0B">
        <w:rPr>
          <w:rFonts w:ascii="Arial" w:eastAsia="Times New Roman" w:hAnsi="Arial" w:cs="Arial"/>
          <w:noProof/>
          <w:sz w:val="24"/>
          <w:szCs w:val="24"/>
          <w:lang w:eastAsia="en-GB"/>
        </w:rPr>
        <w:t>(French et al., 2021)</w:t>
      </w:r>
      <w:r w:rsidRPr="00103A0B">
        <w:rPr>
          <w:rFonts w:ascii="Arial" w:eastAsia="Times New Roman" w:hAnsi="Arial" w:cs="Arial"/>
          <w:sz w:val="24"/>
          <w:szCs w:val="24"/>
          <w:lang w:eastAsia="en-GB"/>
        </w:rPr>
        <w:fldChar w:fldCharType="end"/>
      </w:r>
      <w:r w:rsidRPr="00103A0B">
        <w:rPr>
          <w:rFonts w:ascii="Arial" w:eastAsia="Times New Roman" w:hAnsi="Arial" w:cs="Arial"/>
          <w:sz w:val="24"/>
          <w:szCs w:val="24"/>
          <w:lang w:eastAsia="en-GB"/>
        </w:rPr>
        <w:t xml:space="preserve">. This should be considered and incorporated within the NHSDPP particularly as it was found problem solving was one of the BCTs commonly found in high retention programmes (Chapter 2).  </w:t>
      </w:r>
    </w:p>
    <w:p w14:paraId="029C8E94" w14:textId="7F5A62CE" w:rsidR="005D22A4" w:rsidRPr="00103A0B" w:rsidRDefault="005D22A4" w:rsidP="005D22A4">
      <w:pPr>
        <w:autoSpaceDE w:val="0"/>
        <w:autoSpaceDN w:val="0"/>
        <w:adjustRightInd w:val="0"/>
        <w:spacing w:after="0" w:line="360" w:lineRule="auto"/>
        <w:rPr>
          <w:rFonts w:ascii="Arial" w:eastAsia="Times New Roman" w:hAnsi="Arial" w:cs="Arial"/>
          <w:b/>
          <w:bCs/>
          <w:sz w:val="24"/>
          <w:szCs w:val="24"/>
          <w:lang w:eastAsia="en-GB"/>
        </w:rPr>
      </w:pPr>
      <w:r w:rsidRPr="00103A0B">
        <w:rPr>
          <w:rFonts w:ascii="Arial" w:eastAsia="Times New Roman" w:hAnsi="Arial" w:cs="Arial"/>
          <w:b/>
          <w:bCs/>
          <w:sz w:val="24"/>
          <w:szCs w:val="24"/>
          <w:lang w:eastAsia="en-GB"/>
        </w:rPr>
        <w:t>8.3.2 Illness Perceptions and the Common-Sense Model</w:t>
      </w:r>
    </w:p>
    <w:p w14:paraId="51CA0063" w14:textId="0B0D42F3" w:rsidR="00ED4513" w:rsidRPr="00103A0B" w:rsidRDefault="00ED4513" w:rsidP="00CD5919">
      <w:pPr>
        <w:autoSpaceDE w:val="0"/>
        <w:autoSpaceDN w:val="0"/>
        <w:adjustRightInd w:val="0"/>
        <w:spacing w:after="0" w:line="360" w:lineRule="auto"/>
        <w:jc w:val="both"/>
        <w:rPr>
          <w:rFonts w:ascii="Arial" w:hAnsi="Arial" w:cs="Arial"/>
          <w:sz w:val="24"/>
          <w:szCs w:val="24"/>
        </w:rPr>
      </w:pPr>
      <w:r w:rsidRPr="00103A0B">
        <w:rPr>
          <w:rFonts w:ascii="Arial" w:eastAsia="Times New Roman" w:hAnsi="Arial" w:cs="Arial"/>
          <w:sz w:val="24"/>
          <w:szCs w:val="24"/>
          <w:lang w:eastAsia="en-GB"/>
        </w:rPr>
        <w:t xml:space="preserve">Illness perceptions are an example of individual-level factors that can predict uptake and retention in health prevention programmes. </w:t>
      </w:r>
      <w:r w:rsidRPr="00103A0B">
        <w:rPr>
          <w:rFonts w:ascii="Arial" w:hAnsi="Arial" w:cs="Arial"/>
          <w:sz w:val="24"/>
          <w:szCs w:val="24"/>
        </w:rPr>
        <w:t xml:space="preserve">Illness perceptions are central to the Common-Sense Model (CSM) (Leventhal, 1970; Leventhal et al., 1992, 1980). The CSM model provides a theoretical basis to allow </w:t>
      </w:r>
      <w:r w:rsidR="005D22A4" w:rsidRPr="00103A0B">
        <w:rPr>
          <w:rFonts w:ascii="Arial" w:hAnsi="Arial" w:cs="Arial"/>
          <w:sz w:val="24"/>
          <w:szCs w:val="24"/>
        </w:rPr>
        <w:t xml:space="preserve">individuals’ </w:t>
      </w:r>
      <w:r w:rsidRPr="00103A0B">
        <w:rPr>
          <w:rFonts w:ascii="Arial" w:hAnsi="Arial" w:cs="Arial"/>
          <w:sz w:val="24"/>
          <w:szCs w:val="24"/>
        </w:rPr>
        <w:t xml:space="preserve">emotional and cognitive responses to a health threat to be explored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Leventhal","given":"Howard","non-dropping-particle":"","parse-names":false,"suffix":""},{"dropping-particle":"","family":"Meyer","given":"D.","non-dropping-particle":"","parse-names":false,"suffix":""},{"dropping-particle":"","family":"Nerenz","given":"D.","non-dropping-particle":"","parse-names":false,"suffix":""}],"container-title":"Contributions to medical psychology","editor":[{"dropping-particle":"","family":"Rachman","given":"S","non-dropping-particle":"","parse-names":false,"suffix":""}],"id":"ITEM-1","issued":{"date-parts":[["1980"]]},"page":"7-30","publisher":"Pergamon Press","publisher-place":"New York","title":"The common sense representation of illness danger","type":"chapter"},"uris":["http://www.mendeley.com/documents/?uuid=8d542582-e3f1-4d90-810a-88e1832aca9d"]}],"mendeley":{"formattedCitation":"(Leventhal et al., 1980)","plainTextFormattedCitation":"(Leventhal et al., 1980)","previouslyFormattedCitation":"(Leventhal et al., 1980)"},"properties":{"noteIndex":0},"schema":"https://github.com/citation-style-language/schema/raw/master/csl-citation.json"}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(Leventhal et al., 1980)</w:t>
      </w:r>
      <w:r w:rsidRPr="00103A0B">
        <w:rPr>
          <w:rFonts w:ascii="Arial" w:hAnsi="Arial" w:cs="Arial"/>
          <w:sz w:val="24"/>
          <w:szCs w:val="24"/>
        </w:rPr>
        <w:fldChar w:fldCharType="end"/>
      </w:r>
      <w:r w:rsidRPr="00103A0B">
        <w:rPr>
          <w:rFonts w:ascii="Arial" w:hAnsi="Arial" w:cs="Arial"/>
          <w:sz w:val="24"/>
          <w:szCs w:val="24"/>
        </w:rPr>
        <w:t xml:space="preserve">. </w:t>
      </w:r>
      <w:r w:rsidRPr="00103A0B">
        <w:rPr>
          <w:rFonts w:ascii="Arial" w:eastAsia="Times New Roman" w:hAnsi="Arial" w:cs="Arial"/>
          <w:sz w:val="24"/>
          <w:szCs w:val="24"/>
          <w:lang w:eastAsia="en-GB"/>
        </w:rPr>
        <w:t>The CSM is a health-specific model which has</w:t>
      </w:r>
      <w:r w:rsidRPr="00103A0B">
        <w:rPr>
          <w:rFonts w:ascii="Arial" w:hAnsi="Arial" w:cs="Arial"/>
          <w:sz w:val="24"/>
          <w:szCs w:val="24"/>
        </w:rPr>
        <w:t xml:space="preserve"> three main components. Firstly, individuals generate cognitive representations and emotional responses when they are faced with a health threat or illness and are trying to make sense of these threats or illnesses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Leventhal","given":"Howard","non-dropping-particle":"","parse-names":false,"suffix":""},{"dropping-particle":"","family":"Diefenbach","given":"Michael","non-dropping-particle":"","parse-names":false,"suffix":""},{"dropping-particle":"","family":"Leventhal","given":"Elaine","non-dropping-particle":"","parse-names":false,"suffix":""}],"container-title":"Cognitive Therapy and Research","id":"ITEM-1","issued":{"date-parts":[["1992"]]},"page":"143-163","title":"Illness cognition: using common sense to understand treatment adherence and affect cognition interactions","type":"article-journal","volume":"16"},"uris":["http://www.mendeley.com/documents/?uuid=79d18470-f082-4de3-90dd-2f733bfb03d2"]}],"mendeley":{"formattedCitation":"(Leventhal et al., 1992)","plainTextFormattedCitation":"(Leventhal et al., 1992)","previouslyFormattedCitation":"(Leventhal et al., 1992)"},"properties":{"noteIndex":0},"schema":"https://github.com/citation-style-language/schema/raw/master/csl-citation.json"}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(Leventhal et al., 1992)</w:t>
      </w:r>
      <w:r w:rsidRPr="00103A0B">
        <w:rPr>
          <w:rFonts w:ascii="Arial" w:hAnsi="Arial" w:cs="Arial"/>
          <w:sz w:val="24"/>
          <w:szCs w:val="24"/>
        </w:rPr>
        <w:fldChar w:fldCharType="end"/>
      </w:r>
      <w:r w:rsidRPr="00103A0B">
        <w:rPr>
          <w:rFonts w:ascii="Arial" w:hAnsi="Arial" w:cs="Arial"/>
          <w:sz w:val="24"/>
          <w:szCs w:val="24"/>
        </w:rPr>
        <w:t xml:space="preserve">. Secondly, to cope with this or self-regulate, individuals will make efforts to find ways to manage these cognitions and emotions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Leventhal","given":"Howard","non-dropping-particle":"","parse-names":false,"suffix":""},{"dropping-particle":"","family":"Diefenbach","given":"Michael","non-dropping-particle":"","parse-names":false,"suffix":""},{"dropping-particle":"","family":"Leventhal","given":"Elaine","non-dropping-particle":"","parse-names":false,"suffix":""}],"container-title":"Cognitive Therapy and Research","id":"ITEM-1","issued":{"date-parts":[["1992"]]},"page":"143-163","title":"Illness cognition: using common sense to understand treatment adherence and affect cognition interactions","type":"article-journal","volume":"16"},"uris":["http://www.mendeley.com/documents/?uuid=79d18470-f082-4de3-90dd-2f733bfb03d2"]}],"mendeley":{"formattedCitation":"(Leventhal et al., 1992)","plainTextFormattedCitation":"(Leventhal et al., 1992)","previouslyFormattedCitation":"(Leventhal et al., 1992)"},"properties":{"noteIndex":0},"schema":"https://github.com/citation-style-language/schema/raw/master/csl-citation.json"}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(Leventhal et al., 1992)</w:t>
      </w:r>
      <w:r w:rsidRPr="00103A0B">
        <w:rPr>
          <w:rFonts w:ascii="Arial" w:hAnsi="Arial" w:cs="Arial"/>
          <w:sz w:val="24"/>
          <w:szCs w:val="24"/>
        </w:rPr>
        <w:fldChar w:fldCharType="end"/>
      </w:r>
      <w:r w:rsidRPr="00103A0B">
        <w:rPr>
          <w:rFonts w:ascii="Arial" w:hAnsi="Arial" w:cs="Arial"/>
          <w:sz w:val="24"/>
          <w:szCs w:val="24"/>
        </w:rPr>
        <w:t xml:space="preserve">. These efforts will result in individuals participating in ‘common-sense’ health behaviours such as seeing a doctor, taking </w:t>
      </w:r>
      <w:proofErr w:type="gramStart"/>
      <w:r w:rsidRPr="00103A0B">
        <w:rPr>
          <w:rFonts w:ascii="Arial" w:hAnsi="Arial" w:cs="Arial"/>
          <w:sz w:val="24"/>
          <w:szCs w:val="24"/>
        </w:rPr>
        <w:t>medication</w:t>
      </w:r>
      <w:proofErr w:type="gramEnd"/>
      <w:r w:rsidRPr="00103A0B">
        <w:rPr>
          <w:rFonts w:ascii="Arial" w:hAnsi="Arial" w:cs="Arial"/>
          <w:sz w:val="24"/>
          <w:szCs w:val="24"/>
        </w:rPr>
        <w:t xml:space="preserve"> or attending a DPP that is offered to them after diagnosis.</w:t>
      </w:r>
      <w:r w:rsidR="00127896" w:rsidRPr="00103A0B">
        <w:rPr>
          <w:rFonts w:ascii="Arial" w:hAnsi="Arial" w:cs="Arial"/>
          <w:sz w:val="24"/>
          <w:szCs w:val="24"/>
        </w:rPr>
        <w:t xml:space="preserve"> </w:t>
      </w:r>
      <w:r w:rsidRPr="00103A0B">
        <w:rPr>
          <w:rFonts w:ascii="Arial" w:hAnsi="Arial" w:cs="Arial"/>
          <w:sz w:val="24"/>
          <w:szCs w:val="24"/>
        </w:rPr>
        <w:t xml:space="preserve">Finally, illness appraisal takes place where individuals evaluate the effectiveness of their coping strategy, which affects cognitions, emotional responses and future selection of coping strategies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Leventhal","given":"Howard","non-dropping-particle":"","parse-names":false,"suffix":""},{"dropping-particle":"","family":"Diefenbach","given":"Michael","non-dropping-particle":"","parse-names":false,"suffix":""},{"dropping-particle":"","family":"Leventhal","given":"Elaine","non-dropping-particle":"","parse-names":false,"suffix":""}],"container-title":"Cognitive Therapy and Research","id":"ITEM-1","issued":{"date-parts":[["1992"]]},"page":"143-163","title":"Illness cognition: using common sense to understand treatment adherence and affect cognition interactions","type":"article-journal","volume":"16"},"uris":["http://www.mendeley.com/documents/?uuid=79d18470-f082-4de3-90dd-2f733bfb03d2"]}],"mendeley":{"formattedCitation":"(Leventhal et al., 1992)","plainTextFormattedCitation":"(Leventhal et al., 1992)","previouslyFormattedCitation":"(Leventhal et al., 1992)"},"properties":{"noteIndex":0},"schema":"https://github.com/citation-style-language/schema/raw/master/csl-citation.json"}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(Leventhal et al., 1992)</w:t>
      </w:r>
      <w:r w:rsidRPr="00103A0B">
        <w:rPr>
          <w:rFonts w:ascii="Arial" w:hAnsi="Arial" w:cs="Arial"/>
          <w:sz w:val="24"/>
          <w:szCs w:val="24"/>
        </w:rPr>
        <w:fldChar w:fldCharType="end"/>
      </w:r>
      <w:r w:rsidRPr="00103A0B">
        <w:rPr>
          <w:rFonts w:ascii="Arial" w:hAnsi="Arial" w:cs="Arial"/>
          <w:sz w:val="24"/>
          <w:szCs w:val="24"/>
        </w:rPr>
        <w:t xml:space="preserve">. </w:t>
      </w:r>
    </w:p>
    <w:p w14:paraId="14987D73" w14:textId="77777777" w:rsidR="00877D8D" w:rsidRPr="00103A0B" w:rsidRDefault="00877D8D" w:rsidP="00CD5919">
      <w:pPr>
        <w:autoSpaceDE w:val="0"/>
        <w:autoSpaceDN w:val="0"/>
        <w:adjustRightInd w:val="0"/>
        <w:spacing w:after="0" w:line="360" w:lineRule="auto"/>
        <w:jc w:val="both"/>
        <w:rPr>
          <w:rFonts w:ascii="Arial" w:hAnsi="Arial" w:cs="Arial"/>
          <w:sz w:val="24"/>
          <w:szCs w:val="24"/>
        </w:rPr>
      </w:pPr>
    </w:p>
    <w:p w14:paraId="6BB40DA6" w14:textId="433CF53A" w:rsidR="00ED4513" w:rsidRPr="00103A0B" w:rsidRDefault="00ED4513" w:rsidP="00CD5919">
      <w:pPr>
        <w:autoSpaceDE w:val="0"/>
        <w:autoSpaceDN w:val="0"/>
        <w:adjustRightInd w:val="0"/>
        <w:spacing w:after="0" w:line="360" w:lineRule="auto"/>
        <w:jc w:val="both"/>
        <w:rPr>
          <w:rFonts w:ascii="Arial" w:hAnsi="Arial" w:cs="Arial"/>
          <w:sz w:val="24"/>
          <w:szCs w:val="24"/>
        </w:rPr>
      </w:pPr>
      <w:r w:rsidRPr="00103A0B">
        <w:rPr>
          <w:rFonts w:ascii="Arial" w:hAnsi="Arial" w:cs="Arial"/>
          <w:sz w:val="24"/>
          <w:szCs w:val="24"/>
        </w:rPr>
        <w:t xml:space="preserve">Illness perceptions (IPs) which are a key part of this model, are cognitive and emotional perceptions individuals have regarding their illness (Leventhal, 1970; Leventhal et al., 1992, 1980). When individuals are first diagnosed with an illness or experience an injury, they develop IPs to make sense of their illness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{"citationItems":[{"id":"ITEM-1","itemData":{"DOI":"10.7861/clinmedicine.6-6-536","ISSN":"14702118","PMID":"17228551","abstract":"Once diagnosed with an illness, patients develop organised patterns of beliefs about their condition Patients' models of their illness are generally composed of five main components: identity, causal beliefs, timeline beliefs, beliefs about control or cure, consequences Patients do not usually spontaneously disclose their illness beliefs in the consultation; these can be assessed rapidly and reliably by the Illness Perception Questionnaire Negative illness perceptions are associated with poorer recovery and increased healthcare use independent of objective measures of illness severity Interventions to change illness perceptions can reduce disability and improve functioning.","author":[{"dropping-particle":"","family":"Petrie","given":"Keith J.","non-dropping-particle":"","parse-names":false,"suffix":""},{"dropping-particle":"","family":"Weinman","given":"John","non-dropping-particle":"","parse-names":false,"suffix":""}],"container-title":"Clinical Medicine","id":"ITEM-1","issue":"6","issued":{"date-parts":[["2006"]]},"page":"536-539","title":"Why illness perceptions matter","type":"article-journal","volume":"6"},"uris":["http://www.mendeley.com/documents/?uuid=63a443f7-283a-48c4-91b4-14e768032717"]}],"mendeley":{"formattedCitation":"(Petrie &amp; Weinman, 2006)","plainTextFormattedCitation":"(Petrie &amp; Weinman, 2006)","previouslyFormattedCitation":"(Petrie &amp; Weinman,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&amp; Weinman, 2006)</w:t>
      </w:r>
      <w:r w:rsidRPr="00103A0B">
        <w:rPr>
          <w:rFonts w:ascii="Arial" w:hAnsi="Arial" w:cs="Arial"/>
          <w:sz w:val="24"/>
          <w:szCs w:val="24"/>
        </w:rPr>
        <w:fldChar w:fldCharType="end"/>
      </w:r>
      <w:r w:rsidRPr="00103A0B">
        <w:rPr>
          <w:rFonts w:ascii="Arial" w:hAnsi="Arial" w:cs="Arial"/>
          <w:sz w:val="24"/>
          <w:szCs w:val="24"/>
        </w:rPr>
        <w:t xml:space="preserve">. These IPs are vital in influencing coping strategies and specific behaviours related to the illness such as treatment adherence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{"citationItems":[{"id":"ITEM-1","itemData":{"DOI":"10.7861/clinmedicine.6-6-536","ISSN":"14702118","PMID":"17228551","abstract":"Once diagnosed with an illness, patients develop organised patterns of beliefs about their condition Patients' models of their illness are generally composed of five main components: identity, causal beliefs, timeline beliefs, beliefs about control or cure, consequences Patients do not usually spontaneously disclose their illness beliefs in the consultation; these can be assessed rapidly and reliably by the Illness Perception Questionnaire Negative illness perceptions are associated with poorer recovery and increased healthcare use independent of objective measures of illness severity Interventions to change illness perceptions can reduce disability and improve functioning.","author":[{"dropping-particle":"","family":"Petrie","given":"Keith J.","non-dropping-particle":"","parse-names":false,"suffix":""},{"dropping-particle":"","family":"Weinman","given":"John","non-dropping-particle":"","parse-names":false,"suffix":""}],"container-title":"Clinical Medicine","id":"ITEM-1","issue":"6","issued":{"date-parts":[["2006"]]},"page":"536-539","title":"Why illness perceptions matter","type":"article-journal","volume":"6"},"uris":["http://www.mendeley.com/documents/?uuid=63a443f7-283a-48c4-91b4-14e768032717"]}],"mendeley":{"formattedCitation":"(Petrie &amp; Weinman, 2006)","plainTextFormattedCitation":"(Petrie &amp; Weinman, 2006)","previouslyFormattedCitation":"(Petrie &amp; Weinman,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 xml:space="preserve">(Petrie &amp; Weinman, </w:t>
      </w:r>
      <w:r w:rsidRPr="00103A0B">
        <w:rPr>
          <w:rFonts w:ascii="Arial" w:hAnsi="Arial" w:cs="Arial"/>
          <w:noProof/>
          <w:sz w:val="24"/>
          <w:szCs w:val="24"/>
        </w:rPr>
        <w:lastRenderedPageBreak/>
        <w:t>2006)</w:t>
      </w:r>
      <w:r w:rsidRPr="00103A0B">
        <w:rPr>
          <w:rFonts w:ascii="Arial" w:hAnsi="Arial" w:cs="Arial"/>
          <w:sz w:val="24"/>
          <w:szCs w:val="24"/>
        </w:rPr>
        <w:fldChar w:fldCharType="end"/>
      </w:r>
      <w:r w:rsidRPr="00103A0B">
        <w:rPr>
          <w:rFonts w:ascii="Arial" w:hAnsi="Arial" w:cs="Arial"/>
          <w:sz w:val="24"/>
          <w:szCs w:val="24"/>
        </w:rPr>
        <w:t xml:space="preserve">.  Illness perceptions consist of five main, broad components including illness beliefs related to: identity, causes, timeline, consequences and control/cure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{"citationItems":[{"id":"ITEM-1","itemData":{"ISSN":"08870446","abstract":"The Illness Perception Questionnaire (IPQ) is a new method for assessing cognitive representations of illness. The IPQ is a theoretically derived measure comprising five scales that provides information about the five components that have been found to underlie the cognitive representation of illness. The five scales assess identity - the symptoms the patient associates with the illness, cause - personal ideas about aetiology, time-line - the perceived duration of the illness, consequences - expected effects and outcome and cure control - how one controls or recovers from the illness. The IPQ has a specific number of core items but allows the user to add items for particular patient groups or health threats. Data is presented supporting the reliability and validity of the IPQ scales in different chronic illness populations.","author":[{"dropping-particle":"","family":"Weinman","given":"John.","non-dropping-particle":"","parse-names":false,"suffix":""},{"dropping-particle":"","family":"Petrie","given":"Keith J.","non-dropping-particle":"","parse-names":false,"suffix":""},{"dropping-particle":"","family":"Moss-Morris","given":"Rona","non-dropping-particle":"","parse-names":false,"suffix":""},{"dropping-particle":"","family":"Horne","given":"Rob","non-dropping-particle":"","parse-names":false,"suffix":""}],"container-title":"Psychology and Health","id":"ITEM-1","issue":"3","issued":{"date-parts":[["1996"]]},"page":"431-445","title":"The illness perception questionnaire: a new method for assessing the cognitive representation of illness","type":"article-journal","volume":"11"},"uris":["http://www.mendeley.com/documents/?uuid=042696dd-59b4-42f9-be46-893b4e2489bb"]},{"id":"ITEM-2","itemData":{"DOI":"10.7861/clinmedicine.6-6-536","ISSN":"14702118","PMID":"17228551","abstract":"Once diagnosed with an illness, patients develop organised patterns of beliefs about their condition Patients' models of their illness are generally composed of five main components: identity, causal beliefs, timeline beliefs, beliefs about control or cure, consequences Patients do not usually spontaneously disclose their illness beliefs in the consultation; these can be assessed rapidly and reliably by the Illness Perception Questionnaire Negative illness perceptions are associated with poorer recovery and increased healthcare use independent of objective measures of illness severity Interventions to change illness perceptions can reduce disability and improve functioning.","author":[{"dropping-particle":"","family":"Petrie","given":"Keith J.","non-dropping-particle":"","parse-names":false,"suffix":""},{"dropping-particle":"","family":"Weinman","given":"John","non-dropping-particle":"","parse-names":false,"suffix":""}],"container-title":"Clinical Medicine","id":"ITEM-2","issue":"6","issued":{"date-parts":[["2006"]]},"page":"536-539","title":"Why illness perceptions matter","type":"article-journal","volume":"6"},"uris":["http://www.mendeley.com/documents/?uuid=63a443f7-283a-48c4-91b4-14e768032717"]}],"mendeley":{"formattedCitation":"(Petrie &amp; Weinman, 2006; Weinman et al., 1996)","plainTextFormattedCitation":"(Petrie &amp; Weinman, 2006; Weinman et al., 1996)","previouslyFormattedCitation":"(Petrie &amp; Weinman, 2006; Weinman et al., 1996)"},"properties":{"noteIndex":0},"schema":"https://github.com/citation-style-language/schema/raw/master/csl-citation.json"}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&amp; Weinman, 2006; Weinman et al., 1996)</w:t>
      </w:r>
      <w:r w:rsidRPr="00103A0B">
        <w:rPr>
          <w:rFonts w:ascii="Arial" w:hAnsi="Arial" w:cs="Arial"/>
          <w:sz w:val="24"/>
          <w:szCs w:val="24"/>
        </w:rPr>
        <w:fldChar w:fldCharType="end"/>
      </w:r>
      <w:r w:rsidRPr="00103A0B">
        <w:rPr>
          <w:rFonts w:ascii="Arial" w:hAnsi="Arial" w:cs="Arial"/>
          <w:sz w:val="24"/>
          <w:szCs w:val="24"/>
        </w:rPr>
        <w:t xml:space="preserve">. </w:t>
      </w:r>
    </w:p>
    <w:p w14:paraId="7ED29D2C" w14:textId="77777777" w:rsidR="005D22A4" w:rsidRPr="00103A0B" w:rsidRDefault="005D22A4" w:rsidP="00CD5919">
      <w:pPr>
        <w:autoSpaceDE w:val="0"/>
        <w:autoSpaceDN w:val="0"/>
        <w:adjustRightInd w:val="0"/>
        <w:spacing w:after="0" w:line="360" w:lineRule="auto"/>
        <w:jc w:val="both"/>
        <w:rPr>
          <w:rFonts w:ascii="Arial" w:hAnsi="Arial" w:cs="Arial"/>
          <w:sz w:val="24"/>
          <w:szCs w:val="24"/>
        </w:rPr>
      </w:pPr>
    </w:p>
    <w:p w14:paraId="47258D0A" w14:textId="47347BE7" w:rsidR="00ED4513" w:rsidRPr="00103A0B" w:rsidRDefault="00ED4513" w:rsidP="00CD5919">
      <w:pPr>
        <w:autoSpaceDE w:val="0"/>
        <w:autoSpaceDN w:val="0"/>
        <w:adjustRightInd w:val="0"/>
        <w:spacing w:after="0" w:line="360" w:lineRule="auto"/>
        <w:jc w:val="both"/>
        <w:rPr>
          <w:rFonts w:ascii="Arial" w:hAnsi="Arial" w:cs="Arial"/>
          <w:sz w:val="24"/>
          <w:szCs w:val="24"/>
        </w:rPr>
      </w:pPr>
      <w:r w:rsidRPr="00103A0B">
        <w:rPr>
          <w:rFonts w:ascii="Arial" w:hAnsi="Arial" w:cs="Arial"/>
          <w:sz w:val="24"/>
          <w:szCs w:val="24"/>
        </w:rPr>
        <w:t xml:space="preserve">Research has found IPs to predict higher uptake and retention/completion in other health preventative programmes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author":[{"dropping-particle":"","family":"Marmarà","given":"Danika","non-dropping-particle":"","parse-names":false,"suffix":""},{"dropping-particle":"","family":"Marmarà","given":"Vincent","non-dropping-particle":"","parse-names":false,"suffix":""},{"dropping-particle":"","family":"Hubbard","given":"Gill","non-dropping-particle":"","parse-names":false,"suffix":""}],"container-title":"BMC Public Health","id":"ITEM-1","issued":{"date-parts":[["2017"]]},"page":"416","publisher":"BMC Public Health","title":"Health beliefs, illness perceptions and determinants of breast screening uptake in Malta: a cross-sectional survey","type":"article-journal","volume":"17"},"uris":["http://www.mendeley.com/documents/?uuid=d11d1bdb-4b14-49bf-a95f-ebea8490047f"]},{"id":"ITEM-2","itemData":{"author":[{"dropping-particle":"","family":"Murray","given":"Jenni","non-dropping-particle":"","parse-names":false,"suffix":""},{"dropping-particle":"","family":"Craigs","given":"Cheryl Leanne","non-dropping-particle":"","parse-names":false,"suffix":""},{"dropping-particle":"","family":"Hill","given":"Kate Mary","non-dropping-particle":"","parse-names":false,"suffix":""},{"dropping-particle":"","family":"Honey","given":"Stephanie","non-dropping-particle":"","parse-names":false,"suffix":""},{"dropping-particle":"","family":"House","given":"Allan","non-dropping-particle":"","parse-names":false,"suffix":""}],"container-title":"BMC Cardiovascular Disorders","id":"ITEM-2","issued":{"date-parts":[["2012"]]},"page":"120","title":"A systematic review of patient reported factors associated with uptake and completion of cardiovascular lifestyle behaviour change","type":"article-journal","volume":"12"},"uris":["http://www.mendeley.com/documents/?uuid=8909c03f-c8a9-4dd2-84c1-a3cf90717072"]},{"id":"ITEM-3","itemData":{"ISSN":"00223999","abstract":"Objective: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Research","id":"ITEM-3","issue":"6","issued":{"date-parts":[["2006"]]},"page":"631-637","title":"The brief illness perception questionnaire","type":"article-journal","volume":"60"},"uris":["http://www.mendeley.com/documents/?uuid=d92e0634-c26f-4845-bdfd-de9e844e3f3b"]},{"id":"ITEM-4","itemData":{"DOI":"10.1136/hrt.82.2.234","ISSN":"13556037","PMID":"10409543","abstract":"Objective - Many patients fail to attend cardiac rehabilitation. Attempts to identify sociodemographic or clinical predictors of non- attendance have not been very successful; therefore, this study aimed to determine whether the illness beliefs held during hospitalisation by patients who had suffered acute myocardial infarction or who had undergone coronary artery bypass graft surgery could predict cardiac rehabilitation attendance. Subjects and methods - 152 patients were prospectively studied of whom 41% had attended cardiac rehabilitation at six months. Results - In addition to being older, less aware of their cholesterol values, and less likely to be employed, non-attenders were less likely to believe their condition was controllable and that their lifestyle may have contributed to their illness. Conclusion - It should now be determined whether interventions aimed at optimising certain perceptions could promote cardiac rehabilitation uptake among those patients who could benefit the most.","author":[{"dropping-particle":"","family":"Cooper","given":"A.","non-dropping-particle":"","parse-names":false,"suffix":""},{"dropping-particle":"","family":"Lloyd","given":"G.","non-dropping-particle":"","parse-names":false,"suffix":""},{"dropping-particle":"","family":"Weinman","given":"J.","non-dropping-particle":"","parse-names":false,"suffix":""},{"dropping-particle":"","family":"Jackson","given":"G.","non-dropping-particle":"","parse-names":false,"suffix":""}],"container-title":"Heart","id":"ITEM-4","issue":"2","issued":{"date-parts":[["1999"]]},"page":"234-236","title":"Why patients do not attend cardiac rehabilitation: role of intentions and illness beliefs","type":"article-journal","volume":"82"},"uris":["http://www.mendeley.com/documents/?uuid=34c09c5a-879d-422b-93bf-3ab284d34bb2"]},{"id":"ITEM-5","itemData":{"DOI":"10.1136/bmj.312.7040.1191","ISSN":"09598146","PMID":"8634561","abstract":"Objective - To examine whether patients' initial perceptions of their myocardial infarction predict subsequent attendance at a cardiac rehabilitation course, return to work, disability, and sexual dysfunction. Design - Patients' perceptions of their illness were measured at admission with their first myocardial infarction and at follow up three and six months later. Setting - Two large teaching hospitals in Auckland, New Zealand. Subjects - 143 consecutive patients aged under 65 with their first myocardial infarction. Main outcome measures - Attendance at rehabilitation course; time before returning to work; measures of disability with sickness impact profile questionnaire for sleep and rest, social interaction, recreational activity, and home management; and sexual dysfunction. Results - Attendance at the rehabilitation course was significantly related to a stronger belief during admission that the illness could be cured or controlled (t = 2.08, P = 0.04). Return to work within six weeks was significantly predicted by the perception that the illness would last a short time (t = -2.52, P = 0.01) and have less grave consequences for the patient (t = -2.87, P = 0.005). Patients' belief that their heart disease would have serious consequences was significantly related to later disability in work around the house, recreational activities, and social interaction. A strong illness identity was significantly related to greater sexual dysfunction at both three and six months. Conclusions - Patients' initial perceptions of illness are important determinants of different aspects of recovery after myocardial infarction. Specific illness perceptions need to be identified at an early stage as a basis for optimising outcomes from rehabilitation programmes.","author":[{"dropping-particle":"","family":"Petrie","given":"Keith J.","non-dropping-particle":"","parse-names":false,"suffix":""},{"dropping-particle":"","family":"Weinman","given":"John","non-dropping-particle":"","parse-names":false,"suffix":""},{"dropping-particle":"","family":"Sharpe","given":"Norman","non-dropping-particle":"","parse-names":false,"suffix":""},{"dropping-particle":"","family":"Buckley","given":"Judith","non-dropping-particle":"","parse-names":false,"suffix":""}],"container-title":"British Medical Journal","id":"ITEM-5","issued":{"date-parts":[["1996"]]},"page":"1191-1194","title":"Role of patients' view of their illness in predicting return to work and functioning after myocardial infarction: longitudinal study","type":"article-journal","volume":"312"},"uris":["http://www.mendeley.com/documents/?uuid=5a054578-2b1d-4019-a4c6-90d9fe0d8d78"]},{"id":"ITEM-6","itemData":{"ISSN":"1359107X","PMID":"12804334","abstract":"Objective.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Psychology","id":"ITEM-6","issue":"2","issued":{"date-parts":[["2003"]]},"page":"209-221","title":"Illness perceptions, mood and coping in predicting attendance at cardiac rehabilitation","type":"article-journal","volume":"8"},"uris":["http://www.mendeley.com/documents/?uuid=2b23aeed-ebf4-4ab9-8528-f2beb3776198"]},{"id":"ITEM-7","itemData":{"ISSN":"00223999","abstract":"Objective: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Research","id":"ITEM-7","issued":{"date-parts":[["2006"]]},"page":"757-767","title":"Illness perceptions predict attendance at cardiac rehabilitation following acute myocardial infarction: a systematic review with meta-analysis","type":"article-journal","volume":"61"},"uris":["http://www.mendeley.com/documents/?uuid=046866de-6856-4a38-87d2-91dee1be78bc"]},{"id":"ITEM-8","itemData":{"ISBN":"0269215506","ISSN":"02692155","PMID":"17329279","abstract":"Objective: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Rehabilitation","id":"ITEM-8","issued":{"date-parts":[["2007"]]},"page":"222-229","title":"Predictors of drop-out from an outpatient cardiac rehabilitation programme","type":"article-journal","volume":"21"},"uris":["http://www.mendeley.com/documents/?uuid=1c9fcf5a-0df3-4220-a7bb-617e9a88b582"]}],"mendeley":{"formattedCitation":"(Broadbent et al., 2006; Cooper et al., 1999; French et al., 2006; Marmarà et al., 2017; Murray et al., 2012; Petrie et al., 1996; Whitmarsh et al., 2003; Yohannes et al., 2007)","manualFormatting":"(Broadbent et al., 2006; Cooper et al., 1999; French et al., 2006; Marmarà et al., 2017; Murray et al., 2012; Petrie et al., 1996; Whitmarsh et al., 2003; Yohannes et al., 2007)","plainTextFormattedCitation":"(Broadbent et al., 2006; Cooper et al., 1999; French et al., 2006; Marmarà et al., 2017; Murray et al., 2012; Petrie et al., 1996; Whitmarsh et al., 2003; Yohannes et al., 2007)","previouslyFormattedCitation":"(Broadbent et al., 2006; A. Cooper et al., 1999; French et al., 2006; Marmarà et al., 2017; Murray et al., 2012; Petrie et al., 1996; Whitmarsh et al., 2003; Yohannes et al., 2007)"},"properties":{"noteIndex":0},"schema":"https://github.com/citation-style-language/schema/raw/master/csl-citation.json"}</w:instrText>
      </w:r>
      <w:r w:rsidRPr="00103A0B">
        <w:rPr>
          <w:rFonts w:ascii="Arial" w:hAnsi="Arial" w:cs="Arial"/>
          <w:sz w:val="24"/>
          <w:szCs w:val="24"/>
        </w:rPr>
        <w:fldChar w:fldCharType="separate"/>
      </w:r>
      <w:r w:rsidR="007C66BC" w:rsidRPr="00103A0B">
        <w:rPr>
          <w:rFonts w:ascii="Arial" w:hAnsi="Arial" w:cs="Arial"/>
          <w:noProof/>
          <w:sz w:val="24"/>
          <w:szCs w:val="24"/>
        </w:rPr>
        <w:t>(Broadbent et al., 2006;</w:t>
      </w:r>
      <w:r w:rsidR="00877D8D" w:rsidRPr="00103A0B">
        <w:rPr>
          <w:rFonts w:ascii="Arial" w:hAnsi="Arial" w:cs="Arial"/>
          <w:noProof/>
          <w:sz w:val="24"/>
          <w:szCs w:val="24"/>
        </w:rPr>
        <w:t xml:space="preserve"> </w:t>
      </w:r>
      <w:r w:rsidR="007C66BC" w:rsidRPr="00103A0B">
        <w:rPr>
          <w:rFonts w:ascii="Arial" w:hAnsi="Arial" w:cs="Arial"/>
          <w:noProof/>
          <w:sz w:val="24"/>
          <w:szCs w:val="24"/>
        </w:rPr>
        <w:t>Cooper et al., 1999; French et al., 2006; Marmarà et al., 2017; Murray et al., 2012; Petrie et al., 1996; Whitmarsh et al., 2003; Yohannes et al., 2007)</w:t>
      </w:r>
      <w:r w:rsidRPr="00103A0B">
        <w:rPr>
          <w:rFonts w:ascii="Arial" w:hAnsi="Arial" w:cs="Arial"/>
          <w:sz w:val="24"/>
          <w:szCs w:val="24"/>
        </w:rPr>
        <w:fldChar w:fldCharType="end"/>
      </w:r>
      <w:r w:rsidRPr="00103A0B">
        <w:rPr>
          <w:rFonts w:ascii="Arial" w:hAnsi="Arial" w:cs="Arial"/>
          <w:sz w:val="24"/>
          <w:szCs w:val="24"/>
        </w:rPr>
        <w:t>, so are important for DPPs to consider. This was the reason why IPs were explored as part of this research. The components found to be most influential in uptake and retention with this thesis w</w:t>
      </w:r>
      <w:r w:rsidR="005D22A4" w:rsidRPr="00103A0B">
        <w:rPr>
          <w:rFonts w:ascii="Arial" w:hAnsi="Arial" w:cs="Arial"/>
          <w:sz w:val="24"/>
          <w:szCs w:val="24"/>
        </w:rPr>
        <w:t>ere</w:t>
      </w:r>
      <w:r w:rsidRPr="00103A0B">
        <w:rPr>
          <w:rFonts w:ascii="Arial" w:hAnsi="Arial" w:cs="Arial"/>
          <w:sz w:val="24"/>
          <w:szCs w:val="24"/>
        </w:rPr>
        <w:t xml:space="preserve"> illness controllability/curability and emotional responses (particularly illness concern). These will now be discussed in turn. </w:t>
      </w:r>
    </w:p>
    <w:p w14:paraId="06A0A50F" w14:textId="77777777" w:rsidR="00ED4513" w:rsidRPr="00103A0B" w:rsidRDefault="00ED4513" w:rsidP="00CD5919">
      <w:pPr>
        <w:autoSpaceDE w:val="0"/>
        <w:autoSpaceDN w:val="0"/>
        <w:adjustRightInd w:val="0"/>
        <w:spacing w:after="0" w:line="360" w:lineRule="auto"/>
        <w:jc w:val="both"/>
        <w:rPr>
          <w:rFonts w:ascii="Arial" w:hAnsi="Arial" w:cs="Arial"/>
          <w:sz w:val="24"/>
          <w:szCs w:val="24"/>
        </w:rPr>
      </w:pPr>
    </w:p>
    <w:p w14:paraId="5BE8DD8E" w14:textId="6B528D6E" w:rsidR="00ED4513" w:rsidRPr="00103A0B" w:rsidRDefault="00ED4513" w:rsidP="00CD5919">
      <w:pPr>
        <w:autoSpaceDE w:val="0"/>
        <w:autoSpaceDN w:val="0"/>
        <w:adjustRightInd w:val="0"/>
        <w:spacing w:after="0" w:line="360" w:lineRule="auto"/>
        <w:jc w:val="both"/>
        <w:rPr>
          <w:rFonts w:ascii="Arial" w:hAnsi="Arial" w:cs="Arial"/>
          <w:i/>
          <w:iCs/>
          <w:sz w:val="24"/>
          <w:szCs w:val="24"/>
        </w:rPr>
      </w:pPr>
      <w:r w:rsidRPr="00103A0B">
        <w:rPr>
          <w:rFonts w:ascii="Arial" w:hAnsi="Arial" w:cs="Arial"/>
          <w:i/>
          <w:iCs/>
          <w:sz w:val="24"/>
          <w:szCs w:val="24"/>
        </w:rPr>
        <w:t xml:space="preserve">Beliefs </w:t>
      </w:r>
      <w:r w:rsidR="00EA3A20" w:rsidRPr="00103A0B">
        <w:rPr>
          <w:rFonts w:ascii="Arial" w:hAnsi="Arial" w:cs="Arial"/>
          <w:i/>
          <w:iCs/>
          <w:sz w:val="24"/>
          <w:szCs w:val="24"/>
        </w:rPr>
        <w:t>R</w:t>
      </w:r>
      <w:r w:rsidRPr="00103A0B">
        <w:rPr>
          <w:rFonts w:ascii="Arial" w:hAnsi="Arial" w:cs="Arial"/>
          <w:i/>
          <w:iCs/>
          <w:sz w:val="24"/>
          <w:szCs w:val="24"/>
        </w:rPr>
        <w:t xml:space="preserve">elated to </w:t>
      </w:r>
      <w:r w:rsidR="00EA3A20" w:rsidRPr="00103A0B">
        <w:rPr>
          <w:rFonts w:ascii="Arial" w:hAnsi="Arial" w:cs="Arial"/>
          <w:i/>
          <w:iCs/>
          <w:sz w:val="24"/>
          <w:szCs w:val="24"/>
        </w:rPr>
        <w:t>C</w:t>
      </w:r>
      <w:r w:rsidRPr="00103A0B">
        <w:rPr>
          <w:rFonts w:ascii="Arial" w:hAnsi="Arial" w:cs="Arial"/>
          <w:i/>
          <w:iCs/>
          <w:sz w:val="24"/>
          <w:szCs w:val="24"/>
        </w:rPr>
        <w:t>ontrol or</w:t>
      </w:r>
      <w:r w:rsidR="00EA3A20" w:rsidRPr="00103A0B">
        <w:rPr>
          <w:rFonts w:ascii="Arial" w:hAnsi="Arial" w:cs="Arial"/>
          <w:i/>
          <w:iCs/>
          <w:sz w:val="24"/>
          <w:szCs w:val="24"/>
        </w:rPr>
        <w:t xml:space="preserve"> C</w:t>
      </w:r>
      <w:r w:rsidRPr="00103A0B">
        <w:rPr>
          <w:rFonts w:ascii="Arial" w:hAnsi="Arial" w:cs="Arial"/>
          <w:i/>
          <w:iCs/>
          <w:sz w:val="24"/>
          <w:szCs w:val="24"/>
        </w:rPr>
        <w:t xml:space="preserve">ure of an </w:t>
      </w:r>
      <w:r w:rsidR="00EA3A20" w:rsidRPr="00103A0B">
        <w:rPr>
          <w:rFonts w:ascii="Arial" w:hAnsi="Arial" w:cs="Arial"/>
          <w:i/>
          <w:iCs/>
          <w:sz w:val="24"/>
          <w:szCs w:val="24"/>
        </w:rPr>
        <w:t>I</w:t>
      </w:r>
      <w:r w:rsidRPr="00103A0B">
        <w:rPr>
          <w:rFonts w:ascii="Arial" w:hAnsi="Arial" w:cs="Arial"/>
          <w:i/>
          <w:iCs/>
          <w:sz w:val="24"/>
          <w:szCs w:val="24"/>
        </w:rPr>
        <w:t xml:space="preserve">llness. </w:t>
      </w:r>
    </w:p>
    <w:p w14:paraId="0C8FF10E" w14:textId="25AB5B54" w:rsidR="005D22A4" w:rsidRPr="00103A0B" w:rsidRDefault="00ED4513" w:rsidP="00CD5919">
      <w:pPr>
        <w:autoSpaceDE w:val="0"/>
        <w:autoSpaceDN w:val="0"/>
        <w:adjustRightInd w:val="0"/>
        <w:spacing w:after="0" w:line="360" w:lineRule="auto"/>
        <w:jc w:val="both"/>
        <w:rPr>
          <w:rFonts w:ascii="Arial" w:hAnsi="Arial" w:cs="Arial"/>
          <w:sz w:val="24"/>
          <w:szCs w:val="24"/>
        </w:rPr>
      </w:pPr>
      <w:r w:rsidRPr="00103A0B">
        <w:rPr>
          <w:rFonts w:ascii="Arial" w:hAnsi="Arial" w:cs="Arial"/>
          <w:sz w:val="24"/>
          <w:szCs w:val="24"/>
        </w:rPr>
        <w:t xml:space="preserve">These beliefs relate to the extent to which individuals believe they can control or recover from their illness </w:t>
      </w:r>
      <w:r w:rsidRPr="00103A0B">
        <w:rPr>
          <w:rFonts w:ascii="Arial" w:hAnsi="Arial" w:cs="Arial"/>
          <w:sz w:val="24"/>
          <w:szCs w:val="24"/>
        </w:rPr>
        <w:fldChar w:fldCharType="begin" w:fldLock="1"/>
      </w:r>
      <w:r w:rsidR="00591FE2"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questionnaire","type":"article-journal","volume":"60"},"uris":["http://www.mendeley.com/documents/?uuid=d92e0634-c26f-4845-bdfd-de9e844e3f3b"]},{"id":"ITEM-2","itemData":{"DOI":"10.1136/hrt.82.2.234","ISSN":"13556037","PMID":"10409543","abstract":"Objective - Many patients fail to attend cardiac rehabilitation. Attempts to identify sociodemographic or clinical predictors of non- attendance have not been very successful; therefore, this study aimed to determine whether the illness beliefs held during hospitalisation by patients who had suffered acute myocardial infarction or who had undergone coronary artery bypass graft surgery could predict cardiac rehabilitation attendance. Subjects and methods - 152 patients were prospectively studied of whom 41% had attended cardiac rehabilitation at six months. Results - In addition to being older, less aware of their cholesterol values, and less likely to be employed, non-attenders were less likely to believe their condition was controllable and that their lifestyle may have contributed to their illness. Conclusion - It should now be determined whether interventions aimed at optimising certain perceptions could promote cardiac rehabilitation uptake among those patients who could benefit the most.","author":[{"dropping-particle":"","family":"Cooper","given":"A.","non-dropping-particle":"","parse-names":false,"suffix":""},{"dropping-particle":"","family":"Lloyd","given":"G.","non-dropping-particle":"","parse-names":false,"suffix":""},{"dropping-particle":"","family":"Weinman","given":"J.","non-dropping-particle":"","parse-names":false,"suffix":""},{"dropping-particle":"","family":"Jackson","given":"G.","non-dropping-particle":"","parse-names":false,"suffix":""}],"container-title":"Heart","id":"ITEM-2","issue":"2","issued":{"date-parts":[["1999"]]},"page":"234-236","title":"Why patients do not attend cardiac rehabilitation: role of intentions and illness beliefs","type":"article-journal","volume":"82"},"uris":["http://www.mendeley.com/documents/?uuid=34c09c5a-879d-422b-93bf-3ab284d34bb2"]},{"id":"ITEM-3","itemData":{"ISSN":"08870446","abstract":"The Illness Perception Questionnaire (IPQ) is a new method for assessing cognitive representations of illness. The IPQ is a theoretically derived measure comprising five scales that provides information about the five components that have been found to underlie the cognitive representation of illness. The five scales assess identity - the symptoms the patient associates with the illness, cause - personal ideas about aetiology, time-line - the perceived duration of the illness, consequences - expected effects and outcome and cure control - how one controls or recovers from the illness. The IPQ has a specific number of core items but allows the user to add items for particular patient groups or health threats. Data is presented supporting the reliability and validity of the IPQ scales in different chronic illness populations.","author":[{"dropping-particle":"","family":"Weinman","given":"John.","non-dropping-particle":"","parse-names":false,"suffix":""},{"dropping-particle":"","family":"Petrie","given":"Keith J.","non-dropping-particle":"","parse-names":false,"suffix":""},{"dropping-particle":"","family":"Moss-Morris","given":"Rona","non-dropping-particle":"","parse-names":false,"suffix":""},{"dropping-particle":"","family":"Horne","given":"Rob","non-dropping-particle":"","parse-names":false,"suffix":""}],"container-title":"Psychology and Health","id":"ITEM-3","issue":"3","issued":{"date-parts":[["1996"]]},"page":"431-445","title":"The illness perception questionnaire: a new method for assessing the cognitive representation of illness","type":"article-journal","volume":"11"},"uris":["http://www.mendeley.com/documents/?uuid=042696dd-59b4-42f9-be46-893b4e2489bb"]}],"mendeley":{"formattedCitation":"(Broadbent et al., 2006; Cooper et al., 1999; Weinman et al., 1996)","manualFormatting":"(Broadbent et al., 2006; Cooper et al., 1999; Weinman et al., 1996)","plainTextFormattedCitation":"(Broadbent et al., 2006; Cooper et al., 1999; Weinman et al., 1996)","previouslyFormattedCitation":"(Broadbent et al., 2006; A. Cooper et al., 1999; Weinman et al., 1996)"},"properties":{"noteIndex":0},"schema":"https://github.com/citation-style-language/schema/raw/master/csl-citation.json"}</w:instrText>
      </w:r>
      <w:r w:rsidRPr="00103A0B">
        <w:rPr>
          <w:rFonts w:ascii="Arial" w:hAnsi="Arial" w:cs="Arial"/>
          <w:sz w:val="24"/>
          <w:szCs w:val="24"/>
        </w:rPr>
        <w:fldChar w:fldCharType="separate"/>
      </w:r>
      <w:r w:rsidR="007C66BC" w:rsidRPr="00103A0B">
        <w:rPr>
          <w:rFonts w:ascii="Arial" w:hAnsi="Arial" w:cs="Arial"/>
          <w:noProof/>
          <w:sz w:val="24"/>
          <w:szCs w:val="24"/>
        </w:rPr>
        <w:t>(Broadbent et al., 2006;</w:t>
      </w:r>
      <w:r w:rsidR="00877D8D" w:rsidRPr="00103A0B">
        <w:rPr>
          <w:rFonts w:ascii="Arial" w:hAnsi="Arial" w:cs="Arial"/>
          <w:noProof/>
          <w:sz w:val="24"/>
          <w:szCs w:val="24"/>
        </w:rPr>
        <w:t xml:space="preserve"> </w:t>
      </w:r>
      <w:r w:rsidR="007C66BC" w:rsidRPr="00103A0B">
        <w:rPr>
          <w:rFonts w:ascii="Arial" w:hAnsi="Arial" w:cs="Arial"/>
          <w:noProof/>
          <w:sz w:val="24"/>
          <w:szCs w:val="24"/>
        </w:rPr>
        <w:t>Cooper et al., 1999; Weinman et al., 1996)</w:t>
      </w:r>
      <w:r w:rsidRPr="00103A0B">
        <w:rPr>
          <w:rFonts w:ascii="Arial" w:hAnsi="Arial" w:cs="Arial"/>
          <w:sz w:val="24"/>
          <w:szCs w:val="24"/>
        </w:rPr>
        <w:fldChar w:fldCharType="end"/>
      </w:r>
      <w:r w:rsidRPr="00103A0B">
        <w:rPr>
          <w:rFonts w:ascii="Arial" w:hAnsi="Arial" w:cs="Arial"/>
          <w:sz w:val="24"/>
          <w:szCs w:val="24"/>
        </w:rPr>
        <w:t xml:space="preserve">. These beliefs are closely related to timeline and casual beliefs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{"citationItems":[{"id":"ITEM-1","itemData":{"DOI":"10.7861/clinmedicine.6-6-536","ISSN":"14702118","PMID":"17228551","abstract":"Once diagnosed with an illness, patients develop organised patterns of beliefs about their condition Patients' models of their illness are generally composed of five main components: identity, causal beliefs, timeline beliefs, beliefs about control or cure, consequences Patients do not usually spontaneously disclose their illness beliefs in the consultation; these can be assessed rapidly and reliably by the Illness Perception Questionnaire Negative illness perceptions are associated with poorer recovery and increased healthcare use independent of objective measures of illness severity Interventions to change illness perceptions can reduce disability and improve functioning.","author":[{"dropping-particle":"","family":"Petrie","given":"Keith J.","non-dropping-particle":"","parse-names":false,"suffix":""},{"dropping-particle":"","family":"Weinman","given":"John","non-dropping-particle":"","parse-names":false,"suffix":""}],"container-title":"Clinical Medicine","id":"ITEM-1","issue":"6","issued":{"date-parts":[["2006"]]},"page":"536-539","title":"Why illness perceptions matter","type":"article-journal","volume":"6"},"uris":["http://www.mendeley.com/documents/?uuid=63a443f7-283a-48c4-91b4-14e768032717"]}],"mendeley":{"formattedCitation":"(Petrie &amp; Weinman, 2006)","plainTextFormattedCitation":"(Petrie &amp; Weinman, 2006)","previouslyFormattedCitation":"(Petrie &amp; Weinman,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&amp; Weinman, 2006)</w:t>
      </w:r>
      <w:r w:rsidRPr="00103A0B">
        <w:rPr>
          <w:rFonts w:ascii="Arial" w:hAnsi="Arial" w:cs="Arial"/>
          <w:sz w:val="24"/>
          <w:szCs w:val="24"/>
        </w:rPr>
        <w:fldChar w:fldCharType="end"/>
      </w:r>
      <w:r w:rsidRPr="00103A0B">
        <w:rPr>
          <w:rFonts w:ascii="Arial" w:hAnsi="Arial" w:cs="Arial"/>
          <w:sz w:val="24"/>
          <w:szCs w:val="24"/>
        </w:rPr>
        <w:t xml:space="preserve">. Control beliefs involve how the illness is susceptible to personal control and how well treatment can be used to control it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{"citationItems":[{"id":"ITEM-1","itemData":{"DOI":"10.7861/clinmedicine.6-6-536","ISSN":"14702118","PMID":"17228551","abstract":"Once diagnosed with an illness, patients develop organised patterns of beliefs about their condition Patients' models of their illness are generally composed of five main components: identity, causal beliefs, timeline beliefs, beliefs about control or cure, consequences Patients do not usually spontaneously disclose their illness beliefs in the consultation; these can be assessed rapidly and reliably by the Illness Perception Questionnaire Negative illness perceptions are associated with poorer recovery and increased healthcare use independent of objective measures of illness severity Interventions to change illness perceptions can reduce disability and improve functioning.","author":[{"dropping-particle":"","family":"Petrie","given":"Keith J.","non-dropping-particle":"","parse-names":false,"suffix":""},{"dropping-particle":"","family":"Weinman","given":"John","non-dropping-particle":"","parse-names":false,"suffix":""}],"container-title":"Clinical Medicine","id":"ITEM-1","issue":"6","issued":{"date-parts":[["2006"]]},"page":"536-539","title":"Why illness perceptions matter","type":"article-journal","volume":"6"},"uris":["http://www.mendeley.com/documents/?uuid=63a443f7-283a-48c4-91b4-14e768032717"]}],"mendeley":{"formattedCitation":"(Petrie &amp; Weinman, 2006)","plainTextFormattedCitation":"(Petrie &amp; Weinman, 2006)","previouslyFormattedCitation":"(Petrie &amp; Weinman,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(Petrie &amp; Weinman, 2006)</w:t>
      </w:r>
      <w:r w:rsidRPr="00103A0B">
        <w:rPr>
          <w:rFonts w:ascii="Arial" w:hAnsi="Arial" w:cs="Arial"/>
          <w:sz w:val="24"/>
          <w:szCs w:val="24"/>
        </w:rPr>
        <w:fldChar w:fldCharType="end"/>
      </w:r>
      <w:r w:rsidRPr="00103A0B">
        <w:rPr>
          <w:rFonts w:ascii="Arial" w:hAnsi="Arial" w:cs="Arial"/>
          <w:sz w:val="24"/>
          <w:szCs w:val="24"/>
        </w:rPr>
        <w:t>.</w:t>
      </w:r>
    </w:p>
    <w:p w14:paraId="1317B6D9" w14:textId="77777777" w:rsidR="005D22A4" w:rsidRPr="00103A0B" w:rsidRDefault="005D22A4" w:rsidP="00CD5919">
      <w:pPr>
        <w:autoSpaceDE w:val="0"/>
        <w:autoSpaceDN w:val="0"/>
        <w:adjustRightInd w:val="0"/>
        <w:spacing w:after="0" w:line="360" w:lineRule="auto"/>
        <w:jc w:val="both"/>
        <w:rPr>
          <w:rFonts w:ascii="Arial" w:hAnsi="Arial" w:cs="Arial"/>
          <w:sz w:val="24"/>
          <w:szCs w:val="24"/>
        </w:rPr>
      </w:pPr>
    </w:p>
    <w:p w14:paraId="48B9B958" w14:textId="04EEEBA0" w:rsidR="00ED4513" w:rsidRPr="00103A0B" w:rsidRDefault="005D22A4" w:rsidP="00CD5919">
      <w:pPr>
        <w:autoSpaceDE w:val="0"/>
        <w:autoSpaceDN w:val="0"/>
        <w:adjustRightInd w:val="0"/>
        <w:spacing w:after="0" w:line="360" w:lineRule="auto"/>
        <w:jc w:val="both"/>
        <w:rPr>
          <w:rFonts w:ascii="Arial" w:hAnsi="Arial" w:cs="Arial"/>
          <w:sz w:val="24"/>
          <w:szCs w:val="24"/>
        </w:rPr>
      </w:pPr>
      <w:r w:rsidRPr="00103A0B">
        <w:rPr>
          <w:rFonts w:ascii="Arial" w:hAnsi="Arial" w:cs="Arial"/>
          <w:sz w:val="24"/>
          <w:szCs w:val="24"/>
        </w:rPr>
        <w:t>This thesis found some non-attenders (i.e., those who chose not to start the NHSDPP) felt that they were no longer at risk of T2DM or were able to control their risk independently (Chapter 5). However, other findings highlighted that participants who saw treatment as being effective at controlling their prediabetes were more likely to start the NHSDPP (Chapter 7). They may have considered the programme as being helpful treatment for their prediabetes, and felt their condition was controllable. Overall, t</w:t>
      </w:r>
      <w:r w:rsidRPr="00103A0B">
        <w:rPr>
          <w:rStyle w:val="CommentReference"/>
          <w:rFonts w:ascii="Arial" w:hAnsi="Arial" w:cs="Arial"/>
          <w:sz w:val="24"/>
          <w:szCs w:val="24"/>
        </w:rPr>
        <w:t>h</w:t>
      </w:r>
      <w:r w:rsidRPr="00103A0B">
        <w:rPr>
          <w:rFonts w:ascii="Arial" w:hAnsi="Arial" w:cs="Arial"/>
          <w:sz w:val="24"/>
          <w:szCs w:val="24"/>
        </w:rPr>
        <w:t xml:space="preserve">is is in line with other research on attendance to cardiac rehabilitation programmes which found attenders had stronger, more positive beliefs that their condition is controllable/curable </w:t>
      </w:r>
      <w:r w:rsidRPr="00103A0B">
        <w:fldChar w:fldCharType="begin" w:fldLock="1"/>
      </w:r>
      <w:r w:rsidR="00591FE2" w:rsidRPr="00103A0B">
        <w:rPr>
          <w:rFonts w:ascii="Arial" w:hAnsi="Arial" w:cs="Arial"/>
          <w:sz w:val="24"/>
          <w:szCs w:val="24"/>
        </w:rPr>
        <w:instrText>ADDIN CSL_CITATION {"citationItems":[{"id":"ITEM-1","itemData":{"ISSN":"00223999","abstract":"Objective: Early reports indicated that the illness perceptions of patients following acute myocardial infarction (AMI) predict attendance at cardiac rehabilitation. However, null findings have subsequently been reported, and there is variation between studies in terms of which illness perception constructs predict attendance. The aim of this meta-analysis was to examine whether illness perceptions really predict attendance at cardiac rehabilitation and to examine factors that moderate this relationship. Methods: The strategy and procedures recommended by Hunter and Schmidt [Hunter JE, Schmidt FL. Methods of meta-analysis: correcting error and bias in research findings. Thousand Oaks (CA): Sage, 2004] were followed. Based on a systematic literature search, eight studies (N=906 patients) that examined the relationship between illness perceptions and attendance at cardiac rehabilitation were included. Results: Four illness perception constructs significantly predicted attendance at cardiac rehabilitation: patients with more positive identity (r=.123), cure/control (r=.111), consequences (r=.081), and coherence (r=-.160) beliefs were more likely to attend cardiac rehabilitation. For all relationships, except that between cure/control beliefs and rehabilitation attendance, there was significant heterogeneity, which was attributable to two studies: one that assessed illness perceptions after leaving the hospital yielded higher effect size estimates, whereas another that involved an intervention yielded effect size estimates in the direction opposite to those of most other studies. The exclusion of these studies resulted in largely unchanged, but homogeneous, effect size estimates. Conclusion: Illness perceptions of AMI patients predict attendance at cardiac rehabilitation, although the effect sizes are small and often heterogeneous. AMI patients who view their condition as controllable, as symptomatic, and with severe consequences, and who feel that they understand their condition are more likely to attend. © 2006 Elsevier Inc. All rights reserved.","author":[{"dropping-particle":"","family":"French","given":"David P.","non-dropping-particle":"","parse-names":false,"suffix":""},{"dropping-particle":"","family":"Cooper","given":"Alethea","non-dropping-particle":"","parse-names":false,"suffix":""},{"dropping-particle":"","family":"Weinman","given":"John","non-dropping-particle":"","parse-names":false,"suffix":""}],"container-title":"Journal of Psychosomatic Research","id":"ITEM-1","issued":{"date-parts":[["2006"]]},"page":"757-767","title":"Illness perceptions predict attendance at cardiac rehabilitation following acute myocardial infarction: a systematic review with meta-analysis","type":"article-journal","volume":"61"},"uris":["http://www.mendeley.com/documents/?uuid=046866de-6856-4a38-87d2-91dee1be78bc"]},{"id":"ITEM-2","itemData":{"DOI":"10.1136/bmj.312.7040.1191","ISSN":"09598146","PMID":"8634561","abstract":"Objective - To examine whether patients' initial perceptions of their myocardial infarction predict subsequent attendance at a cardiac rehabilitation course, return to work, disability, and sexual dysfunction. Design - Patients' perceptions of their illness were measured at admission with their first myocardial infarction and at follow up three and six months later. Setting - Two large teaching hospitals in Auckland, New Zealand. Subjects - 143 consecutive patients aged under 65 with their first myocardial infarction. Main outcome measures - Attendance at rehabilitation course; time before returning to work; measures of disability with sickness impact profile questionnaire for sleep and rest, social interaction, recreational activity, and home management; and sexual dysfunction. Results - Attendance at the rehabilitation course was significantly related to a stronger belief during admission that the illness could be cured or controlled (t = 2.08, P = 0.04). Return to work within six weeks was significantly predicted by the perception that the illness would last a short time (t = -2.52, P = 0.01) and have less grave consequences for the patient (t = -2.87, P = 0.005). Patients' belief that their heart disease would have serious consequences was significantly related to later disability in work around the house, recreational activities, and social interaction. A strong illness identity was significantly related to greater sexual dysfunction at both three and six months. Conclusions - Patients' initial perceptions of illness are important determinants of different aspects of recovery after myocardial infarction. Specific illness perceptions need to be identified at an early stage as a basis for optimising outcomes from rehabilitation programmes.","author":[{"dropping-particle":"","family":"Petrie","given":"Keith J.","non-dropping-particle":"","parse-names":false,"suffix":""},{"dropping-particle":"","family":"Weinman","given":"John","non-dropping-particle":"","parse-names":false,"suffix":""},{"dropping-particle":"","family":"Sharpe","given":"Norman","non-dropping-particle":"","parse-names":false,"suffix":""},{"dropping-particle":"","family":"Buckley","given":"Judith","non-dropping-particle":"","parse-names":false,"suffix":""}],"container-title":"British Medical Journal","id":"ITEM-2","issued":{"date-parts":[["1996"]]},"page":"1191-1194","title":"Role of patients' view of their illness in predicting return to work and functioning after myocardial infarction: longitudinal study","type":"article-journal","volume":"312"},"uris":["http://www.mendeley.com/documents/?uuid=5a054578-2b1d-4019-a4c6-90d9fe0d8d78"]},{"id":"ITEM-3","itemData":{"DOI":"10.1136/hrt.82.2.234","ISSN":"13556037","PMID":"10409543","abstract":"Objective - Many patients fail to attend cardiac rehabilitation. Attempts to identify sociodemographic or clinical predictors of non- attendance have not been very successful; therefore, this study aimed to determine whether the illness beliefs held during hospitalisation by patients who had suffered acute myocardial infarction or who had undergone coronary artery bypass graft surgery could predict cardiac rehabilitation attendance. Subjects and methods - 152 patients were prospectively studied of whom 41% had attended cardiac rehabilitation at six months. Results - In addition to being older, less aware of their cholesterol values, and less likely to be employed, non-attenders were less likely to believe their condition was controllable and that their lifestyle may have contributed to their illness. Conclusion - It should now be determined whether interventions aimed at optimising certain perceptions could promote cardiac rehabilitation uptake among those patients who could benefit the most.","author":[{"dropping-particle":"","family":"Cooper","given":"A.","non-dropping-particle":"","parse-names":false,"suffix":""},{"dropping-particle":"","family":"Lloyd","given":"G.","non-dropping-particle":"","parse-names":false,"suffix":""},{"dropping-particle":"","family":"Weinman","given":"J.","non-dropping-particle":"","parse-names":false,"suffix":""},{"dropping-particle":"","family":"Jackson","given":"G.","non-dropping-particle":"","parse-names":false,"suffix":""}],"container-title":"Heart","id":"ITEM-3","issue":"2","issued":{"date-parts":[["1999"]]},"page":"234-236","title":"Why patients do not attend cardiac rehabilitation: role of intentions and illness beliefs","type":"article-journal","volume":"82"},"uris":["http://www.mendeley.com/documents/?uuid=34c09c5a-879d-422b-93bf-3ab284d34bb2"]}],"mendeley":{"formattedCitation":"(Cooper et al., 1999; French et al., 2006; Petrie et al., 1996)","manualFormatting":"(Cooper et al., 1999; French et al., 2006; Petrie et al., 1996)","plainTextFormattedCitation":"(Cooper et al., 1999; French et al., 2006; Petrie et al., 1996)","previouslyFormattedCitation":"(A. Cooper et al., 1999; French et al., 2006; Petrie et al., 1996)"},"properties":{"noteIndex":0},"schema":"https://github.com/citation-style-language/schema/raw/master/csl-citation.json"}</w:instrText>
      </w:r>
      <w:r w:rsidRPr="00103A0B">
        <w:fldChar w:fldCharType="separate"/>
      </w:r>
      <w:r w:rsidRPr="00103A0B">
        <w:rPr>
          <w:rFonts w:ascii="Arial" w:hAnsi="Arial" w:cs="Arial"/>
          <w:noProof/>
          <w:sz w:val="24"/>
          <w:szCs w:val="24"/>
        </w:rPr>
        <w:t>(Cooper et al., 1999; French et al., 2006; Petrie et al., 1996)</w:t>
      </w:r>
      <w:r w:rsidRPr="00103A0B">
        <w:fldChar w:fldCharType="end"/>
      </w:r>
      <w:r w:rsidRPr="00103A0B">
        <w:rPr>
          <w:rFonts w:ascii="Arial" w:hAnsi="Arial" w:cs="Arial"/>
          <w:sz w:val="24"/>
          <w:szCs w:val="24"/>
        </w:rPr>
        <w:t>.</w:t>
      </w:r>
      <w:r w:rsidR="00935503" w:rsidRPr="00103A0B">
        <w:rPr>
          <w:rFonts w:ascii="Arial" w:hAnsi="Arial" w:cs="Arial"/>
          <w:sz w:val="24"/>
          <w:szCs w:val="24"/>
        </w:rPr>
        <w:t xml:space="preserve"> </w:t>
      </w:r>
      <w:r w:rsidRPr="00103A0B">
        <w:rPr>
          <w:rFonts w:ascii="Arial" w:hAnsi="Arial" w:cs="Arial"/>
          <w:sz w:val="24"/>
          <w:szCs w:val="24"/>
        </w:rPr>
        <w:t xml:space="preserve">By healthcare professionals ensuring that participants understand DPPs as being appropriate and effective treatment for their prediabetes, and that their prediabetes is controllable, this will help them make sense of their illness, encouraging them to start. </w:t>
      </w:r>
    </w:p>
    <w:p w14:paraId="00ED6577" w14:textId="77777777" w:rsidR="00877D8D" w:rsidRPr="00103A0B" w:rsidRDefault="00877D8D" w:rsidP="00CD5919">
      <w:pPr>
        <w:autoSpaceDE w:val="0"/>
        <w:autoSpaceDN w:val="0"/>
        <w:adjustRightInd w:val="0"/>
        <w:spacing w:after="0" w:line="360" w:lineRule="auto"/>
        <w:jc w:val="both"/>
        <w:rPr>
          <w:rFonts w:ascii="Arial" w:hAnsi="Arial" w:cs="Arial"/>
          <w:sz w:val="24"/>
          <w:szCs w:val="24"/>
        </w:rPr>
      </w:pPr>
    </w:p>
    <w:p w14:paraId="18084B8C" w14:textId="0E07FDED" w:rsidR="00ED4513" w:rsidRPr="00103A0B" w:rsidRDefault="00ED4513" w:rsidP="00877D8D">
      <w:pPr>
        <w:keepLines/>
        <w:autoSpaceDE w:val="0"/>
        <w:autoSpaceDN w:val="0"/>
        <w:adjustRightInd w:val="0"/>
        <w:spacing w:after="0" w:line="360" w:lineRule="auto"/>
        <w:jc w:val="both"/>
        <w:rPr>
          <w:rFonts w:ascii="Arial" w:hAnsi="Arial" w:cs="Arial"/>
          <w:i/>
          <w:iCs/>
          <w:sz w:val="24"/>
          <w:szCs w:val="24"/>
        </w:rPr>
      </w:pPr>
      <w:r w:rsidRPr="00103A0B">
        <w:rPr>
          <w:rFonts w:ascii="Arial" w:hAnsi="Arial" w:cs="Arial"/>
          <w:i/>
          <w:iCs/>
          <w:sz w:val="24"/>
          <w:szCs w:val="24"/>
        </w:rPr>
        <w:lastRenderedPageBreak/>
        <w:t xml:space="preserve">Emotional </w:t>
      </w:r>
      <w:r w:rsidR="00EA3A20" w:rsidRPr="00103A0B">
        <w:rPr>
          <w:rFonts w:ascii="Arial" w:hAnsi="Arial" w:cs="Arial"/>
          <w:i/>
          <w:iCs/>
          <w:sz w:val="24"/>
          <w:szCs w:val="24"/>
        </w:rPr>
        <w:t>R</w:t>
      </w:r>
      <w:r w:rsidRPr="00103A0B">
        <w:rPr>
          <w:rFonts w:ascii="Arial" w:hAnsi="Arial" w:cs="Arial"/>
          <w:i/>
          <w:iCs/>
          <w:sz w:val="24"/>
          <w:szCs w:val="24"/>
        </w:rPr>
        <w:t>esponses/</w:t>
      </w:r>
      <w:r w:rsidR="00EA3A20" w:rsidRPr="00103A0B">
        <w:rPr>
          <w:rFonts w:ascii="Arial" w:hAnsi="Arial" w:cs="Arial"/>
          <w:i/>
          <w:iCs/>
          <w:sz w:val="24"/>
          <w:szCs w:val="24"/>
        </w:rPr>
        <w:t>R</w:t>
      </w:r>
      <w:r w:rsidRPr="00103A0B">
        <w:rPr>
          <w:rFonts w:ascii="Arial" w:hAnsi="Arial" w:cs="Arial"/>
          <w:i/>
          <w:iCs/>
          <w:sz w:val="24"/>
          <w:szCs w:val="24"/>
        </w:rPr>
        <w:t xml:space="preserve">epresentations  </w:t>
      </w:r>
    </w:p>
    <w:p w14:paraId="114706E4" w14:textId="7F8D0F8C" w:rsidR="00ED4513" w:rsidRPr="00103A0B" w:rsidRDefault="00ED4513" w:rsidP="00CD5919">
      <w:pPr>
        <w:autoSpaceDE w:val="0"/>
        <w:autoSpaceDN w:val="0"/>
        <w:adjustRightInd w:val="0"/>
        <w:spacing w:after="0" w:line="360" w:lineRule="auto"/>
        <w:jc w:val="both"/>
        <w:rPr>
          <w:rFonts w:ascii="Arial" w:hAnsi="Arial" w:cs="Arial"/>
          <w:sz w:val="24"/>
          <w:szCs w:val="24"/>
        </w:rPr>
      </w:pPr>
      <w:r w:rsidRPr="00103A0B">
        <w:rPr>
          <w:rFonts w:ascii="Arial" w:hAnsi="Arial" w:cs="Arial"/>
          <w:sz w:val="24"/>
          <w:szCs w:val="24"/>
        </w:rPr>
        <w:t xml:space="preserve">The emotional response component was added to IPs later on and this included perceptions individuals held on the emotional effects of their illness </w:t>
      </w:r>
      <w:r w:rsidRPr="00103A0B">
        <w:rPr>
          <w:rFonts w:ascii="Arial" w:hAnsi="Arial" w:cs="Arial"/>
          <w:sz w:val="24"/>
          <w:szCs w:val="24"/>
        </w:rPr>
        <w:fldChar w:fldCharType="begin" w:fldLock="1"/>
      </w:r>
      <w:r w:rsidR="007E0EE7" w:rsidRPr="00103A0B">
        <w:rPr>
          <w:rFonts w:ascii="Arial" w:hAnsi="Arial" w:cs="Arial"/>
          <w:sz w:val="24"/>
          <w:szCs w:val="24"/>
        </w:rPr>
        <w:instrText>ADDIN CSL_CITATION {"citationItems":[{"id":"ITEM-1","itemData":{"DOI":"10.1080/08870440290001494","author":[{"dropping-particle":"","family":"Moss-Morris","given":"Rona","non-dropping-particle":"","parse-names":false,"suffix":""},{"dropping-particle":"","family":"Weinman","given":"John","non-dropping-particle":"","parse-names":false,"suffix":""},{"dropping-particle":"","family":"Petrie","given":"Keith J","non-dropping-particle":"","parse-names":false,"suffix":""}],"container-title":"Psychology and Health","id":"ITEM-1","issue":"1","issued":{"date-parts":[["2002"]]},"page":"1-16","title":"The revised illness perception questionnaire (IPQ-R)","type":"article-journal","volume":"17"},"uris":["http://www.mendeley.com/documents/?uuid=b5d8b027-40e2-45e8-9ba9-493249fab3ac"]}],"mendeley":{"formattedCitation":"(Moss-Morris et al., 2002)","plainTextFormattedCitation":"(Moss-Morris et al., 2002)","previouslyFormattedCitation":"(Moss-Morris et al., 2002)"},"properties":{"noteIndex":0},"schema":"https://github.com/citation-style-language/schema/raw/master/csl-citation.json"}</w:instrText>
      </w:r>
      <w:r w:rsidRPr="00103A0B">
        <w:rPr>
          <w:rFonts w:ascii="Arial" w:hAnsi="Arial" w:cs="Arial"/>
          <w:sz w:val="24"/>
          <w:szCs w:val="24"/>
        </w:rPr>
        <w:fldChar w:fldCharType="separate"/>
      </w:r>
      <w:r w:rsidR="007E0EE7" w:rsidRPr="00103A0B">
        <w:rPr>
          <w:rFonts w:ascii="Arial" w:hAnsi="Arial" w:cs="Arial"/>
          <w:noProof/>
          <w:sz w:val="24"/>
          <w:szCs w:val="24"/>
        </w:rPr>
        <w:t>(Moss-Morris et al., 2002)</w:t>
      </w:r>
      <w:r w:rsidRPr="00103A0B">
        <w:rPr>
          <w:rFonts w:ascii="Arial" w:hAnsi="Arial" w:cs="Arial"/>
          <w:sz w:val="24"/>
          <w:szCs w:val="24"/>
        </w:rPr>
        <w:fldChar w:fldCharType="end"/>
      </w:r>
      <w:r w:rsidRPr="00103A0B">
        <w:rPr>
          <w:rFonts w:ascii="Arial" w:hAnsi="Arial" w:cs="Arial"/>
          <w:sz w:val="24"/>
          <w:szCs w:val="24"/>
        </w:rPr>
        <w:t xml:space="preserve">. This also included negative reactions such as fear, anger, and distress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questionnaire","type":"article-journal","volume":"60"},"uris":["http://www.mendeley.com/documents/?uuid=d92e0634-c26f-4845-bdfd-de9e844e3f3b"]}],"mendeley":{"formattedCitation":"(Broadbent et al., 2006)","plainTextFormattedCitation":"(Broadbent et al., 2006)","previouslyFormattedCitation":"(Broadbent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(Broadbent et al., 2006)</w:t>
      </w:r>
      <w:r w:rsidRPr="00103A0B">
        <w:rPr>
          <w:rFonts w:ascii="Arial" w:hAnsi="Arial" w:cs="Arial"/>
          <w:sz w:val="24"/>
          <w:szCs w:val="24"/>
        </w:rPr>
        <w:fldChar w:fldCharType="end"/>
      </w:r>
      <w:r w:rsidRPr="00103A0B">
        <w:rPr>
          <w:rFonts w:ascii="Arial" w:hAnsi="Arial" w:cs="Arial"/>
          <w:sz w:val="24"/>
          <w:szCs w:val="24"/>
        </w:rPr>
        <w:t>.</w:t>
      </w:r>
      <w:r w:rsidRPr="00103A0B">
        <w:rPr>
          <w:rFonts w:ascii="Arial" w:hAnsi="Arial" w:cs="Arial"/>
          <w:i/>
          <w:iCs/>
          <w:sz w:val="24"/>
          <w:szCs w:val="24"/>
        </w:rPr>
        <w:t xml:space="preserve"> </w:t>
      </w:r>
      <w:r w:rsidRPr="00103A0B">
        <w:rPr>
          <w:rFonts w:ascii="Arial" w:hAnsi="Arial" w:cs="Arial"/>
          <w:sz w:val="24"/>
          <w:szCs w:val="24"/>
        </w:rPr>
        <w:t xml:space="preserve">Emotional representations are assessed by looking at illness concern and emotions </w:t>
      </w:r>
      <w:r w:rsidRPr="00103A0B">
        <w:rPr>
          <w:rFonts w:ascii="Arial" w:hAnsi="Arial" w:cs="Arial"/>
          <w:sz w:val="24"/>
          <w:szCs w:val="24"/>
        </w:rPr>
        <w:fldChar w:fldCharType="begin" w:fldLock="1"/>
      </w:r>
      <w:r w:rsidR="00BA4374" w:rsidRPr="00103A0B">
        <w:rPr>
          <w:rFonts w:ascii="Arial" w:hAnsi="Arial" w:cs="Arial"/>
          <w:sz w:val="24"/>
          <w:szCs w:val="24"/>
        </w:rPr>
        <w:instrText>ADDIN CSL_CITATION {"citationItems":[{"id":"ITEM-1","itemData":{"ISSN":"00223999","abstract":"Objective: This study evaluates the Brief Illness Perception Questionnaire (Brief IPQ), a nine-item scale designed to rapidly assess the cognitive and emotional representations of illness. Methods: We assessed the test-retest reliability of the scale in 132 renal outpatients. We assessed concurrent validity by comparing the Brief IPQ with the Illness Perception Questionnaire-Revised (IPQ-R) and other relevant measures in 309 asthma, 132 renal, and 119 diabetes outpatients. Predictive validity was established by examining the relationship of Brief IPQ scores to outcomes in a sample of 103 myocardial infarction (MI) patients. Discriminant validity was examined by comparing scores on the Brief IPQ between five different illness groups. Results: The Brief IPQ showed good test-retest reliability and concurrent validity with relevant measures. The scale also demonstrated good predictive validity in patients recovering from MI with individual items being related to mental and physical functioning at 3 months' follow-up, cardiac rehabilitation class attendance, and speed of return to work. The discriminant validity of the Brief IPQ was supported by its ability to distinguish between different illnesses. Conclusion: The Brief IPQ provides a rapid assessment of illness perceptions, which could be particularly helpful in ill populations, large-scale studies, and in repeated measures research designs. © 2006 Elsevier Inc. All rights reserved.","author":[{"dropping-particle":"","family":"Broadbent","given":"Elizabeth","non-dropping-particle":"","parse-names":false,"suffix":""},{"dropping-particle":"","family":"Petrie","given":"Keith J.","non-dropping-particle":"","parse-names":false,"suffix":""},{"dropping-particle":"","family":"Main","given":"Jodie","non-dropping-particle":"","parse-names":false,"suffix":""},{"dropping-particle":"","family":"Weinman","given":"John","non-dropping-particle":"","parse-names":false,"suffix":""}],"container-title":"Journal of Psychosomatic Research","id":"ITEM-1","issue":"6","issued":{"date-parts":[["2006"]]},"page":"631-637","title":"The brief illness perception questionnaire","type":"article-journal","volume":"60"},"uris":["http://www.mendeley.com/documents/?uuid=d92e0634-c26f-4845-bdfd-de9e844e3f3b"]}],"mendeley":{"formattedCitation":"(Broadbent et al., 2006)","plainTextFormattedCitation":"(Broadbent et al., 2006)","previouslyFormattedCitation":"(Broadbent et al., 2006)"},"properties":{"noteIndex":0},"schema":"https://github.com/citation-style-language/schema/raw/master/csl-citation.json"}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(Broadbent et al., 2006)</w:t>
      </w:r>
      <w:r w:rsidRPr="00103A0B">
        <w:rPr>
          <w:rFonts w:ascii="Arial" w:hAnsi="Arial" w:cs="Arial"/>
          <w:sz w:val="24"/>
          <w:szCs w:val="24"/>
        </w:rPr>
        <w:fldChar w:fldCharType="end"/>
      </w:r>
      <w:r w:rsidRPr="00103A0B">
        <w:rPr>
          <w:rFonts w:ascii="Arial" w:hAnsi="Arial" w:cs="Arial"/>
          <w:sz w:val="24"/>
          <w:szCs w:val="24"/>
        </w:rPr>
        <w:t xml:space="preserve">. </w:t>
      </w:r>
    </w:p>
    <w:p w14:paraId="026E28A7" w14:textId="571A442B" w:rsidR="00935503" w:rsidRPr="00103A0B" w:rsidRDefault="00935503" w:rsidP="00CD5919">
      <w:pPr>
        <w:autoSpaceDE w:val="0"/>
        <w:autoSpaceDN w:val="0"/>
        <w:adjustRightInd w:val="0"/>
        <w:spacing w:after="0" w:line="360" w:lineRule="auto"/>
        <w:jc w:val="both"/>
        <w:rPr>
          <w:rFonts w:ascii="Arial" w:hAnsi="Arial" w:cs="Arial"/>
          <w:sz w:val="24"/>
          <w:szCs w:val="24"/>
        </w:rPr>
      </w:pPr>
    </w:p>
    <w:p w14:paraId="2F7A3E37" w14:textId="5EDBC2E5" w:rsidR="00935503" w:rsidRPr="00103A0B" w:rsidRDefault="00935503" w:rsidP="00877D8D">
      <w:pPr>
        <w:autoSpaceDE w:val="0"/>
        <w:autoSpaceDN w:val="0"/>
        <w:adjustRightInd w:val="0"/>
        <w:spacing w:after="0" w:line="360" w:lineRule="auto"/>
        <w:jc w:val="both"/>
        <w:rPr>
          <w:rFonts w:ascii="Arial" w:hAnsi="Arial" w:cs="Arial"/>
          <w:sz w:val="24"/>
          <w:szCs w:val="24"/>
        </w:rPr>
      </w:pPr>
      <w:r w:rsidRPr="00103A0B">
        <w:rPr>
          <w:rFonts w:ascii="Arial" w:hAnsi="Arial" w:cs="Arial"/>
          <w:sz w:val="24"/>
          <w:szCs w:val="24"/>
        </w:rPr>
        <w:t xml:space="preserve">This thesis found individuals who were more concerned about their prediabetes were more likely to start the NHSDPP (Chapter 7). Other findings from this thesis found that some of the motivation for completers could be due to their fear of T2DM (Chapter 6). Having this concern may have motivated them to start and/or complete the NHSDPP, particularly considering T2DM can have severe, long-term complications compared to other illnesses. Supportive research from other preventative health programmes have found those who considered their condition as having less severe consequences (so may have feared it less) are more likely to drop out and become non-completers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{"citationItems":[{"id":"ITEM-1","itemData":{"ISBN":"0269215506","ISSN":"02692155","PMID":"17329279","abstract":"Objective: To investigate the prevalence and predictors of early drop-out from a cardiac rehabilitation programme and also whether completers and drop-out patients differed in relation to their illness cognitions, gender and psychological distress and quality of life. Design: A six-week outpatient cardiac rehabilitation programme. Setting: A university teaching hospital. Subjects: One hundred and eighty-nine patients were recruited from a consecutive series of outpatient referrals prior to a six-week comprehensive cardiac rehabilitation programme. Outcome measures: The revised Illness Perception Questionnaire, Quality of Life after Myocardial Infarction Questionnaire and the Hospital Anxiety and Depression Scale. Results: One hundred and forty-seven cardiac patients completed the cardiac rehabilitation programme. Forty-two (22%) patients dropped out in the first two weeks. Factors predicting early drop-out were female gender, younger age, higher Hospital Anxiety Depression Scale score, lower illness perception consequences and higher illness perception personal control and lower illness perception treatment control (all P &lt; 0.05). Conclusion: Over a fifth of the patients did not complete this typical cardiac rehabilitation programme. Female patients are more likely to drop out from cardiac rehabilitation than men. Psychological distress, younger age and lower perceptions of consequences, higher perception personal control and lower illness perception of treatment control were predictors of early drop-out from a cardiac rehabilitation programme. © 2007 SAGE Publications.","author":[{"dropping-particle":"","family":"Yohannes","given":"Abebaw Mengistu","non-dropping-particle":"","parse-names":false,"suffix":""},{"dropping-particle":"","family":"Yalfani","given":"A.","non-dropping-particle":"","parse-names":false,"suffix":""},{"dropping-particle":"","family":"Doherty","given":"P.","non-dropping-particle":"","parse-names":false,"suffix":""},{"dropping-particle":"","family":"Bundy","given":"C.","non-dropping-particle":"","parse-names":false,"suffix":""}],"container-title":"Clinical Rehabilitation","id":"ITEM-1","issued":{"date-parts":[["2007"]]},"page":"222-229","title":"Predictors of drop-out from an outpatient cardiac rehabilitation programme","type":"article-journal","volume":"21"},"uris":["http://www.mendeley.com/documents/?uuid=1c9fcf5a-0df3-4220-a7bb-617e9a88b582"]},{"id":"ITEM-2","itemData":{"ISSN":"1359107X","PMID":"12804334","abstract":"Objective. The aim of this study was to identify psychological variables in poor/non-attendance at cardiac rehabilitation (CR). We investigated whether attenders and poor/non-attenders differed in relation to components of the self-regulatory model and coping, and which of these variables were the best predictors of attendance behaviour. Design. A cross-sectional, between groups design was employed. In contrast with two previous similar studies, participants completed self-report measures shortly before the start date for the CR programme. Univariate and logistic regression analyses were conducted. Method. In all, 93 individuals who had been invited to attend CR completed the Illness Perceptions Questionnaire (IPQ), the Hospital Anxiety and Depression Scale (HADS) and the Coping Orientation to Problems Experienced (COPE). Subsequently, 32 participants failed to attend, or dropped out early from, the programme. Results. Attenders differed from poor/non-attenders in that they perceived a greater number of symptoms and consequences of their illness, greater distress, less strong beliefs that their illness had been caused by a germ or virus, and used problem-focused and emotion-focused coping more frequently. The best predictors of poor/nonattendance were lower perceptions of symptoms and controllability/curability of illness, and less frequent use of problem-focused and more frequent use of maladaptive coping strategies. Conclusion. Attenders and poor/non-attenders at CR were distinguished by illness representations, distress and usage of coping strategies. The variables found to be the best predictors of attendance could be used to screen those unlikely to attend and to develop interventions for enhancing attendance.","author":[{"dropping-particle":"","family":"Whitmarsh","given":"Anya","non-dropping-particle":"","parse-names":false,"suffix":""},{"dropping-particle":"","family":"Koutantji","given":"Maria","non-dropping-particle":"","parse-names":false,"suffix":""},{"dropping-particle":"","family":"Sidell","given":"Kate","non-dropping-particle":"","parse-names":false,"suffix":""}],"container-title":"British Journal of Health Psychology","id":"ITEM-2","issue":"2","issued":{"date-parts":[["2003"]]},"page":"209-221","title":"Illness perceptions, mood and coping in predicting attendance at cardiac rehabilitation","type":"article-journal","volume":"8"},"uris":["http://www.mendeley.com/documents/?uuid=2b23aeed-ebf4-4ab9-8528-f2beb3776198"]}],"mendeley":{"formattedCitation":"(Whitmarsh et al., 2003; Yohannes et al., 2007)","plainTextFormattedCitation":"(Whitmarsh et al., 2003; Yohannes et al., 2007)","previouslyFormattedCitation":"(Whitmarsh et al., 2003; Yohannes et al., 2007)"},"properties":{"noteIndex":0},"schema":"https://github.com/citation-style-language/schema/raw/master/csl-citation.json"}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(Whitmarsh et al., 2003; Yohannes et al., 2007)</w:t>
      </w:r>
      <w:r w:rsidRPr="00103A0B">
        <w:rPr>
          <w:rFonts w:ascii="Arial" w:hAnsi="Arial" w:cs="Arial"/>
          <w:sz w:val="24"/>
          <w:szCs w:val="24"/>
        </w:rPr>
        <w:fldChar w:fldCharType="end"/>
      </w:r>
      <w:r w:rsidRPr="00103A0B">
        <w:rPr>
          <w:rFonts w:ascii="Arial" w:hAnsi="Arial" w:cs="Arial"/>
          <w:sz w:val="24"/>
          <w:szCs w:val="24"/>
        </w:rPr>
        <w:t xml:space="preserve">. Fear can act as a crucial motivator to take action and a certain level of threat and fear is essential in order to lead to consistent protective health behaviours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Leventhal","given":"Howard","non-dropping-particle":"","parse-names":false,"suffix":""},{"dropping-particle":"","family":"Meyer","given":"D.","non-dropping-particle":"","parse-names":false,"suffix":""},{"dropping-particle":"","family":"Nerenz","given":"D.","non-dropping-particle":"","parse-names":false,"suffix":""}],"container-title":"Contributions to medical psychology","editor":[{"dropping-particle":"","family":"Rachman","given":"S","non-dropping-particle":"","parse-names":false,"suffix":""}],"id":"ITEM-1","issued":{"date-parts":[["1980"]]},"page":"7-30","publisher":"Pergamon Press","publisher-place":"New York","title":"The common sense representation of illness danger","type":"chapter"},"uris":["http://www.mendeley.com/documents/?uuid=8d542582-e3f1-4d90-810a-88e1832aca9d"]}],"mendeley":{"formattedCitation":"(Leventhal et al., 1980)","plainTextFormattedCitation":"(Leventhal et al., 1980)","previouslyFormattedCitation":"(Leventhal et al., 1980)"},"properties":{"noteIndex":0},"schema":"https://github.com/citation-style-language/schema/raw/master/csl-citation.json"}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(Leventhal et al., 1980)</w:t>
      </w:r>
      <w:r w:rsidRPr="00103A0B">
        <w:rPr>
          <w:rFonts w:ascii="Arial" w:hAnsi="Arial" w:cs="Arial"/>
          <w:sz w:val="24"/>
          <w:szCs w:val="24"/>
        </w:rPr>
        <w:fldChar w:fldCharType="end"/>
      </w:r>
      <w:r w:rsidRPr="00103A0B">
        <w:rPr>
          <w:rFonts w:ascii="Arial" w:hAnsi="Arial" w:cs="Arial"/>
          <w:sz w:val="24"/>
          <w:szCs w:val="24"/>
        </w:rPr>
        <w:t xml:space="preserve">. This research demonstrates the importance of having some fear as a motivator for completion, but this would need to be carefully managed as instilling too much fear is not always beneficial. </w:t>
      </w:r>
    </w:p>
    <w:p w14:paraId="2FD0BECF" w14:textId="77777777" w:rsidR="00935503" w:rsidRPr="00103A0B" w:rsidRDefault="00935503" w:rsidP="00935503">
      <w:pPr>
        <w:autoSpaceDE w:val="0"/>
        <w:autoSpaceDN w:val="0"/>
        <w:adjustRightInd w:val="0"/>
        <w:spacing w:after="0" w:line="360" w:lineRule="auto"/>
        <w:rPr>
          <w:rFonts w:ascii="Arial" w:hAnsi="Arial" w:cs="Arial"/>
          <w:sz w:val="24"/>
          <w:szCs w:val="24"/>
        </w:rPr>
      </w:pPr>
    </w:p>
    <w:p w14:paraId="7FB18791" w14:textId="6213528B" w:rsidR="00935503" w:rsidRPr="00103A0B" w:rsidRDefault="00935503" w:rsidP="00877D8D">
      <w:pPr>
        <w:autoSpaceDE w:val="0"/>
        <w:autoSpaceDN w:val="0"/>
        <w:adjustRightInd w:val="0"/>
        <w:spacing w:after="0" w:line="360" w:lineRule="auto"/>
        <w:jc w:val="both"/>
        <w:rPr>
          <w:rFonts w:ascii="Arial" w:hAnsi="Arial" w:cs="Arial"/>
          <w:sz w:val="24"/>
          <w:szCs w:val="24"/>
        </w:rPr>
      </w:pPr>
      <w:r w:rsidRPr="00103A0B">
        <w:rPr>
          <w:rFonts w:ascii="Arial" w:hAnsi="Arial" w:cs="Arial"/>
          <w:sz w:val="24"/>
          <w:szCs w:val="24"/>
        </w:rPr>
        <w:t>Overall, the components found to be most influential in uptake and retention with this thesis were illness controllability/curability and emotional responses (particularly illness concern). Since these IPs can be modifiable, it would be helpful to explore these perceptions in depth to see if improvements are made to uptake and retention levels. The strengths and limitations of the research included in this thesis will now be discussed.</w:t>
      </w:r>
    </w:p>
    <w:p w14:paraId="25B601FF" w14:textId="52776C20" w:rsidR="00935503" w:rsidRPr="00103A0B" w:rsidRDefault="00935503" w:rsidP="00CD5919">
      <w:pPr>
        <w:autoSpaceDE w:val="0"/>
        <w:autoSpaceDN w:val="0"/>
        <w:adjustRightInd w:val="0"/>
        <w:spacing w:after="0" w:line="360" w:lineRule="auto"/>
        <w:jc w:val="both"/>
        <w:rPr>
          <w:rFonts w:ascii="Arial" w:hAnsi="Arial" w:cs="Arial"/>
          <w:sz w:val="24"/>
          <w:szCs w:val="24"/>
        </w:rPr>
      </w:pPr>
    </w:p>
    <w:p w14:paraId="28F9C9BF" w14:textId="77777777" w:rsidR="00EA3A20" w:rsidRPr="00103A0B" w:rsidRDefault="00EA3A20" w:rsidP="00CD5919">
      <w:pPr>
        <w:autoSpaceDE w:val="0"/>
        <w:autoSpaceDN w:val="0"/>
        <w:adjustRightInd w:val="0"/>
        <w:spacing w:after="0" w:line="360" w:lineRule="auto"/>
        <w:jc w:val="both"/>
        <w:rPr>
          <w:rFonts w:ascii="Arial" w:hAnsi="Arial" w:cs="Arial"/>
          <w:sz w:val="24"/>
          <w:szCs w:val="24"/>
        </w:rPr>
      </w:pPr>
    </w:p>
    <w:p w14:paraId="1BA6120B" w14:textId="2E24D195" w:rsidR="00EA3A20" w:rsidRPr="00103A0B" w:rsidRDefault="00EA3A20" w:rsidP="00CD5919">
      <w:pPr>
        <w:pStyle w:val="Heading2"/>
        <w:numPr>
          <w:ilvl w:val="0"/>
          <w:numId w:val="0"/>
        </w:numPr>
        <w:jc w:val="both"/>
        <w:rPr>
          <w:rFonts w:ascii="Arial" w:hAnsi="Arial" w:cs="Arial"/>
          <w:sz w:val="28"/>
        </w:rPr>
      </w:pPr>
      <w:bookmarkStart w:id="408" w:name="_Toc151548338"/>
      <w:r w:rsidRPr="00103A0B">
        <w:rPr>
          <w:rFonts w:ascii="Arial" w:hAnsi="Arial" w:cs="Arial"/>
          <w:sz w:val="28"/>
        </w:rPr>
        <w:t>8.4. Strengths and Limitations of this Research</w:t>
      </w:r>
      <w:bookmarkEnd w:id="408"/>
    </w:p>
    <w:p w14:paraId="4D0F002B" w14:textId="328F851F" w:rsidR="00EA3A20" w:rsidRPr="00103A0B" w:rsidRDefault="00EA3A20" w:rsidP="00CD5919">
      <w:pPr>
        <w:spacing w:line="360" w:lineRule="auto"/>
        <w:jc w:val="both"/>
        <w:rPr>
          <w:rFonts w:ascii="Arial" w:hAnsi="Arial" w:cs="Arial"/>
          <w:sz w:val="24"/>
          <w:szCs w:val="24"/>
        </w:rPr>
      </w:pPr>
      <w:bookmarkStart w:id="409" w:name="_Hlk124948518"/>
      <w:r w:rsidRPr="00103A0B">
        <w:rPr>
          <w:rFonts w:ascii="Arial" w:hAnsi="Arial" w:cs="Arial"/>
          <w:sz w:val="24"/>
          <w:szCs w:val="24"/>
        </w:rPr>
        <w:t>There are many key strengths of this research. Firstly, the studies described in Chapters 2, 5, 6 and 7 were</w:t>
      </w:r>
      <w:r w:rsidR="00935503" w:rsidRPr="00103A0B">
        <w:rPr>
          <w:rFonts w:ascii="Arial" w:hAnsi="Arial" w:cs="Arial"/>
          <w:sz w:val="24"/>
          <w:szCs w:val="24"/>
        </w:rPr>
        <w:t xml:space="preserve"> the</w:t>
      </w:r>
      <w:r w:rsidRPr="00103A0B">
        <w:rPr>
          <w:rFonts w:ascii="Arial" w:hAnsi="Arial" w:cs="Arial"/>
          <w:sz w:val="24"/>
          <w:szCs w:val="24"/>
        </w:rPr>
        <w:t xml:space="preserve"> first to explore whether recruitment and programme-</w:t>
      </w:r>
      <w:r w:rsidRPr="00103A0B">
        <w:rPr>
          <w:rFonts w:ascii="Arial" w:hAnsi="Arial" w:cs="Arial"/>
          <w:sz w:val="24"/>
          <w:szCs w:val="24"/>
        </w:rPr>
        <w:lastRenderedPageBreak/>
        <w:t>level and/or individual-level factors influence uptake and retention of diabetes prevention programmes.</w:t>
      </w:r>
      <w:bookmarkEnd w:id="409"/>
      <w:r w:rsidR="00F9776B" w:rsidRPr="00103A0B">
        <w:rPr>
          <w:rFonts w:ascii="Arial" w:hAnsi="Arial" w:cs="Arial"/>
          <w:sz w:val="24"/>
          <w:szCs w:val="24"/>
        </w:rPr>
        <w:t xml:space="preserve"> </w:t>
      </w:r>
      <w:r w:rsidRPr="00103A0B">
        <w:rPr>
          <w:rFonts w:ascii="Arial" w:hAnsi="Arial" w:cs="Arial"/>
          <w:sz w:val="24"/>
          <w:szCs w:val="24"/>
        </w:rPr>
        <w:t xml:space="preserve">Secondly, the sample of participants used in this research was a key strength. Recruiting both non-attenders and non-completers was a strength as it is often difficult to recruit from these groups as they are reluctant to participate </w:t>
      </w:r>
      <w:r w:rsidRPr="00103A0B">
        <w:rPr>
          <w:rFonts w:ascii="Arial" w:hAnsi="Arial" w:cs="Arial"/>
          <w:sz w:val="24"/>
          <w:szCs w:val="24"/>
        </w:rPr>
        <w:fldChar w:fldCharType="begin" w:fldLock="1"/>
      </w:r>
      <w:r w:rsidR="00873997" w:rsidRPr="00103A0B">
        <w:rPr>
          <w:rFonts w:ascii="Arial" w:hAnsi="Arial" w:cs="Arial"/>
          <w:sz w:val="24"/>
          <w:szCs w:val="24"/>
        </w:rPr>
        <w:instrText>ADDIN CSL_CITATION {"citationItems":[{"id":"ITEM-1","itemData":{"DOI":"10.1111/bjhp.1","author":[{"dropping-particle":"","family":"Borek","given":"Aleksandra J","non-dropping-particle":"","parse-names":false,"suffix":""},{"dropping-particle":"","family":"Abraham","given":"Charles","non-dropping-particle":"","parse-names":false,"suffix":""},{"dropping-particle":"","family":"Greaves","given":"Colin J","non-dropping-particle":"","parse-names":false,"suffix":""},{"dropping-particle":"","family":"Tarrant","given":"Mark","non-dropping-particle":"","parse-names":false,"suffix":""},{"dropping-particle":"","family":"Garner","given":"Nikki","non-dropping-particle":"","parse-names":false,"suffix":""},{"dropping-particle":"","family":"Pascale","given":"Melanie","non-dropping-particle":"","parse-names":false,"suffix":""}],"container-title":"British Journal of Health Psychology","id":"ITEM-1","issued":{"date-parts":[["2019"]]},"page":"787-805","title":"‘ We ’re all in the same boat ’: a qualitative study on how groups work in a diabetes prevention and management programme","type":"article-journal","volume":"24"},"uris":["http://www.mendeley.com/documents/?uuid=894ef5cc-3b9e-4f33-ba76-2387fb2a3e8e"]},{"id":"ITEM-2","itemData":{"ISBN":"1549-1277","ISSN":"15491676","PMID":"27404094","abstract":"BACKGROUND: Prevention of type 2 diabetes mellitus (T2DM) is a global priority. Let's Prevent Diabetes is a group-based diabetes prevention programme; it was evaluated in a cluster-randomised trial, in which the primary analysis showed a reduction in T2DM (hazard ratio [HR] 0.74, 95% CI 0.48-1.14, p = 0.18). We examined the association of engagement and retention with the Let's Prevent Diabetes prevention programme and T2DM incidence.\\n\\nMETHODS AND FINDINGS: We used data from a completed cluster-randomised controlled trial including 43 general practices randomised to receive either standard care or a 6-h group structured education programme with an annual refresher course for 2 y. The primary outcome was progression to T2DM at 3 y. The characteristics of those who attended the initial education session (engagers) versus nonengagers and those who attended all sessions (retainers) versus nonretainers were compared. Risk reduction of progression to T2DM by level of attendance was compared to standard care. Eight hundred and eighty participants were recruited, with 447 to the intervention arm, of which 346 (77.4%) were engagers and 130 (29.1%) were retainers. Retainers and engagers were more likely to be older, leaner, and nonsmokers than nonretainers/nonengagers. Engagers were also more likely to be male and be from less socioeconomically deprived areas than nonengagers. Participants who attended the initial session and at least one refresher session were less likely to develop T2DM compared to those in the control arm (30 people of 248 versus 67 people of 433, HR 0.38 [95% CI 0.24-0.62]). Participants who were retained in the programme were also less likely to develop T2DM compared to those in the control arm (7 people of 130 versus 67 people of 433, HR 0.12 [95% CI 0.05-0.28]). Being retained in the programme was also associated with improvements in glucose, glycated haemoglobin (HbA1c), weight, waist circumference, anxiety, quality of life, and daily step count. Given that the data used are from a clinical trial, those taking part might reflect a more motivated sample than the population, which should be taken into account when interpreting the results.\\n\\nCONCLUSIONS: This study suggests that being retained/engaged in a relatively low-resource, pragmatic diabetes prevention programme for those at high risk is associated with reductions in the progression to T2DM in comparison to those who receive standard care. Nonengagers and nonretainers share simil…","author":[{"dropping-particle":"","family":"Gray","given":"Laura J.","non-dropping-particle":"","parse-names":false,"suffix":""},{"dropping-particle":"","family":"Yates","given":"Thomas","non-dropping-particle":"","parse-names":false,"suffix":""},{"dropping-particle":"","family":"Troughton","given":"Jacqui","non-dropping-particle":"","parse-names":false,"suffix":""},{"dropping-particle":"","family":"Khunti","given":"Kamlesh","non-dropping-particle":"","parse-names":false,"suffix":""},{"dropping-particle":"","family":"Davies","given":"Melanie J.","non-dropping-particle":"","parse-names":false,"suffix":""}],"container-title":"PLoS Medicine","id":"ITEM-2","issue":"7","issued":{"date-parts":[["2016"]]},"page":"e1002078","title":"Engagement, retention, and progression to type 2 diabetes: a retrospective analysis of the cluster-randomised \"Let's Prevent Diabetes\" trial","type":"article-journal","volume":"13"},"uris":["http://www.mendeley.com/documents/?uuid=34e3af29-349e-4120-a3cb-a3a7408ba3b4"]},{"id":"ITEM-3","itemData":{"ISSN":"14726963","PMID":"32293424","abstract":"Background: The National Health Service diabetes prevention programme in England, (NHS DPP) aims to identify people at high risk of type 2 diabetes (T2D) and offer them a face-to-face, group-based, behaviour change intervention for at least 9 months. The NHS DPP was rolled out in phases. We aimed to elicit stakeholders' perceptions and experiences of the factors influencing implementation of, and participation in, the programme during the development phase. Methods: Individual, semi-structured telephone interviews were conducted with 50 purposively sampled stakeholders: Service users (n = 20); programme commissioners (n = 7); referrers (n = 8); and intervention deliverers (n = 15). Topic guides were structured using a pragmatic, theory-informed approach. Analysis employed the framework method. Results: We identified factors that influenced participation: Risk communication at referral-stakeholders identified point of referral as a window of opportunity to offer brief advice, to provide an understanding of T2D risk and information about the programme; Perceived impact of the NHS DPP-service users highlighted the positive perceived impact on their behaviour change, the peer support provided by participating in the programme, the option to involve a relative, and the 'knock on' effect on others. Service users also voiced disappointment when blood test results still identified them at high risk after the programme; and Behavioural maintenance-participants highlighted the challenges linked to behavioural maintenance (e.g. discontinuation of active support). Factors influencing implementations were also identified: Case finding-stakeholders suggested that using community involvement to identify service users could increase reach and ensure that the workload was not solely on GP practices; Adaptability: Intervention deliverers acknowledged the need to tailor advice to service users' preferences and needs; Accountability-the need to acknowledge who was responsible for what at different stages of the NHS DPP pathway; and Fidelity-stakeholders described procedures involved in monitoring service users' satisfaction, outcome data collection and quality assurance assessments. Conclusions: The NHS DPP offers an evidence-informed behavioural intervention for T2D prevention. Better risk communication specification could ensure consistency at the referral stage and improve participation in the NHS DPP intervention. Cultural adaptations and outreach strategies could ensu…","author":[{"dropping-particle":"","family":"Rodrigues","given":"Angela M.","non-dropping-particle":"","parse-names":false,"suffix":""},{"dropping-particle":"","family":"Haste","given":"Anna","non-dropping-particle":"","parse-names":false,"suffix":""},{"dropping-particle":"","family":"Penn","given":"Linda","non-dropping-particle":"","parse-names":false,"suffix":""},{"dropping-particle":"","family":"Bell","given":"Ruth","non-dropping-particle":"","parse-names":false,"suffix":""},{"dropping-particle":"","family":"Summerbell","given":"Carolyn","non-dropping-particle":"","parse-names":false,"suffix":""},{"dropping-particle":"","family":"White","given":"Martin","non-dropping-particle":"","parse-names":false,"suffix":""},{"dropping-particle":"","family":"Adamson","given":"Ashley J.","non-dropping-particle":"","parse-names":false,"suffix":""},{"dropping-particle":"","family":"Sniehotta","given":"Falko F.","non-dropping-particle":"","parse-names":false,"suffix":""}],"container-title":"BMC Health Services Research","id":"ITEM-3","issued":{"date-parts":[["2020"]]},"page":"307","publisher":"BMC Health Services Research","title":"Stakeholders' perceptions and experiences of the National Health Service diabetes prevention programme in England: qualitative study with service users, intervention providers and deliverers, commissioners and referrers","type":"article-journal","volume":"20"},"uris":["http://www.mendeley.com/documents/?uuid=f72c730c-7abc-4ecd-b17f-09aa8f2ad088"]}],"mendeley":{"formattedCitation":"(Borek et al., 2019; Gray et al., 2016; Rodrigues et al., 2020)","plainTextFormattedCitation":"(Borek et al., 2019; Gray et al., 2016; Rodrigues et al., 2020)","previouslyFormattedCitation":"(Borek et al., 2019; Gray et al., 2016; Rodrigues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(Borek et al., 2019; Gray et al., 2016; Rodrigues et al., 2020)</w:t>
      </w:r>
      <w:r w:rsidRPr="00103A0B">
        <w:rPr>
          <w:rFonts w:ascii="Arial" w:hAnsi="Arial" w:cs="Arial"/>
          <w:sz w:val="24"/>
          <w:szCs w:val="24"/>
        </w:rPr>
        <w:fldChar w:fldCharType="end"/>
      </w:r>
      <w:r w:rsidRPr="00103A0B">
        <w:rPr>
          <w:rFonts w:ascii="Arial" w:hAnsi="Arial" w:cs="Arial"/>
          <w:sz w:val="24"/>
          <w:szCs w:val="24"/>
        </w:rPr>
        <w:t xml:space="preserve">. Recruiting those from ethnically diverse backgrounds living in a socioeconomically deprived area was another strength as both of these factors (ethnicity and deprivation) are known risk factors for T2DM </w:t>
      </w:r>
      <w:r w:rsidRPr="00103A0B">
        <w:rPr>
          <w:rFonts w:ascii="Arial" w:hAnsi="Arial" w:cs="Arial"/>
          <w:sz w:val="24"/>
          <w:szCs w:val="24"/>
        </w:rPr>
        <w:fldChar w:fldCharType="begin" w:fldLock="1"/>
      </w:r>
      <w:r w:rsidR="00597BD1" w:rsidRPr="00103A0B">
        <w:rPr>
          <w:rFonts w:ascii="Arial" w:hAnsi="Arial" w:cs="Arial"/>
          <w:sz w:val="24"/>
          <w:szCs w:val="24"/>
        </w:rPr>
        <w:instrText>ADDIN CSL_CITATION {"citationItems":[{"id":"ITEM-1","itemData":{"DOI":"10.1016/j.pcd.2010.08.002","ISSN":"1751-9918","author":[{"dropping-particle":"","family":"Gholap","given":"Nitin","non-dropping-particle":"","parse-names":false,"suffix":""},{"dropping-particle":"","family":"Davies","given":"Melanie","non-dropping-particle":"","parse-names":false,"suffix":""},{"dropping-particle":"","family":"Patel","given":"Kiran","non-dropping-particle":"","parse-names":false,"suffix":""},{"dropping-particle":"","family":"Sattar","given":"Naveed","non-dropping-particle":"","parse-names":false,"suffix":""},{"dropping-particle":"","family":"Khunti","given":"Kamlesh","non-dropping-particle":"","parse-names":false,"suffix":""}],"container-title":"Primary Care Diabetes","id":"ITEM-1","issued":{"date-parts":[["2011"]]},"page":"45-56","publisher":"Primary Care Diabetes Europe","title":"Type 2 diabetes and cardiovascular disease in South Asians","type":"article-journal","volume":"5"},"uris":["http://www.mendeley.com/documents/?uuid=9d8ffa18-1c88-49ef-8e29-4ace97571aca"]},{"id":"ITEM-2","itemData":{"author":[{"dropping-particle":"","family":"Mainous III","given":"A.G.","non-dropping-particle":"","parse-names":false,"suffix":""},{"dropping-particle":"","family":"Tanner","given":"R. J.","non-dropping-particle":"","parse-names":false,"suffix":""},{"dropping-particle":"","family":"Baker","given":"R.","non-dropping-particle":"","parse-names":false,"suffix":""},{"dropping-particle":"","family":"Zayas","given":"C.E.","non-dropping-particle":"","parse-names":false,"suffix":""},{"dropping-particle":"","family":"Harle","given":"C.A.","non-dropping-particle":"","parse-names":false,"suffix":""}],"container-title":"BMJ Open","id":"ITEM-2","issued":{"date-parts":[["2014"]]},"page":"e005002","title":"Prevalence of prediabetes in England from 2003 to 2011: population-based, cross-sectional study","type":"article-journal","volume":"4"},"uris":["http://www.mendeley.com/documents/?uuid=3d8c06b2-c467-4cfa-b523-36fc0982e568"]}],"mendeley":{"formattedCitation":"(Gholap et al., 2011; Mainous III et al., 2014)","plainTextFormattedCitation":"(Gholap et al., 2011; Mainous III et al., 2014)","previouslyFormattedCitation":"(Gholap et al., 2011; Mainous III et al., 2014)"},"properties":{"noteIndex":0},"schema":"https://github.com/citation-style-language/schema/raw/master/csl-citation.json"}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(Gholap et al., 2011; Mainous III et al., 2014)</w:t>
      </w:r>
      <w:r w:rsidRPr="00103A0B">
        <w:rPr>
          <w:rFonts w:ascii="Arial" w:hAnsi="Arial" w:cs="Arial"/>
          <w:sz w:val="24"/>
          <w:szCs w:val="24"/>
        </w:rPr>
        <w:fldChar w:fldCharType="end"/>
      </w:r>
      <w:r w:rsidRPr="00103A0B">
        <w:rPr>
          <w:rFonts w:ascii="Arial" w:hAnsi="Arial" w:cs="Arial"/>
          <w:sz w:val="24"/>
          <w:szCs w:val="24"/>
        </w:rPr>
        <w:t xml:space="preserve">. Third, this research includes large sample sizes; </w:t>
      </w:r>
      <w:r w:rsidR="00935503" w:rsidRPr="00103A0B">
        <w:rPr>
          <w:rFonts w:ascii="Arial" w:hAnsi="Arial" w:cs="Arial"/>
          <w:sz w:val="24"/>
          <w:szCs w:val="24"/>
        </w:rPr>
        <w:t xml:space="preserve">a </w:t>
      </w:r>
      <w:r w:rsidRPr="00103A0B">
        <w:rPr>
          <w:rFonts w:ascii="Arial" w:hAnsi="Arial" w:cs="Arial"/>
          <w:sz w:val="24"/>
          <w:szCs w:val="24"/>
        </w:rPr>
        <w:t>large qualitative sample in Chapter 5 and a large quantitative dataset to explore the role of IPs (Chapter 7). The study sample in Chapter 7 also included a good geographical spread where participants were from different areas of England. Fourth, the researcher piloted and refined the interview schedule for the qualitative interviews (Chapter 5). Fifth, questionnaires used to measure illness perceptions, self-efficacy and mental wellbeing</w:t>
      </w:r>
      <w:r w:rsidR="00B26A10" w:rsidRPr="00103A0B">
        <w:rPr>
          <w:rFonts w:ascii="Arial" w:hAnsi="Arial" w:cs="Arial"/>
          <w:sz w:val="24"/>
          <w:szCs w:val="24"/>
        </w:rPr>
        <w:t xml:space="preserve"> were all validated</w:t>
      </w:r>
      <w:r w:rsidRPr="00103A0B">
        <w:rPr>
          <w:rFonts w:ascii="Arial" w:hAnsi="Arial" w:cs="Arial"/>
          <w:sz w:val="24"/>
          <w:szCs w:val="24"/>
        </w:rPr>
        <w:t xml:space="preserve"> (Chapter 7).  </w:t>
      </w:r>
    </w:p>
    <w:p w14:paraId="53865919" w14:textId="37975EE6" w:rsidR="00EA3A20" w:rsidRPr="00103A0B" w:rsidRDefault="00B26A10" w:rsidP="00CD5919">
      <w:pPr>
        <w:tabs>
          <w:tab w:val="left" w:pos="1470"/>
        </w:tabs>
        <w:spacing w:line="360" w:lineRule="auto"/>
        <w:jc w:val="both"/>
        <w:rPr>
          <w:rFonts w:ascii="Arial" w:hAnsi="Arial" w:cs="Arial"/>
          <w:sz w:val="24"/>
          <w:szCs w:val="24"/>
        </w:rPr>
      </w:pPr>
      <w:r w:rsidRPr="00103A0B">
        <w:rPr>
          <w:rFonts w:ascii="Arial" w:hAnsi="Arial" w:cs="Arial"/>
          <w:sz w:val="24"/>
          <w:szCs w:val="24"/>
        </w:rPr>
        <w:t>However, t</w:t>
      </w:r>
      <w:r w:rsidR="00EA3A20" w:rsidRPr="00103A0B">
        <w:rPr>
          <w:rFonts w:ascii="Arial" w:hAnsi="Arial" w:cs="Arial"/>
          <w:sz w:val="24"/>
          <w:szCs w:val="24"/>
        </w:rPr>
        <w:t xml:space="preserve">here are some key limitations of this research which should be considered. First, missing data or lack of reported data is a limitation of this research which could affect the results obtained. For example, </w:t>
      </w:r>
      <w:r w:rsidR="00EA3A20" w:rsidRPr="00103A0B">
        <w:rPr>
          <w:rFonts w:ascii="Arial" w:eastAsia="Times New Roman" w:hAnsi="Arial" w:cs="Arial"/>
          <w:sz w:val="24"/>
          <w:szCs w:val="24"/>
          <w:lang w:eastAsia="en-GB"/>
        </w:rPr>
        <w:t>lack of reported information in the published literature prevented response and uptake rates from being calculated and possible BCTs from being coded (Chapter 2). Also, missing uptake data from the local provider as well as missing questionnaire data was a limitation (Chapter 7). These limitations were acknowledged in the respective chapters</w:t>
      </w:r>
      <w:r w:rsidR="00B24CC0" w:rsidRPr="00103A0B">
        <w:rPr>
          <w:rFonts w:ascii="Arial" w:eastAsia="Times New Roman" w:hAnsi="Arial" w:cs="Arial"/>
          <w:sz w:val="24"/>
          <w:szCs w:val="24"/>
          <w:lang w:eastAsia="en-GB"/>
        </w:rPr>
        <w:t>,</w:t>
      </w:r>
      <w:r w:rsidR="00EA3A20" w:rsidRPr="00103A0B">
        <w:rPr>
          <w:rFonts w:ascii="Arial" w:eastAsia="Times New Roman" w:hAnsi="Arial" w:cs="Arial"/>
          <w:sz w:val="24"/>
          <w:szCs w:val="24"/>
          <w:lang w:eastAsia="en-GB"/>
        </w:rPr>
        <w:t xml:space="preserve"> and possible explanations for these given alongside steps that were taken to reduce some of the impact of these limitations.  </w:t>
      </w:r>
    </w:p>
    <w:p w14:paraId="6414E800" w14:textId="0955582D" w:rsidR="00EA3A20" w:rsidRPr="00103A0B" w:rsidRDefault="00EA3A20" w:rsidP="00CD5919">
      <w:pPr>
        <w:tabs>
          <w:tab w:val="left" w:pos="1470"/>
        </w:tabs>
        <w:spacing w:line="360" w:lineRule="auto"/>
        <w:jc w:val="both"/>
        <w:rPr>
          <w:rFonts w:ascii="Arial" w:hAnsi="Arial" w:cs="Arial"/>
          <w:sz w:val="24"/>
          <w:szCs w:val="24"/>
        </w:rPr>
      </w:pPr>
      <w:bookmarkStart w:id="410" w:name="_Hlk124946297"/>
      <w:r w:rsidRPr="00103A0B">
        <w:rPr>
          <w:rFonts w:ascii="Arial" w:hAnsi="Arial" w:cs="Arial"/>
          <w:sz w:val="24"/>
          <w:szCs w:val="24"/>
        </w:rPr>
        <w:t xml:space="preserve">Second, the sample used to conduct qualitative interviews (Chapters 5 and 6) was strong in terms of ethnic diversity, but this presented some issues such as difficulty with English speaking. This may have affected participants’ abilities to fully express themselves in some cases. However, the researcher was sensitive to this and ensured questions were understood by the interviewee by repeating or rewording some questions and using appropriate prompts. </w:t>
      </w:r>
      <w:r w:rsidR="00CC41D5" w:rsidRPr="00103A0B">
        <w:rPr>
          <w:rFonts w:ascii="Arial" w:hAnsi="Arial" w:cs="Arial"/>
          <w:sz w:val="24"/>
          <w:szCs w:val="24"/>
        </w:rPr>
        <w:t xml:space="preserve">In relation to language and literacy issues, some participants were unable to take part due to their lack of spoken English. Despite multiple attempts to explain information in different ways, the researcher was not sure if they understood the research or the study information that was being conveyed. Taking into consideration that Southwark (the area from which participants were </w:t>
      </w:r>
      <w:r w:rsidR="00CC41D5" w:rsidRPr="00103A0B">
        <w:rPr>
          <w:rFonts w:ascii="Arial" w:hAnsi="Arial" w:cs="Arial"/>
          <w:sz w:val="24"/>
          <w:szCs w:val="24"/>
        </w:rPr>
        <w:lastRenderedPageBreak/>
        <w:t>recruited) is an ethnically diverse area where over 120 languages are spoken, and approximately 11% of households do not have any individuals with English as their first language</w:t>
      </w:r>
      <w:r w:rsidR="000045DD" w:rsidRPr="00103A0B">
        <w:rPr>
          <w:rFonts w:ascii="Arial" w:hAnsi="Arial" w:cs="Arial"/>
          <w:sz w:val="24"/>
          <w:szCs w:val="24"/>
        </w:rPr>
        <w:t xml:space="preserve"> </w:t>
      </w:r>
      <w:r w:rsidR="000045DD" w:rsidRPr="00103A0B">
        <w:rPr>
          <w:rFonts w:ascii="Arial" w:hAnsi="Arial" w:cs="Arial"/>
          <w:sz w:val="24"/>
          <w:szCs w:val="24"/>
        </w:rPr>
        <w:fldChar w:fldCharType="begin" w:fldLock="1"/>
      </w:r>
      <w:r w:rsidR="009375C4" w:rsidRPr="00103A0B">
        <w:rPr>
          <w:rFonts w:ascii="Arial" w:hAnsi="Arial" w:cs="Arial"/>
          <w:sz w:val="24"/>
          <w:szCs w:val="24"/>
        </w:rPr>
        <w:instrText>ADDIN CSL_CITATION {"citationItems":[{"id":"ITEM-1","itemData":{"author":[{"dropping-particle":"","family":"Southwark Council","given":"","non-dropping-particle":"","parse-names":false,"suffix":""}],"id":"ITEM-1","issued":{"date-parts":[["2018"]]},"number-of-pages":"1-16","title":"Overview of Southwark ’ s population","type":"report"},"uris":["http://www.mendeley.com/documents/?uuid=8112468d-9641-44c5-86b6-21a1686fdb70"]}],"mendeley":{"formattedCitation":"(Southwark Council, 2018)","plainTextFormattedCitation":"(Southwark Council, 2018)","previouslyFormattedCitation":"(Southwark Council, 2018)"},"properties":{"noteIndex":0},"schema":"https://github.com/citation-style-language/schema/raw/master/csl-citation.json"}</w:instrText>
      </w:r>
      <w:r w:rsidR="000045DD" w:rsidRPr="00103A0B">
        <w:rPr>
          <w:rFonts w:ascii="Arial" w:hAnsi="Arial" w:cs="Arial"/>
          <w:sz w:val="24"/>
          <w:szCs w:val="24"/>
        </w:rPr>
        <w:fldChar w:fldCharType="separate"/>
      </w:r>
      <w:r w:rsidR="000045DD" w:rsidRPr="00103A0B">
        <w:rPr>
          <w:rFonts w:ascii="Arial" w:hAnsi="Arial" w:cs="Arial"/>
          <w:noProof/>
          <w:sz w:val="24"/>
          <w:szCs w:val="24"/>
        </w:rPr>
        <w:t>(Southwark Council, 2018)</w:t>
      </w:r>
      <w:r w:rsidR="000045DD" w:rsidRPr="00103A0B">
        <w:rPr>
          <w:rFonts w:ascii="Arial" w:hAnsi="Arial" w:cs="Arial"/>
          <w:sz w:val="24"/>
          <w:szCs w:val="24"/>
        </w:rPr>
        <w:fldChar w:fldCharType="end"/>
      </w:r>
      <w:r w:rsidR="00CC41D5" w:rsidRPr="00103A0B">
        <w:rPr>
          <w:rFonts w:ascii="Arial" w:hAnsi="Arial" w:cs="Arial"/>
          <w:sz w:val="24"/>
          <w:szCs w:val="24"/>
        </w:rPr>
        <w:t xml:space="preserve"> (see Chapter 4), individuals with poor English and literacy may find it difficult to access and fully benefit from the NHSDPP or other health prevention programmes, or participate in important research to improve uptake and retention.</w:t>
      </w:r>
      <w:r w:rsidR="00BC2041" w:rsidRPr="00103A0B">
        <w:rPr>
          <w:rFonts w:ascii="Arial" w:hAnsi="Arial" w:cs="Arial"/>
          <w:sz w:val="24"/>
          <w:szCs w:val="24"/>
        </w:rPr>
        <w:t xml:space="preserve"> Furthermore, as these people were unable to take part due to the language barrier, their views about the programme may not be represented within the results presented in this thesis. In the future, if resources were available, it would be useful to have an interpreter</w:t>
      </w:r>
      <w:bookmarkStart w:id="411" w:name="_Hlk151036497"/>
      <w:r w:rsidR="00F9776B" w:rsidRPr="00103A0B">
        <w:rPr>
          <w:rFonts w:ascii="Arial" w:hAnsi="Arial" w:cs="Arial"/>
          <w:sz w:val="24"/>
          <w:szCs w:val="24"/>
        </w:rPr>
        <w:t>, and consider alternative ways of reaching these participants,</w:t>
      </w:r>
      <w:r w:rsidR="00BC2041" w:rsidRPr="00103A0B">
        <w:rPr>
          <w:rFonts w:ascii="Arial" w:hAnsi="Arial" w:cs="Arial"/>
          <w:sz w:val="24"/>
          <w:szCs w:val="24"/>
        </w:rPr>
        <w:t xml:space="preserve"> </w:t>
      </w:r>
      <w:bookmarkEnd w:id="411"/>
      <w:proofErr w:type="gramStart"/>
      <w:r w:rsidR="00BC2041" w:rsidRPr="00103A0B">
        <w:rPr>
          <w:rFonts w:ascii="Arial" w:hAnsi="Arial" w:cs="Arial"/>
          <w:sz w:val="24"/>
          <w:szCs w:val="24"/>
        </w:rPr>
        <w:t>in order to</w:t>
      </w:r>
      <w:proofErr w:type="gramEnd"/>
      <w:r w:rsidR="00BC2041" w:rsidRPr="00103A0B">
        <w:rPr>
          <w:rFonts w:ascii="Arial" w:hAnsi="Arial" w:cs="Arial"/>
          <w:sz w:val="24"/>
          <w:szCs w:val="24"/>
        </w:rPr>
        <w:t xml:space="preserve"> gain access to the views from this part of the non-English speaking population, to hear their views, and to represent their beliefs.</w:t>
      </w:r>
      <w:r w:rsidR="00CC41D5" w:rsidRPr="00103A0B">
        <w:rPr>
          <w:rFonts w:ascii="Arial" w:hAnsi="Arial" w:cs="Arial"/>
          <w:sz w:val="24"/>
          <w:szCs w:val="24"/>
        </w:rPr>
        <w:t xml:space="preserve">  </w:t>
      </w:r>
    </w:p>
    <w:bookmarkEnd w:id="410"/>
    <w:p w14:paraId="2E51C2C1" w14:textId="5FEEA92D" w:rsidR="00EA3A20" w:rsidRPr="00103A0B" w:rsidRDefault="00EA3A20" w:rsidP="00B26A10">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Third, when recruiting for the qualitative studies, </w:t>
      </w:r>
      <w:r w:rsidR="00B26A10" w:rsidRPr="00103A0B">
        <w:rPr>
          <w:rFonts w:ascii="Arial" w:hAnsi="Arial" w:cs="Arial"/>
          <w:sz w:val="24"/>
          <w:szCs w:val="24"/>
        </w:rPr>
        <w:t xml:space="preserve">some </w:t>
      </w:r>
      <w:r w:rsidRPr="00103A0B">
        <w:rPr>
          <w:rFonts w:ascii="Arial" w:hAnsi="Arial" w:cs="Arial"/>
          <w:sz w:val="24"/>
          <w:szCs w:val="24"/>
        </w:rPr>
        <w:t>participants were lost to follow-up due to not being identified on the local provider database (Chapter 5) or being unavailable/not responding for a follow-up call (Chapters 5 and 6). This resulted in the sample not being as large as initially planned/hoped but it was large enough for conducting thematic analysis</w:t>
      </w:r>
      <w:r w:rsidR="00B26A10" w:rsidRPr="00103A0B">
        <w:rPr>
          <w:rFonts w:ascii="Arial" w:hAnsi="Arial" w:cs="Arial"/>
          <w:sz w:val="24"/>
          <w:szCs w:val="24"/>
        </w:rPr>
        <w:t xml:space="preserve"> </w:t>
      </w:r>
      <w:r w:rsidRPr="00103A0B">
        <w:rPr>
          <w:rFonts w:ascii="Arial" w:hAnsi="Arial" w:cs="Arial"/>
          <w:sz w:val="24"/>
          <w:szCs w:val="24"/>
        </w:rPr>
        <w:t xml:space="preserve">for a PhD thesis.  </w:t>
      </w:r>
    </w:p>
    <w:p w14:paraId="11A921FC" w14:textId="77777777" w:rsidR="00EA3A20" w:rsidRPr="00103A0B" w:rsidRDefault="00EA3A20" w:rsidP="00CD5919">
      <w:pPr>
        <w:jc w:val="both"/>
        <w:rPr>
          <w:rFonts w:ascii="Arial" w:hAnsi="Arial" w:cs="Arial"/>
          <w:sz w:val="24"/>
          <w:szCs w:val="24"/>
        </w:rPr>
      </w:pPr>
    </w:p>
    <w:p w14:paraId="2089790C" w14:textId="74DFF991" w:rsidR="00EA3A20" w:rsidRPr="00103A0B" w:rsidRDefault="00EA3A20" w:rsidP="00CD5919">
      <w:pPr>
        <w:pStyle w:val="Heading2"/>
        <w:numPr>
          <w:ilvl w:val="0"/>
          <w:numId w:val="0"/>
        </w:numPr>
        <w:jc w:val="both"/>
        <w:rPr>
          <w:rFonts w:ascii="Arial" w:hAnsi="Arial" w:cs="Arial"/>
          <w:sz w:val="28"/>
        </w:rPr>
      </w:pPr>
      <w:bookmarkStart w:id="412" w:name="_Toc151548339"/>
      <w:r w:rsidRPr="00103A0B">
        <w:rPr>
          <w:rFonts w:ascii="Arial" w:hAnsi="Arial" w:cs="Arial"/>
          <w:sz w:val="28"/>
        </w:rPr>
        <w:t>8.5. Future Research</w:t>
      </w:r>
      <w:bookmarkEnd w:id="412"/>
      <w:r w:rsidRPr="00103A0B">
        <w:rPr>
          <w:rFonts w:ascii="Arial" w:hAnsi="Arial" w:cs="Arial"/>
          <w:sz w:val="28"/>
        </w:rPr>
        <w:t xml:space="preserve">  </w:t>
      </w:r>
    </w:p>
    <w:p w14:paraId="54F57330" w14:textId="1DDB1722"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This section considers areas for future research that have emerged from the work in this thesis. Firstly, interventions could be tested to explore their effectiveness in improving uptake or retention. For example, a randomised controlled trial could be conducted where participants in the intervention group receive an initial assessment (IA) involving discussion of expectations and illness perceptions (compared with usual care).  Also, the effectiveness of different methods of recruitment could be compared.  Due to being unable to explore recruitment methods with response and uptake rates as they were poorly reported</w:t>
      </w:r>
      <w:r w:rsidR="00D47B9A" w:rsidRPr="00103A0B">
        <w:rPr>
          <w:rFonts w:ascii="Arial" w:hAnsi="Arial" w:cs="Arial"/>
          <w:sz w:val="24"/>
          <w:szCs w:val="24"/>
        </w:rPr>
        <w:t>,</w:t>
      </w:r>
      <w:r w:rsidRPr="00103A0B">
        <w:rPr>
          <w:rFonts w:ascii="Arial" w:hAnsi="Arial" w:cs="Arial"/>
          <w:sz w:val="24"/>
          <w:szCs w:val="24"/>
        </w:rPr>
        <w:t xml:space="preserve"> or these rates were not possible to calculate for most of the DPPs (Chapter 2), a study exploring the reach and effectiveness of primary care recruitment strategies would be beneficial. </w:t>
      </w:r>
    </w:p>
    <w:p w14:paraId="6750CA42" w14:textId="03E08C83"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Randomised controlled trials could also be designed to explore the different factors and influences that </w:t>
      </w:r>
      <w:r w:rsidR="00B26A10" w:rsidRPr="00103A0B">
        <w:rPr>
          <w:rFonts w:ascii="Arial" w:hAnsi="Arial" w:cs="Arial"/>
          <w:sz w:val="24"/>
          <w:szCs w:val="24"/>
        </w:rPr>
        <w:t>can</w:t>
      </w:r>
      <w:r w:rsidRPr="00103A0B">
        <w:rPr>
          <w:rFonts w:ascii="Arial" w:hAnsi="Arial" w:cs="Arial"/>
          <w:sz w:val="24"/>
          <w:szCs w:val="24"/>
        </w:rPr>
        <w:t xml:space="preserve"> affect retention. For example, different methods of incentivisation could be compared within different arms of the trial. This can include monetary and non-monetary incentives such as cash, gift vouchers or certificates.  </w:t>
      </w:r>
      <w:r w:rsidRPr="00103A0B">
        <w:rPr>
          <w:rFonts w:ascii="Arial" w:hAnsi="Arial" w:cs="Arial"/>
          <w:sz w:val="24"/>
          <w:szCs w:val="24"/>
        </w:rPr>
        <w:lastRenderedPageBreak/>
        <w:t xml:space="preserve">Also, those BCTs found in high retention programmes such as demonstrating and rehearsing the ideal behaviour, problem solving or reducing negative emotions could be compared with usual practice. At the end of the programme, completion rates can be assessed to see whether they have improved.  </w:t>
      </w:r>
    </w:p>
    <w:p w14:paraId="42A8494A" w14:textId="79132FF7"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Secondly, the thesis focused on the participant perspective only regarding the factors or influences which affected uptake and retention. Future research would benefit </w:t>
      </w:r>
      <w:r w:rsidR="00B26A10" w:rsidRPr="00103A0B">
        <w:rPr>
          <w:rFonts w:ascii="Arial" w:hAnsi="Arial" w:cs="Arial"/>
          <w:sz w:val="24"/>
          <w:szCs w:val="24"/>
        </w:rPr>
        <w:t xml:space="preserve">from </w:t>
      </w:r>
      <w:r w:rsidRPr="00103A0B">
        <w:rPr>
          <w:rFonts w:ascii="Arial" w:hAnsi="Arial" w:cs="Arial"/>
          <w:sz w:val="24"/>
          <w:szCs w:val="24"/>
        </w:rPr>
        <w:t xml:space="preserve">exploring the experiences of the staff involved to explore their experiences of programme delivery, participant recruitment, </w:t>
      </w:r>
      <w:proofErr w:type="gramStart"/>
      <w:r w:rsidRPr="00103A0B">
        <w:rPr>
          <w:rFonts w:ascii="Arial" w:hAnsi="Arial" w:cs="Arial"/>
          <w:sz w:val="24"/>
          <w:szCs w:val="24"/>
        </w:rPr>
        <w:t>uptake</w:t>
      </w:r>
      <w:proofErr w:type="gramEnd"/>
      <w:r w:rsidRPr="00103A0B">
        <w:rPr>
          <w:rFonts w:ascii="Arial" w:hAnsi="Arial" w:cs="Arial"/>
          <w:sz w:val="24"/>
          <w:szCs w:val="24"/>
        </w:rPr>
        <w:t xml:space="preserve"> and retention, and </w:t>
      </w:r>
      <w:r w:rsidR="00B26A10" w:rsidRPr="00103A0B">
        <w:rPr>
          <w:rFonts w:ascii="Arial" w:hAnsi="Arial" w:cs="Arial"/>
          <w:sz w:val="24"/>
          <w:szCs w:val="24"/>
        </w:rPr>
        <w:t xml:space="preserve">focusing on </w:t>
      </w:r>
      <w:r w:rsidRPr="00103A0B">
        <w:rPr>
          <w:rFonts w:ascii="Arial" w:hAnsi="Arial" w:cs="Arial"/>
          <w:sz w:val="24"/>
          <w:szCs w:val="24"/>
        </w:rPr>
        <w:t>some of the key processes that could be improved.</w:t>
      </w:r>
      <w:r w:rsidR="00B26A10" w:rsidRPr="00103A0B">
        <w:rPr>
          <w:rFonts w:ascii="Arial" w:hAnsi="Arial" w:cs="Arial"/>
          <w:sz w:val="24"/>
          <w:szCs w:val="24"/>
        </w:rPr>
        <w:t xml:space="preserve"> </w:t>
      </w:r>
      <w:r w:rsidRPr="00103A0B">
        <w:rPr>
          <w:rFonts w:ascii="Arial" w:hAnsi="Arial" w:cs="Arial"/>
          <w:sz w:val="24"/>
          <w:szCs w:val="24"/>
        </w:rPr>
        <w:t xml:space="preserve">This could be done qualitatively, </w:t>
      </w:r>
      <w:r w:rsidR="00B26A10" w:rsidRPr="00103A0B">
        <w:rPr>
          <w:rFonts w:ascii="Arial" w:hAnsi="Arial" w:cs="Arial"/>
          <w:sz w:val="24"/>
          <w:szCs w:val="24"/>
        </w:rPr>
        <w:t xml:space="preserve">by </w:t>
      </w:r>
      <w:r w:rsidRPr="00103A0B">
        <w:rPr>
          <w:rFonts w:ascii="Arial" w:hAnsi="Arial" w:cs="Arial"/>
          <w:sz w:val="24"/>
          <w:szCs w:val="24"/>
        </w:rPr>
        <w:t xml:space="preserve">interviewing IA instructors and session instructors, and staff responsible for logistics and administration such as booking participants onto sessions, organising delivery of programme material, and booking venues. This qualitative exploration of staff would provide a detailed picture from the perspectives of programme staff operating at different levels, whether they are in line with participant views or </w:t>
      </w:r>
      <w:proofErr w:type="gramStart"/>
      <w:r w:rsidRPr="00103A0B">
        <w:rPr>
          <w:rFonts w:ascii="Arial" w:hAnsi="Arial" w:cs="Arial"/>
          <w:sz w:val="24"/>
          <w:szCs w:val="24"/>
        </w:rPr>
        <w:t>not</w:t>
      </w:r>
      <w:r w:rsidR="00D47B9A" w:rsidRPr="00103A0B">
        <w:rPr>
          <w:rFonts w:ascii="Arial" w:hAnsi="Arial" w:cs="Arial"/>
          <w:sz w:val="24"/>
          <w:szCs w:val="24"/>
        </w:rPr>
        <w:t>,</w:t>
      </w:r>
      <w:r w:rsidRPr="00103A0B">
        <w:rPr>
          <w:rFonts w:ascii="Arial" w:hAnsi="Arial" w:cs="Arial"/>
          <w:sz w:val="24"/>
          <w:szCs w:val="24"/>
        </w:rPr>
        <w:t xml:space="preserve"> and</w:t>
      </w:r>
      <w:proofErr w:type="gramEnd"/>
      <w:r w:rsidRPr="00103A0B">
        <w:rPr>
          <w:rFonts w:ascii="Arial" w:hAnsi="Arial" w:cs="Arial"/>
          <w:sz w:val="24"/>
          <w:szCs w:val="24"/>
        </w:rPr>
        <w:t xml:space="preserve"> will enable triangulation of these research findings. </w:t>
      </w:r>
      <w:r w:rsidR="00DE27A4" w:rsidRPr="00103A0B">
        <w:rPr>
          <w:rFonts w:ascii="Arial" w:hAnsi="Arial" w:cs="Arial"/>
          <w:sz w:val="24"/>
          <w:szCs w:val="24"/>
        </w:rPr>
        <w:t>Thirdly, more qualitative research would be valuable to explore the issues associated with non-attendance within specific demographic groups, such as those in younger age groups, those with low (or high) levels of mental wellbeing and those living in West Yorkshire.</w:t>
      </w:r>
    </w:p>
    <w:p w14:paraId="29787C42" w14:textId="77777777" w:rsidR="00DE27A4" w:rsidRPr="00103A0B" w:rsidRDefault="00DE27A4" w:rsidP="00CD5919">
      <w:pPr>
        <w:spacing w:line="360" w:lineRule="auto"/>
        <w:jc w:val="both"/>
        <w:rPr>
          <w:rFonts w:ascii="Arial" w:hAnsi="Arial" w:cs="Arial"/>
          <w:sz w:val="24"/>
          <w:szCs w:val="24"/>
        </w:rPr>
      </w:pPr>
    </w:p>
    <w:p w14:paraId="4D10872E" w14:textId="1EE57A1E" w:rsidR="00EA3A20" w:rsidRPr="00103A0B" w:rsidRDefault="00EA3A20" w:rsidP="00CD5919">
      <w:pPr>
        <w:pStyle w:val="Heading2"/>
        <w:numPr>
          <w:ilvl w:val="0"/>
          <w:numId w:val="0"/>
        </w:numPr>
        <w:jc w:val="both"/>
        <w:rPr>
          <w:rFonts w:ascii="Arial" w:hAnsi="Arial" w:cs="Arial"/>
          <w:sz w:val="28"/>
        </w:rPr>
      </w:pPr>
      <w:bookmarkStart w:id="413" w:name="_Toc151548340"/>
      <w:r w:rsidRPr="00103A0B">
        <w:rPr>
          <w:rFonts w:ascii="Arial" w:hAnsi="Arial" w:cs="Arial"/>
          <w:sz w:val="28"/>
        </w:rPr>
        <w:t>8.6. Recommendations for Practice</w:t>
      </w:r>
      <w:bookmarkEnd w:id="413"/>
      <w:r w:rsidRPr="00103A0B">
        <w:rPr>
          <w:rFonts w:ascii="Arial" w:hAnsi="Arial" w:cs="Arial"/>
          <w:sz w:val="28"/>
        </w:rPr>
        <w:t xml:space="preserve"> </w:t>
      </w:r>
    </w:p>
    <w:p w14:paraId="0E1ECDC0" w14:textId="77777777" w:rsidR="00EA3A20" w:rsidRPr="00103A0B" w:rsidRDefault="00EA3A20" w:rsidP="00CD5919">
      <w:pPr>
        <w:spacing w:line="360" w:lineRule="auto"/>
        <w:jc w:val="both"/>
        <w:rPr>
          <w:rFonts w:ascii="Arial" w:hAnsi="Arial" w:cs="Arial"/>
          <w:sz w:val="24"/>
          <w:szCs w:val="24"/>
        </w:rPr>
      </w:pPr>
      <w:proofErr w:type="gramStart"/>
      <w:r w:rsidRPr="00103A0B">
        <w:rPr>
          <w:rFonts w:ascii="Arial" w:hAnsi="Arial" w:cs="Arial"/>
          <w:sz w:val="24"/>
          <w:szCs w:val="24"/>
        </w:rPr>
        <w:t>In light of</w:t>
      </w:r>
      <w:proofErr w:type="gramEnd"/>
      <w:r w:rsidRPr="00103A0B">
        <w:rPr>
          <w:rFonts w:ascii="Arial" w:hAnsi="Arial" w:cs="Arial"/>
          <w:sz w:val="24"/>
          <w:szCs w:val="24"/>
        </w:rPr>
        <w:t xml:space="preserve"> these research findings the following recommendations are made for practice in order to improve uptake and retention in diabetes prevention programmes. </w:t>
      </w:r>
    </w:p>
    <w:p w14:paraId="4EC7F0A7" w14:textId="5D0CB321" w:rsidR="00EA3A20" w:rsidRPr="00103A0B" w:rsidRDefault="00EA3A20" w:rsidP="00CD5919">
      <w:pPr>
        <w:spacing w:line="360" w:lineRule="auto"/>
        <w:jc w:val="both"/>
        <w:rPr>
          <w:rFonts w:ascii="Arial" w:hAnsi="Arial" w:cs="Arial"/>
          <w:b/>
          <w:bCs/>
          <w:sz w:val="24"/>
          <w:szCs w:val="24"/>
        </w:rPr>
      </w:pPr>
      <w:r w:rsidRPr="00103A0B">
        <w:rPr>
          <w:rFonts w:ascii="Arial" w:hAnsi="Arial" w:cs="Arial"/>
          <w:b/>
          <w:bCs/>
          <w:sz w:val="24"/>
          <w:szCs w:val="24"/>
        </w:rPr>
        <w:t>8.6.1 Improving Uptake</w:t>
      </w:r>
    </w:p>
    <w:p w14:paraId="67680F75" w14:textId="77777777"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Researchers and programme organisers should ensure there is more consistent and detailed reporting of recruitment methods, as well as more robust reporting of response and uptake rates. This would enable improved evaluation of DPPs where, for example, it can be identified which recruitment strategies are associated with higher response and uptake rates, so strategies can be developed and implemented to improve these rates. </w:t>
      </w:r>
    </w:p>
    <w:p w14:paraId="1E25DEB6" w14:textId="77777777"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lastRenderedPageBreak/>
        <w:t>Specific strategies need to be developed to focus on improving uptake in younger adults and those from more deprived areas as they were less likely to start. The following recommendations are for healthcare professionals/clinicians, programme organisers and staff involved in referring or delivering DPPs:</w:t>
      </w:r>
    </w:p>
    <w:p w14:paraId="2DDDB27A" w14:textId="77777777" w:rsidR="00EA3A20" w:rsidRPr="00103A0B" w:rsidRDefault="00EA3A20" w:rsidP="00CD5919">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 xml:space="preserve">Healthcare professionals including GPs and/or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 staff (before/during the IA) should ensure that participants understand diabetes prevention </w:t>
      </w:r>
      <w:proofErr w:type="spellStart"/>
      <w:r w:rsidRPr="00103A0B">
        <w:rPr>
          <w:rFonts w:ascii="Arial" w:hAnsi="Arial" w:cs="Arial"/>
          <w:sz w:val="24"/>
          <w:szCs w:val="24"/>
        </w:rPr>
        <w:t>programmes</w:t>
      </w:r>
      <w:proofErr w:type="spellEnd"/>
      <w:r w:rsidRPr="00103A0B">
        <w:rPr>
          <w:rFonts w:ascii="Arial" w:hAnsi="Arial" w:cs="Arial"/>
          <w:sz w:val="24"/>
          <w:szCs w:val="24"/>
        </w:rPr>
        <w:t xml:space="preserve"> as appropriate and effective treatment for prediabetes, and that their prediabetes is controllable. </w:t>
      </w:r>
    </w:p>
    <w:p w14:paraId="2D14BB4D" w14:textId="77777777" w:rsidR="00EA3A20" w:rsidRPr="00103A0B" w:rsidRDefault="00EA3A20" w:rsidP="00CD5919">
      <w:pPr>
        <w:pStyle w:val="ListParagraph"/>
        <w:spacing w:line="360" w:lineRule="auto"/>
        <w:ind w:left="360"/>
        <w:jc w:val="both"/>
        <w:rPr>
          <w:rFonts w:ascii="Arial" w:hAnsi="Arial" w:cs="Arial"/>
          <w:sz w:val="24"/>
          <w:szCs w:val="24"/>
        </w:rPr>
      </w:pPr>
    </w:p>
    <w:p w14:paraId="0F624FAB" w14:textId="5591F612" w:rsidR="00EA3A20" w:rsidRPr="00103A0B" w:rsidRDefault="00EA3A20" w:rsidP="00CD5919">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 xml:space="preserve">Specific-tailored information should be provided to ensure effective communication and that participants have a correct, full understanding about their diagnosis and risk, before making an informed decision regarding attendance. It is key to ensure that participants understand the seriousness of prediabetes without instilling too much fear. The importance of attending DPPs and the support that will be offered regardless of whether one is already feeling psychologically well should be </w:t>
      </w:r>
      <w:r w:rsidR="00D47B9A" w:rsidRPr="00103A0B">
        <w:rPr>
          <w:rFonts w:ascii="Arial" w:hAnsi="Arial" w:cs="Arial"/>
          <w:sz w:val="24"/>
          <w:szCs w:val="24"/>
        </w:rPr>
        <w:t>emphasized</w:t>
      </w:r>
      <w:r w:rsidRPr="00103A0B">
        <w:rPr>
          <w:rFonts w:ascii="Arial" w:hAnsi="Arial" w:cs="Arial"/>
          <w:sz w:val="24"/>
          <w:szCs w:val="24"/>
        </w:rPr>
        <w:t>.</w:t>
      </w:r>
      <w:bookmarkStart w:id="414" w:name="_Hlk68449330"/>
    </w:p>
    <w:p w14:paraId="49970CAA" w14:textId="77777777" w:rsidR="00EA3A20" w:rsidRPr="00103A0B" w:rsidRDefault="00EA3A20" w:rsidP="00CD5919">
      <w:pPr>
        <w:pStyle w:val="ListParagraph"/>
        <w:spacing w:line="360" w:lineRule="auto"/>
        <w:ind w:left="360"/>
        <w:jc w:val="both"/>
        <w:rPr>
          <w:rFonts w:ascii="Arial" w:hAnsi="Arial" w:cs="Arial"/>
          <w:sz w:val="24"/>
          <w:szCs w:val="24"/>
        </w:rPr>
      </w:pPr>
    </w:p>
    <w:bookmarkEnd w:id="414"/>
    <w:p w14:paraId="42CDC2C7" w14:textId="77777777" w:rsidR="00EA3A20" w:rsidRPr="00103A0B" w:rsidRDefault="00EA3A20" w:rsidP="00CD5919">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 xml:space="preserve">At the IA, it would be helpful to ask questions regarding family commitments and responsibilities so that these can be considered when allocating suitable session times and venues, as well as signposting to appropriate support if necessary. </w:t>
      </w:r>
    </w:p>
    <w:p w14:paraId="6AB63125" w14:textId="77777777" w:rsidR="00EA3A20" w:rsidRPr="00103A0B" w:rsidRDefault="00EA3A20" w:rsidP="00CD5919">
      <w:pPr>
        <w:pStyle w:val="ListParagraph"/>
        <w:spacing w:line="360" w:lineRule="auto"/>
        <w:ind w:left="360"/>
        <w:jc w:val="both"/>
        <w:rPr>
          <w:rFonts w:ascii="Arial" w:hAnsi="Arial" w:cs="Arial"/>
          <w:sz w:val="24"/>
          <w:szCs w:val="24"/>
        </w:rPr>
      </w:pPr>
    </w:p>
    <w:p w14:paraId="6A884503" w14:textId="77777777" w:rsidR="00EA3A20" w:rsidRPr="00103A0B" w:rsidRDefault="00EA3A20" w:rsidP="00CD5919">
      <w:pPr>
        <w:pStyle w:val="ListParagraph"/>
        <w:numPr>
          <w:ilvl w:val="0"/>
          <w:numId w:val="21"/>
        </w:numPr>
        <w:spacing w:line="360" w:lineRule="auto"/>
        <w:jc w:val="both"/>
        <w:rPr>
          <w:rFonts w:ascii="Arial" w:hAnsi="Arial" w:cs="Arial"/>
          <w:sz w:val="24"/>
          <w:szCs w:val="24"/>
        </w:rPr>
      </w:pPr>
      <w:r w:rsidRPr="00103A0B">
        <w:rPr>
          <w:rFonts w:ascii="Arial" w:eastAsia="Times New Roman" w:hAnsi="Arial" w:cs="Arial"/>
          <w:sz w:val="24"/>
          <w:szCs w:val="24"/>
          <w:lang w:eastAsia="en-GB"/>
        </w:rPr>
        <w:t xml:space="preserve">To prevent the service being overwhelmed, </w:t>
      </w:r>
      <w:r w:rsidRPr="00103A0B">
        <w:rPr>
          <w:rFonts w:ascii="Arial" w:hAnsi="Arial" w:cs="Arial"/>
          <w:sz w:val="24"/>
          <w:szCs w:val="24"/>
        </w:rPr>
        <w:t xml:space="preserve">local providers must ensure that they are able to book participants onto the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 efficiently, with good communication to participants.</w:t>
      </w:r>
    </w:p>
    <w:p w14:paraId="08CC6580" w14:textId="77777777" w:rsidR="00EA3A20" w:rsidRPr="00103A0B" w:rsidRDefault="00EA3A20" w:rsidP="00CD5919">
      <w:pPr>
        <w:jc w:val="both"/>
        <w:rPr>
          <w:rFonts w:ascii="Arial" w:hAnsi="Arial" w:cs="Arial"/>
          <w:sz w:val="24"/>
          <w:szCs w:val="24"/>
        </w:rPr>
      </w:pPr>
    </w:p>
    <w:p w14:paraId="245E9813" w14:textId="65A5CFA7" w:rsidR="00EA3A20" w:rsidRPr="00103A0B" w:rsidRDefault="00EA3A20" w:rsidP="00CD5919">
      <w:pPr>
        <w:jc w:val="both"/>
        <w:rPr>
          <w:rFonts w:ascii="Arial" w:hAnsi="Arial" w:cs="Arial"/>
          <w:b/>
          <w:bCs/>
          <w:sz w:val="24"/>
          <w:szCs w:val="24"/>
        </w:rPr>
      </w:pPr>
      <w:r w:rsidRPr="00103A0B">
        <w:rPr>
          <w:rFonts w:ascii="Arial" w:hAnsi="Arial" w:cs="Arial"/>
          <w:b/>
          <w:bCs/>
          <w:sz w:val="24"/>
          <w:szCs w:val="24"/>
        </w:rPr>
        <w:t xml:space="preserve">8.6.2 Improving Retention </w:t>
      </w:r>
    </w:p>
    <w:p w14:paraId="5BFCC9B2" w14:textId="77777777"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Researchers and programme organisers need to develop specific strategies that focus on retaining more younger adults ideally until programme completion, and increasing retention rates, particularly in areas with lower completion rates. The following recommendations are for programme organisers and/or instructors involved in delivering DPPs to help improve retention: </w:t>
      </w:r>
    </w:p>
    <w:p w14:paraId="0BD2A5BB" w14:textId="77777777" w:rsidR="00EA3A20" w:rsidRPr="00103A0B" w:rsidRDefault="00EA3A20" w:rsidP="00CD5919">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lastRenderedPageBreak/>
        <w:t xml:space="preserve">The accessibility of sessions for different populations needs to be regularly reviewed, ensuring appropriate venues are booked, participants are aware in advance of any changes to session times and or/venue, and flexibility in session times is considered particularly for those with work commitments or family responsibilities. By ensuring communication and practicality issues are resolved, with strategies in place to resolve such issues swiftly, it should be possible to improve completion rates. </w:t>
      </w:r>
    </w:p>
    <w:p w14:paraId="2B2CB846" w14:textId="77777777" w:rsidR="00EA3A20" w:rsidRPr="00103A0B" w:rsidRDefault="00EA3A20" w:rsidP="00CD5919">
      <w:pPr>
        <w:pStyle w:val="ListParagraph"/>
        <w:spacing w:line="360" w:lineRule="auto"/>
        <w:ind w:left="360"/>
        <w:jc w:val="both"/>
        <w:rPr>
          <w:rFonts w:ascii="Arial" w:hAnsi="Arial" w:cs="Arial"/>
          <w:sz w:val="24"/>
          <w:szCs w:val="24"/>
        </w:rPr>
      </w:pPr>
    </w:p>
    <w:p w14:paraId="7B7CC644" w14:textId="7824A637" w:rsidR="00AA5409" w:rsidRPr="00103A0B" w:rsidRDefault="00EA3A20" w:rsidP="00AA5409">
      <w:pPr>
        <w:pStyle w:val="ListParagraph"/>
        <w:numPr>
          <w:ilvl w:val="0"/>
          <w:numId w:val="21"/>
        </w:numPr>
        <w:spacing w:line="360" w:lineRule="auto"/>
        <w:jc w:val="both"/>
        <w:rPr>
          <w:rFonts w:ascii="Arial" w:hAnsi="Arial" w:cs="Arial"/>
          <w:sz w:val="24"/>
          <w:szCs w:val="24"/>
        </w:rPr>
      </w:pPr>
      <w:bookmarkStart w:id="415" w:name="_Hlk124946399"/>
      <w:r w:rsidRPr="00103A0B">
        <w:rPr>
          <w:rFonts w:ascii="Arial" w:hAnsi="Arial" w:cs="Arial"/>
          <w:sz w:val="24"/>
          <w:szCs w:val="24"/>
        </w:rPr>
        <w:t xml:space="preserve">Effective communication strategies need to be put in place particularly for those whose first language may not be English. </w:t>
      </w:r>
      <w:r w:rsidR="00AA5409" w:rsidRPr="00103A0B">
        <w:rPr>
          <w:rFonts w:ascii="Arial" w:hAnsi="Arial" w:cs="Arial"/>
          <w:sz w:val="24"/>
          <w:szCs w:val="24"/>
        </w:rPr>
        <w:t>Although the use of translators could be beneficial, this needs to be carefully considered as it may be difficult to accommodate for all languages. Other strategies such as the use of</w:t>
      </w:r>
      <w:r w:rsidR="00157CCD" w:rsidRPr="00103A0B">
        <w:rPr>
          <w:rFonts w:ascii="Arial" w:hAnsi="Arial" w:cs="Arial"/>
          <w:sz w:val="24"/>
          <w:szCs w:val="24"/>
        </w:rPr>
        <w:t xml:space="preserve"> online and/or</w:t>
      </w:r>
      <w:r w:rsidR="00AA5409" w:rsidRPr="00103A0B">
        <w:rPr>
          <w:rFonts w:ascii="Arial" w:hAnsi="Arial" w:cs="Arial"/>
          <w:sz w:val="24"/>
          <w:szCs w:val="24"/>
        </w:rPr>
        <w:t xml:space="preserve"> written </w:t>
      </w:r>
      <w:r w:rsidR="009F5112" w:rsidRPr="00103A0B">
        <w:rPr>
          <w:rFonts w:ascii="Arial" w:hAnsi="Arial" w:cs="Arial"/>
          <w:sz w:val="24"/>
          <w:szCs w:val="24"/>
        </w:rPr>
        <w:t>resources</w:t>
      </w:r>
      <w:r w:rsidR="00AA5409" w:rsidRPr="00103A0B">
        <w:rPr>
          <w:rFonts w:ascii="Arial" w:hAnsi="Arial" w:cs="Arial"/>
          <w:sz w:val="24"/>
          <w:szCs w:val="24"/>
        </w:rPr>
        <w:t xml:space="preserve"> in other languages might be more feasible, particularly for large scale, national </w:t>
      </w:r>
      <w:proofErr w:type="spellStart"/>
      <w:r w:rsidR="00AA5409" w:rsidRPr="00103A0B">
        <w:rPr>
          <w:rFonts w:ascii="Arial" w:hAnsi="Arial" w:cs="Arial"/>
          <w:sz w:val="24"/>
          <w:szCs w:val="24"/>
        </w:rPr>
        <w:t>programmes</w:t>
      </w:r>
      <w:proofErr w:type="spellEnd"/>
      <w:r w:rsidR="00AA5409" w:rsidRPr="00103A0B">
        <w:rPr>
          <w:rFonts w:ascii="Arial" w:hAnsi="Arial" w:cs="Arial"/>
          <w:sz w:val="24"/>
          <w:szCs w:val="24"/>
        </w:rPr>
        <w:t xml:space="preserve">. This will improve accessibility and benefit all population groups including those whose first language is not English. </w:t>
      </w:r>
    </w:p>
    <w:bookmarkEnd w:id="415"/>
    <w:p w14:paraId="17EF6417" w14:textId="7CCF13AA" w:rsidR="00EA3A20" w:rsidRPr="00103A0B" w:rsidRDefault="00EA3A20" w:rsidP="00AA5409">
      <w:pPr>
        <w:pStyle w:val="ListParagraph"/>
        <w:spacing w:line="360" w:lineRule="auto"/>
        <w:ind w:left="360"/>
        <w:jc w:val="both"/>
        <w:rPr>
          <w:rFonts w:ascii="Arial" w:hAnsi="Arial" w:cs="Arial"/>
          <w:sz w:val="24"/>
          <w:szCs w:val="24"/>
        </w:rPr>
      </w:pPr>
    </w:p>
    <w:p w14:paraId="55DF8D50" w14:textId="5C2AAE5B" w:rsidR="00EA3A20" w:rsidRPr="00103A0B" w:rsidRDefault="00EA3A20" w:rsidP="00CD5919">
      <w:pPr>
        <w:pStyle w:val="ListParagraph"/>
        <w:numPr>
          <w:ilvl w:val="0"/>
          <w:numId w:val="21"/>
        </w:numPr>
        <w:spacing w:line="360" w:lineRule="auto"/>
        <w:jc w:val="both"/>
        <w:rPr>
          <w:rFonts w:ascii="Arial" w:hAnsi="Arial" w:cs="Arial"/>
          <w:sz w:val="24"/>
          <w:szCs w:val="24"/>
        </w:rPr>
      </w:pPr>
      <w:proofErr w:type="spellStart"/>
      <w:r w:rsidRPr="00103A0B">
        <w:rPr>
          <w:rFonts w:ascii="Arial" w:hAnsi="Arial" w:cs="Arial"/>
          <w:sz w:val="24"/>
          <w:szCs w:val="24"/>
        </w:rPr>
        <w:t>Programme</w:t>
      </w:r>
      <w:proofErr w:type="spellEnd"/>
      <w:r w:rsidRPr="00103A0B">
        <w:rPr>
          <w:rFonts w:ascii="Arial" w:hAnsi="Arial" w:cs="Arial"/>
          <w:sz w:val="24"/>
          <w:szCs w:val="24"/>
        </w:rPr>
        <w:t xml:space="preserve"> instructors should be supportive</w:t>
      </w:r>
      <w:r w:rsidR="00DE27A4" w:rsidRPr="00103A0B">
        <w:rPr>
          <w:rFonts w:ascii="Arial" w:hAnsi="Arial" w:cs="Arial"/>
          <w:sz w:val="24"/>
          <w:szCs w:val="24"/>
        </w:rPr>
        <w:t>, aware of group dynamics,</w:t>
      </w:r>
      <w:r w:rsidRPr="00103A0B">
        <w:rPr>
          <w:rFonts w:ascii="Arial" w:hAnsi="Arial" w:cs="Arial"/>
          <w:sz w:val="24"/>
          <w:szCs w:val="24"/>
        </w:rPr>
        <w:t xml:space="preserve"> and include activities in their sessions that encourage support between group members. </w:t>
      </w:r>
    </w:p>
    <w:p w14:paraId="7C3D106C" w14:textId="77777777" w:rsidR="00EA3A20" w:rsidRPr="00103A0B" w:rsidRDefault="00EA3A20" w:rsidP="00CD5919">
      <w:pPr>
        <w:pStyle w:val="ListParagraph"/>
        <w:spacing w:line="360" w:lineRule="auto"/>
        <w:ind w:left="360"/>
        <w:jc w:val="both"/>
        <w:rPr>
          <w:rFonts w:ascii="Arial" w:hAnsi="Arial" w:cs="Arial"/>
          <w:sz w:val="24"/>
          <w:szCs w:val="24"/>
        </w:rPr>
      </w:pPr>
    </w:p>
    <w:p w14:paraId="4DAC01AF" w14:textId="04CDA4E8" w:rsidR="00EA3A20" w:rsidRPr="00103A0B" w:rsidRDefault="00EA3A20" w:rsidP="00CD5919">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 xml:space="preserve">During sessions, some fear of T2DM can be helpful as a motivator to drive change and encourage completion, although this needs to be carefully managed. </w:t>
      </w:r>
      <w:r w:rsidR="00DE27A4" w:rsidRPr="00103A0B">
        <w:rPr>
          <w:rFonts w:ascii="Arial" w:hAnsi="Arial" w:cs="Arial"/>
          <w:sz w:val="24"/>
          <w:szCs w:val="24"/>
        </w:rPr>
        <w:t xml:space="preserve">It is important to educate people, and for them to understand the consequences of T2DM, but also that there are things they can do to manage their diabetes.  The </w:t>
      </w:r>
      <w:proofErr w:type="spellStart"/>
      <w:r w:rsidR="00DE27A4" w:rsidRPr="00103A0B">
        <w:rPr>
          <w:rFonts w:ascii="Arial" w:hAnsi="Arial" w:cs="Arial"/>
          <w:sz w:val="24"/>
          <w:szCs w:val="24"/>
        </w:rPr>
        <w:t>programme</w:t>
      </w:r>
      <w:proofErr w:type="spellEnd"/>
      <w:r w:rsidR="00DE27A4" w:rsidRPr="00103A0B">
        <w:rPr>
          <w:rFonts w:ascii="Arial" w:hAnsi="Arial" w:cs="Arial"/>
          <w:sz w:val="24"/>
          <w:szCs w:val="24"/>
        </w:rPr>
        <w:t xml:space="preserve"> will help them do this.</w:t>
      </w:r>
    </w:p>
    <w:p w14:paraId="5AC9798E" w14:textId="77777777" w:rsidR="00EA3A20" w:rsidRPr="00103A0B" w:rsidRDefault="00EA3A20" w:rsidP="00CD5919">
      <w:pPr>
        <w:pStyle w:val="ListParagraph"/>
        <w:spacing w:line="360" w:lineRule="auto"/>
        <w:ind w:left="360"/>
        <w:jc w:val="both"/>
        <w:rPr>
          <w:rFonts w:ascii="Arial" w:hAnsi="Arial" w:cs="Arial"/>
          <w:sz w:val="24"/>
          <w:szCs w:val="24"/>
        </w:rPr>
      </w:pPr>
    </w:p>
    <w:p w14:paraId="7E3F4F68" w14:textId="6BFF6A26" w:rsidR="00DE27A4" w:rsidRPr="00103A0B" w:rsidRDefault="00EA3A20" w:rsidP="00DE27A4">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Instructors should ensure they provide encouragement to participants throughout their sessions, so they feel confident in their abilities to continue in their efforts to make positive lifestyle changes particularly when challenges are experienced.</w:t>
      </w:r>
    </w:p>
    <w:p w14:paraId="28F92F18" w14:textId="77777777" w:rsidR="00034AFF" w:rsidRPr="00103A0B" w:rsidRDefault="00034AFF" w:rsidP="00034AFF">
      <w:pPr>
        <w:pStyle w:val="ListParagraph"/>
        <w:rPr>
          <w:rFonts w:ascii="Arial" w:hAnsi="Arial" w:cs="Arial"/>
          <w:sz w:val="24"/>
          <w:szCs w:val="24"/>
        </w:rPr>
      </w:pPr>
    </w:p>
    <w:p w14:paraId="40982CBD" w14:textId="6225D9BB" w:rsidR="00034AFF" w:rsidRPr="00103A0B" w:rsidRDefault="00034AFF" w:rsidP="00DE27A4">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 xml:space="preserve">Focus more on encouraging participants to set goals related to improving dietary and/or exercise </w:t>
      </w:r>
      <w:proofErr w:type="spellStart"/>
      <w:r w:rsidRPr="00103A0B">
        <w:rPr>
          <w:rFonts w:ascii="Arial" w:hAnsi="Arial" w:cs="Arial"/>
          <w:sz w:val="24"/>
          <w:szCs w:val="24"/>
        </w:rPr>
        <w:t>behaviour</w:t>
      </w:r>
      <w:proofErr w:type="spellEnd"/>
      <w:r w:rsidRPr="00103A0B">
        <w:rPr>
          <w:rFonts w:ascii="Arial" w:hAnsi="Arial" w:cs="Arial"/>
          <w:sz w:val="24"/>
          <w:szCs w:val="24"/>
        </w:rPr>
        <w:t>, rather than too much focus on goal setting outcomes such as weight.</w:t>
      </w:r>
    </w:p>
    <w:p w14:paraId="747F70BE" w14:textId="77777777" w:rsidR="00034AFF" w:rsidRPr="00103A0B" w:rsidRDefault="00034AFF" w:rsidP="00034AFF">
      <w:pPr>
        <w:pStyle w:val="ListParagraph"/>
        <w:rPr>
          <w:rFonts w:ascii="Arial" w:hAnsi="Arial" w:cs="Arial"/>
          <w:sz w:val="24"/>
          <w:szCs w:val="24"/>
        </w:rPr>
      </w:pPr>
    </w:p>
    <w:p w14:paraId="611EC52E" w14:textId="0D7FFA36" w:rsidR="00034AFF" w:rsidRPr="00103A0B" w:rsidRDefault="00034AFF" w:rsidP="00DE27A4">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lastRenderedPageBreak/>
        <w:t xml:space="preserve">Ensure that moderate levels of self-monitoring of </w:t>
      </w:r>
      <w:proofErr w:type="spellStart"/>
      <w:r w:rsidRPr="00103A0B">
        <w:rPr>
          <w:rFonts w:ascii="Arial" w:hAnsi="Arial" w:cs="Arial"/>
          <w:sz w:val="24"/>
          <w:szCs w:val="24"/>
        </w:rPr>
        <w:t>behaviour</w:t>
      </w:r>
      <w:proofErr w:type="spellEnd"/>
      <w:r w:rsidRPr="00103A0B">
        <w:rPr>
          <w:rFonts w:ascii="Arial" w:hAnsi="Arial" w:cs="Arial"/>
          <w:sz w:val="24"/>
          <w:szCs w:val="24"/>
        </w:rPr>
        <w:t xml:space="preserve"> is incorporated into </w:t>
      </w:r>
      <w:proofErr w:type="spellStart"/>
      <w:r w:rsidRPr="00103A0B">
        <w:rPr>
          <w:rFonts w:ascii="Arial" w:hAnsi="Arial" w:cs="Arial"/>
          <w:sz w:val="24"/>
          <w:szCs w:val="24"/>
        </w:rPr>
        <w:t>programmes</w:t>
      </w:r>
      <w:proofErr w:type="spellEnd"/>
      <w:r w:rsidRPr="00103A0B">
        <w:rPr>
          <w:rFonts w:ascii="Arial" w:hAnsi="Arial" w:cs="Arial"/>
          <w:sz w:val="24"/>
          <w:szCs w:val="24"/>
        </w:rPr>
        <w:t xml:space="preserve"> and participants are regularly asked how they are finding monitoring their </w:t>
      </w:r>
      <w:proofErr w:type="spellStart"/>
      <w:r w:rsidRPr="00103A0B">
        <w:rPr>
          <w:rFonts w:ascii="Arial" w:hAnsi="Arial" w:cs="Arial"/>
          <w:sz w:val="24"/>
          <w:szCs w:val="24"/>
        </w:rPr>
        <w:t>behaviour</w:t>
      </w:r>
      <w:proofErr w:type="spellEnd"/>
      <w:r w:rsidRPr="00103A0B">
        <w:rPr>
          <w:rFonts w:ascii="Arial" w:hAnsi="Arial" w:cs="Arial"/>
          <w:sz w:val="24"/>
          <w:szCs w:val="24"/>
        </w:rPr>
        <w:t xml:space="preserve">, so appropriate support can be offered. </w:t>
      </w:r>
    </w:p>
    <w:p w14:paraId="5DD6326E" w14:textId="77777777" w:rsidR="00DE27A4" w:rsidRPr="00103A0B" w:rsidRDefault="00DE27A4" w:rsidP="00DE27A4">
      <w:pPr>
        <w:pStyle w:val="ListParagraph"/>
        <w:rPr>
          <w:rFonts w:ascii="Arial" w:eastAsia="Times New Roman" w:hAnsi="Arial" w:cs="Arial"/>
          <w:sz w:val="24"/>
          <w:szCs w:val="24"/>
          <w:lang w:eastAsia="en-GB"/>
        </w:rPr>
      </w:pPr>
    </w:p>
    <w:p w14:paraId="2DE0C30B" w14:textId="77777777" w:rsidR="00DE27A4" w:rsidRPr="00103A0B" w:rsidRDefault="00EA3A20" w:rsidP="00CD5919">
      <w:pPr>
        <w:pStyle w:val="ListParagraph"/>
        <w:numPr>
          <w:ilvl w:val="0"/>
          <w:numId w:val="21"/>
        </w:numPr>
        <w:spacing w:line="360" w:lineRule="auto"/>
        <w:jc w:val="both"/>
        <w:rPr>
          <w:rFonts w:ascii="Arial" w:hAnsi="Arial" w:cs="Arial"/>
          <w:sz w:val="24"/>
          <w:szCs w:val="24"/>
        </w:rPr>
      </w:pPr>
      <w:r w:rsidRPr="00103A0B">
        <w:rPr>
          <w:rFonts w:ascii="Arial" w:eastAsia="Times New Roman" w:hAnsi="Arial" w:cs="Arial"/>
          <w:sz w:val="24"/>
          <w:szCs w:val="24"/>
          <w:lang w:eastAsia="en-GB"/>
        </w:rPr>
        <w:t xml:space="preserve">Providing incentives for people to participate in </w:t>
      </w:r>
      <w:proofErr w:type="spellStart"/>
      <w:r w:rsidRPr="00103A0B">
        <w:rPr>
          <w:rFonts w:ascii="Arial" w:eastAsia="Times New Roman" w:hAnsi="Arial" w:cs="Arial"/>
          <w:sz w:val="24"/>
          <w:szCs w:val="24"/>
          <w:lang w:eastAsia="en-GB"/>
        </w:rPr>
        <w:t>behaviour</w:t>
      </w:r>
      <w:proofErr w:type="spellEnd"/>
      <w:r w:rsidRPr="00103A0B">
        <w:rPr>
          <w:rFonts w:ascii="Arial" w:eastAsia="Times New Roman" w:hAnsi="Arial" w:cs="Arial"/>
          <w:sz w:val="24"/>
          <w:szCs w:val="24"/>
          <w:lang w:eastAsia="en-GB"/>
        </w:rPr>
        <w:t xml:space="preserve"> change </w:t>
      </w:r>
      <w:proofErr w:type="spellStart"/>
      <w:r w:rsidRPr="00103A0B">
        <w:rPr>
          <w:rFonts w:ascii="Arial" w:eastAsia="Times New Roman" w:hAnsi="Arial" w:cs="Arial"/>
          <w:sz w:val="24"/>
          <w:szCs w:val="24"/>
          <w:lang w:eastAsia="en-GB"/>
        </w:rPr>
        <w:t>programmes</w:t>
      </w:r>
      <w:proofErr w:type="spellEnd"/>
      <w:r w:rsidRPr="00103A0B">
        <w:rPr>
          <w:rFonts w:ascii="Arial" w:eastAsia="Times New Roman" w:hAnsi="Arial" w:cs="Arial"/>
          <w:sz w:val="24"/>
          <w:szCs w:val="24"/>
          <w:lang w:eastAsia="en-GB"/>
        </w:rPr>
        <w:t xml:space="preserve"> should be considered to promote retention in DPPs by motivating participants to continue attending. However, providing monetary incentives to participants may not be feasible or sustainable, so non-monetary rewards, such as certificates </w:t>
      </w:r>
      <w:r w:rsidR="00DE27A4" w:rsidRPr="00103A0B">
        <w:rPr>
          <w:rFonts w:ascii="Arial" w:eastAsia="Times New Roman" w:hAnsi="Arial" w:cs="Arial"/>
          <w:sz w:val="24"/>
          <w:szCs w:val="24"/>
          <w:lang w:eastAsia="en-GB"/>
        </w:rPr>
        <w:t xml:space="preserve">would </w:t>
      </w:r>
      <w:r w:rsidRPr="00103A0B">
        <w:rPr>
          <w:rFonts w:ascii="Arial" w:eastAsia="Times New Roman" w:hAnsi="Arial" w:cs="Arial"/>
          <w:sz w:val="24"/>
          <w:szCs w:val="24"/>
          <w:lang w:eastAsia="en-GB"/>
        </w:rPr>
        <w:t xml:space="preserve">be worth considering. </w:t>
      </w:r>
    </w:p>
    <w:p w14:paraId="22A73A5D" w14:textId="77777777" w:rsidR="00DE27A4" w:rsidRPr="00103A0B" w:rsidRDefault="00DE27A4" w:rsidP="00DE27A4">
      <w:pPr>
        <w:pStyle w:val="ListParagraph"/>
        <w:rPr>
          <w:rFonts w:ascii="Arial" w:hAnsi="Arial" w:cs="Arial"/>
          <w:sz w:val="24"/>
          <w:szCs w:val="24"/>
        </w:rPr>
      </w:pPr>
    </w:p>
    <w:p w14:paraId="25D115FA" w14:textId="77777777" w:rsidR="00DE27A4" w:rsidRPr="00103A0B" w:rsidRDefault="00EA3A20" w:rsidP="00CD5919">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 xml:space="preserve">Include activities such as activity logs where participants are asked to identify barriers to making lifestyle changes and are encouraged to devise strategies to overcome them. This should be done at various stages of the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 especially in cases where DPPs are delivered over longer periods of time. </w:t>
      </w:r>
    </w:p>
    <w:p w14:paraId="6144E4B2" w14:textId="77777777" w:rsidR="00DE27A4" w:rsidRPr="00103A0B" w:rsidRDefault="00DE27A4" w:rsidP="00DE27A4">
      <w:pPr>
        <w:pStyle w:val="ListParagraph"/>
        <w:rPr>
          <w:rFonts w:ascii="Arial" w:hAnsi="Arial" w:cs="Arial"/>
          <w:sz w:val="24"/>
          <w:szCs w:val="24"/>
        </w:rPr>
      </w:pPr>
    </w:p>
    <w:p w14:paraId="1496DE31" w14:textId="20B729F6" w:rsidR="0041657D" w:rsidRPr="00103A0B" w:rsidRDefault="00EA3A20" w:rsidP="00CD5919">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 xml:space="preserve">Provide a demonstration on how to perform specific </w:t>
      </w:r>
      <w:proofErr w:type="spellStart"/>
      <w:r w:rsidRPr="00103A0B">
        <w:rPr>
          <w:rFonts w:ascii="Arial" w:hAnsi="Arial" w:cs="Arial"/>
          <w:sz w:val="24"/>
          <w:szCs w:val="24"/>
        </w:rPr>
        <w:t>behaviours</w:t>
      </w:r>
      <w:proofErr w:type="spellEnd"/>
      <w:r w:rsidRPr="00103A0B">
        <w:rPr>
          <w:rFonts w:ascii="Arial" w:hAnsi="Arial" w:cs="Arial"/>
          <w:sz w:val="24"/>
          <w:szCs w:val="24"/>
        </w:rPr>
        <w:t xml:space="preserve"> such as certain exercises </w:t>
      </w:r>
      <w:r w:rsidR="00DE27A4" w:rsidRPr="00103A0B">
        <w:rPr>
          <w:rFonts w:ascii="Arial" w:hAnsi="Arial" w:cs="Arial"/>
          <w:sz w:val="24"/>
          <w:szCs w:val="24"/>
        </w:rPr>
        <w:t>during physical</w:t>
      </w:r>
      <w:r w:rsidRPr="00103A0B">
        <w:rPr>
          <w:rFonts w:ascii="Arial" w:hAnsi="Arial" w:cs="Arial"/>
          <w:sz w:val="24"/>
          <w:szCs w:val="24"/>
        </w:rPr>
        <w:t xml:space="preserve"> activity </w:t>
      </w:r>
      <w:r w:rsidR="00D47B9A" w:rsidRPr="00103A0B">
        <w:rPr>
          <w:rFonts w:ascii="Arial" w:hAnsi="Arial" w:cs="Arial"/>
          <w:sz w:val="24"/>
          <w:szCs w:val="24"/>
        </w:rPr>
        <w:t>sessions or</w:t>
      </w:r>
      <w:r w:rsidRPr="00103A0B">
        <w:rPr>
          <w:rFonts w:ascii="Arial" w:hAnsi="Arial" w:cs="Arial"/>
          <w:sz w:val="24"/>
          <w:szCs w:val="24"/>
        </w:rPr>
        <w:t xml:space="preserve"> demonstrate portion sizes and healthy cooking methods. This could be implemented by the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 instructor or shown through video clips which would help to save time, </w:t>
      </w:r>
      <w:proofErr w:type="gramStart"/>
      <w:r w:rsidRPr="00103A0B">
        <w:rPr>
          <w:rFonts w:ascii="Arial" w:hAnsi="Arial" w:cs="Arial"/>
          <w:sz w:val="24"/>
          <w:szCs w:val="24"/>
        </w:rPr>
        <w:t>cost</w:t>
      </w:r>
      <w:proofErr w:type="gramEnd"/>
      <w:r w:rsidRPr="00103A0B">
        <w:rPr>
          <w:rFonts w:ascii="Arial" w:hAnsi="Arial" w:cs="Arial"/>
          <w:sz w:val="24"/>
          <w:szCs w:val="24"/>
        </w:rPr>
        <w:t xml:space="preserve"> and resources.</w:t>
      </w:r>
    </w:p>
    <w:p w14:paraId="7AD6C966" w14:textId="77777777" w:rsidR="0041657D" w:rsidRPr="00103A0B" w:rsidRDefault="0041657D" w:rsidP="0041657D">
      <w:pPr>
        <w:pStyle w:val="ListParagraph"/>
        <w:rPr>
          <w:rFonts w:ascii="Arial" w:hAnsi="Arial" w:cs="Arial"/>
          <w:sz w:val="24"/>
          <w:szCs w:val="24"/>
        </w:rPr>
      </w:pPr>
    </w:p>
    <w:p w14:paraId="4E685473" w14:textId="77777777" w:rsidR="0041657D" w:rsidRPr="00103A0B" w:rsidRDefault="00EA3A20" w:rsidP="0041657D">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 xml:space="preserve">Give an opportunity to participants to rehearse the ideal </w:t>
      </w:r>
      <w:proofErr w:type="spellStart"/>
      <w:r w:rsidRPr="00103A0B">
        <w:rPr>
          <w:rFonts w:ascii="Arial" w:hAnsi="Arial" w:cs="Arial"/>
          <w:sz w:val="24"/>
          <w:szCs w:val="24"/>
        </w:rPr>
        <w:t>behaviour</w:t>
      </w:r>
      <w:proofErr w:type="spellEnd"/>
      <w:r w:rsidRPr="00103A0B">
        <w:rPr>
          <w:rFonts w:ascii="Arial" w:hAnsi="Arial" w:cs="Arial"/>
          <w:sz w:val="24"/>
          <w:szCs w:val="24"/>
        </w:rPr>
        <w:t xml:space="preserve"> by participating in physical activity and/or preparing or planning healthy meals within the sessions. This could be done in a variety of different ways such as rehearsing low intensity exercises within sessions or incorporating</w:t>
      </w:r>
      <w:r w:rsidR="0041657D" w:rsidRPr="00103A0B">
        <w:rPr>
          <w:rFonts w:ascii="Arial" w:hAnsi="Arial" w:cs="Arial"/>
          <w:sz w:val="24"/>
          <w:szCs w:val="24"/>
        </w:rPr>
        <w:t xml:space="preserve"> </w:t>
      </w:r>
      <w:r w:rsidRPr="00103A0B">
        <w:rPr>
          <w:rFonts w:ascii="Arial" w:hAnsi="Arial" w:cs="Arial"/>
          <w:sz w:val="24"/>
          <w:szCs w:val="24"/>
        </w:rPr>
        <w:t>practical cooking session</w:t>
      </w:r>
      <w:r w:rsidR="0041657D" w:rsidRPr="00103A0B">
        <w:rPr>
          <w:rFonts w:ascii="Arial" w:hAnsi="Arial" w:cs="Arial"/>
          <w:sz w:val="24"/>
          <w:szCs w:val="24"/>
        </w:rPr>
        <w:t>s</w:t>
      </w:r>
      <w:r w:rsidRPr="00103A0B">
        <w:rPr>
          <w:rFonts w:ascii="Arial" w:hAnsi="Arial" w:cs="Arial"/>
          <w:sz w:val="24"/>
          <w:szCs w:val="24"/>
        </w:rPr>
        <w:t xml:space="preserve"> within the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 These could be delivered by the instructors themselves or by liaising with external </w:t>
      </w:r>
      <w:proofErr w:type="spellStart"/>
      <w:r w:rsidRPr="00103A0B">
        <w:rPr>
          <w:rFonts w:ascii="Arial" w:hAnsi="Arial" w:cs="Arial"/>
          <w:sz w:val="24"/>
          <w:szCs w:val="24"/>
        </w:rPr>
        <w:t>organisations</w:t>
      </w:r>
      <w:proofErr w:type="spellEnd"/>
      <w:r w:rsidRPr="00103A0B">
        <w:rPr>
          <w:rFonts w:ascii="Arial" w:hAnsi="Arial" w:cs="Arial"/>
          <w:sz w:val="24"/>
          <w:szCs w:val="24"/>
        </w:rPr>
        <w:t xml:space="preserve"> within communities that are already offering physical activity and/or cooking sessions such as gyms or social enterprises/community initiatives or charities. This will also help to improve self-efficacy through these skill-building activities, promoting retention, as well as supporting local third sector </w:t>
      </w:r>
      <w:proofErr w:type="spellStart"/>
      <w:r w:rsidRPr="00103A0B">
        <w:rPr>
          <w:rFonts w:ascii="Arial" w:hAnsi="Arial" w:cs="Arial"/>
          <w:sz w:val="24"/>
          <w:szCs w:val="24"/>
        </w:rPr>
        <w:t>organisations</w:t>
      </w:r>
      <w:proofErr w:type="spellEnd"/>
      <w:r w:rsidRPr="00103A0B">
        <w:rPr>
          <w:rFonts w:ascii="Arial" w:hAnsi="Arial" w:cs="Arial"/>
          <w:sz w:val="24"/>
          <w:szCs w:val="24"/>
        </w:rPr>
        <w:t xml:space="preserve"> and initiatives.  </w:t>
      </w:r>
    </w:p>
    <w:p w14:paraId="137C9F8A" w14:textId="77777777" w:rsidR="0041657D" w:rsidRPr="00103A0B" w:rsidRDefault="0041657D" w:rsidP="0041657D">
      <w:pPr>
        <w:pStyle w:val="ListParagraph"/>
        <w:rPr>
          <w:rFonts w:ascii="Arial" w:hAnsi="Arial" w:cs="Arial"/>
          <w:sz w:val="24"/>
          <w:szCs w:val="24"/>
        </w:rPr>
      </w:pPr>
    </w:p>
    <w:p w14:paraId="71405C16" w14:textId="48D7BC86" w:rsidR="00EA3A20" w:rsidRPr="00103A0B" w:rsidRDefault="0041657D" w:rsidP="0041657D">
      <w:pPr>
        <w:pStyle w:val="ListParagraph"/>
        <w:numPr>
          <w:ilvl w:val="0"/>
          <w:numId w:val="21"/>
        </w:numPr>
        <w:spacing w:line="360" w:lineRule="auto"/>
        <w:jc w:val="both"/>
        <w:rPr>
          <w:rFonts w:ascii="Arial" w:hAnsi="Arial" w:cs="Arial"/>
          <w:sz w:val="24"/>
          <w:szCs w:val="24"/>
        </w:rPr>
      </w:pPr>
      <w:r w:rsidRPr="00103A0B">
        <w:rPr>
          <w:rFonts w:ascii="Arial" w:hAnsi="Arial" w:cs="Arial"/>
          <w:sz w:val="24"/>
          <w:szCs w:val="24"/>
        </w:rPr>
        <w:t xml:space="preserve">Include psychological support within </w:t>
      </w:r>
      <w:proofErr w:type="spellStart"/>
      <w:r w:rsidRPr="00103A0B">
        <w:rPr>
          <w:rFonts w:ascii="Arial" w:hAnsi="Arial" w:cs="Arial"/>
          <w:sz w:val="24"/>
          <w:szCs w:val="24"/>
        </w:rPr>
        <w:t>programmes</w:t>
      </w:r>
      <w:proofErr w:type="spellEnd"/>
      <w:r w:rsidRPr="00103A0B">
        <w:rPr>
          <w:rFonts w:ascii="Arial" w:hAnsi="Arial" w:cs="Arial"/>
          <w:sz w:val="24"/>
          <w:szCs w:val="24"/>
        </w:rPr>
        <w:t xml:space="preserve">, such as using techniques to reduce negative emotions. For example, </w:t>
      </w:r>
      <w:r w:rsidR="00EA3A20" w:rsidRPr="00103A0B">
        <w:rPr>
          <w:rFonts w:ascii="Arial" w:hAnsi="Arial" w:cs="Arial"/>
          <w:sz w:val="24"/>
          <w:szCs w:val="24"/>
        </w:rPr>
        <w:t xml:space="preserve">include activities around stress-management where participants are encouraged to find ways to reduce stress.  Also, techniques to deal with times when participants have not managed to follow </w:t>
      </w:r>
      <w:r w:rsidR="00EA3A20" w:rsidRPr="00103A0B">
        <w:rPr>
          <w:rFonts w:ascii="Arial" w:hAnsi="Arial" w:cs="Arial"/>
          <w:sz w:val="24"/>
          <w:szCs w:val="24"/>
        </w:rPr>
        <w:lastRenderedPageBreak/>
        <w:t xml:space="preserve">the guidelines and feel as though they have let themselves down. This should be done at various stages of the </w:t>
      </w:r>
      <w:proofErr w:type="spellStart"/>
      <w:r w:rsidR="00EA3A20" w:rsidRPr="00103A0B">
        <w:rPr>
          <w:rFonts w:ascii="Arial" w:hAnsi="Arial" w:cs="Arial"/>
          <w:sz w:val="24"/>
          <w:szCs w:val="24"/>
        </w:rPr>
        <w:t>programme</w:t>
      </w:r>
      <w:proofErr w:type="spellEnd"/>
      <w:r w:rsidR="00EA3A20" w:rsidRPr="00103A0B">
        <w:rPr>
          <w:rFonts w:ascii="Arial" w:hAnsi="Arial" w:cs="Arial"/>
          <w:sz w:val="24"/>
          <w:szCs w:val="24"/>
        </w:rPr>
        <w:t xml:space="preserve"> especially in cases where DPPs are delivered over longer periods of time.</w:t>
      </w:r>
      <w:r w:rsidRPr="00103A0B">
        <w:rPr>
          <w:rFonts w:ascii="Arial" w:hAnsi="Arial" w:cs="Arial"/>
          <w:sz w:val="24"/>
          <w:szCs w:val="24"/>
        </w:rPr>
        <w:t xml:space="preserve"> Including a psychologist as part of the </w:t>
      </w:r>
      <w:proofErr w:type="spellStart"/>
      <w:r w:rsidRPr="00103A0B">
        <w:rPr>
          <w:rFonts w:ascii="Arial" w:hAnsi="Arial" w:cs="Arial"/>
          <w:sz w:val="24"/>
          <w:szCs w:val="24"/>
        </w:rPr>
        <w:t>programme</w:t>
      </w:r>
      <w:proofErr w:type="spellEnd"/>
      <w:r w:rsidRPr="00103A0B">
        <w:rPr>
          <w:rFonts w:ascii="Arial" w:hAnsi="Arial" w:cs="Arial"/>
          <w:sz w:val="24"/>
          <w:szCs w:val="24"/>
        </w:rPr>
        <w:t xml:space="preserve"> delivery team would be helpful. </w:t>
      </w:r>
      <w:r w:rsidR="00EA3A20" w:rsidRPr="00103A0B">
        <w:rPr>
          <w:rFonts w:ascii="Arial" w:hAnsi="Arial" w:cs="Arial"/>
          <w:sz w:val="24"/>
          <w:szCs w:val="24"/>
        </w:rPr>
        <w:t xml:space="preserve">This will also contribute to improving mental wellbeing of participants and encourage them to continue attending.  </w:t>
      </w:r>
    </w:p>
    <w:p w14:paraId="4D19AD54" w14:textId="38BCE8C7" w:rsidR="00EA3A20" w:rsidRPr="00103A0B" w:rsidRDefault="00EA3A20" w:rsidP="00CD5919">
      <w:pPr>
        <w:spacing w:line="360" w:lineRule="auto"/>
        <w:jc w:val="both"/>
        <w:rPr>
          <w:rFonts w:ascii="Arial" w:hAnsi="Arial" w:cs="Arial"/>
          <w:sz w:val="24"/>
          <w:szCs w:val="24"/>
        </w:rPr>
      </w:pPr>
    </w:p>
    <w:p w14:paraId="6856094F" w14:textId="77777777" w:rsidR="00157CCD" w:rsidRPr="00103A0B" w:rsidRDefault="00157CCD" w:rsidP="00157CCD">
      <w:pPr>
        <w:pStyle w:val="Heading2"/>
        <w:numPr>
          <w:ilvl w:val="0"/>
          <w:numId w:val="0"/>
        </w:numPr>
        <w:jc w:val="both"/>
        <w:rPr>
          <w:rFonts w:ascii="Arial" w:hAnsi="Arial" w:cs="Arial"/>
          <w:sz w:val="28"/>
        </w:rPr>
      </w:pPr>
      <w:bookmarkStart w:id="416" w:name="_Toc151548341"/>
      <w:bookmarkStart w:id="417" w:name="_Hlk129090046"/>
      <w:r w:rsidRPr="00103A0B">
        <w:rPr>
          <w:rFonts w:ascii="Arial" w:hAnsi="Arial" w:cs="Arial"/>
          <w:sz w:val="28"/>
        </w:rPr>
        <w:t>8.7 Impact of Research</w:t>
      </w:r>
      <w:bookmarkEnd w:id="416"/>
    </w:p>
    <w:p w14:paraId="47B00EA4" w14:textId="7F1DC263" w:rsidR="00157CCD" w:rsidRPr="00103A0B" w:rsidRDefault="00157CCD" w:rsidP="00157CCD">
      <w:pPr>
        <w:spacing w:line="360" w:lineRule="auto"/>
        <w:jc w:val="both"/>
        <w:rPr>
          <w:rFonts w:ascii="Arial" w:hAnsi="Arial" w:cs="Arial"/>
          <w:sz w:val="24"/>
          <w:szCs w:val="24"/>
        </w:rPr>
      </w:pPr>
      <w:bookmarkStart w:id="418" w:name="_Hlk151499866"/>
      <w:r w:rsidRPr="00103A0B">
        <w:rPr>
          <w:rFonts w:ascii="Arial" w:hAnsi="Arial" w:cs="Arial"/>
          <w:sz w:val="24"/>
          <w:szCs w:val="24"/>
        </w:rPr>
        <w:t xml:space="preserve">As well as practical recommendations, there is already a broader impact of this research beyond the </w:t>
      </w:r>
      <w:r w:rsidR="00996B8F" w:rsidRPr="00103A0B">
        <w:rPr>
          <w:rFonts w:ascii="Arial" w:hAnsi="Arial" w:cs="Arial"/>
          <w:sz w:val="24"/>
          <w:szCs w:val="24"/>
        </w:rPr>
        <w:t>NHS</w:t>
      </w:r>
      <w:r w:rsidRPr="00103A0B">
        <w:rPr>
          <w:rFonts w:ascii="Arial" w:hAnsi="Arial" w:cs="Arial"/>
          <w:sz w:val="24"/>
          <w:szCs w:val="24"/>
        </w:rPr>
        <w:t>DPP. For example, a scoping review of existing evidence on the NHSDPP used the</w:t>
      </w:r>
      <w:r w:rsidR="00140371" w:rsidRPr="00103A0B">
        <w:rPr>
          <w:rFonts w:ascii="Arial" w:hAnsi="Arial" w:cs="Arial"/>
          <w:sz w:val="24"/>
          <w:szCs w:val="24"/>
        </w:rPr>
        <w:t xml:space="preserve"> qualitative study exploring</w:t>
      </w:r>
      <w:r w:rsidRPr="00103A0B">
        <w:rPr>
          <w:rFonts w:ascii="Arial" w:hAnsi="Arial" w:cs="Arial"/>
          <w:sz w:val="24"/>
          <w:szCs w:val="24"/>
        </w:rPr>
        <w:t xml:space="preserve"> influences of decisions to attend (Chapter 5) in their analysis </w:t>
      </w:r>
      <w:r w:rsidRPr="00103A0B">
        <w:rPr>
          <w:rFonts w:ascii="Arial" w:hAnsi="Arial" w:cs="Arial"/>
          <w:sz w:val="24"/>
          <w:szCs w:val="24"/>
        </w:rPr>
        <w:fldChar w:fldCharType="begin" w:fldLock="1"/>
      </w:r>
      <w:r w:rsidR="00DF24A3" w:rsidRPr="00103A0B">
        <w:rPr>
          <w:rFonts w:ascii="Arial" w:hAnsi="Arial" w:cs="Arial"/>
          <w:sz w:val="24"/>
          <w:szCs w:val="24"/>
        </w:rPr>
        <w:instrText>ADDIN CSL_CITATION {"citationItems":[{"id":"ITEM-1","itemData":{"DOI":"10.1111/dme.14855","ISSN":"14645491","PMID":"35441747","abstract":"Aims: The English National Health Service Diabetes Prevention Programme (NHS DPP) is commissioned by NHS England and has been rolled out across England to adults identified as being at high risk of type 2 diabetes. The present scoping review aimed to identify the extent and nature of evidence to date on the NHS DPP and describe what the evidence has reported. Methods: A scoping review involving searches of various sources (including MEDLINE, CINAHL, MediArXiv, Google Scholar and GreyLit) was conducted on 31 August 2021 and repeated on 09 February 2022. Only articles reporting on the NHS DPP made available since 2015 were eligible for inclusion. Results: 65 articles were included. Of these, 37 were journal publications. Most articles were made available in 2018 and 2020 (total n = 25). The majority of articles reported on uptake and retention (n = 27) whilst others reported on implementation considerations (n = 24), programme outcomes (n = 21), stakeholder experience (n = 8) and screening and referral processes (n = 3). Various research methods were reported and included qualitative (n = 9) and document analysis (n = 8). Articles revealed preliminary evidence on service user characteristics, rates of referral, uptake and retention as well as how far the NHS DPP is being delivered in line with its evidence base and service specification. Conclusions: The evidence is accumulating on NHS DPP uptake and retention most, with emerging evidence on programme outcomes (such as weight loss and HbA1c). More evidence is warranted on stakeholder experience to decipher how to overcome low initial and long-term engagement reported by the current evidence base.","author":[{"dropping-particle":"","family":"Whelan","given":"Maxine","non-dropping-particle":"","parse-names":false,"suffix":""},{"dropping-particle":"","family":"Bell","given":"Lauren","non-dropping-particle":"","parse-names":false,"suffix":""}],"container-title":"Diabetic Medicine","id":"ITEM-1","issue":"7","issued":{"date-parts":[["2022"]]},"page":"1-10","title":"The English national health service diabetes prevention programme (NHS DPP): A scoping review of existing evidence","type":"article-journal","volume":"39"},"uris":["http://www.mendeley.com/documents/?uuid=4e305d54-82c5-4d89-8b39-c8e481563394"]}],"mendeley":{"formattedCitation":"(Whelan &amp; Bell, 2022)","plainTextFormattedCitation":"(Whelan &amp; Bell, 2022)","previouslyFormattedCitation":"(Whelan &amp; Bell, 2022)"},"properties":{"noteIndex":0},"schema":"https://github.com/citation-style-language/schema/raw/master/csl-citation.json"}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(Whelan &amp; Bell, 2022)</w:t>
      </w:r>
      <w:r w:rsidRPr="00103A0B">
        <w:rPr>
          <w:rFonts w:ascii="Arial" w:hAnsi="Arial" w:cs="Arial"/>
          <w:sz w:val="24"/>
          <w:szCs w:val="24"/>
        </w:rPr>
        <w:fldChar w:fldCharType="end"/>
      </w:r>
      <w:r w:rsidRPr="00103A0B">
        <w:rPr>
          <w:rFonts w:ascii="Arial" w:hAnsi="Arial" w:cs="Arial"/>
          <w:sz w:val="24"/>
          <w:szCs w:val="24"/>
        </w:rPr>
        <w:t xml:space="preserve">. Also, a paper </w:t>
      </w:r>
      <w:r w:rsidR="002F2BBC" w:rsidRPr="00103A0B">
        <w:rPr>
          <w:rFonts w:ascii="Arial" w:hAnsi="Arial" w:cs="Arial"/>
          <w:sz w:val="24"/>
          <w:szCs w:val="24"/>
        </w:rPr>
        <w:t xml:space="preserve">written to </w:t>
      </w:r>
      <w:r w:rsidR="003D59CA" w:rsidRPr="00103A0B">
        <w:rPr>
          <w:rFonts w:ascii="Arial" w:hAnsi="Arial" w:cs="Arial"/>
          <w:sz w:val="24"/>
          <w:szCs w:val="24"/>
        </w:rPr>
        <w:t xml:space="preserve">develop the BCT taxonomy v1 into a more elaborate knowledge structure </w:t>
      </w:r>
      <w:r w:rsidR="003D59CA" w:rsidRPr="00103A0B">
        <w:rPr>
          <w:rFonts w:ascii="Arial" w:hAnsi="Arial" w:cs="Arial"/>
          <w:sz w:val="24"/>
          <w:szCs w:val="24"/>
        </w:rPr>
        <w:fldChar w:fldCharType="begin" w:fldLock="1"/>
      </w:r>
      <w:r w:rsidR="003D59CA" w:rsidRPr="00103A0B">
        <w:rPr>
          <w:rFonts w:ascii="Arial" w:hAnsi="Arial" w:cs="Arial"/>
          <w:sz w:val="24"/>
          <w:szCs w:val="24"/>
        </w:rPr>
        <w:instrText>ADDIN CSL_CITATION {"citationItems":[{"id":"ITEM-1","itemData":{"DOI":"10.12688/wellcomeopenres.18002.1","abstract":" Background: To build cumulative evidence about what works in behaviour change interventions, efforts have been made to develop classification systems for specifying the content of interventions. The Behaviour Change Techniques (BCT) Taxonomy v1 (BCTTv1) is one of the most widely used classifications of behaviour change techniques across a variety of behaviours. The BCTTv1 was intentionally named version 1 to allow for further revisions to the taxonomy. This study aimed to gather data to inform the development of BCTTv1 into a more elaborated knowledge structure, an ontology.   Methods: Feedback from users of BCTTv1 about limitations and proposed improvements was collected through the BCT website, a user survey, researchers and experts involved in the Human Behaviour Change Project, and a consultation. In addition, relevant published research reports and other classification systems of BCTs were analysed. These data were synthesised to produce recommendations to inform the development of an ontology of BCTs.  Results: A total of 282 comments from six sources were reviewed and synthesised into four categories of suggestions: additional BCTs, amendments to labels and definitions of specific BCTs, amendments to the groupings, and general improvements. Feedback suggested some lack of clarity regarding understanding and identifying techniques from labels, definitions, and examples; distinctions and relations between BCTs; and knowing what they would look like in practice. Three recommendations resulted from this analysis: to review the label and definition of each BCT, the 16 groupings of BCTs, and the examples illustrating BCTs.  Conclusions : This review of feedback about BCTTv1 identified the need to improve the precision and knowledge structure of the current taxonomy. A BCT ontology would enable the specification of relationships between BCTs, more precise definitions, and allow better interoperability with other ontologies. This ontology will be developed as part of the Human Behaviour Change Project. ","author":[{"dropping-particle":"","family":"Corker","given":"Elizabeth","non-dropping-particle":"","parse-names":false,"suffix":""},{"dropping-particle":"","family":"Marques","given":"Marta","non-dropping-particle":"","parse-names":false,"suffix":""},{"dropping-particle":"","family":"Johnston","given":"Marie","non-dropping-particle":"","parse-names":false,"suffix":""},{"dropping-particle":"","family":"West","given":"Robert","non-dropping-particle":"","parse-names":false,"suffix":""},{"dropping-particle":"","family":"Hastings","given":"Janna","non-dropping-particle":"","parse-names":false,"suffix":""},{"dropping-particle":"","family":"Michie","given":"Susan","non-dropping-particle":"","parse-names":false,"suffix":""}],"container-title":"Wellcome Open Research","id":"ITEM-1","issued":{"date-parts":[["2022"]]},"page":"211","title":"Behaviour change techniques taxonomy v1: Feedback to inform the development of an ontology","type":"article-journal","volume":"7"},"uris":["http://www.mendeley.com/documents/?uuid=01c192b8-c8a6-4841-82d1-911484e343ec"]}],"mendeley":{"formattedCitation":"(Corker et al., 2022)","plainTextFormattedCitation":"(Corker et al., 2022)","previouslyFormattedCitation":"(Corker et al., 2022)"},"properties":{"noteIndex":0},"schema":"https://github.com/citation-style-language/schema/raw/master/csl-citation.json"}</w:instrText>
      </w:r>
      <w:r w:rsidR="003D59CA" w:rsidRPr="00103A0B">
        <w:rPr>
          <w:rFonts w:ascii="Arial" w:hAnsi="Arial" w:cs="Arial"/>
          <w:sz w:val="24"/>
          <w:szCs w:val="24"/>
        </w:rPr>
        <w:fldChar w:fldCharType="separate"/>
      </w:r>
      <w:r w:rsidR="003D59CA" w:rsidRPr="00103A0B">
        <w:rPr>
          <w:rFonts w:ascii="Arial" w:hAnsi="Arial" w:cs="Arial"/>
          <w:noProof/>
          <w:sz w:val="24"/>
          <w:szCs w:val="24"/>
        </w:rPr>
        <w:t>(Corker et al., 2022)</w:t>
      </w:r>
      <w:r w:rsidR="003D59CA" w:rsidRPr="00103A0B">
        <w:rPr>
          <w:rFonts w:ascii="Arial" w:hAnsi="Arial" w:cs="Arial"/>
          <w:sz w:val="24"/>
          <w:szCs w:val="24"/>
        </w:rPr>
        <w:fldChar w:fldCharType="end"/>
      </w:r>
      <w:r w:rsidR="003D59CA" w:rsidRPr="00103A0B">
        <w:rPr>
          <w:rFonts w:ascii="Arial" w:hAnsi="Arial" w:cs="Arial"/>
          <w:sz w:val="24"/>
          <w:szCs w:val="24"/>
        </w:rPr>
        <w:t xml:space="preserve">, </w:t>
      </w:r>
      <w:r w:rsidRPr="00103A0B">
        <w:rPr>
          <w:rFonts w:ascii="Arial" w:hAnsi="Arial" w:cs="Arial"/>
          <w:sz w:val="24"/>
          <w:szCs w:val="24"/>
        </w:rPr>
        <w:t xml:space="preserve">included the findings from the systematic review paper (Chapter 2), and in particular the finding of the “providing incentives for participation” behaviour change technique. Finally, a diabetes educator from Canada requested if she could present the systematic review paper (Chapter 2) to other diabetes educators and found it very useful. There is </w:t>
      </w:r>
      <w:r w:rsidR="00B05C66" w:rsidRPr="00103A0B">
        <w:rPr>
          <w:rFonts w:ascii="Arial" w:hAnsi="Arial" w:cs="Arial"/>
          <w:sz w:val="24"/>
          <w:szCs w:val="24"/>
        </w:rPr>
        <w:t xml:space="preserve">also </w:t>
      </w:r>
      <w:r w:rsidRPr="00103A0B">
        <w:rPr>
          <w:rFonts w:ascii="Arial" w:hAnsi="Arial" w:cs="Arial"/>
          <w:sz w:val="24"/>
          <w:szCs w:val="24"/>
        </w:rPr>
        <w:t>potential for further broader impact of this research as other DPPs around the world and other health preventative programmes</w:t>
      </w:r>
      <w:r w:rsidR="00B05C66" w:rsidRPr="00103A0B">
        <w:rPr>
          <w:rFonts w:ascii="Arial" w:hAnsi="Arial" w:cs="Arial"/>
          <w:sz w:val="24"/>
          <w:szCs w:val="24"/>
        </w:rPr>
        <w:t xml:space="preserve"> </w:t>
      </w:r>
      <w:r w:rsidR="000B7600" w:rsidRPr="00103A0B">
        <w:rPr>
          <w:rFonts w:ascii="Arial" w:hAnsi="Arial" w:cs="Arial"/>
          <w:sz w:val="24"/>
          <w:szCs w:val="24"/>
        </w:rPr>
        <w:t>(particularly those which use</w:t>
      </w:r>
      <w:r w:rsidR="001026FA" w:rsidRPr="00103A0B">
        <w:rPr>
          <w:rFonts w:ascii="Arial" w:hAnsi="Arial" w:cs="Arial"/>
          <w:sz w:val="24"/>
          <w:szCs w:val="24"/>
        </w:rPr>
        <w:t xml:space="preserve"> </w:t>
      </w:r>
      <w:r w:rsidR="00B05C66" w:rsidRPr="00103A0B">
        <w:rPr>
          <w:rFonts w:ascii="Arial" w:hAnsi="Arial" w:cs="Arial"/>
          <w:sz w:val="24"/>
          <w:szCs w:val="24"/>
        </w:rPr>
        <w:t>group work</w:t>
      </w:r>
      <w:r w:rsidR="000B7600" w:rsidRPr="00103A0B">
        <w:rPr>
          <w:rFonts w:ascii="Arial" w:hAnsi="Arial" w:cs="Arial"/>
          <w:sz w:val="24"/>
          <w:szCs w:val="24"/>
        </w:rPr>
        <w:t>)</w:t>
      </w:r>
      <w:r w:rsidR="006B6AA8" w:rsidRPr="00103A0B">
        <w:rPr>
          <w:rFonts w:ascii="Arial" w:hAnsi="Arial" w:cs="Arial"/>
          <w:sz w:val="24"/>
          <w:szCs w:val="24"/>
        </w:rPr>
        <w:t>,</w:t>
      </w:r>
      <w:r w:rsidRPr="00103A0B">
        <w:rPr>
          <w:rFonts w:ascii="Arial" w:hAnsi="Arial" w:cs="Arial"/>
          <w:sz w:val="24"/>
          <w:szCs w:val="24"/>
        </w:rPr>
        <w:t xml:space="preserve"> can take into consideration the findings and recommendations highlighted in this research</w:t>
      </w:r>
      <w:r w:rsidR="00AD5DEE" w:rsidRPr="00103A0B">
        <w:rPr>
          <w:rFonts w:ascii="Arial" w:hAnsi="Arial" w:cs="Arial"/>
          <w:sz w:val="24"/>
          <w:szCs w:val="24"/>
        </w:rPr>
        <w:t xml:space="preserve"> when developing their programmes</w:t>
      </w:r>
      <w:r w:rsidRPr="00103A0B">
        <w:rPr>
          <w:rFonts w:ascii="Arial" w:hAnsi="Arial" w:cs="Arial"/>
          <w:sz w:val="24"/>
          <w:szCs w:val="24"/>
        </w:rPr>
        <w:t xml:space="preserve">.   </w:t>
      </w:r>
      <w:bookmarkEnd w:id="418"/>
    </w:p>
    <w:bookmarkEnd w:id="417"/>
    <w:p w14:paraId="423AE453" w14:textId="77777777" w:rsidR="00157CCD" w:rsidRPr="00103A0B" w:rsidRDefault="00157CCD" w:rsidP="00CD5919">
      <w:pPr>
        <w:spacing w:line="360" w:lineRule="auto"/>
        <w:jc w:val="both"/>
        <w:rPr>
          <w:rFonts w:ascii="Arial" w:hAnsi="Arial" w:cs="Arial"/>
          <w:sz w:val="24"/>
          <w:szCs w:val="24"/>
        </w:rPr>
      </w:pPr>
    </w:p>
    <w:p w14:paraId="1C423918" w14:textId="77777777" w:rsidR="00474EE8" w:rsidRPr="00103A0B" w:rsidRDefault="00474EE8" w:rsidP="00157CCD"/>
    <w:p w14:paraId="6D1B5ABC" w14:textId="138C3B25" w:rsidR="00EA3A20" w:rsidRPr="00103A0B" w:rsidRDefault="00EA3A20" w:rsidP="00CD5919">
      <w:pPr>
        <w:pStyle w:val="Heading2"/>
        <w:numPr>
          <w:ilvl w:val="0"/>
          <w:numId w:val="0"/>
        </w:numPr>
        <w:jc w:val="both"/>
        <w:rPr>
          <w:rFonts w:ascii="Arial" w:hAnsi="Arial" w:cs="Arial"/>
          <w:sz w:val="28"/>
        </w:rPr>
      </w:pPr>
      <w:bookmarkStart w:id="419" w:name="_Toc151548342"/>
      <w:r w:rsidRPr="00103A0B">
        <w:rPr>
          <w:rFonts w:ascii="Arial" w:hAnsi="Arial" w:cs="Arial"/>
          <w:sz w:val="28"/>
        </w:rPr>
        <w:t>8.</w:t>
      </w:r>
      <w:r w:rsidR="00157CCD" w:rsidRPr="00103A0B">
        <w:rPr>
          <w:rFonts w:ascii="Arial" w:hAnsi="Arial" w:cs="Arial"/>
          <w:sz w:val="28"/>
        </w:rPr>
        <w:t>8</w:t>
      </w:r>
      <w:r w:rsidRPr="00103A0B">
        <w:rPr>
          <w:rFonts w:ascii="Arial" w:hAnsi="Arial" w:cs="Arial"/>
          <w:sz w:val="28"/>
        </w:rPr>
        <w:t xml:space="preserve">. Researcher </w:t>
      </w:r>
      <w:r w:rsidR="00062570" w:rsidRPr="00103A0B">
        <w:rPr>
          <w:rFonts w:ascii="Arial" w:hAnsi="Arial" w:cs="Arial"/>
          <w:sz w:val="28"/>
        </w:rPr>
        <w:t>R</w:t>
      </w:r>
      <w:r w:rsidRPr="00103A0B">
        <w:rPr>
          <w:rFonts w:ascii="Arial" w:hAnsi="Arial" w:cs="Arial"/>
          <w:sz w:val="28"/>
        </w:rPr>
        <w:t>eflections</w:t>
      </w:r>
      <w:bookmarkEnd w:id="419"/>
    </w:p>
    <w:p w14:paraId="4D74DBBA" w14:textId="77777777"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By being a reflective researcher, one </w:t>
      </w:r>
      <w:proofErr w:type="gramStart"/>
      <w:r w:rsidRPr="00103A0B">
        <w:rPr>
          <w:rFonts w:ascii="Arial" w:hAnsi="Arial" w:cs="Arial"/>
          <w:sz w:val="24"/>
          <w:szCs w:val="24"/>
        </w:rPr>
        <w:t>is able to</w:t>
      </w:r>
      <w:proofErr w:type="gramEnd"/>
      <w:r w:rsidRPr="00103A0B">
        <w:rPr>
          <w:rFonts w:ascii="Arial" w:hAnsi="Arial" w:cs="Arial"/>
          <w:sz w:val="24"/>
          <w:szCs w:val="24"/>
        </w:rPr>
        <w:t xml:space="preserve"> evaluate and identify how one’s beliefs, interests and experiences can influence the research journey. The following briefly describes each stage of the PhD journey with some important reflections and is written in the first person. </w:t>
      </w:r>
    </w:p>
    <w:p w14:paraId="171E4B1C" w14:textId="784FEC29" w:rsidR="00EA3A20" w:rsidRPr="00103A0B" w:rsidRDefault="00062570" w:rsidP="00CD5919">
      <w:pPr>
        <w:spacing w:line="360" w:lineRule="auto"/>
        <w:jc w:val="both"/>
        <w:rPr>
          <w:rFonts w:ascii="Arial" w:hAnsi="Arial" w:cs="Arial"/>
          <w:b/>
          <w:bCs/>
          <w:sz w:val="24"/>
          <w:szCs w:val="24"/>
        </w:rPr>
      </w:pPr>
      <w:r w:rsidRPr="00103A0B">
        <w:rPr>
          <w:rFonts w:ascii="Arial" w:hAnsi="Arial" w:cs="Arial"/>
          <w:b/>
          <w:bCs/>
          <w:sz w:val="24"/>
          <w:szCs w:val="24"/>
        </w:rPr>
        <w:t>8.</w:t>
      </w:r>
      <w:r w:rsidR="00157CCD" w:rsidRPr="00103A0B">
        <w:rPr>
          <w:rFonts w:ascii="Arial" w:hAnsi="Arial" w:cs="Arial"/>
          <w:b/>
          <w:bCs/>
          <w:sz w:val="24"/>
          <w:szCs w:val="24"/>
        </w:rPr>
        <w:t>8</w:t>
      </w:r>
      <w:r w:rsidRPr="00103A0B">
        <w:rPr>
          <w:rFonts w:ascii="Arial" w:hAnsi="Arial" w:cs="Arial"/>
          <w:b/>
          <w:bCs/>
          <w:sz w:val="24"/>
          <w:szCs w:val="24"/>
        </w:rPr>
        <w:t xml:space="preserve">.1 </w:t>
      </w:r>
      <w:r w:rsidR="00EA3A20" w:rsidRPr="00103A0B">
        <w:rPr>
          <w:rFonts w:ascii="Arial" w:hAnsi="Arial" w:cs="Arial"/>
          <w:b/>
          <w:bCs/>
          <w:sz w:val="24"/>
          <w:szCs w:val="24"/>
        </w:rPr>
        <w:t xml:space="preserve">Research </w:t>
      </w:r>
      <w:r w:rsidRPr="00103A0B">
        <w:rPr>
          <w:rFonts w:ascii="Arial" w:hAnsi="Arial" w:cs="Arial"/>
          <w:b/>
          <w:bCs/>
          <w:sz w:val="24"/>
          <w:szCs w:val="24"/>
        </w:rPr>
        <w:t>P</w:t>
      </w:r>
      <w:r w:rsidR="00EA3A20" w:rsidRPr="00103A0B">
        <w:rPr>
          <w:rFonts w:ascii="Arial" w:hAnsi="Arial" w:cs="Arial"/>
          <w:b/>
          <w:bCs/>
          <w:sz w:val="24"/>
          <w:szCs w:val="24"/>
        </w:rPr>
        <w:t xml:space="preserve">lanning </w:t>
      </w:r>
      <w:r w:rsidRPr="00103A0B">
        <w:rPr>
          <w:rFonts w:ascii="Arial" w:hAnsi="Arial" w:cs="Arial"/>
          <w:b/>
          <w:bCs/>
          <w:sz w:val="24"/>
          <w:szCs w:val="24"/>
        </w:rPr>
        <w:t>S</w:t>
      </w:r>
      <w:r w:rsidR="00EA3A20" w:rsidRPr="00103A0B">
        <w:rPr>
          <w:rFonts w:ascii="Arial" w:hAnsi="Arial" w:cs="Arial"/>
          <w:b/>
          <w:bCs/>
          <w:sz w:val="24"/>
          <w:szCs w:val="24"/>
        </w:rPr>
        <w:t>tage</w:t>
      </w:r>
    </w:p>
    <w:p w14:paraId="0034312A" w14:textId="7A362A4D"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Although the area of diabetes prevention was already selected before I started my PhD,</w:t>
      </w:r>
      <w:r w:rsidRPr="00103A0B">
        <w:rPr>
          <w:rFonts w:ascii="Arial" w:hAnsi="Arial" w:cs="Arial"/>
          <w:i/>
          <w:iCs/>
          <w:sz w:val="24"/>
          <w:szCs w:val="24"/>
        </w:rPr>
        <w:t xml:space="preserve"> </w:t>
      </w:r>
      <w:r w:rsidRPr="00103A0B">
        <w:rPr>
          <w:rFonts w:ascii="Arial" w:hAnsi="Arial" w:cs="Arial"/>
          <w:sz w:val="24"/>
          <w:szCs w:val="24"/>
        </w:rPr>
        <w:t xml:space="preserve">there were opportunities to share my ideas and design the research alongside </w:t>
      </w:r>
      <w:r w:rsidRPr="00103A0B">
        <w:rPr>
          <w:rFonts w:ascii="Arial" w:hAnsi="Arial" w:cs="Arial"/>
          <w:sz w:val="24"/>
          <w:szCs w:val="24"/>
        </w:rPr>
        <w:lastRenderedPageBreak/>
        <w:t xml:space="preserve">the supervisory team and the clinical lead for </w:t>
      </w:r>
      <w:r w:rsidR="005307BF" w:rsidRPr="00103A0B">
        <w:rPr>
          <w:rFonts w:ascii="Arial" w:hAnsi="Arial" w:cs="Arial"/>
          <w:sz w:val="24"/>
          <w:szCs w:val="24"/>
        </w:rPr>
        <w:t>the local provider</w:t>
      </w:r>
      <w:r w:rsidRPr="00103A0B">
        <w:rPr>
          <w:rFonts w:ascii="Arial" w:hAnsi="Arial" w:cs="Arial"/>
          <w:sz w:val="24"/>
          <w:szCs w:val="24"/>
        </w:rPr>
        <w:t xml:space="preserve">. Despite some initial delays with finding a local provider to work with (which was outside of our control), being involved in conducting a review as part of a report that was published by Public Health England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Gidlow","given":"C.","non-dropping-particle":"","parse-names":false,"suffix":""},{"dropping-particle":"","family":"Povey","given":"R.","non-dropping-particle":"","parse-names":false,"suffix":""},{"dropping-particle":"","family":"Ellis","given":"N.","non-dropping-particle":"","parse-names":false,"suffix":""},{"dropping-particle":"","family":"Begum","given":"S.","non-dropping-particle":"","parse-names":false,"suffix":""},{"dropping-particle":"","family":"Riley","given":"V.","non-dropping-particle":"","parse-names":false,"suffix":""},{"dropping-particle":"","family":"Chadwick","given":"P.","non-dropping-particle":"","parse-names":false,"suffix":""},{"dropping-particle":"","family":"Chadborn","given":"T.","non-dropping-particle":"","parse-names":false,"suffix":""},{"dropping-particle":"","family":"Gold","given":"N.","non-dropping-particle":"","parse-names":false,"suffix":""}],"id":"ITEM-1","issued":{"date-parts":[["2018"]]},"number-of-pages":"1-92","title":"Uptake and retention in group-based weight-management services","type":"report"},"uris":["http://www.mendeley.com/documents/?uuid=61411186-5f6d-4d8e-9f1a-27b3c50aa121"]}],"mendeley":{"formattedCitation":"(Gidlow et al., 2018)","plainTextFormattedCitation":"(Gidlow et al., 2018)","previouslyFormattedCitation":"(Gidlow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(Gidlow et al., 2018)</w:t>
      </w:r>
      <w:r w:rsidRPr="00103A0B">
        <w:rPr>
          <w:rFonts w:ascii="Arial" w:hAnsi="Arial" w:cs="Arial"/>
          <w:sz w:val="24"/>
          <w:szCs w:val="24"/>
        </w:rPr>
        <w:fldChar w:fldCharType="end"/>
      </w:r>
      <w:r w:rsidRPr="00103A0B">
        <w:rPr>
          <w:rFonts w:ascii="Arial" w:hAnsi="Arial" w:cs="Arial"/>
          <w:sz w:val="24"/>
          <w:szCs w:val="24"/>
        </w:rPr>
        <w:t xml:space="preserve">, further improved my confidence, knowledge and understanding of writing systematic reviews which was useful when it came to conducting one in relation to this research. </w:t>
      </w:r>
    </w:p>
    <w:p w14:paraId="6D4ED060" w14:textId="44F0FE38" w:rsidR="00EA3A20" w:rsidRPr="00103A0B" w:rsidRDefault="00062570" w:rsidP="00CD5919">
      <w:pPr>
        <w:spacing w:line="360" w:lineRule="auto"/>
        <w:jc w:val="both"/>
        <w:rPr>
          <w:rFonts w:ascii="Arial" w:hAnsi="Arial" w:cs="Arial"/>
          <w:b/>
          <w:bCs/>
          <w:sz w:val="24"/>
          <w:szCs w:val="24"/>
        </w:rPr>
      </w:pPr>
      <w:r w:rsidRPr="00103A0B">
        <w:rPr>
          <w:rFonts w:ascii="Arial" w:hAnsi="Arial" w:cs="Arial"/>
          <w:b/>
          <w:bCs/>
          <w:sz w:val="24"/>
          <w:szCs w:val="24"/>
        </w:rPr>
        <w:t>8.</w:t>
      </w:r>
      <w:r w:rsidR="00157CCD" w:rsidRPr="00103A0B">
        <w:rPr>
          <w:rFonts w:ascii="Arial" w:hAnsi="Arial" w:cs="Arial"/>
          <w:b/>
          <w:bCs/>
          <w:sz w:val="24"/>
          <w:szCs w:val="24"/>
        </w:rPr>
        <w:t>8</w:t>
      </w:r>
      <w:r w:rsidRPr="00103A0B">
        <w:rPr>
          <w:rFonts w:ascii="Arial" w:hAnsi="Arial" w:cs="Arial"/>
          <w:b/>
          <w:bCs/>
          <w:sz w:val="24"/>
          <w:szCs w:val="24"/>
        </w:rPr>
        <w:t xml:space="preserve">.2 </w:t>
      </w:r>
      <w:r w:rsidR="00EA3A20" w:rsidRPr="00103A0B">
        <w:rPr>
          <w:rFonts w:ascii="Arial" w:hAnsi="Arial" w:cs="Arial"/>
          <w:b/>
          <w:bCs/>
          <w:sz w:val="24"/>
          <w:szCs w:val="24"/>
        </w:rPr>
        <w:t xml:space="preserve">Data </w:t>
      </w:r>
      <w:r w:rsidRPr="00103A0B">
        <w:rPr>
          <w:rFonts w:ascii="Arial" w:hAnsi="Arial" w:cs="Arial"/>
          <w:b/>
          <w:bCs/>
          <w:sz w:val="24"/>
          <w:szCs w:val="24"/>
        </w:rPr>
        <w:t>C</w:t>
      </w:r>
      <w:r w:rsidR="00EA3A20" w:rsidRPr="00103A0B">
        <w:rPr>
          <w:rFonts w:ascii="Arial" w:hAnsi="Arial" w:cs="Arial"/>
          <w:b/>
          <w:bCs/>
          <w:sz w:val="24"/>
          <w:szCs w:val="24"/>
        </w:rPr>
        <w:t>ollection</w:t>
      </w:r>
    </w:p>
    <w:p w14:paraId="039CF4F5" w14:textId="2DD1782B"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Working collaboratively with the local provider (LP) to ensure appropriate procedures were in place for me to attend IA dates to recruit for participants did take some time</w:t>
      </w:r>
      <w:r w:rsidR="00D47B9A" w:rsidRPr="00103A0B">
        <w:rPr>
          <w:rFonts w:ascii="Arial" w:hAnsi="Arial" w:cs="Arial"/>
          <w:sz w:val="24"/>
          <w:szCs w:val="24"/>
        </w:rPr>
        <w:t>,</w:t>
      </w:r>
      <w:r w:rsidRPr="00103A0B">
        <w:rPr>
          <w:rFonts w:ascii="Arial" w:hAnsi="Arial" w:cs="Arial"/>
          <w:sz w:val="24"/>
          <w:szCs w:val="24"/>
        </w:rPr>
        <w:t xml:space="preserve"> but this was an important step for me to build good relationships with staff, and share my research aims. During data collection and whilst recruiting for participants (Chapter 5), I spoke to many individuals, sharing my research, having good conversations but also experiencing some challenges. Some individuals spoke poor English and it was not possible for me to interview them as I was not sure if they understood the research or what I was conveying, despite multiple attempts to explain information in different ways. Although some did have translators or family members/friends with them, it made me think how these group of individuals would find it difficult when attending and understanding DPP sessions, so it is important for programme organisers to consider language barriers and communication issues when delivering sessions. The more baseline interviews I conducted (Chapter 5), the more confident I became, and it was a good experience building these relationships with participants, particularly when they shared how excited they were to start and eager in improving their lifestyles.</w:t>
      </w:r>
    </w:p>
    <w:p w14:paraId="376E0317" w14:textId="6EA60158"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The follow-up calls (Chapters 5 and 6) were difficult at times as it was hard to arrange suitable interview times with participants, and</w:t>
      </w:r>
      <w:r w:rsidR="00451DE2" w:rsidRPr="00103A0B">
        <w:rPr>
          <w:rFonts w:ascii="Arial" w:hAnsi="Arial" w:cs="Arial"/>
          <w:sz w:val="24"/>
          <w:szCs w:val="24"/>
        </w:rPr>
        <w:t xml:space="preserve"> </w:t>
      </w:r>
      <w:r w:rsidRPr="00103A0B">
        <w:rPr>
          <w:rFonts w:ascii="Arial" w:hAnsi="Arial" w:cs="Arial"/>
          <w:sz w:val="24"/>
          <w:szCs w:val="24"/>
        </w:rPr>
        <w:t xml:space="preserve">others I could not get in touch with when using the </w:t>
      </w:r>
      <w:proofErr w:type="gramStart"/>
      <w:r w:rsidRPr="00103A0B">
        <w:rPr>
          <w:rFonts w:ascii="Arial" w:hAnsi="Arial" w:cs="Arial"/>
          <w:sz w:val="24"/>
          <w:szCs w:val="24"/>
        </w:rPr>
        <w:t>details</w:t>
      </w:r>
      <w:proofErr w:type="gramEnd"/>
      <w:r w:rsidRPr="00103A0B">
        <w:rPr>
          <w:rFonts w:ascii="Arial" w:hAnsi="Arial" w:cs="Arial"/>
          <w:sz w:val="24"/>
          <w:szCs w:val="24"/>
        </w:rPr>
        <w:t xml:space="preserve"> they had provided. Issues were also experienced with the LP when I tried requesting for regular updates regarding participant status (attender or non-attender, completer or non-completer); for example, some interviewed participants were not recognised on their database. However, overcoming these barriers, remaining patient and keeping regular contact with the provider as well as being persistent when trying to contact participants, helped me to collect sufficient data. </w:t>
      </w:r>
    </w:p>
    <w:p w14:paraId="12796A04" w14:textId="77777777"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Once a suitable date and time was organised with participants, it was interesting to conduct the follow-ups. When interviewing completers and non-completers, as I was </w:t>
      </w:r>
      <w:r w:rsidRPr="00103A0B">
        <w:rPr>
          <w:rFonts w:ascii="Arial" w:hAnsi="Arial" w:cs="Arial"/>
          <w:sz w:val="24"/>
          <w:szCs w:val="24"/>
        </w:rPr>
        <w:lastRenderedPageBreak/>
        <w:t xml:space="preserve">already familiar with participants and had built a good rapport, they recognised and remembered me too and were happy to help and share their views. It was great to hear about how participants had positive experiences with the NHSDPP and how their lifestyles had changed. However, it was difficult at times to listen to some individuals who had experienced issues with accessing the programme, or had issues when they had attended, but I felt I was understanding and had empathy and was able to make them feel comfortable in sharing their honest views and opinions. I was able to signpost them and encourage them to contact the LP to share any issues or concerns they had. Due to me being from a BAME background, this may have helped with data collection as some researchers have suggested that by ensuring face-to-face recruitment of individuals from BAME backgrounds is conducted by a researcher from a similar ethnic background, this may increase the likelihood of recruiting participants from such backgrounds when conducting interviews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{"citationItems":[{"id":"ITEM-1","itemData":{"DOI":"10.1080/17482631.2018.1479582","ISSN":"17482631","PMID":"29912650","abstract":"In this article, we discuss the challenges faced in recruiting “hard-to-reach” groups for interview studies, specifically those who do not access preventative healthcare services. We do this by reflecting on the varying success of different recruitment methods we have used in two recent studies; one investigating ethnic disparities in human papillomavirus vaccination uptake and another exploring difference in cervical screening non-participation. Engaging new community groups to help with recruitment proved particularly difficult, as did recruiting online. Our most successful recruitment methods included recruiting through community groups with whom we had previously established relationships, recruiting through schools and re-contacting participants who previously completed a related survey. We conclude that successful recruitment is dependent on study awareness and engagement. We urge others to be transparent in reporting recruitment methods in order to benefit the qualitative research community and suggest that details are published as supplementary material alongside qualitative articles in future.","author":[{"dropping-particle":"","family":"Rockliffe","given":"Lauren","non-dropping-particle":"","parse-names":false,"suffix":""},{"dropping-particle":"","family":"Chorley","given":"Amanda J.","non-dropping-particle":"","parse-names":false,"suffix":""},{"dropping-particle":"","family":"Marlow","given":"Laura A.V.","non-dropping-particle":"","parse-names":false,"suffix":""},{"dropping-particle":"","family":"Forster","given":"Alice S.","non-dropping-particle":"","parse-names":false,"suffix":""}],"container-title":"International Journal of Qualitative Studies on Health and Well-being","id":"ITEM-1","issued":{"date-parts":[["2018"]]},"page":"1479582","publisher":"Taylor &amp; Francis","title":"It’s hard to reach the “hard-to-reach”: the challenges of recruiting people who do not access preventative healthcare services into interview studies","type":"article-journal","volume":"13"},"uris":["http://www.mendeley.com/documents/?uuid=3da1a04e-68d4-4806-bf93-984974caccb0"]}],"mendeley":{"formattedCitation":"(Rockliffe et al., 2018)","plainTextFormattedCitation":"(Rockliffe et al., 2018)","previouslyFormattedCitation":"(Rockliffe et al., 2018)"},"properties":{"noteIndex":0},"schema":"https://github.com/citation-style-language/schema/raw/master/csl-citation.json"}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(Rockliffe et al., 2018)</w:t>
      </w:r>
      <w:r w:rsidRPr="00103A0B">
        <w:rPr>
          <w:rFonts w:ascii="Arial" w:hAnsi="Arial" w:cs="Arial"/>
          <w:sz w:val="24"/>
          <w:szCs w:val="24"/>
        </w:rPr>
        <w:fldChar w:fldCharType="end"/>
      </w:r>
      <w:r w:rsidRPr="00103A0B">
        <w:rPr>
          <w:rFonts w:ascii="Arial" w:hAnsi="Arial" w:cs="Arial"/>
          <w:sz w:val="24"/>
          <w:szCs w:val="24"/>
        </w:rPr>
        <w:t xml:space="preserve">. </w:t>
      </w:r>
    </w:p>
    <w:p w14:paraId="56E4DB11" w14:textId="4B902490"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Although data for the study in Chapter 7 were already collected by the LP as part of their service evaluation, it was a long process in obtaining the data due to LP processes (i.e., having their systems updated meant there were delays inputting the data on a spreadsheet so it was accessible to us, then we had to obtain permission from the LP and ethics from the university before obtaining the data). The LP was already going through huge stress, organisational difficulties, and changes to staff at the time of data collection.</w:t>
      </w:r>
      <w:r w:rsidR="00B83665" w:rsidRPr="00103A0B">
        <w:rPr>
          <w:rFonts w:ascii="Arial" w:hAnsi="Arial" w:cs="Arial"/>
          <w:sz w:val="24"/>
          <w:szCs w:val="24"/>
        </w:rPr>
        <w:t xml:space="preserve"> </w:t>
      </w:r>
      <w:r w:rsidRPr="00103A0B">
        <w:rPr>
          <w:rFonts w:ascii="Arial" w:hAnsi="Arial" w:cs="Arial"/>
          <w:sz w:val="24"/>
          <w:szCs w:val="24"/>
        </w:rPr>
        <w:t xml:space="preserve">However, this was something not explored in this thesis but as recommended for future research, exploring the perspectives of staff would be beneficial. </w:t>
      </w:r>
    </w:p>
    <w:p w14:paraId="24B4FD2F" w14:textId="33E385F6" w:rsidR="00EA3A20" w:rsidRPr="00103A0B" w:rsidRDefault="00062570" w:rsidP="00CD5919">
      <w:pPr>
        <w:jc w:val="both"/>
        <w:rPr>
          <w:rFonts w:ascii="Arial" w:hAnsi="Arial" w:cs="Arial"/>
          <w:b/>
          <w:bCs/>
          <w:sz w:val="24"/>
          <w:szCs w:val="24"/>
        </w:rPr>
      </w:pPr>
      <w:r w:rsidRPr="00103A0B">
        <w:rPr>
          <w:rFonts w:ascii="Arial" w:hAnsi="Arial" w:cs="Arial"/>
          <w:b/>
          <w:bCs/>
          <w:sz w:val="24"/>
          <w:szCs w:val="24"/>
        </w:rPr>
        <w:t>8.</w:t>
      </w:r>
      <w:r w:rsidR="00157CCD" w:rsidRPr="00103A0B">
        <w:rPr>
          <w:rFonts w:ascii="Arial" w:hAnsi="Arial" w:cs="Arial"/>
          <w:b/>
          <w:bCs/>
          <w:sz w:val="24"/>
          <w:szCs w:val="24"/>
        </w:rPr>
        <w:t>8</w:t>
      </w:r>
      <w:r w:rsidRPr="00103A0B">
        <w:rPr>
          <w:rFonts w:ascii="Arial" w:hAnsi="Arial" w:cs="Arial"/>
          <w:b/>
          <w:bCs/>
          <w:sz w:val="24"/>
          <w:szCs w:val="24"/>
        </w:rPr>
        <w:t xml:space="preserve">.3 </w:t>
      </w:r>
      <w:r w:rsidR="00EA3A20" w:rsidRPr="00103A0B">
        <w:rPr>
          <w:rFonts w:ascii="Arial" w:hAnsi="Arial" w:cs="Arial"/>
          <w:b/>
          <w:bCs/>
          <w:sz w:val="24"/>
          <w:szCs w:val="24"/>
        </w:rPr>
        <w:t xml:space="preserve">Data </w:t>
      </w:r>
      <w:r w:rsidRPr="00103A0B">
        <w:rPr>
          <w:rFonts w:ascii="Arial" w:hAnsi="Arial" w:cs="Arial"/>
          <w:b/>
          <w:bCs/>
          <w:sz w:val="24"/>
          <w:szCs w:val="24"/>
        </w:rPr>
        <w:t>A</w:t>
      </w:r>
      <w:r w:rsidR="00EA3A20" w:rsidRPr="00103A0B">
        <w:rPr>
          <w:rFonts w:ascii="Arial" w:hAnsi="Arial" w:cs="Arial"/>
          <w:b/>
          <w:bCs/>
          <w:sz w:val="24"/>
          <w:szCs w:val="24"/>
        </w:rPr>
        <w:t xml:space="preserve">nalyses </w:t>
      </w:r>
    </w:p>
    <w:p w14:paraId="4E61BE07" w14:textId="27FD7E25"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I had conducted some thematic analysis (TA) during my MSc studies but after attending some lectures and doing some reading, I further developed my understanding. Being a British Pakistani female health psychology researcher with experiences of working with patients with long term conditions like T2DM, as well as having a family member who was informed of being at high risk of T2DM, I took some time to be reflective when conducting interviews and analysing data. A reflexive diary was helpful to keep when conducting these interviews, and by being aware of my background and experiences, this helped me when analysing the data to ensure I engaged in this process in a reflexive way. Once I had conducted TA for study 1, I felt much more confident about the process of analysis when analysing the data for study </w:t>
      </w:r>
      <w:r w:rsidRPr="00103A0B">
        <w:rPr>
          <w:rFonts w:ascii="Arial" w:hAnsi="Arial" w:cs="Arial"/>
          <w:sz w:val="24"/>
          <w:szCs w:val="24"/>
        </w:rPr>
        <w:lastRenderedPageBreak/>
        <w:t xml:space="preserve">2. It was a very engaging, </w:t>
      </w:r>
      <w:proofErr w:type="gramStart"/>
      <w:r w:rsidRPr="00103A0B">
        <w:rPr>
          <w:rFonts w:ascii="Arial" w:hAnsi="Arial" w:cs="Arial"/>
          <w:sz w:val="24"/>
          <w:szCs w:val="24"/>
        </w:rPr>
        <w:t>interesting</w:t>
      </w:r>
      <w:proofErr w:type="gramEnd"/>
      <w:r w:rsidRPr="00103A0B">
        <w:rPr>
          <w:rFonts w:ascii="Arial" w:hAnsi="Arial" w:cs="Arial"/>
          <w:sz w:val="24"/>
          <w:szCs w:val="24"/>
        </w:rPr>
        <w:t xml:space="preserve"> and reflexive process in order to make sense of the data and obtain patterns. Conducting the analysis for Chapter 7 was daunting at first due to the huge dataset</w:t>
      </w:r>
      <w:r w:rsidR="00B83665" w:rsidRPr="00103A0B">
        <w:rPr>
          <w:rFonts w:ascii="Arial" w:hAnsi="Arial" w:cs="Arial"/>
          <w:sz w:val="24"/>
          <w:szCs w:val="24"/>
        </w:rPr>
        <w:t>,</w:t>
      </w:r>
      <w:r w:rsidRPr="00103A0B">
        <w:rPr>
          <w:rFonts w:ascii="Arial" w:hAnsi="Arial" w:cs="Arial"/>
          <w:sz w:val="24"/>
          <w:szCs w:val="24"/>
        </w:rPr>
        <w:t xml:space="preserve"> but after familiarising myself with the data and working closely with my supervisor</w:t>
      </w:r>
      <w:r w:rsidR="00451DE2" w:rsidRPr="00103A0B">
        <w:rPr>
          <w:rFonts w:ascii="Arial" w:hAnsi="Arial" w:cs="Arial"/>
          <w:sz w:val="24"/>
          <w:szCs w:val="24"/>
        </w:rPr>
        <w:t>s</w:t>
      </w:r>
      <w:r w:rsidRPr="00103A0B">
        <w:rPr>
          <w:rFonts w:ascii="Arial" w:hAnsi="Arial" w:cs="Arial"/>
          <w:sz w:val="24"/>
          <w:szCs w:val="24"/>
        </w:rPr>
        <w:t xml:space="preserve"> to determine the best approach for analysing the data, I found it an interesting process.</w:t>
      </w:r>
      <w:r w:rsidR="00451DE2" w:rsidRPr="00103A0B">
        <w:rPr>
          <w:rFonts w:ascii="Arial" w:hAnsi="Arial" w:cs="Arial"/>
          <w:sz w:val="24"/>
          <w:szCs w:val="24"/>
        </w:rPr>
        <w:t xml:space="preserve"> </w:t>
      </w:r>
      <w:r w:rsidRPr="00103A0B">
        <w:rPr>
          <w:rFonts w:ascii="Arial" w:hAnsi="Arial" w:cs="Arial"/>
          <w:sz w:val="24"/>
          <w:szCs w:val="24"/>
        </w:rPr>
        <w:t>Learning new skills and knowledge such as conducting multiple imputation was enlightening.</w:t>
      </w:r>
    </w:p>
    <w:p w14:paraId="16C3F719" w14:textId="50590FA4" w:rsidR="00EA3A20" w:rsidRPr="00103A0B" w:rsidRDefault="00062570" w:rsidP="00CD5919">
      <w:pPr>
        <w:spacing w:line="360" w:lineRule="auto"/>
        <w:jc w:val="both"/>
        <w:rPr>
          <w:rFonts w:ascii="Arial" w:hAnsi="Arial" w:cs="Arial"/>
          <w:b/>
          <w:bCs/>
          <w:sz w:val="24"/>
          <w:szCs w:val="24"/>
        </w:rPr>
      </w:pPr>
      <w:r w:rsidRPr="00103A0B">
        <w:rPr>
          <w:rFonts w:ascii="Arial" w:hAnsi="Arial" w:cs="Arial"/>
          <w:b/>
          <w:bCs/>
          <w:sz w:val="24"/>
          <w:szCs w:val="24"/>
        </w:rPr>
        <w:t>8.</w:t>
      </w:r>
      <w:r w:rsidR="00157CCD" w:rsidRPr="00103A0B">
        <w:rPr>
          <w:rFonts w:ascii="Arial" w:hAnsi="Arial" w:cs="Arial"/>
          <w:b/>
          <w:bCs/>
          <w:sz w:val="24"/>
          <w:szCs w:val="24"/>
        </w:rPr>
        <w:t>8</w:t>
      </w:r>
      <w:r w:rsidRPr="00103A0B">
        <w:rPr>
          <w:rFonts w:ascii="Arial" w:hAnsi="Arial" w:cs="Arial"/>
          <w:b/>
          <w:bCs/>
          <w:sz w:val="24"/>
          <w:szCs w:val="24"/>
        </w:rPr>
        <w:t xml:space="preserve">.4 </w:t>
      </w:r>
      <w:r w:rsidR="00EA3A20" w:rsidRPr="00103A0B">
        <w:rPr>
          <w:rFonts w:ascii="Arial" w:hAnsi="Arial" w:cs="Arial"/>
          <w:b/>
          <w:bCs/>
          <w:sz w:val="24"/>
          <w:szCs w:val="24"/>
        </w:rPr>
        <w:t xml:space="preserve">Write up of </w:t>
      </w:r>
      <w:r w:rsidRPr="00103A0B">
        <w:rPr>
          <w:rFonts w:ascii="Arial" w:hAnsi="Arial" w:cs="Arial"/>
          <w:b/>
          <w:bCs/>
          <w:sz w:val="24"/>
          <w:szCs w:val="24"/>
        </w:rPr>
        <w:t>R</w:t>
      </w:r>
      <w:r w:rsidR="00EA3A20" w:rsidRPr="00103A0B">
        <w:rPr>
          <w:rFonts w:ascii="Arial" w:hAnsi="Arial" w:cs="Arial"/>
          <w:b/>
          <w:bCs/>
          <w:sz w:val="24"/>
          <w:szCs w:val="24"/>
        </w:rPr>
        <w:t>esults/</w:t>
      </w:r>
      <w:r w:rsidRPr="00103A0B">
        <w:rPr>
          <w:rFonts w:ascii="Arial" w:hAnsi="Arial" w:cs="Arial"/>
          <w:b/>
          <w:bCs/>
          <w:sz w:val="24"/>
          <w:szCs w:val="24"/>
        </w:rPr>
        <w:t>P</w:t>
      </w:r>
      <w:r w:rsidR="00EA3A20" w:rsidRPr="00103A0B">
        <w:rPr>
          <w:rFonts w:ascii="Arial" w:hAnsi="Arial" w:cs="Arial"/>
          <w:b/>
          <w:bCs/>
          <w:sz w:val="24"/>
          <w:szCs w:val="24"/>
        </w:rPr>
        <w:t>ublication</w:t>
      </w:r>
    </w:p>
    <w:p w14:paraId="76EB4AC7" w14:textId="3A4D3A43"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At first, I found it difficult to write my results up in a concise way as I </w:t>
      </w:r>
      <w:proofErr w:type="gramStart"/>
      <w:r w:rsidRPr="00103A0B">
        <w:rPr>
          <w:rFonts w:ascii="Arial" w:hAnsi="Arial" w:cs="Arial"/>
          <w:sz w:val="24"/>
          <w:szCs w:val="24"/>
        </w:rPr>
        <w:t>have a tendency to</w:t>
      </w:r>
      <w:proofErr w:type="gramEnd"/>
      <w:r w:rsidRPr="00103A0B">
        <w:rPr>
          <w:rFonts w:ascii="Arial" w:hAnsi="Arial" w:cs="Arial"/>
          <w:sz w:val="24"/>
          <w:szCs w:val="24"/>
        </w:rPr>
        <w:t xml:space="preserve"> include a lot of information. However, after experiencing writing for publication alongside my supervisors and having the first paper published, I have grown as a much better academic in writing concisely within the strict word limits and journal guidelines.</w:t>
      </w:r>
      <w:r w:rsidR="00451DE2" w:rsidRPr="00103A0B">
        <w:rPr>
          <w:rFonts w:ascii="Arial" w:hAnsi="Arial" w:cs="Arial"/>
          <w:sz w:val="24"/>
          <w:szCs w:val="24"/>
        </w:rPr>
        <w:t xml:space="preserve"> </w:t>
      </w:r>
      <w:r w:rsidRPr="00103A0B">
        <w:rPr>
          <w:rFonts w:ascii="Arial" w:hAnsi="Arial" w:cs="Arial"/>
          <w:sz w:val="24"/>
          <w:szCs w:val="24"/>
        </w:rPr>
        <w:t xml:space="preserve">My first publication boosted my confidence that someone like me could reach this level. Working with my supervisors and the research team during my PhD journey has been a great experience and I look forward in progressing in my career as a researcher. Overall, there had been many challenges along the way but staying positive has really helped me to push through including encouragement and support from my supervisors, </w:t>
      </w:r>
      <w:proofErr w:type="gramStart"/>
      <w:r w:rsidRPr="00103A0B">
        <w:rPr>
          <w:rFonts w:ascii="Arial" w:hAnsi="Arial" w:cs="Arial"/>
          <w:sz w:val="24"/>
          <w:szCs w:val="24"/>
        </w:rPr>
        <w:t>colleagues</w:t>
      </w:r>
      <w:proofErr w:type="gramEnd"/>
      <w:r w:rsidRPr="00103A0B">
        <w:rPr>
          <w:rFonts w:ascii="Arial" w:hAnsi="Arial" w:cs="Arial"/>
          <w:sz w:val="24"/>
          <w:szCs w:val="24"/>
        </w:rPr>
        <w:t xml:space="preserve"> and family. </w:t>
      </w:r>
    </w:p>
    <w:p w14:paraId="3BA0A62F" w14:textId="77777777" w:rsidR="00EA3A20" w:rsidRPr="00103A0B" w:rsidRDefault="00EA3A20" w:rsidP="00CD5919">
      <w:pPr>
        <w:spacing w:line="360" w:lineRule="auto"/>
        <w:jc w:val="both"/>
        <w:rPr>
          <w:rFonts w:ascii="Arial" w:hAnsi="Arial" w:cs="Arial"/>
          <w:b/>
          <w:bCs/>
          <w:sz w:val="24"/>
          <w:szCs w:val="24"/>
        </w:rPr>
      </w:pPr>
    </w:p>
    <w:p w14:paraId="1D143683" w14:textId="3AE8F049" w:rsidR="00EA3A20" w:rsidRPr="00103A0B" w:rsidRDefault="00EA3A20" w:rsidP="00CD5919">
      <w:pPr>
        <w:pStyle w:val="Heading2"/>
        <w:numPr>
          <w:ilvl w:val="0"/>
          <w:numId w:val="0"/>
        </w:numPr>
        <w:jc w:val="both"/>
        <w:rPr>
          <w:rFonts w:ascii="Arial" w:hAnsi="Arial" w:cs="Arial"/>
          <w:sz w:val="28"/>
        </w:rPr>
      </w:pPr>
      <w:bookmarkStart w:id="420" w:name="_Toc151548343"/>
      <w:r w:rsidRPr="00103A0B">
        <w:rPr>
          <w:rFonts w:ascii="Arial" w:hAnsi="Arial" w:cs="Arial"/>
          <w:sz w:val="28"/>
        </w:rPr>
        <w:t>8.</w:t>
      </w:r>
      <w:r w:rsidR="00157CCD" w:rsidRPr="00103A0B">
        <w:rPr>
          <w:rFonts w:ascii="Arial" w:hAnsi="Arial" w:cs="Arial"/>
          <w:sz w:val="28"/>
        </w:rPr>
        <w:t>9</w:t>
      </w:r>
      <w:r w:rsidRPr="00103A0B">
        <w:rPr>
          <w:rFonts w:ascii="Arial" w:hAnsi="Arial" w:cs="Arial"/>
          <w:sz w:val="28"/>
        </w:rPr>
        <w:t>. Conclusions</w:t>
      </w:r>
      <w:bookmarkEnd w:id="420"/>
      <w:r w:rsidRPr="00103A0B">
        <w:rPr>
          <w:rFonts w:ascii="Arial" w:hAnsi="Arial" w:cs="Arial"/>
          <w:sz w:val="28"/>
        </w:rPr>
        <w:t xml:space="preserve"> </w:t>
      </w:r>
    </w:p>
    <w:p w14:paraId="2B7C0679" w14:textId="72FE6BC8" w:rsidR="00EA3A20"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Overall, the research reported in this thesis has highlighted </w:t>
      </w:r>
      <w:proofErr w:type="gramStart"/>
      <w:r w:rsidRPr="00103A0B">
        <w:rPr>
          <w:rFonts w:ascii="Arial" w:hAnsi="Arial" w:cs="Arial"/>
          <w:sz w:val="24"/>
          <w:szCs w:val="24"/>
        </w:rPr>
        <w:t>a number of</w:t>
      </w:r>
      <w:proofErr w:type="gramEnd"/>
      <w:r w:rsidRPr="00103A0B">
        <w:rPr>
          <w:rFonts w:ascii="Arial" w:hAnsi="Arial" w:cs="Arial"/>
          <w:sz w:val="24"/>
          <w:szCs w:val="24"/>
        </w:rPr>
        <w:t xml:space="preserve"> factors that can influence uptake and retention of diabetes prevention programmes. The findings have demonstrated the importance of modifiable psychological factors, particularly illness perceptions and mental wellbeing, in predicting uptake and have identified a range of different influences on decisions to attend a diabetes prevention programme. These influences include how understanding type 2 diabetes, making lifestyle changes, comparing oneself with others, having support and</w:t>
      </w:r>
      <w:r w:rsidR="00451DE2" w:rsidRPr="00103A0B">
        <w:rPr>
          <w:rFonts w:ascii="Arial" w:hAnsi="Arial" w:cs="Arial"/>
          <w:sz w:val="24"/>
          <w:szCs w:val="24"/>
        </w:rPr>
        <w:t xml:space="preserve"> </w:t>
      </w:r>
      <w:r w:rsidRPr="00103A0B">
        <w:rPr>
          <w:rFonts w:ascii="Arial" w:hAnsi="Arial" w:cs="Arial"/>
          <w:sz w:val="24"/>
          <w:szCs w:val="24"/>
        </w:rPr>
        <w:t xml:space="preserve">self-perceptions can all affect individuals’ motivation to attend a DPP. The findings have also demonstrated the importance of modifiable psychological factors, particularly self-efficacy, in predicting completion and have identified a range of different influences on completion such as beliefs, social influences and practicalities. Factors associated with the programmes themselves including incentives for participation, problem-solving, </w:t>
      </w:r>
      <w:r w:rsidRPr="00103A0B">
        <w:rPr>
          <w:rFonts w:ascii="Arial" w:hAnsi="Arial" w:cs="Arial"/>
          <w:sz w:val="24"/>
          <w:szCs w:val="24"/>
        </w:rPr>
        <w:lastRenderedPageBreak/>
        <w:t>reducing negative emotions, behaviour demonstration and practice have found to be influential in completion of diabetes prevention programmes.</w:t>
      </w:r>
    </w:p>
    <w:p w14:paraId="7203A141" w14:textId="79DF7EF2" w:rsidR="00E511EE" w:rsidRPr="00103A0B" w:rsidRDefault="00EA3A20" w:rsidP="00CD5919">
      <w:pPr>
        <w:spacing w:line="360" w:lineRule="auto"/>
        <w:jc w:val="both"/>
        <w:rPr>
          <w:rFonts w:ascii="Arial" w:hAnsi="Arial" w:cs="Arial"/>
          <w:sz w:val="24"/>
          <w:szCs w:val="24"/>
        </w:rPr>
      </w:pPr>
      <w:r w:rsidRPr="00103A0B">
        <w:rPr>
          <w:rFonts w:ascii="Arial" w:hAnsi="Arial" w:cs="Arial"/>
          <w:sz w:val="24"/>
          <w:szCs w:val="24"/>
        </w:rPr>
        <w:t xml:space="preserve">By clinicians, healthcare professionals, programme organisers and staff focusing their efforts on identifying effective recruitment strategies and incorporating ideal behaviour change techniques into their programmes, uptake and retention levels should improve. Understanding in greater depth the various influences on attendance and completion when organising and delivering sessions will contribute towards maximising response, </w:t>
      </w:r>
      <w:proofErr w:type="gramStart"/>
      <w:r w:rsidRPr="00103A0B">
        <w:rPr>
          <w:rFonts w:ascii="Arial" w:hAnsi="Arial" w:cs="Arial"/>
          <w:sz w:val="24"/>
          <w:szCs w:val="24"/>
        </w:rPr>
        <w:t>uptake</w:t>
      </w:r>
      <w:proofErr w:type="gramEnd"/>
      <w:r w:rsidRPr="00103A0B">
        <w:rPr>
          <w:rFonts w:ascii="Arial" w:hAnsi="Arial" w:cs="Arial"/>
          <w:sz w:val="24"/>
          <w:szCs w:val="24"/>
        </w:rPr>
        <w:t xml:space="preserve"> and retention rates, thus improving programme viability. </w:t>
      </w:r>
    </w:p>
    <w:p w14:paraId="485EB4C6" w14:textId="77777777" w:rsidR="00192C50" w:rsidRPr="00103A0B" w:rsidRDefault="00192C50" w:rsidP="00877D8D">
      <w:pPr>
        <w:pStyle w:val="Heading1"/>
        <w:keepNext/>
        <w:keepLines/>
        <w:numPr>
          <w:ilvl w:val="0"/>
          <w:numId w:val="0"/>
        </w:numPr>
        <w:rPr>
          <w:rFonts w:ascii="Arial" w:hAnsi="Arial" w:cs="Arial"/>
          <w:lang w:eastAsia="en-GB"/>
        </w:rPr>
        <w:sectPr w:rsidR="00192C50" w:rsidRPr="00103A0B">
          <w:pgSz w:w="11906" w:h="16838"/>
          <w:pgMar w:top="1440" w:right="1440" w:bottom="1440" w:left="1440" w:header="708" w:footer="708" w:gutter="0"/>
          <w:cols w:space="708"/>
          <w:docGrid w:linePitch="360"/>
        </w:sectPr>
      </w:pPr>
    </w:p>
    <w:p w14:paraId="26F7E726" w14:textId="5FCFC9C7" w:rsidR="001A70E7" w:rsidRPr="00103A0B" w:rsidRDefault="001A70E7" w:rsidP="00877D8D">
      <w:pPr>
        <w:pStyle w:val="Heading1"/>
        <w:keepNext/>
        <w:keepLines/>
        <w:numPr>
          <w:ilvl w:val="0"/>
          <w:numId w:val="0"/>
        </w:numPr>
        <w:rPr>
          <w:rFonts w:ascii="Arial" w:hAnsi="Arial" w:cs="Arial"/>
          <w:lang w:eastAsia="en-GB"/>
        </w:rPr>
      </w:pPr>
      <w:bookmarkStart w:id="421" w:name="_Toc151548344"/>
      <w:r w:rsidRPr="00103A0B">
        <w:rPr>
          <w:rFonts w:ascii="Arial" w:hAnsi="Arial" w:cs="Arial"/>
          <w:lang w:eastAsia="en-GB"/>
        </w:rPr>
        <w:lastRenderedPageBreak/>
        <w:t>References</w:t>
      </w:r>
      <w:bookmarkEnd w:id="421"/>
      <w:r w:rsidRPr="00103A0B">
        <w:rPr>
          <w:rFonts w:ascii="Arial" w:hAnsi="Arial" w:cs="Arial"/>
          <w:lang w:eastAsia="en-GB"/>
        </w:rPr>
        <w:t xml:space="preserve"> </w:t>
      </w:r>
    </w:p>
    <w:p w14:paraId="101F281E" w14:textId="2BAF3A9F" w:rsidR="00591FE2" w:rsidRPr="00103A0B" w:rsidRDefault="00062570"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sz w:val="24"/>
          <w:szCs w:val="24"/>
          <w:lang w:eastAsia="en-GB" w:bidi="en-US"/>
        </w:rPr>
        <w:fldChar w:fldCharType="begin" w:fldLock="1"/>
      </w:r>
      <w:r w:rsidRPr="00103A0B">
        <w:rPr>
          <w:rFonts w:ascii="Arial" w:hAnsi="Arial" w:cs="Arial"/>
          <w:sz w:val="24"/>
          <w:szCs w:val="24"/>
          <w:lang w:eastAsia="en-GB" w:bidi="en-US"/>
        </w:rPr>
        <w:instrText xml:space="preserve">ADDIN Mendeley Bibliography CSL_BIBLIOGRAPHY </w:instrText>
      </w:r>
      <w:r w:rsidRPr="00103A0B">
        <w:rPr>
          <w:rFonts w:ascii="Arial" w:hAnsi="Arial" w:cs="Arial"/>
          <w:sz w:val="24"/>
          <w:szCs w:val="24"/>
          <w:lang w:eastAsia="en-GB" w:bidi="en-US"/>
        </w:rPr>
        <w:fldChar w:fldCharType="separate"/>
      </w:r>
      <w:r w:rsidR="00591FE2" w:rsidRPr="00103A0B">
        <w:rPr>
          <w:rFonts w:ascii="Arial" w:hAnsi="Arial" w:cs="Arial"/>
          <w:noProof/>
          <w:sz w:val="24"/>
          <w:szCs w:val="24"/>
        </w:rPr>
        <w:t xml:space="preserve">Abraham, C. &amp; Michie, S. (2008). A taxonomy of behavior change techniques used in interventions. </w:t>
      </w:r>
      <w:r w:rsidR="00591FE2" w:rsidRPr="00103A0B">
        <w:rPr>
          <w:rFonts w:ascii="Arial" w:hAnsi="Arial" w:cs="Arial"/>
          <w:i/>
          <w:iCs/>
          <w:noProof/>
          <w:sz w:val="24"/>
          <w:szCs w:val="24"/>
        </w:rPr>
        <w:t>Health Psychology</w:t>
      </w:r>
      <w:r w:rsidR="00591FE2" w:rsidRPr="00103A0B">
        <w:rPr>
          <w:rFonts w:ascii="Arial" w:hAnsi="Arial" w:cs="Arial"/>
          <w:noProof/>
          <w:sz w:val="24"/>
          <w:szCs w:val="24"/>
        </w:rPr>
        <w:t xml:space="preserve">, </w:t>
      </w:r>
      <w:r w:rsidR="00591FE2" w:rsidRPr="00103A0B">
        <w:rPr>
          <w:rFonts w:ascii="Arial" w:hAnsi="Arial" w:cs="Arial"/>
          <w:i/>
          <w:iCs/>
          <w:noProof/>
          <w:sz w:val="24"/>
          <w:szCs w:val="24"/>
        </w:rPr>
        <w:t>27</w:t>
      </w:r>
      <w:r w:rsidR="00591FE2" w:rsidRPr="00103A0B">
        <w:rPr>
          <w:rFonts w:ascii="Arial" w:hAnsi="Arial" w:cs="Arial"/>
          <w:noProof/>
          <w:sz w:val="24"/>
          <w:szCs w:val="24"/>
        </w:rPr>
        <w:t>(3), 379–387. https://doi.org/10.1037/0278-6133.27.3.379</w:t>
      </w:r>
    </w:p>
    <w:p w14:paraId="1652BDE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Absetz, P., Valve, R., Oldenburg, B., Heinonen, H., Nissinen, A., Fogelholm, M., Ilvesmaki, V., Talja, M. &amp; Uutela, A. (2007). Type 2 diabetes prevention in the “real world.”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30</w:t>
      </w:r>
      <w:r w:rsidRPr="00103A0B">
        <w:rPr>
          <w:rFonts w:ascii="Arial" w:hAnsi="Arial" w:cs="Arial"/>
          <w:noProof/>
          <w:sz w:val="24"/>
          <w:szCs w:val="24"/>
        </w:rPr>
        <w:t>(10), 2465–2470. https://doi.org/10.2337/dc07-0171</w:t>
      </w:r>
    </w:p>
    <w:p w14:paraId="7F4BE07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Ackermann, R. ., Finch, E. A., Brizendine, E., Zhou, H. &amp; Marrero, D. G. (2008). Translating the diabetes prevention program into the community the DEPLOY pilot study. </w:t>
      </w:r>
      <w:r w:rsidRPr="00103A0B">
        <w:rPr>
          <w:rFonts w:ascii="Arial" w:hAnsi="Arial" w:cs="Arial"/>
          <w:i/>
          <w:iCs/>
          <w:noProof/>
          <w:sz w:val="24"/>
          <w:szCs w:val="24"/>
        </w:rPr>
        <w:t>American Journal of Preventive Medicine</w:t>
      </w:r>
      <w:r w:rsidRPr="00103A0B">
        <w:rPr>
          <w:rFonts w:ascii="Arial" w:hAnsi="Arial" w:cs="Arial"/>
          <w:noProof/>
          <w:sz w:val="24"/>
          <w:szCs w:val="24"/>
        </w:rPr>
        <w:t xml:space="preserve">, </w:t>
      </w:r>
      <w:r w:rsidRPr="00103A0B">
        <w:rPr>
          <w:rFonts w:ascii="Arial" w:hAnsi="Arial" w:cs="Arial"/>
          <w:i/>
          <w:iCs/>
          <w:noProof/>
          <w:sz w:val="24"/>
          <w:szCs w:val="24"/>
        </w:rPr>
        <w:t>35</w:t>
      </w:r>
      <w:r w:rsidRPr="00103A0B">
        <w:rPr>
          <w:rFonts w:ascii="Arial" w:hAnsi="Arial" w:cs="Arial"/>
          <w:noProof/>
          <w:sz w:val="24"/>
          <w:szCs w:val="24"/>
        </w:rPr>
        <w:t>(4), 357–363. https://doi.org/10.1038/jid.2014.371</w:t>
      </w:r>
    </w:p>
    <w:p w14:paraId="1CEF331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Adams, R., Hebert, C. J., McVey, L. &amp; Williams, R. (2016). Implementation of the YMCA diabetes prevention program throughout an integrated health system: a translational study. </w:t>
      </w:r>
      <w:r w:rsidRPr="00103A0B">
        <w:rPr>
          <w:rFonts w:ascii="Arial" w:hAnsi="Arial" w:cs="Arial"/>
          <w:i/>
          <w:iCs/>
          <w:noProof/>
          <w:sz w:val="24"/>
          <w:szCs w:val="24"/>
        </w:rPr>
        <w:t>The Permanente Journal</w:t>
      </w:r>
      <w:r w:rsidRPr="00103A0B">
        <w:rPr>
          <w:rFonts w:ascii="Arial" w:hAnsi="Arial" w:cs="Arial"/>
          <w:noProof/>
          <w:sz w:val="24"/>
          <w:szCs w:val="24"/>
        </w:rPr>
        <w:t xml:space="preserve">, </w:t>
      </w:r>
      <w:r w:rsidRPr="00103A0B">
        <w:rPr>
          <w:rFonts w:ascii="Arial" w:hAnsi="Arial" w:cs="Arial"/>
          <w:i/>
          <w:iCs/>
          <w:noProof/>
          <w:sz w:val="24"/>
          <w:szCs w:val="24"/>
        </w:rPr>
        <w:t>20</w:t>
      </w:r>
      <w:r w:rsidRPr="00103A0B">
        <w:rPr>
          <w:rFonts w:ascii="Arial" w:hAnsi="Arial" w:cs="Arial"/>
          <w:noProof/>
          <w:sz w:val="24"/>
          <w:szCs w:val="24"/>
        </w:rPr>
        <w:t>(4), 82–86. https://doi.org/10.7812/TPP/15-241</w:t>
      </w:r>
    </w:p>
    <w:p w14:paraId="1F88990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Aekplakorn, W., Tantayotai, V., Numsangkul, S., Tatsato, N. &amp; Luckanajantachote, P. (2019). Evaluation of a community-based diabetes prevention program in Thailand : a cluster randomized controlled trial. </w:t>
      </w:r>
      <w:r w:rsidRPr="00103A0B">
        <w:rPr>
          <w:rFonts w:ascii="Arial" w:hAnsi="Arial" w:cs="Arial"/>
          <w:i/>
          <w:iCs/>
          <w:noProof/>
          <w:sz w:val="24"/>
          <w:szCs w:val="24"/>
        </w:rPr>
        <w:t>Journal of Primary Care and Community Health</w:t>
      </w:r>
      <w:r w:rsidRPr="00103A0B">
        <w:rPr>
          <w:rFonts w:ascii="Arial" w:hAnsi="Arial" w:cs="Arial"/>
          <w:noProof/>
          <w:sz w:val="24"/>
          <w:szCs w:val="24"/>
        </w:rPr>
        <w:t xml:space="preserve">, </w:t>
      </w:r>
      <w:r w:rsidRPr="00103A0B">
        <w:rPr>
          <w:rFonts w:ascii="Arial" w:hAnsi="Arial" w:cs="Arial"/>
          <w:i/>
          <w:iCs/>
          <w:noProof/>
          <w:sz w:val="24"/>
          <w:szCs w:val="24"/>
        </w:rPr>
        <w:t>10</w:t>
      </w:r>
      <w:r w:rsidRPr="00103A0B">
        <w:rPr>
          <w:rFonts w:ascii="Arial" w:hAnsi="Arial" w:cs="Arial"/>
          <w:noProof/>
          <w:sz w:val="24"/>
          <w:szCs w:val="24"/>
        </w:rPr>
        <w:t>, 1–8. https://doi.org/10.1177/2150132719847374</w:t>
      </w:r>
    </w:p>
    <w:p w14:paraId="5662A16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Agardh, E., Allebeck, P., Hallqvist, J., Moradi, T. &amp; Sidorchuk, A. (2011). Type 2 diabetes incidence and socio-economic position: a systematic review and meta-analysis. </w:t>
      </w:r>
      <w:r w:rsidRPr="00103A0B">
        <w:rPr>
          <w:rFonts w:ascii="Arial" w:hAnsi="Arial" w:cs="Arial"/>
          <w:i/>
          <w:iCs/>
          <w:noProof/>
          <w:sz w:val="24"/>
          <w:szCs w:val="24"/>
        </w:rPr>
        <w:t>International Journal of Epidemiology</w:t>
      </w:r>
      <w:r w:rsidRPr="00103A0B">
        <w:rPr>
          <w:rFonts w:ascii="Arial" w:hAnsi="Arial" w:cs="Arial"/>
          <w:noProof/>
          <w:sz w:val="24"/>
          <w:szCs w:val="24"/>
        </w:rPr>
        <w:t xml:space="preserve">, </w:t>
      </w:r>
      <w:r w:rsidRPr="00103A0B">
        <w:rPr>
          <w:rFonts w:ascii="Arial" w:hAnsi="Arial" w:cs="Arial"/>
          <w:i/>
          <w:iCs/>
          <w:noProof/>
          <w:sz w:val="24"/>
          <w:szCs w:val="24"/>
        </w:rPr>
        <w:t>40</w:t>
      </w:r>
      <w:r w:rsidRPr="00103A0B">
        <w:rPr>
          <w:rFonts w:ascii="Arial" w:hAnsi="Arial" w:cs="Arial"/>
          <w:noProof/>
          <w:sz w:val="24"/>
          <w:szCs w:val="24"/>
        </w:rPr>
        <w:t>(3), 804–818. https://doi.org/10.1093/ije/dyr029</w:t>
      </w:r>
    </w:p>
    <w:p w14:paraId="20D7487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Ahmad, L. A. &amp; Crandall, J. P. (2010). Type 2 diabetes prevention: a review. </w:t>
      </w:r>
      <w:r w:rsidRPr="00103A0B">
        <w:rPr>
          <w:rFonts w:ascii="Arial" w:hAnsi="Arial" w:cs="Arial"/>
          <w:i/>
          <w:iCs/>
          <w:noProof/>
          <w:sz w:val="24"/>
          <w:szCs w:val="24"/>
        </w:rPr>
        <w:t>Clinical Diabetes</w:t>
      </w:r>
      <w:r w:rsidRPr="00103A0B">
        <w:rPr>
          <w:rFonts w:ascii="Arial" w:hAnsi="Arial" w:cs="Arial"/>
          <w:noProof/>
          <w:sz w:val="24"/>
          <w:szCs w:val="24"/>
        </w:rPr>
        <w:t xml:space="preserve">, </w:t>
      </w:r>
      <w:r w:rsidRPr="00103A0B">
        <w:rPr>
          <w:rFonts w:ascii="Arial" w:hAnsi="Arial" w:cs="Arial"/>
          <w:i/>
          <w:iCs/>
          <w:noProof/>
          <w:sz w:val="24"/>
          <w:szCs w:val="24"/>
        </w:rPr>
        <w:t>28</w:t>
      </w:r>
      <w:r w:rsidRPr="00103A0B">
        <w:rPr>
          <w:rFonts w:ascii="Arial" w:hAnsi="Arial" w:cs="Arial"/>
          <w:noProof/>
          <w:sz w:val="24"/>
          <w:szCs w:val="24"/>
        </w:rPr>
        <w:t>(2), 53–59. https://doi.org/10.2337/diaclin.28.2.53</w:t>
      </w:r>
    </w:p>
    <w:p w14:paraId="7E0482E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Albright, A. (2012). The national diabetes prevention program: from research to reality. </w:t>
      </w:r>
      <w:r w:rsidRPr="00103A0B">
        <w:rPr>
          <w:rFonts w:ascii="Arial" w:hAnsi="Arial" w:cs="Arial"/>
          <w:i/>
          <w:iCs/>
          <w:noProof/>
          <w:sz w:val="24"/>
          <w:szCs w:val="24"/>
        </w:rPr>
        <w:t>Diabetes Care Educ Newsl.</w:t>
      </w:r>
      <w:r w:rsidRPr="00103A0B">
        <w:rPr>
          <w:rFonts w:ascii="Arial" w:hAnsi="Arial" w:cs="Arial"/>
          <w:noProof/>
          <w:sz w:val="24"/>
          <w:szCs w:val="24"/>
        </w:rPr>
        <w:t xml:space="preserve">, </w:t>
      </w:r>
      <w:r w:rsidRPr="00103A0B">
        <w:rPr>
          <w:rFonts w:ascii="Arial" w:hAnsi="Arial" w:cs="Arial"/>
          <w:i/>
          <w:iCs/>
          <w:noProof/>
          <w:sz w:val="24"/>
          <w:szCs w:val="24"/>
        </w:rPr>
        <w:t>33</w:t>
      </w:r>
      <w:r w:rsidRPr="00103A0B">
        <w:rPr>
          <w:rFonts w:ascii="Arial" w:hAnsi="Arial" w:cs="Arial"/>
          <w:noProof/>
          <w:sz w:val="24"/>
          <w:szCs w:val="24"/>
        </w:rPr>
        <w:t>(4), 4–7.</w:t>
      </w:r>
    </w:p>
    <w:p w14:paraId="0E1DD6A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Ali, M. K., Echouffo-Tcheugui, J. &amp; Williamson, D. F. (2012). How effective were lifestyle interventions in real-world settings that were modeled on the diabetes prevention program? </w:t>
      </w:r>
      <w:r w:rsidRPr="00103A0B">
        <w:rPr>
          <w:rFonts w:ascii="Arial" w:hAnsi="Arial" w:cs="Arial"/>
          <w:i/>
          <w:iCs/>
          <w:noProof/>
          <w:sz w:val="24"/>
          <w:szCs w:val="24"/>
        </w:rPr>
        <w:t>Health Affairs</w:t>
      </w:r>
      <w:r w:rsidRPr="00103A0B">
        <w:rPr>
          <w:rFonts w:ascii="Arial" w:hAnsi="Arial" w:cs="Arial"/>
          <w:noProof/>
          <w:sz w:val="24"/>
          <w:szCs w:val="24"/>
        </w:rPr>
        <w:t xml:space="preserve">, </w:t>
      </w:r>
      <w:r w:rsidRPr="00103A0B">
        <w:rPr>
          <w:rFonts w:ascii="Arial" w:hAnsi="Arial" w:cs="Arial"/>
          <w:i/>
          <w:iCs/>
          <w:noProof/>
          <w:sz w:val="24"/>
          <w:szCs w:val="24"/>
        </w:rPr>
        <w:t>31</w:t>
      </w:r>
      <w:r w:rsidRPr="00103A0B">
        <w:rPr>
          <w:rFonts w:ascii="Arial" w:hAnsi="Arial" w:cs="Arial"/>
          <w:noProof/>
          <w:sz w:val="24"/>
          <w:szCs w:val="24"/>
        </w:rPr>
        <w:t>(1), 67–75. https://doi.org/10.1377/hlthaff.2011.1009</w:t>
      </w:r>
    </w:p>
    <w:p w14:paraId="29C12B6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Almeida, F.A., Shetterly, S., Smith-Ray, R.L., Estabrooks, P. A. (2010). Reach and effectiveness of a weight loss intervention in patients with prediabetes in Colorado. </w:t>
      </w:r>
      <w:r w:rsidRPr="00103A0B">
        <w:rPr>
          <w:rFonts w:ascii="Arial" w:hAnsi="Arial" w:cs="Arial"/>
          <w:i/>
          <w:iCs/>
          <w:noProof/>
          <w:sz w:val="24"/>
          <w:szCs w:val="24"/>
        </w:rPr>
        <w:t>Prev Chronic Dis</w:t>
      </w:r>
      <w:r w:rsidRPr="00103A0B">
        <w:rPr>
          <w:rFonts w:ascii="Arial" w:hAnsi="Arial" w:cs="Arial"/>
          <w:noProof/>
          <w:sz w:val="24"/>
          <w:szCs w:val="24"/>
        </w:rPr>
        <w:t xml:space="preserve">, </w:t>
      </w:r>
      <w:r w:rsidRPr="00103A0B">
        <w:rPr>
          <w:rFonts w:ascii="Arial" w:hAnsi="Arial" w:cs="Arial"/>
          <w:i/>
          <w:iCs/>
          <w:noProof/>
          <w:sz w:val="24"/>
          <w:szCs w:val="24"/>
        </w:rPr>
        <w:t>7</w:t>
      </w:r>
      <w:r w:rsidRPr="00103A0B">
        <w:rPr>
          <w:rFonts w:ascii="Arial" w:hAnsi="Arial" w:cs="Arial"/>
          <w:noProof/>
          <w:sz w:val="24"/>
          <w:szCs w:val="24"/>
        </w:rPr>
        <w:t>(5), 1–5.</w:t>
      </w:r>
    </w:p>
    <w:p w14:paraId="72A9BFC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Alva, M. L. (2019a). How much does attendance impact weight loss and health care spending in a diabetes prevention program serving older adults? </w:t>
      </w:r>
      <w:r w:rsidRPr="00103A0B">
        <w:rPr>
          <w:rFonts w:ascii="Arial" w:hAnsi="Arial" w:cs="Arial"/>
          <w:i/>
          <w:iCs/>
          <w:noProof/>
          <w:sz w:val="24"/>
          <w:szCs w:val="24"/>
        </w:rPr>
        <w:t>American Journal of Health Promotion</w:t>
      </w:r>
      <w:r w:rsidRPr="00103A0B">
        <w:rPr>
          <w:rFonts w:ascii="Arial" w:hAnsi="Arial" w:cs="Arial"/>
          <w:noProof/>
          <w:sz w:val="24"/>
          <w:szCs w:val="24"/>
        </w:rPr>
        <w:t xml:space="preserve">, </w:t>
      </w:r>
      <w:r w:rsidRPr="00103A0B">
        <w:rPr>
          <w:rFonts w:ascii="Arial" w:hAnsi="Arial" w:cs="Arial"/>
          <w:i/>
          <w:iCs/>
          <w:noProof/>
          <w:sz w:val="24"/>
          <w:szCs w:val="24"/>
        </w:rPr>
        <w:t>33</w:t>
      </w:r>
      <w:r w:rsidRPr="00103A0B">
        <w:rPr>
          <w:rFonts w:ascii="Arial" w:hAnsi="Arial" w:cs="Arial"/>
          <w:noProof/>
          <w:sz w:val="24"/>
          <w:szCs w:val="24"/>
        </w:rPr>
        <w:t>(7), 1067–1072. https://doi.org/https://doi.org/10.1177/0890117119848985</w:t>
      </w:r>
    </w:p>
    <w:p w14:paraId="752E9D6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Alva, M. L. (2019b). How much does attendance impact weight loss and health care spending in a diabetes prevention program serving older adults? </w:t>
      </w:r>
      <w:r w:rsidRPr="00103A0B">
        <w:rPr>
          <w:rFonts w:ascii="Arial" w:hAnsi="Arial" w:cs="Arial"/>
          <w:i/>
          <w:iCs/>
          <w:noProof/>
          <w:sz w:val="24"/>
          <w:szCs w:val="24"/>
        </w:rPr>
        <w:t>American Journal of Health Promotion</w:t>
      </w:r>
      <w:r w:rsidRPr="00103A0B">
        <w:rPr>
          <w:rFonts w:ascii="Arial" w:hAnsi="Arial" w:cs="Arial"/>
          <w:noProof/>
          <w:sz w:val="24"/>
          <w:szCs w:val="24"/>
        </w:rPr>
        <w:t xml:space="preserve">, </w:t>
      </w:r>
      <w:r w:rsidRPr="00103A0B">
        <w:rPr>
          <w:rFonts w:ascii="Arial" w:hAnsi="Arial" w:cs="Arial"/>
          <w:i/>
          <w:iCs/>
          <w:noProof/>
          <w:sz w:val="24"/>
          <w:szCs w:val="24"/>
        </w:rPr>
        <w:t>33</w:t>
      </w:r>
      <w:r w:rsidRPr="00103A0B">
        <w:rPr>
          <w:rFonts w:ascii="Arial" w:hAnsi="Arial" w:cs="Arial"/>
          <w:noProof/>
          <w:sz w:val="24"/>
          <w:szCs w:val="24"/>
        </w:rPr>
        <w:t>(7), 1067–1072.</w:t>
      </w:r>
    </w:p>
    <w:p w14:paraId="1858E16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Alva, M. L., Romaire, M. &amp; Acquah, J. (2019). Impact of financial incentives on diabetes prevention class attendance and program completion: evidence from Minnesota, Montana, and New York. </w:t>
      </w:r>
      <w:r w:rsidRPr="00103A0B">
        <w:rPr>
          <w:rFonts w:ascii="Arial" w:hAnsi="Arial" w:cs="Arial"/>
          <w:i/>
          <w:iCs/>
          <w:noProof/>
          <w:sz w:val="24"/>
          <w:szCs w:val="24"/>
        </w:rPr>
        <w:t>American Journal of Health Promotion</w:t>
      </w:r>
      <w:r w:rsidRPr="00103A0B">
        <w:rPr>
          <w:rFonts w:ascii="Arial" w:hAnsi="Arial" w:cs="Arial"/>
          <w:noProof/>
          <w:sz w:val="24"/>
          <w:szCs w:val="24"/>
        </w:rPr>
        <w:t xml:space="preserve">, </w:t>
      </w:r>
      <w:r w:rsidRPr="00103A0B">
        <w:rPr>
          <w:rFonts w:ascii="Arial" w:hAnsi="Arial" w:cs="Arial"/>
          <w:i/>
          <w:iCs/>
          <w:noProof/>
          <w:sz w:val="24"/>
          <w:szCs w:val="24"/>
        </w:rPr>
        <w:t>33</w:t>
      </w:r>
      <w:r w:rsidRPr="00103A0B">
        <w:rPr>
          <w:rFonts w:ascii="Arial" w:hAnsi="Arial" w:cs="Arial"/>
          <w:noProof/>
          <w:sz w:val="24"/>
          <w:szCs w:val="24"/>
        </w:rPr>
        <w:t>(4), 601–605. https://doi.org/10.1177/0890117118794087</w:t>
      </w:r>
    </w:p>
    <w:p w14:paraId="24CC827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American Diabetes Association. (2008). Diagnosis and classification of diabetes mellitus.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31</w:t>
      </w:r>
      <w:r w:rsidRPr="00103A0B">
        <w:rPr>
          <w:rFonts w:ascii="Arial" w:hAnsi="Arial" w:cs="Arial"/>
          <w:noProof/>
          <w:sz w:val="24"/>
          <w:szCs w:val="24"/>
        </w:rPr>
        <w:t>(SUPPL. 1), 55–60. https://doi.org/10.2337/dc08-S055</w:t>
      </w:r>
    </w:p>
    <w:p w14:paraId="54B6CD3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American Heart Association. (2015). </w:t>
      </w:r>
      <w:r w:rsidRPr="00103A0B">
        <w:rPr>
          <w:rFonts w:ascii="Arial" w:hAnsi="Arial" w:cs="Arial"/>
          <w:i/>
          <w:iCs/>
          <w:noProof/>
          <w:sz w:val="24"/>
          <w:szCs w:val="24"/>
        </w:rPr>
        <w:t>Prediabetes modifiable risk factors</w:t>
      </w:r>
      <w:r w:rsidRPr="00103A0B">
        <w:rPr>
          <w:rFonts w:ascii="Arial" w:hAnsi="Arial" w:cs="Arial"/>
          <w:noProof/>
          <w:sz w:val="24"/>
          <w:szCs w:val="24"/>
        </w:rPr>
        <w:t>. https://www.heart.org/en/health-topics/diabetes/understand-your-risk-for-diabetes/prediabetes-modifiable-risk-factors</w:t>
      </w:r>
    </w:p>
    <w:p w14:paraId="03EBFF6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Amundson, H. A., Butcher, M. K., Gohdes, D., Hall, T. O., Harwell, T. S., Helgerson, S. D. &amp; Vanderwood, K. K. (2009). Translating the diabetes prevention program into practice in the general community: findings from the Montana cardiovascular disease and diabetes prevention program. </w:t>
      </w:r>
      <w:r w:rsidRPr="00103A0B">
        <w:rPr>
          <w:rFonts w:ascii="Arial" w:hAnsi="Arial" w:cs="Arial"/>
          <w:i/>
          <w:iCs/>
          <w:noProof/>
          <w:sz w:val="24"/>
          <w:szCs w:val="24"/>
        </w:rPr>
        <w:t>Diabetes Educator</w:t>
      </w:r>
      <w:r w:rsidRPr="00103A0B">
        <w:rPr>
          <w:rFonts w:ascii="Arial" w:hAnsi="Arial" w:cs="Arial"/>
          <w:noProof/>
          <w:sz w:val="24"/>
          <w:szCs w:val="24"/>
        </w:rPr>
        <w:t xml:space="preserve">, </w:t>
      </w:r>
      <w:r w:rsidRPr="00103A0B">
        <w:rPr>
          <w:rFonts w:ascii="Arial" w:hAnsi="Arial" w:cs="Arial"/>
          <w:i/>
          <w:iCs/>
          <w:noProof/>
          <w:sz w:val="24"/>
          <w:szCs w:val="24"/>
        </w:rPr>
        <w:t>35</w:t>
      </w:r>
      <w:r w:rsidRPr="00103A0B">
        <w:rPr>
          <w:rFonts w:ascii="Arial" w:hAnsi="Arial" w:cs="Arial"/>
          <w:noProof/>
          <w:sz w:val="24"/>
          <w:szCs w:val="24"/>
        </w:rPr>
        <w:t>(2), 209–223. https://doi.org/10.1177/0145721709333269</w:t>
      </w:r>
    </w:p>
    <w:p w14:paraId="0FB25B1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Apicella, M., Campopiano, M. C., Mantuano, M., Mazoni, L., Coppelli, A. &amp; Del Prato, S. (2020). COVID-19 in people with diabetes: understanding the reasons for worse outcomes. </w:t>
      </w:r>
      <w:r w:rsidRPr="00103A0B">
        <w:rPr>
          <w:rFonts w:ascii="Arial" w:hAnsi="Arial" w:cs="Arial"/>
          <w:i/>
          <w:iCs/>
          <w:noProof/>
          <w:sz w:val="24"/>
          <w:szCs w:val="24"/>
        </w:rPr>
        <w:t>The Lancet Diabetes and Endocrinology</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(9), 782–792. https://doi.org/10.1016/s2213-8587(20)30238-2</w:t>
      </w:r>
    </w:p>
    <w:p w14:paraId="485CD26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Aujla, N., Yates, T., Dallosso, H. &amp; Kai, J. (2019). Users ’ experiences of a pragmatic diabetes prevention intervention implemented in primary care: qualitative study. </w:t>
      </w:r>
      <w:r w:rsidRPr="00103A0B">
        <w:rPr>
          <w:rFonts w:ascii="Arial" w:hAnsi="Arial" w:cs="Arial"/>
          <w:i/>
          <w:iCs/>
          <w:noProof/>
          <w:sz w:val="24"/>
          <w:szCs w:val="24"/>
        </w:rPr>
        <w:t>BMJ Open</w:t>
      </w:r>
      <w:r w:rsidRPr="00103A0B">
        <w:rPr>
          <w:rFonts w:ascii="Arial" w:hAnsi="Arial" w:cs="Arial"/>
          <w:noProof/>
          <w:sz w:val="24"/>
          <w:szCs w:val="24"/>
        </w:rPr>
        <w:t xml:space="preserve">, </w:t>
      </w:r>
      <w:r w:rsidRPr="00103A0B">
        <w:rPr>
          <w:rFonts w:ascii="Arial" w:hAnsi="Arial" w:cs="Arial"/>
          <w:i/>
          <w:iCs/>
          <w:noProof/>
          <w:sz w:val="24"/>
          <w:szCs w:val="24"/>
        </w:rPr>
        <w:t>9</w:t>
      </w:r>
      <w:r w:rsidRPr="00103A0B">
        <w:rPr>
          <w:rFonts w:ascii="Arial" w:hAnsi="Arial" w:cs="Arial"/>
          <w:noProof/>
          <w:sz w:val="24"/>
          <w:szCs w:val="24"/>
        </w:rPr>
        <w:t>, e028491.</w:t>
      </w:r>
    </w:p>
    <w:p w14:paraId="2BFF8AF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Azar, K. M. J., Nasrallah, C., Szwerinski, N. K., Petersen, J. J., Halley, M. C., Greenwood, D. &amp; Romanelli, R. J. (2019). Implementation of a group-based diabetes prevention program within a healthcare delivery system. </w:t>
      </w:r>
      <w:r w:rsidRPr="00103A0B">
        <w:rPr>
          <w:rFonts w:ascii="Arial" w:hAnsi="Arial" w:cs="Arial"/>
          <w:i/>
          <w:iCs/>
          <w:noProof/>
          <w:sz w:val="24"/>
          <w:szCs w:val="24"/>
        </w:rPr>
        <w:t>BMC Health Services Research</w:t>
      </w:r>
      <w:r w:rsidRPr="00103A0B">
        <w:rPr>
          <w:rFonts w:ascii="Arial" w:hAnsi="Arial" w:cs="Arial"/>
          <w:noProof/>
          <w:sz w:val="24"/>
          <w:szCs w:val="24"/>
        </w:rPr>
        <w:t xml:space="preserve">, </w:t>
      </w:r>
      <w:r w:rsidRPr="00103A0B">
        <w:rPr>
          <w:rFonts w:ascii="Arial" w:hAnsi="Arial" w:cs="Arial"/>
          <w:i/>
          <w:iCs/>
          <w:noProof/>
          <w:sz w:val="24"/>
          <w:szCs w:val="24"/>
        </w:rPr>
        <w:t>19</w:t>
      </w:r>
      <w:r w:rsidRPr="00103A0B">
        <w:rPr>
          <w:rFonts w:ascii="Arial" w:hAnsi="Arial" w:cs="Arial"/>
          <w:noProof/>
          <w:sz w:val="24"/>
          <w:szCs w:val="24"/>
        </w:rPr>
        <w:t>(1), 1–13. https://doi.org/10.1186/s12913-019-4569-0</w:t>
      </w:r>
    </w:p>
    <w:p w14:paraId="0583C4C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Aziz, Z., Absetz, P., Oldroyd, J., Pronk, N. P. &amp; Oldenburg, B. (2015). A systematic review of real-world diabetes prevention programs : learnings from the last 15 years. </w:t>
      </w:r>
      <w:r w:rsidRPr="00103A0B">
        <w:rPr>
          <w:rFonts w:ascii="Arial" w:hAnsi="Arial" w:cs="Arial"/>
          <w:i/>
          <w:iCs/>
          <w:noProof/>
          <w:sz w:val="24"/>
          <w:szCs w:val="24"/>
        </w:rPr>
        <w:t>Implementation Science</w:t>
      </w:r>
      <w:r w:rsidRPr="00103A0B">
        <w:rPr>
          <w:rFonts w:ascii="Arial" w:hAnsi="Arial" w:cs="Arial"/>
          <w:noProof/>
          <w:sz w:val="24"/>
          <w:szCs w:val="24"/>
        </w:rPr>
        <w:t xml:space="preserve">, </w:t>
      </w:r>
      <w:r w:rsidRPr="00103A0B">
        <w:rPr>
          <w:rFonts w:ascii="Arial" w:hAnsi="Arial" w:cs="Arial"/>
          <w:i/>
          <w:iCs/>
          <w:noProof/>
          <w:sz w:val="24"/>
          <w:szCs w:val="24"/>
        </w:rPr>
        <w:t>10</w:t>
      </w:r>
      <w:r w:rsidRPr="00103A0B">
        <w:rPr>
          <w:rFonts w:ascii="Arial" w:hAnsi="Arial" w:cs="Arial"/>
          <w:noProof/>
          <w:sz w:val="24"/>
          <w:szCs w:val="24"/>
        </w:rPr>
        <w:t>(172), 1–17. https://doi.org/10.1186/s13012-015-0354-6</w:t>
      </w:r>
    </w:p>
    <w:p w14:paraId="2B21015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Aziz, Z., Mathews, E., Absetz, P., Sathish, T., Oldroyd, J., Balachandran, S., Shetty, S. S., Thankappan, K. R. &amp; Oldenburg, B. (2018). A group-based lifestyle intervention for diabetes prevention in low- and middle- income country: implementation evaluation of the Kerala diabetes prevention program. </w:t>
      </w:r>
      <w:r w:rsidRPr="00103A0B">
        <w:rPr>
          <w:rFonts w:ascii="Arial" w:hAnsi="Arial" w:cs="Arial"/>
          <w:i/>
          <w:iCs/>
          <w:noProof/>
          <w:sz w:val="24"/>
          <w:szCs w:val="24"/>
        </w:rPr>
        <w:t>Implementation Science</w:t>
      </w:r>
      <w:r w:rsidRPr="00103A0B">
        <w:rPr>
          <w:rFonts w:ascii="Arial" w:hAnsi="Arial" w:cs="Arial"/>
          <w:noProof/>
          <w:sz w:val="24"/>
          <w:szCs w:val="24"/>
        </w:rPr>
        <w:t xml:space="preserve">, </w:t>
      </w:r>
      <w:r w:rsidRPr="00103A0B">
        <w:rPr>
          <w:rFonts w:ascii="Arial" w:hAnsi="Arial" w:cs="Arial"/>
          <w:i/>
          <w:iCs/>
          <w:noProof/>
          <w:sz w:val="24"/>
          <w:szCs w:val="24"/>
        </w:rPr>
        <w:t>13</w:t>
      </w:r>
      <w:r w:rsidRPr="00103A0B">
        <w:rPr>
          <w:rFonts w:ascii="Arial" w:hAnsi="Arial" w:cs="Arial"/>
          <w:noProof/>
          <w:sz w:val="24"/>
          <w:szCs w:val="24"/>
        </w:rPr>
        <w:t>(97), 1–14.</w:t>
      </w:r>
    </w:p>
    <w:p w14:paraId="2C3CB0B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Azzi, J. L., Azzi, S., Lavigne-robichaud, M., Vermeer, A., Barresi, T., Blaine, S. &amp; Giroux, I. (2020). Participant evaluation of a prediabetes intervention program designed for rural adults. </w:t>
      </w:r>
      <w:r w:rsidRPr="00103A0B">
        <w:rPr>
          <w:rFonts w:ascii="Arial" w:hAnsi="Arial" w:cs="Arial"/>
          <w:i/>
          <w:iCs/>
          <w:noProof/>
          <w:sz w:val="24"/>
          <w:szCs w:val="24"/>
        </w:rPr>
        <w:t>Canadian Journal of Dietetic Practice and Research</w:t>
      </w:r>
      <w:r w:rsidRPr="00103A0B">
        <w:rPr>
          <w:rFonts w:ascii="Arial" w:hAnsi="Arial" w:cs="Arial"/>
          <w:noProof/>
          <w:sz w:val="24"/>
          <w:szCs w:val="24"/>
        </w:rPr>
        <w:t xml:space="preserve">, </w:t>
      </w:r>
      <w:r w:rsidRPr="00103A0B">
        <w:rPr>
          <w:rFonts w:ascii="Arial" w:hAnsi="Arial" w:cs="Arial"/>
          <w:i/>
          <w:iCs/>
          <w:noProof/>
          <w:sz w:val="24"/>
          <w:szCs w:val="24"/>
        </w:rPr>
        <w:t>81</w:t>
      </w:r>
      <w:r w:rsidRPr="00103A0B">
        <w:rPr>
          <w:rFonts w:ascii="Arial" w:hAnsi="Arial" w:cs="Arial"/>
          <w:noProof/>
          <w:sz w:val="24"/>
          <w:szCs w:val="24"/>
        </w:rPr>
        <w:t>, 80–85. https://doi.org/10.3148/cjdpr-2019-033</w:t>
      </w:r>
    </w:p>
    <w:p w14:paraId="2F54DF2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Baker, M. K., Simpson, K., Lloyd, B., Bauman, A. E. &amp; Fiatarone, M. A. (2011). Behavioral strategies in diabetes prevention programs : a systematic review of randomized controlled trials. </w:t>
      </w:r>
      <w:r w:rsidRPr="00103A0B">
        <w:rPr>
          <w:rFonts w:ascii="Arial" w:hAnsi="Arial" w:cs="Arial"/>
          <w:i/>
          <w:iCs/>
          <w:noProof/>
          <w:sz w:val="24"/>
          <w:szCs w:val="24"/>
        </w:rPr>
        <w:t>Diabetes Research &amp; Clinical Practice</w:t>
      </w:r>
      <w:r w:rsidRPr="00103A0B">
        <w:rPr>
          <w:rFonts w:ascii="Arial" w:hAnsi="Arial" w:cs="Arial"/>
          <w:noProof/>
          <w:sz w:val="24"/>
          <w:szCs w:val="24"/>
        </w:rPr>
        <w:t xml:space="preserve">, </w:t>
      </w:r>
      <w:r w:rsidRPr="00103A0B">
        <w:rPr>
          <w:rFonts w:ascii="Arial" w:hAnsi="Arial" w:cs="Arial"/>
          <w:i/>
          <w:iCs/>
          <w:noProof/>
          <w:sz w:val="24"/>
          <w:szCs w:val="24"/>
        </w:rPr>
        <w:t>91</w:t>
      </w:r>
      <w:r w:rsidRPr="00103A0B">
        <w:rPr>
          <w:rFonts w:ascii="Arial" w:hAnsi="Arial" w:cs="Arial"/>
          <w:noProof/>
          <w:sz w:val="24"/>
          <w:szCs w:val="24"/>
        </w:rPr>
        <w:t>, 1–12. https://doi.org/10.1016/j.diabres.2010.06.030</w:t>
      </w:r>
    </w:p>
    <w:p w14:paraId="6600F61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Bandura, A. (1977). Self-efficacy: toward a unifying theory of behavioral change. </w:t>
      </w:r>
      <w:r w:rsidRPr="00103A0B">
        <w:rPr>
          <w:rFonts w:ascii="Arial" w:hAnsi="Arial" w:cs="Arial"/>
          <w:i/>
          <w:iCs/>
          <w:noProof/>
          <w:sz w:val="24"/>
          <w:szCs w:val="24"/>
        </w:rPr>
        <w:t>Psychological Review</w:t>
      </w:r>
      <w:r w:rsidRPr="00103A0B">
        <w:rPr>
          <w:rFonts w:ascii="Arial" w:hAnsi="Arial" w:cs="Arial"/>
          <w:noProof/>
          <w:sz w:val="24"/>
          <w:szCs w:val="24"/>
        </w:rPr>
        <w:t xml:space="preserve">, </w:t>
      </w:r>
      <w:r w:rsidRPr="00103A0B">
        <w:rPr>
          <w:rFonts w:ascii="Arial" w:hAnsi="Arial" w:cs="Arial"/>
          <w:i/>
          <w:iCs/>
          <w:noProof/>
          <w:sz w:val="24"/>
          <w:szCs w:val="24"/>
        </w:rPr>
        <w:t>84</w:t>
      </w:r>
      <w:r w:rsidRPr="00103A0B">
        <w:rPr>
          <w:rFonts w:ascii="Arial" w:hAnsi="Arial" w:cs="Arial"/>
          <w:noProof/>
          <w:sz w:val="24"/>
          <w:szCs w:val="24"/>
        </w:rPr>
        <w:t>(2), 191–215.</w:t>
      </w:r>
    </w:p>
    <w:p w14:paraId="4DEDA8E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Bandura, A. (1982). Self-efficacy mechanism in human agency. </w:t>
      </w:r>
      <w:r w:rsidRPr="00103A0B">
        <w:rPr>
          <w:rFonts w:ascii="Arial" w:hAnsi="Arial" w:cs="Arial"/>
          <w:i/>
          <w:iCs/>
          <w:noProof/>
          <w:sz w:val="24"/>
          <w:szCs w:val="24"/>
        </w:rPr>
        <w:t>American Psychologist</w:t>
      </w:r>
      <w:r w:rsidRPr="00103A0B">
        <w:rPr>
          <w:rFonts w:ascii="Arial" w:hAnsi="Arial" w:cs="Arial"/>
          <w:noProof/>
          <w:sz w:val="24"/>
          <w:szCs w:val="24"/>
        </w:rPr>
        <w:t xml:space="preserve">, </w:t>
      </w:r>
      <w:r w:rsidRPr="00103A0B">
        <w:rPr>
          <w:rFonts w:ascii="Arial" w:hAnsi="Arial" w:cs="Arial"/>
          <w:i/>
          <w:iCs/>
          <w:noProof/>
          <w:sz w:val="24"/>
          <w:szCs w:val="24"/>
        </w:rPr>
        <w:t>37</w:t>
      </w:r>
      <w:r w:rsidRPr="00103A0B">
        <w:rPr>
          <w:rFonts w:ascii="Arial" w:hAnsi="Arial" w:cs="Arial"/>
          <w:noProof/>
          <w:sz w:val="24"/>
          <w:szCs w:val="24"/>
        </w:rPr>
        <w:t>(2), 122–147.</w:t>
      </w:r>
    </w:p>
    <w:p w14:paraId="3176340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Barron, E., Clark, R., Hewings, R., Smith, J. &amp; Valabhji, J. (2018). Progress of the healthier you: NHS diabetes prevention programme: referrals, uptake and participant characteristics. </w:t>
      </w:r>
      <w:r w:rsidRPr="00103A0B">
        <w:rPr>
          <w:rFonts w:ascii="Arial" w:hAnsi="Arial" w:cs="Arial"/>
          <w:i/>
          <w:iCs/>
          <w:noProof/>
          <w:sz w:val="24"/>
          <w:szCs w:val="24"/>
        </w:rPr>
        <w:t>Diabetic Medicine</w:t>
      </w:r>
      <w:r w:rsidRPr="00103A0B">
        <w:rPr>
          <w:rFonts w:ascii="Arial" w:hAnsi="Arial" w:cs="Arial"/>
          <w:noProof/>
          <w:sz w:val="24"/>
          <w:szCs w:val="24"/>
        </w:rPr>
        <w:t xml:space="preserve">, </w:t>
      </w:r>
      <w:r w:rsidRPr="00103A0B">
        <w:rPr>
          <w:rFonts w:ascii="Arial" w:hAnsi="Arial" w:cs="Arial"/>
          <w:i/>
          <w:iCs/>
          <w:noProof/>
          <w:sz w:val="24"/>
          <w:szCs w:val="24"/>
        </w:rPr>
        <w:t>35</w:t>
      </w:r>
      <w:r w:rsidRPr="00103A0B">
        <w:rPr>
          <w:rFonts w:ascii="Arial" w:hAnsi="Arial" w:cs="Arial"/>
          <w:noProof/>
          <w:sz w:val="24"/>
          <w:szCs w:val="24"/>
        </w:rPr>
        <w:t>, 513–518. https://doi.org/10.1111/dme.13562</w:t>
      </w:r>
    </w:p>
    <w:p w14:paraId="1EB70FF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Barry, E., Greenhalgh, T. &amp; Fahy, N. (2018). How are health-related behaviours influenced by a diagnosis of pre-diabetes? a meta-narrative review. </w:t>
      </w:r>
      <w:r w:rsidRPr="00103A0B">
        <w:rPr>
          <w:rFonts w:ascii="Arial" w:hAnsi="Arial" w:cs="Arial"/>
          <w:i/>
          <w:iCs/>
          <w:noProof/>
          <w:sz w:val="24"/>
          <w:szCs w:val="24"/>
        </w:rPr>
        <w:t>BMC Medicine</w:t>
      </w:r>
      <w:r w:rsidRPr="00103A0B">
        <w:rPr>
          <w:rFonts w:ascii="Arial" w:hAnsi="Arial" w:cs="Arial"/>
          <w:noProof/>
          <w:sz w:val="24"/>
          <w:szCs w:val="24"/>
        </w:rPr>
        <w:t xml:space="preserve">, </w:t>
      </w:r>
      <w:r w:rsidRPr="00103A0B">
        <w:rPr>
          <w:rFonts w:ascii="Arial" w:hAnsi="Arial" w:cs="Arial"/>
          <w:i/>
          <w:iCs/>
          <w:noProof/>
          <w:sz w:val="24"/>
          <w:szCs w:val="24"/>
        </w:rPr>
        <w:t>16</w:t>
      </w:r>
      <w:r w:rsidRPr="00103A0B">
        <w:rPr>
          <w:rFonts w:ascii="Arial" w:hAnsi="Arial" w:cs="Arial"/>
          <w:noProof/>
          <w:sz w:val="24"/>
          <w:szCs w:val="24"/>
        </w:rPr>
        <w:t>, 121. https://doi.org/10.1186/s12916-018-1107-6</w:t>
      </w:r>
    </w:p>
    <w:p w14:paraId="6FED4B2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Barter-Godfrey, S., Taket, A. &amp; Rowlands, G. (2007). Evaluating a community lifestyle intervention: adherence and the role of perceived support. </w:t>
      </w:r>
      <w:r w:rsidRPr="00103A0B">
        <w:rPr>
          <w:rFonts w:ascii="Arial" w:hAnsi="Arial" w:cs="Arial"/>
          <w:i/>
          <w:iCs/>
          <w:noProof/>
          <w:sz w:val="24"/>
          <w:szCs w:val="24"/>
        </w:rPr>
        <w:t>Primary Healthcare Research and Development</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 345–354. https://doi.org/10.1017/S1463423607000333</w:t>
      </w:r>
    </w:p>
    <w:p w14:paraId="7D68123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Begum, S., Gidlow, C., Povey, R., Chadwick, P. &amp; Ellis, N. (2021). The effects of illness perceptions, self-efficacy and mental wellbeing scores on uptake and completion of a diabetes prevention programme in England. </w:t>
      </w:r>
      <w:r w:rsidRPr="00103A0B">
        <w:rPr>
          <w:rFonts w:ascii="Arial" w:hAnsi="Arial" w:cs="Arial"/>
          <w:i/>
          <w:iCs/>
          <w:noProof/>
          <w:sz w:val="24"/>
          <w:szCs w:val="24"/>
        </w:rPr>
        <w:t>Diabetic Medicine- Clinical Care and Other Categories Posters: Education and Self-Management</w:t>
      </w:r>
      <w:r w:rsidRPr="00103A0B">
        <w:rPr>
          <w:rFonts w:ascii="Arial" w:hAnsi="Arial" w:cs="Arial"/>
          <w:noProof/>
          <w:sz w:val="24"/>
          <w:szCs w:val="24"/>
        </w:rPr>
        <w:t>, 53–64.</w:t>
      </w:r>
    </w:p>
    <w:p w14:paraId="1C90CC0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Begum, S., Povey, R., Ellis, N. &amp; Gidlow, C. (2020). A systematic review of recruitment strategies and behaviour change techniques in group-based diabetes prevention programmes focusing on uptake and retention. </w:t>
      </w:r>
      <w:r w:rsidRPr="00103A0B">
        <w:rPr>
          <w:rFonts w:ascii="Arial" w:hAnsi="Arial" w:cs="Arial"/>
          <w:i/>
          <w:iCs/>
          <w:noProof/>
          <w:sz w:val="24"/>
          <w:szCs w:val="24"/>
        </w:rPr>
        <w:t>Diabetes Research and Clinical Practice</w:t>
      </w:r>
      <w:r w:rsidRPr="00103A0B">
        <w:rPr>
          <w:rFonts w:ascii="Arial" w:hAnsi="Arial" w:cs="Arial"/>
          <w:noProof/>
          <w:sz w:val="24"/>
          <w:szCs w:val="24"/>
        </w:rPr>
        <w:t xml:space="preserve">, </w:t>
      </w:r>
      <w:r w:rsidRPr="00103A0B">
        <w:rPr>
          <w:rFonts w:ascii="Arial" w:hAnsi="Arial" w:cs="Arial"/>
          <w:i/>
          <w:iCs/>
          <w:noProof/>
          <w:sz w:val="24"/>
          <w:szCs w:val="24"/>
        </w:rPr>
        <w:t>166</w:t>
      </w:r>
      <w:r w:rsidRPr="00103A0B">
        <w:rPr>
          <w:rFonts w:ascii="Arial" w:hAnsi="Arial" w:cs="Arial"/>
          <w:noProof/>
          <w:sz w:val="24"/>
          <w:szCs w:val="24"/>
        </w:rPr>
        <w:t>, 108273.</w:t>
      </w:r>
    </w:p>
    <w:p w14:paraId="79F04451" w14:textId="38DCCE5C"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Begum, S</w:t>
      </w:r>
      <w:r w:rsidR="00B83665" w:rsidRPr="00103A0B">
        <w:rPr>
          <w:rFonts w:ascii="Arial" w:hAnsi="Arial" w:cs="Arial"/>
          <w:noProof/>
          <w:sz w:val="24"/>
          <w:szCs w:val="24"/>
        </w:rPr>
        <w:t>.</w:t>
      </w:r>
      <w:r w:rsidRPr="00103A0B">
        <w:rPr>
          <w:rFonts w:ascii="Arial" w:hAnsi="Arial" w:cs="Arial"/>
          <w:noProof/>
          <w:sz w:val="24"/>
          <w:szCs w:val="24"/>
        </w:rPr>
        <w:t xml:space="preserve">, Povey, R., Ellis, N., Gidlow, C. &amp; Chadwick, P. (2022). Influences of decisions to attend a national diabetes prevention programme from people living in a socioeconomically deprived area. </w:t>
      </w:r>
      <w:r w:rsidRPr="00103A0B">
        <w:rPr>
          <w:rFonts w:ascii="Arial" w:hAnsi="Arial" w:cs="Arial"/>
          <w:i/>
          <w:iCs/>
          <w:noProof/>
          <w:sz w:val="24"/>
          <w:szCs w:val="24"/>
        </w:rPr>
        <w:t>Diabetic Medicine</w:t>
      </w:r>
      <w:r w:rsidRPr="00103A0B">
        <w:rPr>
          <w:rFonts w:ascii="Arial" w:hAnsi="Arial" w:cs="Arial"/>
          <w:noProof/>
          <w:sz w:val="24"/>
          <w:szCs w:val="24"/>
        </w:rPr>
        <w:t xml:space="preserve">, </w:t>
      </w:r>
      <w:r w:rsidRPr="00103A0B">
        <w:rPr>
          <w:rFonts w:ascii="Arial" w:hAnsi="Arial" w:cs="Arial"/>
          <w:i/>
          <w:iCs/>
          <w:noProof/>
          <w:sz w:val="24"/>
          <w:szCs w:val="24"/>
        </w:rPr>
        <w:t>39</w:t>
      </w:r>
      <w:r w:rsidRPr="00103A0B">
        <w:rPr>
          <w:rFonts w:ascii="Arial" w:hAnsi="Arial" w:cs="Arial"/>
          <w:noProof/>
          <w:sz w:val="24"/>
          <w:szCs w:val="24"/>
        </w:rPr>
        <w:t>(7), 1–9. https://doi.org/10.1111/dme.14804</w:t>
      </w:r>
    </w:p>
    <w:p w14:paraId="1179C97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Bennett, D. A. (2001). How can I deal with missing data in my study? </w:t>
      </w:r>
      <w:r w:rsidRPr="00103A0B">
        <w:rPr>
          <w:rFonts w:ascii="Arial" w:hAnsi="Arial" w:cs="Arial"/>
          <w:i/>
          <w:iCs/>
          <w:noProof/>
          <w:sz w:val="24"/>
          <w:szCs w:val="24"/>
        </w:rPr>
        <w:t>Australian and New Zealand Journal of Public Health</w:t>
      </w:r>
      <w:r w:rsidRPr="00103A0B">
        <w:rPr>
          <w:rFonts w:ascii="Arial" w:hAnsi="Arial" w:cs="Arial"/>
          <w:noProof/>
          <w:sz w:val="24"/>
          <w:szCs w:val="24"/>
        </w:rPr>
        <w:t xml:space="preserve">, </w:t>
      </w:r>
      <w:r w:rsidRPr="00103A0B">
        <w:rPr>
          <w:rFonts w:ascii="Arial" w:hAnsi="Arial" w:cs="Arial"/>
          <w:i/>
          <w:iCs/>
          <w:noProof/>
          <w:sz w:val="24"/>
          <w:szCs w:val="24"/>
        </w:rPr>
        <w:t>25</w:t>
      </w:r>
      <w:r w:rsidRPr="00103A0B">
        <w:rPr>
          <w:rFonts w:ascii="Arial" w:hAnsi="Arial" w:cs="Arial"/>
          <w:noProof/>
          <w:sz w:val="24"/>
          <w:szCs w:val="24"/>
        </w:rPr>
        <w:t>(5), 464–469.</w:t>
      </w:r>
    </w:p>
    <w:p w14:paraId="0832C5C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Bernier, M. &amp; Avard, J. (1986). Self-efficacy, outcome, and attrition in weight-reduction program. </w:t>
      </w:r>
      <w:r w:rsidRPr="00103A0B">
        <w:rPr>
          <w:rFonts w:ascii="Arial" w:hAnsi="Arial" w:cs="Arial"/>
          <w:i/>
          <w:iCs/>
          <w:noProof/>
          <w:sz w:val="24"/>
          <w:szCs w:val="24"/>
        </w:rPr>
        <w:t>Cognitive Therapy and Research</w:t>
      </w:r>
      <w:r w:rsidRPr="00103A0B">
        <w:rPr>
          <w:rFonts w:ascii="Arial" w:hAnsi="Arial" w:cs="Arial"/>
          <w:noProof/>
          <w:sz w:val="24"/>
          <w:szCs w:val="24"/>
        </w:rPr>
        <w:t xml:space="preserve">, </w:t>
      </w:r>
      <w:r w:rsidRPr="00103A0B">
        <w:rPr>
          <w:rFonts w:ascii="Arial" w:hAnsi="Arial" w:cs="Arial"/>
          <w:i/>
          <w:iCs/>
          <w:noProof/>
          <w:sz w:val="24"/>
          <w:szCs w:val="24"/>
        </w:rPr>
        <w:t>10</w:t>
      </w:r>
      <w:r w:rsidRPr="00103A0B">
        <w:rPr>
          <w:rFonts w:ascii="Arial" w:hAnsi="Arial" w:cs="Arial"/>
          <w:noProof/>
          <w:sz w:val="24"/>
          <w:szCs w:val="24"/>
        </w:rPr>
        <w:t>(3), 319–338.</w:t>
      </w:r>
    </w:p>
    <w:p w14:paraId="1ED949B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Bernstein, A.M., Gendy, G., Rudd, N., Doyle, J., Fay, S., Moffett, K.,  et al. (2014). Management of prediabetes through lifestyle modification in overweight and obese African-American women: the fitness, relaxation and eating to stay health (FRESH) randomized controlled trial. </w:t>
      </w:r>
      <w:r w:rsidRPr="00103A0B">
        <w:rPr>
          <w:rFonts w:ascii="Arial" w:hAnsi="Arial" w:cs="Arial"/>
          <w:i/>
          <w:iCs/>
          <w:noProof/>
          <w:sz w:val="24"/>
          <w:szCs w:val="24"/>
        </w:rPr>
        <w:t>Public Health</w:t>
      </w:r>
      <w:r w:rsidRPr="00103A0B">
        <w:rPr>
          <w:rFonts w:ascii="Arial" w:hAnsi="Arial" w:cs="Arial"/>
          <w:noProof/>
          <w:sz w:val="24"/>
          <w:szCs w:val="24"/>
        </w:rPr>
        <w:t xml:space="preserve">, </w:t>
      </w:r>
      <w:r w:rsidRPr="00103A0B">
        <w:rPr>
          <w:rFonts w:ascii="Arial" w:hAnsi="Arial" w:cs="Arial"/>
          <w:i/>
          <w:iCs/>
          <w:noProof/>
          <w:sz w:val="24"/>
          <w:szCs w:val="24"/>
        </w:rPr>
        <w:t>128</w:t>
      </w:r>
      <w:r w:rsidRPr="00103A0B">
        <w:rPr>
          <w:rFonts w:ascii="Arial" w:hAnsi="Arial" w:cs="Arial"/>
          <w:noProof/>
          <w:sz w:val="24"/>
          <w:szCs w:val="24"/>
        </w:rPr>
        <w:t>, 674–677. https://doi.org/10.1016/j.puhe.2014.11.001</w:t>
      </w:r>
    </w:p>
    <w:p w14:paraId="10ECD73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Block, G., Azar, K. M. J., Romanelli, R. J., Block, T. J., Palaniappan, L. P., Dolginsky, M. &amp; Block, C. H. (2016). Improving diet, activity and wellness in adults at risk of diabetes: randomized controlled trial. </w:t>
      </w:r>
      <w:r w:rsidRPr="00103A0B">
        <w:rPr>
          <w:rFonts w:ascii="Arial" w:hAnsi="Arial" w:cs="Arial"/>
          <w:i/>
          <w:iCs/>
          <w:noProof/>
          <w:sz w:val="24"/>
          <w:szCs w:val="24"/>
        </w:rPr>
        <w:t>Nutrition and Diabetes</w:t>
      </w:r>
      <w:r w:rsidRPr="00103A0B">
        <w:rPr>
          <w:rFonts w:ascii="Arial" w:hAnsi="Arial" w:cs="Arial"/>
          <w:noProof/>
          <w:sz w:val="24"/>
          <w:szCs w:val="24"/>
        </w:rPr>
        <w:t xml:space="preserve">, </w:t>
      </w:r>
      <w:r w:rsidRPr="00103A0B">
        <w:rPr>
          <w:rFonts w:ascii="Arial" w:hAnsi="Arial" w:cs="Arial"/>
          <w:i/>
          <w:iCs/>
          <w:noProof/>
          <w:sz w:val="24"/>
          <w:szCs w:val="24"/>
        </w:rPr>
        <w:t>6</w:t>
      </w:r>
      <w:r w:rsidRPr="00103A0B">
        <w:rPr>
          <w:rFonts w:ascii="Arial" w:hAnsi="Arial" w:cs="Arial"/>
          <w:noProof/>
          <w:sz w:val="24"/>
          <w:szCs w:val="24"/>
        </w:rPr>
        <w:t>, e231. https://doi.org/10.1038/nutd.2016.42</w:t>
      </w:r>
    </w:p>
    <w:p w14:paraId="6908BFC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Bloom, D. E., Cafiero, E. T., Jane-Llopis, E., Abrahams-Gessel, S., Bloom, L. R., Fathima, S., Feigl, A. B., Gaziano, T., Mowafi, M., Pandya, A., Prettner, K., Rosenbert, L., Seligman, B., Stein, A. Z. &amp; Weinstien, C. (2011). The global economic burden of non-communicable diseases. In </w:t>
      </w:r>
      <w:r w:rsidRPr="00103A0B">
        <w:rPr>
          <w:rFonts w:ascii="Arial" w:hAnsi="Arial" w:cs="Arial"/>
          <w:i/>
          <w:iCs/>
          <w:noProof/>
          <w:sz w:val="24"/>
          <w:szCs w:val="24"/>
        </w:rPr>
        <w:t>Harvard School of Public Health and World Economic Forum</w:t>
      </w:r>
      <w:r w:rsidRPr="00103A0B">
        <w:rPr>
          <w:rFonts w:ascii="Arial" w:hAnsi="Arial" w:cs="Arial"/>
          <w:noProof/>
          <w:sz w:val="24"/>
          <w:szCs w:val="24"/>
        </w:rPr>
        <w:t>. http://www3.weforum.org/docs/WEF_Harvard_HE_GlobalEconomicBurdenNon</w:t>
      </w:r>
      <w:r w:rsidRPr="00103A0B">
        <w:rPr>
          <w:rFonts w:ascii="Arial" w:hAnsi="Arial" w:cs="Arial"/>
          <w:noProof/>
          <w:sz w:val="24"/>
          <w:szCs w:val="24"/>
        </w:rPr>
        <w:lastRenderedPageBreak/>
        <w:t>CommunicableDiseases_2011.pdf</w:t>
      </w:r>
    </w:p>
    <w:p w14:paraId="0FB31A7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Boltri, J. M., Davis-Smith, M., Okosun, I. S., Seale, J. P. &amp; Foster, B. (2011). Translation of the national institutes of health diabetes prevention program in African American churches. </w:t>
      </w:r>
      <w:r w:rsidRPr="00103A0B">
        <w:rPr>
          <w:rFonts w:ascii="Arial" w:hAnsi="Arial" w:cs="Arial"/>
          <w:i/>
          <w:iCs/>
          <w:noProof/>
          <w:sz w:val="24"/>
          <w:szCs w:val="24"/>
        </w:rPr>
        <w:t>Journal of the National Medical Association</w:t>
      </w:r>
      <w:r w:rsidRPr="00103A0B">
        <w:rPr>
          <w:rFonts w:ascii="Arial" w:hAnsi="Arial" w:cs="Arial"/>
          <w:noProof/>
          <w:sz w:val="24"/>
          <w:szCs w:val="24"/>
        </w:rPr>
        <w:t xml:space="preserve">, </w:t>
      </w:r>
      <w:r w:rsidRPr="00103A0B">
        <w:rPr>
          <w:rFonts w:ascii="Arial" w:hAnsi="Arial" w:cs="Arial"/>
          <w:i/>
          <w:iCs/>
          <w:noProof/>
          <w:sz w:val="24"/>
          <w:szCs w:val="24"/>
        </w:rPr>
        <w:t>103</w:t>
      </w:r>
      <w:r w:rsidRPr="00103A0B">
        <w:rPr>
          <w:rFonts w:ascii="Arial" w:hAnsi="Arial" w:cs="Arial"/>
          <w:noProof/>
          <w:sz w:val="24"/>
          <w:szCs w:val="24"/>
        </w:rPr>
        <w:t>(3), 194–202.</w:t>
      </w:r>
    </w:p>
    <w:p w14:paraId="650B8F9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Bommer, C., Sagalova, V., Heesemann, E., Manne-goehler, J., Atun, R., Barnighausen, T., Davies, J. &amp; Vollmer, S. (2018). Global economic burden of diabetes in adults: projections from 2015 to 2030.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41</w:t>
      </w:r>
      <w:r w:rsidRPr="00103A0B">
        <w:rPr>
          <w:rFonts w:ascii="Arial" w:hAnsi="Arial" w:cs="Arial"/>
          <w:noProof/>
          <w:sz w:val="24"/>
          <w:szCs w:val="24"/>
        </w:rPr>
        <w:t>(5), 963–970. https://doi.org/10.2337/dc17-1962/-/DC1.S.V.</w:t>
      </w:r>
    </w:p>
    <w:p w14:paraId="0790627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Borek, A. J., Abraham, C., Greaves, C. J. &amp; Tarrant, M. (2018). Group-based diet and physical activity weight-loss interventions: a systematic review and meta-analysis of randomised controlled trials. </w:t>
      </w:r>
      <w:r w:rsidRPr="00103A0B">
        <w:rPr>
          <w:rFonts w:ascii="Arial" w:hAnsi="Arial" w:cs="Arial"/>
          <w:i/>
          <w:iCs/>
          <w:noProof/>
          <w:sz w:val="24"/>
          <w:szCs w:val="24"/>
        </w:rPr>
        <w:t>Applied Psychology: Health and Well-Being</w:t>
      </w:r>
      <w:r w:rsidRPr="00103A0B">
        <w:rPr>
          <w:rFonts w:ascii="Arial" w:hAnsi="Arial" w:cs="Arial"/>
          <w:noProof/>
          <w:sz w:val="24"/>
          <w:szCs w:val="24"/>
        </w:rPr>
        <w:t xml:space="preserve">, </w:t>
      </w:r>
      <w:r w:rsidRPr="00103A0B">
        <w:rPr>
          <w:rFonts w:ascii="Arial" w:hAnsi="Arial" w:cs="Arial"/>
          <w:i/>
          <w:iCs/>
          <w:noProof/>
          <w:sz w:val="24"/>
          <w:szCs w:val="24"/>
        </w:rPr>
        <w:t>10</w:t>
      </w:r>
      <w:r w:rsidRPr="00103A0B">
        <w:rPr>
          <w:rFonts w:ascii="Arial" w:hAnsi="Arial" w:cs="Arial"/>
          <w:noProof/>
          <w:sz w:val="24"/>
          <w:szCs w:val="24"/>
        </w:rPr>
        <w:t>(1), 62–86. https://doi.org/10.1111/aphw.12121</w:t>
      </w:r>
    </w:p>
    <w:p w14:paraId="491DEAB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Borek, A. J., Abraham, C., Greaves, C. J., Tarrant, M., Garner, N. &amp; Pascale, M. (2019). ‘ We ’re all in the same boat ’: a qualitative study on how groups work in a diabetes prevention and management programme. </w:t>
      </w:r>
      <w:r w:rsidRPr="00103A0B">
        <w:rPr>
          <w:rFonts w:ascii="Arial" w:hAnsi="Arial" w:cs="Arial"/>
          <w:i/>
          <w:iCs/>
          <w:noProof/>
          <w:sz w:val="24"/>
          <w:szCs w:val="24"/>
        </w:rPr>
        <w:t>British Journal of Health Psychology</w:t>
      </w:r>
      <w:r w:rsidRPr="00103A0B">
        <w:rPr>
          <w:rFonts w:ascii="Arial" w:hAnsi="Arial" w:cs="Arial"/>
          <w:noProof/>
          <w:sz w:val="24"/>
          <w:szCs w:val="24"/>
        </w:rPr>
        <w:t xml:space="preserve">, </w:t>
      </w:r>
      <w:r w:rsidRPr="00103A0B">
        <w:rPr>
          <w:rFonts w:ascii="Arial" w:hAnsi="Arial" w:cs="Arial"/>
          <w:i/>
          <w:iCs/>
          <w:noProof/>
          <w:sz w:val="24"/>
          <w:szCs w:val="24"/>
        </w:rPr>
        <w:t>24</w:t>
      </w:r>
      <w:r w:rsidRPr="00103A0B">
        <w:rPr>
          <w:rFonts w:ascii="Arial" w:hAnsi="Arial" w:cs="Arial"/>
          <w:noProof/>
          <w:sz w:val="24"/>
          <w:szCs w:val="24"/>
        </w:rPr>
        <w:t>, 787–805. https://doi.org/10.1111/bjhp.1</w:t>
      </w:r>
    </w:p>
    <w:p w14:paraId="1BC30C0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Bowling, A. (2014). </w:t>
      </w:r>
      <w:r w:rsidRPr="00103A0B">
        <w:rPr>
          <w:rFonts w:ascii="Arial" w:hAnsi="Arial" w:cs="Arial"/>
          <w:i/>
          <w:iCs/>
          <w:noProof/>
          <w:sz w:val="24"/>
          <w:szCs w:val="24"/>
        </w:rPr>
        <w:t>Research methods in health: investigating health and health services</w:t>
      </w:r>
      <w:r w:rsidRPr="00103A0B">
        <w:rPr>
          <w:rFonts w:ascii="Arial" w:hAnsi="Arial" w:cs="Arial"/>
          <w:noProof/>
          <w:sz w:val="24"/>
          <w:szCs w:val="24"/>
        </w:rPr>
        <w:t xml:space="preserve"> (4th ed.). Open University Press. https://r3.vlereader.com/Reader?ean=9780335262755</w:t>
      </w:r>
    </w:p>
    <w:p w14:paraId="24B171A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Bozack, A., Millstein, S., Garcel, J. M., Kelly, K., Ruberto, R. &amp; Weiss, L. (2014). Implementation and outcomes of the New York state YMCA diabetes prevention program: A multisite community-based translation, 2010-2012. </w:t>
      </w:r>
      <w:r w:rsidRPr="00103A0B">
        <w:rPr>
          <w:rFonts w:ascii="Arial" w:hAnsi="Arial" w:cs="Arial"/>
          <w:i/>
          <w:iCs/>
          <w:noProof/>
          <w:sz w:val="24"/>
          <w:szCs w:val="24"/>
        </w:rPr>
        <w:t>Preventing Chronic Disease</w:t>
      </w:r>
      <w:r w:rsidRPr="00103A0B">
        <w:rPr>
          <w:rFonts w:ascii="Arial" w:hAnsi="Arial" w:cs="Arial"/>
          <w:noProof/>
          <w:sz w:val="24"/>
          <w:szCs w:val="24"/>
        </w:rPr>
        <w:t xml:space="preserve">, </w:t>
      </w:r>
      <w:r w:rsidRPr="00103A0B">
        <w:rPr>
          <w:rFonts w:ascii="Arial" w:hAnsi="Arial" w:cs="Arial"/>
          <w:i/>
          <w:iCs/>
          <w:noProof/>
          <w:sz w:val="24"/>
          <w:szCs w:val="24"/>
        </w:rPr>
        <w:t>11</w:t>
      </w:r>
      <w:r w:rsidRPr="00103A0B">
        <w:rPr>
          <w:rFonts w:ascii="Arial" w:hAnsi="Arial" w:cs="Arial"/>
          <w:noProof/>
          <w:sz w:val="24"/>
          <w:szCs w:val="24"/>
        </w:rPr>
        <w:t>, 140006.</w:t>
      </w:r>
    </w:p>
    <w:p w14:paraId="466249A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Braun, V. &amp; Clarke, V. (2013). </w:t>
      </w:r>
      <w:r w:rsidRPr="00103A0B">
        <w:rPr>
          <w:rFonts w:ascii="Arial" w:hAnsi="Arial" w:cs="Arial"/>
          <w:i/>
          <w:iCs/>
          <w:noProof/>
          <w:sz w:val="24"/>
          <w:szCs w:val="24"/>
        </w:rPr>
        <w:t>Successful qualitative research: a practical guide for beginners</w:t>
      </w:r>
      <w:r w:rsidRPr="00103A0B">
        <w:rPr>
          <w:rFonts w:ascii="Arial" w:hAnsi="Arial" w:cs="Arial"/>
          <w:noProof/>
          <w:sz w:val="24"/>
          <w:szCs w:val="24"/>
        </w:rPr>
        <w:t>. SAGE Publications Ltd.</w:t>
      </w:r>
    </w:p>
    <w:p w14:paraId="43B106D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Braun, V. &amp; Clarke, V. (2019). Anwsers to frequently asked questions about thematic analysis. In </w:t>
      </w:r>
      <w:r w:rsidRPr="00103A0B">
        <w:rPr>
          <w:rFonts w:ascii="Arial" w:hAnsi="Arial" w:cs="Arial"/>
          <w:i/>
          <w:iCs/>
          <w:noProof/>
          <w:sz w:val="24"/>
          <w:szCs w:val="24"/>
        </w:rPr>
        <w:t>The University of Auckland</w:t>
      </w:r>
      <w:r w:rsidRPr="00103A0B">
        <w:rPr>
          <w:rFonts w:ascii="Arial" w:hAnsi="Arial" w:cs="Arial"/>
          <w:noProof/>
          <w:sz w:val="24"/>
          <w:szCs w:val="24"/>
        </w:rPr>
        <w:t>. https://doi.org/10.2307/3681362</w:t>
      </w:r>
    </w:p>
    <w:p w14:paraId="795FC77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Braun, V. &amp; Clarke, V. (2006). Using thematic analysis in psychology. </w:t>
      </w:r>
      <w:r w:rsidRPr="00103A0B">
        <w:rPr>
          <w:rFonts w:ascii="Arial" w:hAnsi="Arial" w:cs="Arial"/>
          <w:i/>
          <w:iCs/>
          <w:noProof/>
          <w:sz w:val="24"/>
          <w:szCs w:val="24"/>
        </w:rPr>
        <w:t>Qualitative Research in Psychology</w:t>
      </w:r>
      <w:r w:rsidRPr="00103A0B">
        <w:rPr>
          <w:rFonts w:ascii="Arial" w:hAnsi="Arial" w:cs="Arial"/>
          <w:noProof/>
          <w:sz w:val="24"/>
          <w:szCs w:val="24"/>
        </w:rPr>
        <w:t xml:space="preserve">, </w:t>
      </w:r>
      <w:r w:rsidRPr="00103A0B">
        <w:rPr>
          <w:rFonts w:ascii="Arial" w:hAnsi="Arial" w:cs="Arial"/>
          <w:i/>
          <w:iCs/>
          <w:noProof/>
          <w:sz w:val="24"/>
          <w:szCs w:val="24"/>
        </w:rPr>
        <w:t>3</w:t>
      </w:r>
      <w:r w:rsidRPr="00103A0B">
        <w:rPr>
          <w:rFonts w:ascii="Arial" w:hAnsi="Arial" w:cs="Arial"/>
          <w:noProof/>
          <w:sz w:val="24"/>
          <w:szCs w:val="24"/>
        </w:rPr>
        <w:t>(2), 77–101.</w:t>
      </w:r>
    </w:p>
    <w:p w14:paraId="6A73C88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Braun, V. &amp; Clarke, V. (2012). Thematic analysis. In H. Cooper (Ed.), </w:t>
      </w:r>
      <w:r w:rsidRPr="00103A0B">
        <w:rPr>
          <w:rFonts w:ascii="Arial" w:hAnsi="Arial" w:cs="Arial"/>
          <w:i/>
          <w:iCs/>
          <w:noProof/>
          <w:sz w:val="24"/>
          <w:szCs w:val="24"/>
        </w:rPr>
        <w:t>APA handbook of research methods in psychology</w:t>
      </w:r>
      <w:r w:rsidRPr="00103A0B">
        <w:rPr>
          <w:rFonts w:ascii="Arial" w:hAnsi="Arial" w:cs="Arial"/>
          <w:noProof/>
          <w:sz w:val="24"/>
          <w:szCs w:val="24"/>
        </w:rPr>
        <w:t xml:space="preserve"> (Vol. 2, pp. 57–71). American Psychological Association. https://doi.org/10.1037/13620-004</w:t>
      </w:r>
    </w:p>
    <w:p w14:paraId="76E14BD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Braun, V. &amp; Clarke, V. (2019). Reflecting on reflexive thematic analysis. </w:t>
      </w:r>
      <w:r w:rsidRPr="00103A0B">
        <w:rPr>
          <w:rFonts w:ascii="Arial" w:hAnsi="Arial" w:cs="Arial"/>
          <w:i/>
          <w:iCs/>
          <w:noProof/>
          <w:sz w:val="24"/>
          <w:szCs w:val="24"/>
        </w:rPr>
        <w:t>Qualitative Research in Sport, Exercise and Health</w:t>
      </w:r>
      <w:r w:rsidRPr="00103A0B">
        <w:rPr>
          <w:rFonts w:ascii="Arial" w:hAnsi="Arial" w:cs="Arial"/>
          <w:noProof/>
          <w:sz w:val="24"/>
          <w:szCs w:val="24"/>
        </w:rPr>
        <w:t xml:space="preserve">, </w:t>
      </w:r>
      <w:r w:rsidRPr="00103A0B">
        <w:rPr>
          <w:rFonts w:ascii="Arial" w:hAnsi="Arial" w:cs="Arial"/>
          <w:i/>
          <w:iCs/>
          <w:noProof/>
          <w:sz w:val="24"/>
          <w:szCs w:val="24"/>
        </w:rPr>
        <w:t>11</w:t>
      </w:r>
      <w:r w:rsidRPr="00103A0B">
        <w:rPr>
          <w:rFonts w:ascii="Arial" w:hAnsi="Arial" w:cs="Arial"/>
          <w:noProof/>
          <w:sz w:val="24"/>
          <w:szCs w:val="24"/>
        </w:rPr>
        <w:t>(4), 589–597. https://doi.org/10.1080/2159676X.2019.1628806</w:t>
      </w:r>
    </w:p>
    <w:p w14:paraId="3C27850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Braun, V. &amp; Clarke, V. (2020). One size fits all? what counts as quality practice in (reflexive) thematic analysis? </w:t>
      </w:r>
      <w:r w:rsidRPr="00103A0B">
        <w:rPr>
          <w:rFonts w:ascii="Arial" w:hAnsi="Arial" w:cs="Arial"/>
          <w:i/>
          <w:iCs/>
          <w:noProof/>
          <w:sz w:val="24"/>
          <w:szCs w:val="24"/>
        </w:rPr>
        <w:t>Qualitative Research in Psychology</w:t>
      </w:r>
      <w:r w:rsidRPr="00103A0B">
        <w:rPr>
          <w:rFonts w:ascii="Arial" w:hAnsi="Arial" w:cs="Arial"/>
          <w:noProof/>
          <w:sz w:val="24"/>
          <w:szCs w:val="24"/>
        </w:rPr>
        <w:t>, 1–25. https://doi.org/10.1080/14780887.2020.1769238</w:t>
      </w:r>
    </w:p>
    <w:p w14:paraId="5326EBD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Braun, V. &amp; Clarke, V. (2021a). Can I use TA? should I use TA? should I not use TA? comparing reflexive thematic analysis and other pattern-based qualitative analytic approaches. </w:t>
      </w:r>
      <w:r w:rsidRPr="00103A0B">
        <w:rPr>
          <w:rFonts w:ascii="Arial" w:hAnsi="Arial" w:cs="Arial"/>
          <w:i/>
          <w:iCs/>
          <w:noProof/>
          <w:sz w:val="24"/>
          <w:szCs w:val="24"/>
        </w:rPr>
        <w:t>Counselling and Psychotherapy Research</w:t>
      </w:r>
      <w:r w:rsidRPr="00103A0B">
        <w:rPr>
          <w:rFonts w:ascii="Arial" w:hAnsi="Arial" w:cs="Arial"/>
          <w:noProof/>
          <w:sz w:val="24"/>
          <w:szCs w:val="24"/>
        </w:rPr>
        <w:t xml:space="preserve">, </w:t>
      </w:r>
      <w:r w:rsidRPr="00103A0B">
        <w:rPr>
          <w:rFonts w:ascii="Arial" w:hAnsi="Arial" w:cs="Arial"/>
          <w:i/>
          <w:iCs/>
          <w:noProof/>
          <w:sz w:val="24"/>
          <w:szCs w:val="24"/>
        </w:rPr>
        <w:t>21</w:t>
      </w:r>
      <w:r w:rsidRPr="00103A0B">
        <w:rPr>
          <w:rFonts w:ascii="Arial" w:hAnsi="Arial" w:cs="Arial"/>
          <w:noProof/>
          <w:sz w:val="24"/>
          <w:szCs w:val="24"/>
        </w:rPr>
        <w:t>(1), 37–47. https://doi.org/10.1002/capr.12360</w:t>
      </w:r>
    </w:p>
    <w:p w14:paraId="1732FEA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Braun, V. &amp; Clarke, V. (2021b). Conceptual and design thinking for thematic analysis. </w:t>
      </w:r>
      <w:r w:rsidRPr="00103A0B">
        <w:rPr>
          <w:rFonts w:ascii="Arial" w:hAnsi="Arial" w:cs="Arial"/>
          <w:i/>
          <w:iCs/>
          <w:noProof/>
          <w:sz w:val="24"/>
          <w:szCs w:val="24"/>
        </w:rPr>
        <w:t>Qualitative Psychology</w:t>
      </w:r>
      <w:r w:rsidRPr="00103A0B">
        <w:rPr>
          <w:rFonts w:ascii="Arial" w:hAnsi="Arial" w:cs="Arial"/>
          <w:noProof/>
          <w:sz w:val="24"/>
          <w:szCs w:val="24"/>
        </w:rPr>
        <w:t>, 1–25. https://doi.org/10.1037/qup0000196</w:t>
      </w:r>
    </w:p>
    <w:p w14:paraId="1A5F710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Braun, V., Clarke, V. &amp; Rance, N. (2015). How to use thematic analysis with interview data. In A. Vossler &amp; N. Moller (Eds.), </w:t>
      </w:r>
      <w:r w:rsidRPr="00103A0B">
        <w:rPr>
          <w:rFonts w:ascii="Arial" w:hAnsi="Arial" w:cs="Arial"/>
          <w:i/>
          <w:iCs/>
          <w:noProof/>
          <w:sz w:val="24"/>
          <w:szCs w:val="24"/>
        </w:rPr>
        <w:t>The counselling and psychotherapy research handbook</w:t>
      </w:r>
      <w:r w:rsidRPr="00103A0B">
        <w:rPr>
          <w:rFonts w:ascii="Arial" w:hAnsi="Arial" w:cs="Arial"/>
          <w:noProof/>
          <w:sz w:val="24"/>
          <w:szCs w:val="24"/>
        </w:rPr>
        <w:t xml:space="preserve"> (pp. 183–197). SAGE Publications Ltd.</w:t>
      </w:r>
    </w:p>
    <w:p w14:paraId="5A80142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Breuing, J., Graf, C., Neuhaus, A. L., Heß, S., Lütkemeier, L., Haas, F., Spiller, M. &amp; Pieper, D. (2019). Communication strategies in the prevention of type 2 and gestational diabetes in vulnerable groups: a scoping review. </w:t>
      </w:r>
      <w:r w:rsidRPr="00103A0B">
        <w:rPr>
          <w:rFonts w:ascii="Arial" w:hAnsi="Arial" w:cs="Arial"/>
          <w:i/>
          <w:iCs/>
          <w:noProof/>
          <w:sz w:val="24"/>
          <w:szCs w:val="24"/>
        </w:rPr>
        <w:t>Systematic Reviews</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 98. https://doi.org/10.1371/journal.pone.0232250</w:t>
      </w:r>
    </w:p>
    <w:p w14:paraId="7E90EFC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Broadbent, E., Petrie, K. J., Main, J. &amp; Weinman, J. (2006). The brief illness perception questionnaire. </w:t>
      </w:r>
      <w:r w:rsidRPr="00103A0B">
        <w:rPr>
          <w:rFonts w:ascii="Arial" w:hAnsi="Arial" w:cs="Arial"/>
          <w:i/>
          <w:iCs/>
          <w:noProof/>
          <w:sz w:val="24"/>
          <w:szCs w:val="24"/>
        </w:rPr>
        <w:t>Journal of Psychosomatic Research</w:t>
      </w:r>
      <w:r w:rsidRPr="00103A0B">
        <w:rPr>
          <w:rFonts w:ascii="Arial" w:hAnsi="Arial" w:cs="Arial"/>
          <w:noProof/>
          <w:sz w:val="24"/>
          <w:szCs w:val="24"/>
        </w:rPr>
        <w:t xml:space="preserve">, </w:t>
      </w:r>
      <w:r w:rsidRPr="00103A0B">
        <w:rPr>
          <w:rFonts w:ascii="Arial" w:hAnsi="Arial" w:cs="Arial"/>
          <w:i/>
          <w:iCs/>
          <w:noProof/>
          <w:sz w:val="24"/>
          <w:szCs w:val="24"/>
        </w:rPr>
        <w:t>60</w:t>
      </w:r>
      <w:r w:rsidRPr="00103A0B">
        <w:rPr>
          <w:rFonts w:ascii="Arial" w:hAnsi="Arial" w:cs="Arial"/>
          <w:noProof/>
          <w:sz w:val="24"/>
          <w:szCs w:val="24"/>
        </w:rPr>
        <w:t>(6), 631–637.</w:t>
      </w:r>
    </w:p>
    <w:p w14:paraId="194AC10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Brokaw, S. M., Carpenedo, D., Campbell, P., Butcher, M. K., Furshong, G., Helgerson, S. D. &amp; Harwell, T. S. (2015). Effectiveness of an adapted diabetes prevention program lifestyle intervention in older and younger adults. </w:t>
      </w:r>
      <w:r w:rsidRPr="00103A0B">
        <w:rPr>
          <w:rFonts w:ascii="Arial" w:hAnsi="Arial" w:cs="Arial"/>
          <w:i/>
          <w:iCs/>
          <w:noProof/>
          <w:sz w:val="24"/>
          <w:szCs w:val="24"/>
        </w:rPr>
        <w:t>Journal of the American Geriatrics Society</w:t>
      </w:r>
      <w:r w:rsidRPr="00103A0B">
        <w:rPr>
          <w:rFonts w:ascii="Arial" w:hAnsi="Arial" w:cs="Arial"/>
          <w:noProof/>
          <w:sz w:val="24"/>
          <w:szCs w:val="24"/>
        </w:rPr>
        <w:t xml:space="preserve">, </w:t>
      </w:r>
      <w:r w:rsidRPr="00103A0B">
        <w:rPr>
          <w:rFonts w:ascii="Arial" w:hAnsi="Arial" w:cs="Arial"/>
          <w:i/>
          <w:iCs/>
          <w:noProof/>
          <w:sz w:val="24"/>
          <w:szCs w:val="24"/>
        </w:rPr>
        <w:t>63</w:t>
      </w:r>
      <w:r w:rsidRPr="00103A0B">
        <w:rPr>
          <w:rFonts w:ascii="Arial" w:hAnsi="Arial" w:cs="Arial"/>
          <w:noProof/>
          <w:sz w:val="24"/>
          <w:szCs w:val="24"/>
        </w:rPr>
        <w:t>(6), 1067–1074. https://doi.org/10.1111/jgs.13428</w:t>
      </w:r>
    </w:p>
    <w:p w14:paraId="63DC754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Brown, S. A., García, A. A., Zuñiga, J. A. &amp; Lewis, K. A. (2018). Effectiveness of workplace diabetes prevention programs: a systematic review of the evidence. </w:t>
      </w:r>
      <w:r w:rsidRPr="00103A0B">
        <w:rPr>
          <w:rFonts w:ascii="Arial" w:hAnsi="Arial" w:cs="Arial"/>
          <w:i/>
          <w:iCs/>
          <w:noProof/>
          <w:sz w:val="24"/>
          <w:szCs w:val="24"/>
        </w:rPr>
        <w:t>Patient Education and Counseling</w:t>
      </w:r>
      <w:r w:rsidRPr="00103A0B">
        <w:rPr>
          <w:rFonts w:ascii="Arial" w:hAnsi="Arial" w:cs="Arial"/>
          <w:noProof/>
          <w:sz w:val="24"/>
          <w:szCs w:val="24"/>
        </w:rPr>
        <w:t xml:space="preserve">, </w:t>
      </w:r>
      <w:r w:rsidRPr="00103A0B">
        <w:rPr>
          <w:rFonts w:ascii="Arial" w:hAnsi="Arial" w:cs="Arial"/>
          <w:i/>
          <w:iCs/>
          <w:noProof/>
          <w:sz w:val="24"/>
          <w:szCs w:val="24"/>
        </w:rPr>
        <w:t>101</w:t>
      </w:r>
      <w:r w:rsidRPr="00103A0B">
        <w:rPr>
          <w:rFonts w:ascii="Arial" w:hAnsi="Arial" w:cs="Arial"/>
          <w:noProof/>
          <w:sz w:val="24"/>
          <w:szCs w:val="24"/>
        </w:rPr>
        <w:t>(6), 1036–1050. https://doi.org/10.1016/j.pec.2018.01.001</w:t>
      </w:r>
    </w:p>
    <w:p w14:paraId="1B8BD3B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Brunisholz, K. D., Kim, J., Savitz, L. A., Hashibe, M., Gren, L. H., Hamilton, S., Huynh, K. &amp; Joy, E. A. (2017). A formative evaluation of a diabetes prevention program using the RE-AIM framework in a learning health care system, Utah, 2013–2015. </w:t>
      </w:r>
      <w:r w:rsidRPr="00103A0B">
        <w:rPr>
          <w:rFonts w:ascii="Arial" w:hAnsi="Arial" w:cs="Arial"/>
          <w:i/>
          <w:iCs/>
          <w:noProof/>
          <w:sz w:val="24"/>
          <w:szCs w:val="24"/>
        </w:rPr>
        <w:t>Preventing Chronic Disease</w:t>
      </w:r>
      <w:r w:rsidRPr="00103A0B">
        <w:rPr>
          <w:rFonts w:ascii="Arial" w:hAnsi="Arial" w:cs="Arial"/>
          <w:noProof/>
          <w:sz w:val="24"/>
          <w:szCs w:val="24"/>
        </w:rPr>
        <w:t xml:space="preserve">, </w:t>
      </w:r>
      <w:r w:rsidRPr="00103A0B">
        <w:rPr>
          <w:rFonts w:ascii="Arial" w:hAnsi="Arial" w:cs="Arial"/>
          <w:i/>
          <w:iCs/>
          <w:noProof/>
          <w:sz w:val="24"/>
          <w:szCs w:val="24"/>
        </w:rPr>
        <w:t>14</w:t>
      </w:r>
      <w:r w:rsidRPr="00103A0B">
        <w:rPr>
          <w:rFonts w:ascii="Arial" w:hAnsi="Arial" w:cs="Arial"/>
          <w:noProof/>
          <w:sz w:val="24"/>
          <w:szCs w:val="24"/>
        </w:rPr>
        <w:t>, 160556. https://doi.org/https://doi.org/10.5888/ pcd14.160556.</w:t>
      </w:r>
    </w:p>
    <w:p w14:paraId="5E4548A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Bukman, A. J., Duijzer, G., Haveman-Nies, A., Jansen, S. C., ter Beek, J., Hiddink, G. J. &amp; Feskens, E. J. M. (2017). Is the success of the SLIMMER diabetes prevention intervention modified by socioeconomic status? a randomised controlled trial. </w:t>
      </w:r>
      <w:r w:rsidRPr="00103A0B">
        <w:rPr>
          <w:rFonts w:ascii="Arial" w:hAnsi="Arial" w:cs="Arial"/>
          <w:i/>
          <w:iCs/>
          <w:noProof/>
          <w:sz w:val="24"/>
          <w:szCs w:val="24"/>
        </w:rPr>
        <w:t>Diabetes Research and Clinical Practice</w:t>
      </w:r>
      <w:r w:rsidRPr="00103A0B">
        <w:rPr>
          <w:rFonts w:ascii="Arial" w:hAnsi="Arial" w:cs="Arial"/>
          <w:noProof/>
          <w:sz w:val="24"/>
          <w:szCs w:val="24"/>
        </w:rPr>
        <w:t xml:space="preserve">, </w:t>
      </w:r>
      <w:r w:rsidRPr="00103A0B">
        <w:rPr>
          <w:rFonts w:ascii="Arial" w:hAnsi="Arial" w:cs="Arial"/>
          <w:i/>
          <w:iCs/>
          <w:noProof/>
          <w:sz w:val="24"/>
          <w:szCs w:val="24"/>
        </w:rPr>
        <w:t>129</w:t>
      </w:r>
      <w:r w:rsidRPr="00103A0B">
        <w:rPr>
          <w:rFonts w:ascii="Arial" w:hAnsi="Arial" w:cs="Arial"/>
          <w:noProof/>
          <w:sz w:val="24"/>
          <w:szCs w:val="24"/>
        </w:rPr>
        <w:t>, 160–168. https://doi.org/10.1016/j.diabres.2017.05.002</w:t>
      </w:r>
    </w:p>
    <w:p w14:paraId="230010B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Burgess, E., Hassmén, P., Welvaert, M. &amp; Pumpa, K. L. (2017). Behavioural treatment strategies improve adherence to lifestyle intervention programmes in adults with obesity : a systematic review and meta-analysis. </w:t>
      </w:r>
      <w:r w:rsidRPr="00103A0B">
        <w:rPr>
          <w:rFonts w:ascii="Arial" w:hAnsi="Arial" w:cs="Arial"/>
          <w:i/>
          <w:iCs/>
          <w:noProof/>
          <w:sz w:val="24"/>
          <w:szCs w:val="24"/>
        </w:rPr>
        <w:t>Clinical Obesity</w:t>
      </w:r>
      <w:r w:rsidRPr="00103A0B">
        <w:rPr>
          <w:rFonts w:ascii="Arial" w:hAnsi="Arial" w:cs="Arial"/>
          <w:noProof/>
          <w:sz w:val="24"/>
          <w:szCs w:val="24"/>
        </w:rPr>
        <w:t>, 105–114. https://doi.org/10.1111/cob.12180</w:t>
      </w:r>
    </w:p>
    <w:p w14:paraId="548E409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Byrne, S., Barry, D. &amp; Petry, N. M. (2012). Predictors of weight loss success: exercise vs. dietary self-efficacy and treatment attendance. </w:t>
      </w:r>
      <w:r w:rsidRPr="00103A0B">
        <w:rPr>
          <w:rFonts w:ascii="Arial" w:hAnsi="Arial" w:cs="Arial"/>
          <w:i/>
          <w:iCs/>
          <w:noProof/>
          <w:sz w:val="24"/>
          <w:szCs w:val="24"/>
        </w:rPr>
        <w:t>Appetite</w:t>
      </w:r>
      <w:r w:rsidRPr="00103A0B">
        <w:rPr>
          <w:rFonts w:ascii="Arial" w:hAnsi="Arial" w:cs="Arial"/>
          <w:noProof/>
          <w:sz w:val="24"/>
          <w:szCs w:val="24"/>
        </w:rPr>
        <w:t xml:space="preserve">, </w:t>
      </w:r>
      <w:r w:rsidRPr="00103A0B">
        <w:rPr>
          <w:rFonts w:ascii="Arial" w:hAnsi="Arial" w:cs="Arial"/>
          <w:i/>
          <w:iCs/>
          <w:noProof/>
          <w:sz w:val="24"/>
          <w:szCs w:val="24"/>
        </w:rPr>
        <w:t>58</w:t>
      </w:r>
      <w:r w:rsidRPr="00103A0B">
        <w:rPr>
          <w:rFonts w:ascii="Arial" w:hAnsi="Arial" w:cs="Arial"/>
          <w:noProof/>
          <w:sz w:val="24"/>
          <w:szCs w:val="24"/>
        </w:rPr>
        <w:t>(2), 695–698. https://doi.org/10.1016/j.appet.2012.01.005</w:t>
      </w:r>
    </w:p>
    <w:p w14:paraId="7050508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Cannon, M. J., Masalovich, S., Ng, B. P., Soler, R. E., Jabrah, R., Ely, E. K. &amp; Smith, B. D. (2020). Retention among participants in the national diabetes prevention program lifestyle change program, 2012–2017.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43</w:t>
      </w:r>
      <w:r w:rsidRPr="00103A0B">
        <w:rPr>
          <w:rFonts w:ascii="Arial" w:hAnsi="Arial" w:cs="Arial"/>
          <w:noProof/>
          <w:sz w:val="24"/>
          <w:szCs w:val="24"/>
        </w:rPr>
        <w:t>(9), 2042–2049. https://doi.org/10.2337/dc19-2366</w:t>
      </w:r>
    </w:p>
    <w:p w14:paraId="542DE79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Carpenter, S. M. &amp; Niedenthal, P. M. (2019). Emotional processes in risky and multiattribute health decisions. </w:t>
      </w:r>
      <w:r w:rsidRPr="00103A0B">
        <w:rPr>
          <w:rFonts w:ascii="Arial" w:hAnsi="Arial" w:cs="Arial"/>
          <w:i/>
          <w:iCs/>
          <w:noProof/>
          <w:sz w:val="24"/>
          <w:szCs w:val="24"/>
        </w:rPr>
        <w:t>Psychology &amp; Health</w:t>
      </w:r>
      <w:r w:rsidRPr="00103A0B">
        <w:rPr>
          <w:rFonts w:ascii="Arial" w:hAnsi="Arial" w:cs="Arial"/>
          <w:noProof/>
          <w:sz w:val="24"/>
          <w:szCs w:val="24"/>
        </w:rPr>
        <w:t xml:space="preserve">, </w:t>
      </w:r>
      <w:r w:rsidRPr="00103A0B">
        <w:rPr>
          <w:rFonts w:ascii="Arial" w:hAnsi="Arial" w:cs="Arial"/>
          <w:i/>
          <w:iCs/>
          <w:noProof/>
          <w:sz w:val="24"/>
          <w:szCs w:val="24"/>
        </w:rPr>
        <w:t>33</w:t>
      </w:r>
      <w:r w:rsidRPr="00103A0B">
        <w:rPr>
          <w:rFonts w:ascii="Arial" w:hAnsi="Arial" w:cs="Arial"/>
          <w:noProof/>
          <w:sz w:val="24"/>
          <w:szCs w:val="24"/>
        </w:rPr>
        <w:t>(1), 58–76. https://doi.org/10.1080/08870446.2017.1314478.</w:t>
      </w:r>
    </w:p>
    <w:p w14:paraId="001A6DA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Cassidy, S., Turnbull, S., Gardani, M. &amp; Kirkwood, K. (2014). Attendance at pulmonary rehabilitation classes: an exploration of demographic, physiological and psychological factors that predict completion of treatment. </w:t>
      </w:r>
      <w:r w:rsidRPr="00103A0B">
        <w:rPr>
          <w:rFonts w:ascii="Arial" w:hAnsi="Arial" w:cs="Arial"/>
          <w:i/>
          <w:iCs/>
          <w:noProof/>
          <w:sz w:val="24"/>
          <w:szCs w:val="24"/>
        </w:rPr>
        <w:t>Chronic Respiratory Disease</w:t>
      </w:r>
      <w:r w:rsidRPr="00103A0B">
        <w:rPr>
          <w:rFonts w:ascii="Arial" w:hAnsi="Arial" w:cs="Arial"/>
          <w:noProof/>
          <w:sz w:val="24"/>
          <w:szCs w:val="24"/>
        </w:rPr>
        <w:t xml:space="preserve">, </w:t>
      </w:r>
      <w:r w:rsidRPr="00103A0B">
        <w:rPr>
          <w:rFonts w:ascii="Arial" w:hAnsi="Arial" w:cs="Arial"/>
          <w:i/>
          <w:iCs/>
          <w:noProof/>
          <w:sz w:val="24"/>
          <w:szCs w:val="24"/>
        </w:rPr>
        <w:t>11</w:t>
      </w:r>
      <w:r w:rsidRPr="00103A0B">
        <w:rPr>
          <w:rFonts w:ascii="Arial" w:hAnsi="Arial" w:cs="Arial"/>
          <w:noProof/>
          <w:sz w:val="24"/>
          <w:szCs w:val="24"/>
        </w:rPr>
        <w:t>(2), 95–102.</w:t>
      </w:r>
    </w:p>
    <w:p w14:paraId="10ECE1A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Castro Sweet, C. M., Chiguluri, V., Gumpina, R., Abbott, P., Madero, E. N., Payne, M., Happe, L., Matanich, R., Renda, A. &amp; Prewitt, T. (2018). Outcomes of a digital health program with human coaching for diabetes risk reduction in a medicare population. </w:t>
      </w:r>
      <w:r w:rsidRPr="00103A0B">
        <w:rPr>
          <w:rFonts w:ascii="Arial" w:hAnsi="Arial" w:cs="Arial"/>
          <w:i/>
          <w:iCs/>
          <w:noProof/>
          <w:sz w:val="24"/>
          <w:szCs w:val="24"/>
        </w:rPr>
        <w:t>Journal of Aging and Health</w:t>
      </w:r>
      <w:r w:rsidRPr="00103A0B">
        <w:rPr>
          <w:rFonts w:ascii="Arial" w:hAnsi="Arial" w:cs="Arial"/>
          <w:noProof/>
          <w:sz w:val="24"/>
          <w:szCs w:val="24"/>
        </w:rPr>
        <w:t xml:space="preserve">, </w:t>
      </w:r>
      <w:r w:rsidRPr="00103A0B">
        <w:rPr>
          <w:rFonts w:ascii="Arial" w:hAnsi="Arial" w:cs="Arial"/>
          <w:i/>
          <w:iCs/>
          <w:noProof/>
          <w:sz w:val="24"/>
          <w:szCs w:val="24"/>
        </w:rPr>
        <w:t>30</w:t>
      </w:r>
      <w:r w:rsidRPr="00103A0B">
        <w:rPr>
          <w:rFonts w:ascii="Arial" w:hAnsi="Arial" w:cs="Arial"/>
          <w:noProof/>
          <w:sz w:val="24"/>
          <w:szCs w:val="24"/>
        </w:rPr>
        <w:t>(5), 692–710. https://doi.org/10.1177/0898264316688791</w:t>
      </w:r>
    </w:p>
    <w:p w14:paraId="6A98A80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Centers for Disease Control and Prevention. (2015). </w:t>
      </w:r>
      <w:r w:rsidRPr="00103A0B">
        <w:rPr>
          <w:rFonts w:ascii="Arial" w:hAnsi="Arial" w:cs="Arial"/>
          <w:i/>
          <w:iCs/>
          <w:noProof/>
          <w:sz w:val="24"/>
          <w:szCs w:val="24"/>
        </w:rPr>
        <w:t>Centers for Disease Control and Prevention Diabetes Prevention Recognition Program Standards and Operating Procedures</w:t>
      </w:r>
      <w:r w:rsidRPr="00103A0B">
        <w:rPr>
          <w:rFonts w:ascii="Arial" w:hAnsi="Arial" w:cs="Arial"/>
          <w:noProof/>
          <w:sz w:val="24"/>
          <w:szCs w:val="24"/>
        </w:rPr>
        <w:t>. www.cdc.gov/diabetes/prevention/recognition</w:t>
      </w:r>
    </w:p>
    <w:p w14:paraId="7D738BE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Centers for Disease Control and Prevention. (2018). </w:t>
      </w:r>
      <w:r w:rsidRPr="00103A0B">
        <w:rPr>
          <w:rFonts w:ascii="Arial" w:hAnsi="Arial" w:cs="Arial"/>
          <w:i/>
          <w:iCs/>
          <w:noProof/>
          <w:sz w:val="24"/>
          <w:szCs w:val="24"/>
        </w:rPr>
        <w:t>Centers for Disease Control and Prevention Diabetes Prevention Recognition Program Standards and Operating Procedures</w:t>
      </w:r>
      <w:r w:rsidRPr="00103A0B">
        <w:rPr>
          <w:rFonts w:ascii="Arial" w:hAnsi="Arial" w:cs="Arial"/>
          <w:noProof/>
          <w:sz w:val="24"/>
          <w:szCs w:val="24"/>
        </w:rPr>
        <w:t>. www.cdc.gov/diabetes/prevention/recognition</w:t>
      </w:r>
    </w:p>
    <w:p w14:paraId="54CC4F5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Cezaretto, A., Siqueira-Catania, A., De Barros, C. R., Salvador, E. P. &amp; Ferreira, S. R. G. (2012). Benefits on quality of life concomitant to metabolic improvement in intervention program for prevention of diabetes mellitus. </w:t>
      </w:r>
      <w:r w:rsidRPr="00103A0B">
        <w:rPr>
          <w:rFonts w:ascii="Arial" w:hAnsi="Arial" w:cs="Arial"/>
          <w:i/>
          <w:iCs/>
          <w:noProof/>
          <w:sz w:val="24"/>
          <w:szCs w:val="24"/>
        </w:rPr>
        <w:t>Quality of Life Research</w:t>
      </w:r>
      <w:r w:rsidRPr="00103A0B">
        <w:rPr>
          <w:rFonts w:ascii="Arial" w:hAnsi="Arial" w:cs="Arial"/>
          <w:noProof/>
          <w:sz w:val="24"/>
          <w:szCs w:val="24"/>
        </w:rPr>
        <w:t xml:space="preserve">, </w:t>
      </w:r>
      <w:r w:rsidRPr="00103A0B">
        <w:rPr>
          <w:rFonts w:ascii="Arial" w:hAnsi="Arial" w:cs="Arial"/>
          <w:i/>
          <w:iCs/>
          <w:noProof/>
          <w:sz w:val="24"/>
          <w:szCs w:val="24"/>
        </w:rPr>
        <w:t>21</w:t>
      </w:r>
      <w:r w:rsidRPr="00103A0B">
        <w:rPr>
          <w:rFonts w:ascii="Arial" w:hAnsi="Arial" w:cs="Arial"/>
          <w:noProof/>
          <w:sz w:val="24"/>
          <w:szCs w:val="24"/>
        </w:rPr>
        <w:t>(1), 105–113. https://doi.org/10.1007/s11136-011-9919-2</w:t>
      </w:r>
    </w:p>
    <w:p w14:paraId="3D0D0F8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Cha, E., H, K. K., Umpierrez, G., R, D. C., Bello, M. K., Hannah, L., Narayan, V. &amp; Dunbar, S. B. (2014). A feasibility study to develop a diabetes prevention program for young adults with prediabetes using digital platforms and a hand held device. </w:t>
      </w:r>
      <w:r w:rsidRPr="00103A0B">
        <w:rPr>
          <w:rFonts w:ascii="Arial" w:hAnsi="Arial" w:cs="Arial"/>
          <w:i/>
          <w:iCs/>
          <w:noProof/>
          <w:sz w:val="24"/>
          <w:szCs w:val="24"/>
        </w:rPr>
        <w:t>Diabetes Educator</w:t>
      </w:r>
      <w:r w:rsidRPr="00103A0B">
        <w:rPr>
          <w:rFonts w:ascii="Arial" w:hAnsi="Arial" w:cs="Arial"/>
          <w:noProof/>
          <w:sz w:val="24"/>
          <w:szCs w:val="24"/>
        </w:rPr>
        <w:t xml:space="preserve">, </w:t>
      </w:r>
      <w:r w:rsidRPr="00103A0B">
        <w:rPr>
          <w:rFonts w:ascii="Arial" w:hAnsi="Arial" w:cs="Arial"/>
          <w:i/>
          <w:iCs/>
          <w:noProof/>
          <w:sz w:val="24"/>
          <w:szCs w:val="24"/>
        </w:rPr>
        <w:t>40</w:t>
      </w:r>
      <w:r w:rsidRPr="00103A0B">
        <w:rPr>
          <w:rFonts w:ascii="Arial" w:hAnsi="Arial" w:cs="Arial"/>
          <w:noProof/>
          <w:sz w:val="24"/>
          <w:szCs w:val="24"/>
        </w:rPr>
        <w:t>(5), 626–637. https://doi.org/10.1038/jid.2014.371</w:t>
      </w:r>
    </w:p>
    <w:p w14:paraId="3919941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Chakkalakal, R. J., Connor, L. R., Rolando, L. A., Huang, Y., Byrne, D. W. &amp; Awalt, B. M. (2019). Putting the national diabetes prevention program to work: predictors of achieving weight-loss goals in an employee population. </w:t>
      </w:r>
      <w:r w:rsidRPr="00103A0B">
        <w:rPr>
          <w:rFonts w:ascii="Arial" w:hAnsi="Arial" w:cs="Arial"/>
          <w:i/>
          <w:iCs/>
          <w:noProof/>
          <w:sz w:val="24"/>
          <w:szCs w:val="24"/>
        </w:rPr>
        <w:t>Preventing Chronic Disease</w:t>
      </w:r>
      <w:r w:rsidRPr="00103A0B">
        <w:rPr>
          <w:rFonts w:ascii="Arial" w:hAnsi="Arial" w:cs="Arial"/>
          <w:noProof/>
          <w:sz w:val="24"/>
          <w:szCs w:val="24"/>
        </w:rPr>
        <w:t xml:space="preserve">, </w:t>
      </w:r>
      <w:r w:rsidRPr="00103A0B">
        <w:rPr>
          <w:rFonts w:ascii="Arial" w:hAnsi="Arial" w:cs="Arial"/>
          <w:i/>
          <w:iCs/>
          <w:noProof/>
          <w:sz w:val="24"/>
          <w:szCs w:val="24"/>
        </w:rPr>
        <w:t>16</w:t>
      </w:r>
      <w:r w:rsidRPr="00103A0B">
        <w:rPr>
          <w:rFonts w:ascii="Arial" w:hAnsi="Arial" w:cs="Arial"/>
          <w:noProof/>
          <w:sz w:val="24"/>
          <w:szCs w:val="24"/>
        </w:rPr>
        <w:t>, 190053. https://doi.org/https://doi.org/10.5888/ pcd16.190053.</w:t>
      </w:r>
    </w:p>
    <w:p w14:paraId="255345B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Chambers, E. C., Gonzalez, J. S., Marquez, M. E., Parsons, A. &amp; Rehm, C. D. (2019). The reach of an urban hospital system-based diabetes prevention program: patient engagement and weight loss characteristics. </w:t>
      </w:r>
      <w:r w:rsidRPr="00103A0B">
        <w:rPr>
          <w:rFonts w:ascii="Arial" w:hAnsi="Arial" w:cs="Arial"/>
          <w:i/>
          <w:iCs/>
          <w:noProof/>
          <w:sz w:val="24"/>
          <w:szCs w:val="24"/>
        </w:rPr>
        <w:t>Diabetes Educator</w:t>
      </w:r>
      <w:r w:rsidRPr="00103A0B">
        <w:rPr>
          <w:rFonts w:ascii="Arial" w:hAnsi="Arial" w:cs="Arial"/>
          <w:noProof/>
          <w:sz w:val="24"/>
          <w:szCs w:val="24"/>
        </w:rPr>
        <w:t xml:space="preserve">, </w:t>
      </w:r>
      <w:r w:rsidRPr="00103A0B">
        <w:rPr>
          <w:rFonts w:ascii="Arial" w:hAnsi="Arial" w:cs="Arial"/>
          <w:i/>
          <w:iCs/>
          <w:noProof/>
          <w:sz w:val="24"/>
          <w:szCs w:val="24"/>
        </w:rPr>
        <w:t>45</w:t>
      </w:r>
      <w:r w:rsidRPr="00103A0B">
        <w:rPr>
          <w:rFonts w:ascii="Arial" w:hAnsi="Arial" w:cs="Arial"/>
          <w:noProof/>
          <w:sz w:val="24"/>
          <w:szCs w:val="24"/>
        </w:rPr>
        <w:t>(6), 616–628. https://doi.org/10.1177/0145721719880503</w:t>
      </w:r>
    </w:p>
    <w:p w14:paraId="06A5838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Chambers, E. C., Rehm, C. D., Correra, J., Garcia, L. E., Marquez, M. E., Wylie-Rosett, J. &amp; Parsons, A. (2017). Factors in placement and enrollment of primary care patients in YMCA’s diabetes prevention program, Bronx, New York, 2010-2015. </w:t>
      </w:r>
      <w:r w:rsidRPr="00103A0B">
        <w:rPr>
          <w:rFonts w:ascii="Arial" w:hAnsi="Arial" w:cs="Arial"/>
          <w:i/>
          <w:iCs/>
          <w:noProof/>
          <w:sz w:val="24"/>
          <w:szCs w:val="24"/>
        </w:rPr>
        <w:t>Preventing Chronic Disease</w:t>
      </w:r>
      <w:r w:rsidRPr="00103A0B">
        <w:rPr>
          <w:rFonts w:ascii="Arial" w:hAnsi="Arial" w:cs="Arial"/>
          <w:noProof/>
          <w:sz w:val="24"/>
          <w:szCs w:val="24"/>
        </w:rPr>
        <w:t xml:space="preserve">, </w:t>
      </w:r>
      <w:r w:rsidRPr="00103A0B">
        <w:rPr>
          <w:rFonts w:ascii="Arial" w:hAnsi="Arial" w:cs="Arial"/>
          <w:i/>
          <w:iCs/>
          <w:noProof/>
          <w:sz w:val="24"/>
          <w:szCs w:val="24"/>
        </w:rPr>
        <w:t>14</w:t>
      </w:r>
      <w:r w:rsidRPr="00103A0B">
        <w:rPr>
          <w:rFonts w:ascii="Arial" w:hAnsi="Arial" w:cs="Arial"/>
          <w:noProof/>
          <w:sz w:val="24"/>
          <w:szCs w:val="24"/>
        </w:rPr>
        <w:t>, 160486. https://doi.org/10.5888/pcd14.160486</w:t>
      </w:r>
    </w:p>
    <w:p w14:paraId="16B2841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Charmaz, K. (2015). Grounded theory. In J. A. Smith (Ed.), </w:t>
      </w:r>
      <w:r w:rsidRPr="00103A0B">
        <w:rPr>
          <w:rFonts w:ascii="Arial" w:hAnsi="Arial" w:cs="Arial"/>
          <w:i/>
          <w:iCs/>
          <w:noProof/>
          <w:sz w:val="24"/>
          <w:szCs w:val="24"/>
        </w:rPr>
        <w:t>Qualitative psychology: a practical guide to research methods</w:t>
      </w:r>
      <w:r w:rsidRPr="00103A0B">
        <w:rPr>
          <w:rFonts w:ascii="Arial" w:hAnsi="Arial" w:cs="Arial"/>
          <w:noProof/>
          <w:sz w:val="24"/>
          <w:szCs w:val="24"/>
        </w:rPr>
        <w:t xml:space="preserve"> (3rd ed., pp. 53–84). SAGE Publications Ltd.</w:t>
      </w:r>
    </w:p>
    <w:p w14:paraId="59814D5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Chen, G., Gully, S. M. &amp; Eden, D. (2001). Validation of a new general self-efficacy scale. </w:t>
      </w:r>
      <w:r w:rsidRPr="00103A0B">
        <w:rPr>
          <w:rFonts w:ascii="Arial" w:hAnsi="Arial" w:cs="Arial"/>
          <w:i/>
          <w:iCs/>
          <w:noProof/>
          <w:sz w:val="24"/>
          <w:szCs w:val="24"/>
        </w:rPr>
        <w:t>Organizational Research Methods</w:t>
      </w:r>
      <w:r w:rsidRPr="00103A0B">
        <w:rPr>
          <w:rFonts w:ascii="Arial" w:hAnsi="Arial" w:cs="Arial"/>
          <w:noProof/>
          <w:sz w:val="24"/>
          <w:szCs w:val="24"/>
        </w:rPr>
        <w:t xml:space="preserve">, </w:t>
      </w:r>
      <w:r w:rsidRPr="00103A0B">
        <w:rPr>
          <w:rFonts w:ascii="Arial" w:hAnsi="Arial" w:cs="Arial"/>
          <w:i/>
          <w:iCs/>
          <w:noProof/>
          <w:sz w:val="24"/>
          <w:szCs w:val="24"/>
        </w:rPr>
        <w:t>4</w:t>
      </w:r>
      <w:r w:rsidRPr="00103A0B">
        <w:rPr>
          <w:rFonts w:ascii="Arial" w:hAnsi="Arial" w:cs="Arial"/>
          <w:noProof/>
          <w:sz w:val="24"/>
          <w:szCs w:val="24"/>
        </w:rPr>
        <w:t>(1), 62–83.</w:t>
      </w:r>
    </w:p>
    <w:p w14:paraId="508152F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Chen, M. F., Hung, S. L. &amp; Chen, S. L. (2017). Empowerment program for people with prediabetes: a randomized controlled trial. </w:t>
      </w:r>
      <w:r w:rsidRPr="00103A0B">
        <w:rPr>
          <w:rFonts w:ascii="Arial" w:hAnsi="Arial" w:cs="Arial"/>
          <w:i/>
          <w:iCs/>
          <w:noProof/>
          <w:sz w:val="24"/>
          <w:szCs w:val="24"/>
        </w:rPr>
        <w:t>Journal of Nursing Research</w:t>
      </w:r>
      <w:r w:rsidRPr="00103A0B">
        <w:rPr>
          <w:rFonts w:ascii="Arial" w:hAnsi="Arial" w:cs="Arial"/>
          <w:noProof/>
          <w:sz w:val="24"/>
          <w:szCs w:val="24"/>
        </w:rPr>
        <w:t xml:space="preserve">, </w:t>
      </w:r>
      <w:r w:rsidRPr="00103A0B">
        <w:rPr>
          <w:rFonts w:ascii="Arial" w:hAnsi="Arial" w:cs="Arial"/>
          <w:i/>
          <w:iCs/>
          <w:noProof/>
          <w:sz w:val="24"/>
          <w:szCs w:val="24"/>
        </w:rPr>
        <w:t>25</w:t>
      </w:r>
      <w:r w:rsidRPr="00103A0B">
        <w:rPr>
          <w:rFonts w:ascii="Arial" w:hAnsi="Arial" w:cs="Arial"/>
          <w:noProof/>
          <w:sz w:val="24"/>
          <w:szCs w:val="24"/>
        </w:rPr>
        <w:t>(2), 99–111. https://doi.org/10.1097/JNR.0000000000000193</w:t>
      </w:r>
    </w:p>
    <w:p w14:paraId="0C59467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Chen, S. &amp; Lin, C. (2010). The predictors of adopting a health-promoting lifestyle among work site adults with prediabetes. </w:t>
      </w:r>
      <w:r w:rsidRPr="00103A0B">
        <w:rPr>
          <w:rFonts w:ascii="Arial" w:hAnsi="Arial" w:cs="Arial"/>
          <w:i/>
          <w:iCs/>
          <w:noProof/>
          <w:sz w:val="24"/>
          <w:szCs w:val="24"/>
        </w:rPr>
        <w:t>Journal of Clinical Nursing</w:t>
      </w:r>
      <w:r w:rsidRPr="00103A0B">
        <w:rPr>
          <w:rFonts w:ascii="Arial" w:hAnsi="Arial" w:cs="Arial"/>
          <w:noProof/>
          <w:sz w:val="24"/>
          <w:szCs w:val="24"/>
        </w:rPr>
        <w:t xml:space="preserve">, </w:t>
      </w:r>
      <w:r w:rsidRPr="00103A0B">
        <w:rPr>
          <w:rFonts w:ascii="Arial" w:hAnsi="Arial" w:cs="Arial"/>
          <w:i/>
          <w:iCs/>
          <w:noProof/>
          <w:sz w:val="24"/>
          <w:szCs w:val="24"/>
        </w:rPr>
        <w:t>19</w:t>
      </w:r>
      <w:r w:rsidRPr="00103A0B">
        <w:rPr>
          <w:rFonts w:ascii="Arial" w:hAnsi="Arial" w:cs="Arial"/>
          <w:noProof/>
          <w:sz w:val="24"/>
          <w:szCs w:val="24"/>
        </w:rPr>
        <w:t>, 2713–2719. https://doi.org/10.1111/j.1365-2702.2010.03320.x</w:t>
      </w:r>
    </w:p>
    <w:p w14:paraId="57F22B6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Chin, J. Y., Matson, J., McCauley, S., Anarella, J., Gesten, F. &amp; Roohan, P. (2020). The impact of financial incentives on utilization and outcomes of diabetes prevention programs among Medicaid managed care adults in New York state. </w:t>
      </w:r>
      <w:r w:rsidRPr="00103A0B">
        <w:rPr>
          <w:rFonts w:ascii="Arial" w:hAnsi="Arial" w:cs="Arial"/>
          <w:i/>
          <w:iCs/>
          <w:noProof/>
          <w:sz w:val="24"/>
          <w:szCs w:val="24"/>
        </w:rPr>
        <w:t>Contemporary Clinical Trials</w:t>
      </w:r>
      <w:r w:rsidRPr="00103A0B">
        <w:rPr>
          <w:rFonts w:ascii="Arial" w:hAnsi="Arial" w:cs="Arial"/>
          <w:noProof/>
          <w:sz w:val="24"/>
          <w:szCs w:val="24"/>
        </w:rPr>
        <w:t xml:space="preserve">, </w:t>
      </w:r>
      <w:r w:rsidRPr="00103A0B">
        <w:rPr>
          <w:rFonts w:ascii="Arial" w:hAnsi="Arial" w:cs="Arial"/>
          <w:i/>
          <w:iCs/>
          <w:noProof/>
          <w:sz w:val="24"/>
          <w:szCs w:val="24"/>
        </w:rPr>
        <w:t>91</w:t>
      </w:r>
      <w:r w:rsidRPr="00103A0B">
        <w:rPr>
          <w:rFonts w:ascii="Arial" w:hAnsi="Arial" w:cs="Arial"/>
          <w:noProof/>
          <w:sz w:val="24"/>
          <w:szCs w:val="24"/>
        </w:rPr>
        <w:t>, 105960. https://doi.org/https://doi.org/10.1016/j.cct.2020.105960</w:t>
      </w:r>
    </w:p>
    <w:p w14:paraId="00783A9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Cioffi, C. E., Ranjani, H., Staimez, L. R., Anjana, R. M., Mohan, V. &amp; Weber, M. B. (2018). Self-efficacy and diabetes prevention in overweight South Asians with pre-diabetes. </w:t>
      </w:r>
      <w:r w:rsidRPr="00103A0B">
        <w:rPr>
          <w:rFonts w:ascii="Arial" w:hAnsi="Arial" w:cs="Arial"/>
          <w:i/>
          <w:iCs/>
          <w:noProof/>
          <w:sz w:val="24"/>
          <w:szCs w:val="24"/>
        </w:rPr>
        <w:t>BMJ Open Diabetes Research and Care</w:t>
      </w:r>
      <w:r w:rsidRPr="00103A0B">
        <w:rPr>
          <w:rFonts w:ascii="Arial" w:hAnsi="Arial" w:cs="Arial"/>
          <w:noProof/>
          <w:sz w:val="24"/>
          <w:szCs w:val="24"/>
        </w:rPr>
        <w:t xml:space="preserve">, </w:t>
      </w:r>
      <w:r w:rsidRPr="00103A0B">
        <w:rPr>
          <w:rFonts w:ascii="Arial" w:hAnsi="Arial" w:cs="Arial"/>
          <w:i/>
          <w:iCs/>
          <w:noProof/>
          <w:sz w:val="24"/>
          <w:szCs w:val="24"/>
        </w:rPr>
        <w:t>6</w:t>
      </w:r>
      <w:r w:rsidRPr="00103A0B">
        <w:rPr>
          <w:rFonts w:ascii="Arial" w:hAnsi="Arial" w:cs="Arial"/>
          <w:noProof/>
          <w:sz w:val="24"/>
          <w:szCs w:val="24"/>
        </w:rPr>
        <w:t>(1), 1–8. https://doi.org/10.1136/bmjdrc-2018-000561</w:t>
      </w:r>
    </w:p>
    <w:p w14:paraId="1F6D0F8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Clark, B., Boghani, S., Grullon, C. &amp; Batista, M. (2017). The impact of a worksite-based diabetes prevention intervention: a pilot study. </w:t>
      </w:r>
      <w:r w:rsidRPr="00103A0B">
        <w:rPr>
          <w:rFonts w:ascii="Arial" w:hAnsi="Arial" w:cs="Arial"/>
          <w:i/>
          <w:iCs/>
          <w:noProof/>
          <w:sz w:val="24"/>
          <w:szCs w:val="24"/>
        </w:rPr>
        <w:t>Population Health Management</w:t>
      </w:r>
      <w:r w:rsidRPr="00103A0B">
        <w:rPr>
          <w:rFonts w:ascii="Arial" w:hAnsi="Arial" w:cs="Arial"/>
          <w:noProof/>
          <w:sz w:val="24"/>
          <w:szCs w:val="24"/>
        </w:rPr>
        <w:t xml:space="preserve">, </w:t>
      </w:r>
      <w:r w:rsidRPr="00103A0B">
        <w:rPr>
          <w:rFonts w:ascii="Arial" w:hAnsi="Arial" w:cs="Arial"/>
          <w:i/>
          <w:iCs/>
          <w:noProof/>
          <w:sz w:val="24"/>
          <w:szCs w:val="24"/>
        </w:rPr>
        <w:t>20</w:t>
      </w:r>
      <w:r w:rsidRPr="00103A0B">
        <w:rPr>
          <w:rFonts w:ascii="Arial" w:hAnsi="Arial" w:cs="Arial"/>
          <w:noProof/>
          <w:sz w:val="24"/>
          <w:szCs w:val="24"/>
        </w:rPr>
        <w:t>(3), 233–238. https://doi.org/10.1089/pop.2016.0055</w:t>
      </w:r>
    </w:p>
    <w:p w14:paraId="35F9388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Conlon, B. A., Kahan, M., Martinez, M., Isaac, K., Rossi, A., Skyhart, R., Wylie-Rosett, J. &amp; Moadel-Robblee, A. (2015). Development and evaluation of the curriculum for BOLD (Bronx Oncology Living Daily) healthy living: a diabetes prevention and control program for underserved cancer survivors. </w:t>
      </w:r>
      <w:r w:rsidRPr="00103A0B">
        <w:rPr>
          <w:rFonts w:ascii="Arial" w:hAnsi="Arial" w:cs="Arial"/>
          <w:i/>
          <w:iCs/>
          <w:noProof/>
          <w:sz w:val="24"/>
          <w:szCs w:val="24"/>
        </w:rPr>
        <w:t>Journal of Cancer Education</w:t>
      </w:r>
      <w:r w:rsidRPr="00103A0B">
        <w:rPr>
          <w:rFonts w:ascii="Arial" w:hAnsi="Arial" w:cs="Arial"/>
          <w:noProof/>
          <w:sz w:val="24"/>
          <w:szCs w:val="24"/>
        </w:rPr>
        <w:t xml:space="preserve">, </w:t>
      </w:r>
      <w:r w:rsidRPr="00103A0B">
        <w:rPr>
          <w:rFonts w:ascii="Arial" w:hAnsi="Arial" w:cs="Arial"/>
          <w:i/>
          <w:iCs/>
          <w:noProof/>
          <w:sz w:val="24"/>
          <w:szCs w:val="24"/>
        </w:rPr>
        <w:t>30</w:t>
      </w:r>
      <w:r w:rsidRPr="00103A0B">
        <w:rPr>
          <w:rFonts w:ascii="Arial" w:hAnsi="Arial" w:cs="Arial"/>
          <w:noProof/>
          <w:sz w:val="24"/>
          <w:szCs w:val="24"/>
        </w:rPr>
        <w:t>(3), 535–545. https://doi.org/10.1007/s13187-014-0750-7</w:t>
      </w:r>
    </w:p>
    <w:p w14:paraId="34FAAF3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Conner, M. &amp; Norman, P. (2017). Health behaviour : current issues and challenges. </w:t>
      </w:r>
      <w:r w:rsidRPr="00103A0B">
        <w:rPr>
          <w:rFonts w:ascii="Arial" w:hAnsi="Arial" w:cs="Arial"/>
          <w:i/>
          <w:iCs/>
          <w:noProof/>
          <w:sz w:val="24"/>
          <w:szCs w:val="24"/>
        </w:rPr>
        <w:t>Psychology &amp; Health</w:t>
      </w:r>
      <w:r w:rsidRPr="00103A0B">
        <w:rPr>
          <w:rFonts w:ascii="Arial" w:hAnsi="Arial" w:cs="Arial"/>
          <w:noProof/>
          <w:sz w:val="24"/>
          <w:szCs w:val="24"/>
        </w:rPr>
        <w:t xml:space="preserve">, </w:t>
      </w:r>
      <w:r w:rsidRPr="00103A0B">
        <w:rPr>
          <w:rFonts w:ascii="Arial" w:hAnsi="Arial" w:cs="Arial"/>
          <w:i/>
          <w:iCs/>
          <w:noProof/>
          <w:sz w:val="24"/>
          <w:szCs w:val="24"/>
        </w:rPr>
        <w:t>32</w:t>
      </w:r>
      <w:r w:rsidRPr="00103A0B">
        <w:rPr>
          <w:rFonts w:ascii="Arial" w:hAnsi="Arial" w:cs="Arial"/>
          <w:noProof/>
          <w:sz w:val="24"/>
          <w:szCs w:val="24"/>
        </w:rPr>
        <w:t>(8), 895–906. https://doi.org/10.1080/08870446.2017.1336240</w:t>
      </w:r>
    </w:p>
    <w:p w14:paraId="1021494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Cooper, A., Lloyd, G., Weinman, J. &amp; Jackson, G. (1999). Why patients do not attend cardiac rehabilitation: role of intentions and illness beliefs. </w:t>
      </w:r>
      <w:r w:rsidRPr="00103A0B">
        <w:rPr>
          <w:rFonts w:ascii="Arial" w:hAnsi="Arial" w:cs="Arial"/>
          <w:i/>
          <w:iCs/>
          <w:noProof/>
          <w:sz w:val="24"/>
          <w:szCs w:val="24"/>
        </w:rPr>
        <w:t>Heart</w:t>
      </w:r>
      <w:r w:rsidRPr="00103A0B">
        <w:rPr>
          <w:rFonts w:ascii="Arial" w:hAnsi="Arial" w:cs="Arial"/>
          <w:noProof/>
          <w:sz w:val="24"/>
          <w:szCs w:val="24"/>
        </w:rPr>
        <w:t xml:space="preserve">, </w:t>
      </w:r>
      <w:r w:rsidRPr="00103A0B">
        <w:rPr>
          <w:rFonts w:ascii="Arial" w:hAnsi="Arial" w:cs="Arial"/>
          <w:i/>
          <w:iCs/>
          <w:noProof/>
          <w:sz w:val="24"/>
          <w:szCs w:val="24"/>
        </w:rPr>
        <w:t>82</w:t>
      </w:r>
      <w:r w:rsidRPr="00103A0B">
        <w:rPr>
          <w:rFonts w:ascii="Arial" w:hAnsi="Arial" w:cs="Arial"/>
          <w:noProof/>
          <w:sz w:val="24"/>
          <w:szCs w:val="24"/>
        </w:rPr>
        <w:t>(2), 234–236. https://doi.org/10.1136/hrt.82.2.234</w:t>
      </w:r>
    </w:p>
    <w:p w14:paraId="68059A6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Coppell, K. J., Abel, S. L., Freer, T., Gray, A., Sharp, K., Norton, J. K., Spedding, T., Ward, L. &amp; Whitehead, L. C. (2017). The effectiveness of a primary care nursing-led dietary intervention for prediabetes: a mixed methods pilot study. </w:t>
      </w:r>
      <w:r w:rsidRPr="00103A0B">
        <w:rPr>
          <w:rFonts w:ascii="Arial" w:hAnsi="Arial" w:cs="Arial"/>
          <w:i/>
          <w:iCs/>
          <w:noProof/>
          <w:sz w:val="24"/>
          <w:szCs w:val="24"/>
        </w:rPr>
        <w:t>BMC Family Practice</w:t>
      </w:r>
      <w:r w:rsidRPr="00103A0B">
        <w:rPr>
          <w:rFonts w:ascii="Arial" w:hAnsi="Arial" w:cs="Arial"/>
          <w:noProof/>
          <w:sz w:val="24"/>
          <w:szCs w:val="24"/>
        </w:rPr>
        <w:t xml:space="preserve">, </w:t>
      </w:r>
      <w:r w:rsidRPr="00103A0B">
        <w:rPr>
          <w:rFonts w:ascii="Arial" w:hAnsi="Arial" w:cs="Arial"/>
          <w:i/>
          <w:iCs/>
          <w:noProof/>
          <w:sz w:val="24"/>
          <w:szCs w:val="24"/>
        </w:rPr>
        <w:t>18</w:t>
      </w:r>
      <w:r w:rsidRPr="00103A0B">
        <w:rPr>
          <w:rFonts w:ascii="Arial" w:hAnsi="Arial" w:cs="Arial"/>
          <w:noProof/>
          <w:sz w:val="24"/>
          <w:szCs w:val="24"/>
        </w:rPr>
        <w:t>(1), 106. https://doi.org/10.1186/s12875-017-0671-8</w:t>
      </w:r>
    </w:p>
    <w:p w14:paraId="3A028C8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Coppell, K. J., Tipene-Leach, D. C., Pahau, H. L. R., Williams, S. M., Abel, S., Iles, M., Hindmarsh, J. H. &amp; Mann, J. I. (2009). Two-year results from a community-wide diabetes prevention intervention in a high risk indigenous community: the Ngati and healthy project. </w:t>
      </w:r>
      <w:r w:rsidRPr="00103A0B">
        <w:rPr>
          <w:rFonts w:ascii="Arial" w:hAnsi="Arial" w:cs="Arial"/>
          <w:i/>
          <w:iCs/>
          <w:noProof/>
          <w:sz w:val="24"/>
          <w:szCs w:val="24"/>
        </w:rPr>
        <w:t>Diabetes Research and Clinical Practice</w:t>
      </w:r>
      <w:r w:rsidRPr="00103A0B">
        <w:rPr>
          <w:rFonts w:ascii="Arial" w:hAnsi="Arial" w:cs="Arial"/>
          <w:noProof/>
          <w:sz w:val="24"/>
          <w:szCs w:val="24"/>
        </w:rPr>
        <w:t xml:space="preserve">, </w:t>
      </w:r>
      <w:r w:rsidRPr="00103A0B">
        <w:rPr>
          <w:rFonts w:ascii="Arial" w:hAnsi="Arial" w:cs="Arial"/>
          <w:i/>
          <w:iCs/>
          <w:noProof/>
          <w:sz w:val="24"/>
          <w:szCs w:val="24"/>
        </w:rPr>
        <w:t>85</w:t>
      </w:r>
      <w:r w:rsidRPr="00103A0B">
        <w:rPr>
          <w:rFonts w:ascii="Arial" w:hAnsi="Arial" w:cs="Arial"/>
          <w:noProof/>
          <w:sz w:val="24"/>
          <w:szCs w:val="24"/>
        </w:rPr>
        <w:t>(2), 220–227. https://doi.org/10.1016/j.diabres.2009.05.009</w:t>
      </w:r>
    </w:p>
    <w:p w14:paraId="0ED53E8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Corker, E., Marques, M., Johnston, M., West, R., Hastings, J. &amp; Michie, S. (2022). Behaviour change techniques taxonomy v1: Feedback to inform the development of an ontology. </w:t>
      </w:r>
      <w:r w:rsidRPr="00103A0B">
        <w:rPr>
          <w:rFonts w:ascii="Arial" w:hAnsi="Arial" w:cs="Arial"/>
          <w:i/>
          <w:iCs/>
          <w:noProof/>
          <w:sz w:val="24"/>
          <w:szCs w:val="24"/>
        </w:rPr>
        <w:t>Wellcome Open Research</w:t>
      </w:r>
      <w:r w:rsidRPr="00103A0B">
        <w:rPr>
          <w:rFonts w:ascii="Arial" w:hAnsi="Arial" w:cs="Arial"/>
          <w:noProof/>
          <w:sz w:val="24"/>
          <w:szCs w:val="24"/>
        </w:rPr>
        <w:t xml:space="preserve">, </w:t>
      </w:r>
      <w:r w:rsidRPr="00103A0B">
        <w:rPr>
          <w:rFonts w:ascii="Arial" w:hAnsi="Arial" w:cs="Arial"/>
          <w:i/>
          <w:iCs/>
          <w:noProof/>
          <w:sz w:val="24"/>
          <w:szCs w:val="24"/>
        </w:rPr>
        <w:t>7</w:t>
      </w:r>
      <w:r w:rsidRPr="00103A0B">
        <w:rPr>
          <w:rFonts w:ascii="Arial" w:hAnsi="Arial" w:cs="Arial"/>
          <w:noProof/>
          <w:sz w:val="24"/>
          <w:szCs w:val="24"/>
        </w:rPr>
        <w:t>, 211. https://doi.org/10.12688/wellcomeopenres.18002.1</w:t>
      </w:r>
    </w:p>
    <w:p w14:paraId="25CD939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Critchley, C. R., Hardie, E. A. &amp; Moore, S. M. (2012). Examining the psychological pathways to behavior change in a group-based lifestyle program to prevent type 2 diabetes.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35</w:t>
      </w:r>
      <w:r w:rsidRPr="00103A0B">
        <w:rPr>
          <w:rFonts w:ascii="Arial" w:hAnsi="Arial" w:cs="Arial"/>
          <w:noProof/>
          <w:sz w:val="24"/>
          <w:szCs w:val="24"/>
        </w:rPr>
        <w:t>, 699–705. https://doi.org/10.2337/dc11-1183.</w:t>
      </w:r>
    </w:p>
    <w:p w14:paraId="5AA3148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Davies, M. J., Gray, L. J., Troughton, J., Gray, A., Tuomilehto, J., Farooqi, A., Khunti, K., Yates, T., Bancroft, M., Ahrabian, D., Cowling, P., Greaves, C., Sheppard, D., </w:t>
      </w:r>
      <w:r w:rsidRPr="00103A0B">
        <w:rPr>
          <w:rFonts w:ascii="Arial" w:hAnsi="Arial" w:cs="Arial"/>
          <w:noProof/>
          <w:sz w:val="24"/>
          <w:szCs w:val="24"/>
        </w:rPr>
        <w:lastRenderedPageBreak/>
        <w:t xml:space="preserve">Leal, J., Abrams, K., Bodicoat, D., Carter, P., Dunkley, A., Patel, N., … Wilson, P. (2016). A community based primary prevention programme for type 2 diabetes integrating identification and lifestyle intervention for prevention: the let’s prevent diabetes cluster randomised controlled trial. </w:t>
      </w:r>
      <w:r w:rsidRPr="00103A0B">
        <w:rPr>
          <w:rFonts w:ascii="Arial" w:hAnsi="Arial" w:cs="Arial"/>
          <w:i/>
          <w:iCs/>
          <w:noProof/>
          <w:sz w:val="24"/>
          <w:szCs w:val="24"/>
        </w:rPr>
        <w:t>Preventive Medicine</w:t>
      </w:r>
      <w:r w:rsidRPr="00103A0B">
        <w:rPr>
          <w:rFonts w:ascii="Arial" w:hAnsi="Arial" w:cs="Arial"/>
          <w:noProof/>
          <w:sz w:val="24"/>
          <w:szCs w:val="24"/>
        </w:rPr>
        <w:t xml:space="preserve">, </w:t>
      </w:r>
      <w:r w:rsidRPr="00103A0B">
        <w:rPr>
          <w:rFonts w:ascii="Arial" w:hAnsi="Arial" w:cs="Arial"/>
          <w:i/>
          <w:iCs/>
          <w:noProof/>
          <w:sz w:val="24"/>
          <w:szCs w:val="24"/>
        </w:rPr>
        <w:t>84</w:t>
      </w:r>
      <w:r w:rsidRPr="00103A0B">
        <w:rPr>
          <w:rFonts w:ascii="Arial" w:hAnsi="Arial" w:cs="Arial"/>
          <w:noProof/>
          <w:sz w:val="24"/>
          <w:szCs w:val="24"/>
        </w:rPr>
        <w:t>, 48–56. https://doi.org/10.1016/j.ypmed.2015.12.012</w:t>
      </w:r>
    </w:p>
    <w:p w14:paraId="3D57DD6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Davis-Smith, M. (2007). Implementing a diabetes prevention program in a rural African-American church. </w:t>
      </w:r>
      <w:r w:rsidRPr="00103A0B">
        <w:rPr>
          <w:rFonts w:ascii="Arial" w:hAnsi="Arial" w:cs="Arial"/>
          <w:i/>
          <w:iCs/>
          <w:noProof/>
          <w:sz w:val="24"/>
          <w:szCs w:val="24"/>
        </w:rPr>
        <w:t>Journal of the National Medical Association</w:t>
      </w:r>
      <w:r w:rsidRPr="00103A0B">
        <w:rPr>
          <w:rFonts w:ascii="Arial" w:hAnsi="Arial" w:cs="Arial"/>
          <w:noProof/>
          <w:sz w:val="24"/>
          <w:szCs w:val="24"/>
        </w:rPr>
        <w:t xml:space="preserve">, </w:t>
      </w:r>
      <w:r w:rsidRPr="00103A0B">
        <w:rPr>
          <w:rFonts w:ascii="Arial" w:hAnsi="Arial" w:cs="Arial"/>
          <w:i/>
          <w:iCs/>
          <w:noProof/>
          <w:sz w:val="24"/>
          <w:szCs w:val="24"/>
        </w:rPr>
        <w:t>99</w:t>
      </w:r>
      <w:r w:rsidRPr="00103A0B">
        <w:rPr>
          <w:rFonts w:ascii="Arial" w:hAnsi="Arial" w:cs="Arial"/>
          <w:noProof/>
          <w:sz w:val="24"/>
          <w:szCs w:val="24"/>
        </w:rPr>
        <w:t>(4), 440–447.</w:t>
      </w:r>
    </w:p>
    <w:p w14:paraId="6ED6A2F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Delahanty, L. M., Conroy, M. ., Nathan, D. . &amp; Diabetes Prevention Program Research Group. (2006). Psychological predictors of physical activity in the diabetes prevention program. </w:t>
      </w:r>
      <w:r w:rsidRPr="00103A0B">
        <w:rPr>
          <w:rFonts w:ascii="Arial" w:hAnsi="Arial" w:cs="Arial"/>
          <w:i/>
          <w:iCs/>
          <w:noProof/>
          <w:sz w:val="24"/>
          <w:szCs w:val="24"/>
        </w:rPr>
        <w:t>American Dietetic Assosication</w:t>
      </w:r>
      <w:r w:rsidRPr="00103A0B">
        <w:rPr>
          <w:rFonts w:ascii="Arial" w:hAnsi="Arial" w:cs="Arial"/>
          <w:noProof/>
          <w:sz w:val="24"/>
          <w:szCs w:val="24"/>
        </w:rPr>
        <w:t xml:space="preserve">, </w:t>
      </w:r>
      <w:r w:rsidRPr="00103A0B">
        <w:rPr>
          <w:rFonts w:ascii="Arial" w:hAnsi="Arial" w:cs="Arial"/>
          <w:i/>
          <w:iCs/>
          <w:noProof/>
          <w:sz w:val="24"/>
          <w:szCs w:val="24"/>
        </w:rPr>
        <w:t>106</w:t>
      </w:r>
      <w:r w:rsidRPr="00103A0B">
        <w:rPr>
          <w:rFonts w:ascii="Arial" w:hAnsi="Arial" w:cs="Arial"/>
          <w:noProof/>
          <w:sz w:val="24"/>
          <w:szCs w:val="24"/>
        </w:rPr>
        <w:t>, 698–705. https://doi.org/10.1016/j.jada.2006.02.011</w:t>
      </w:r>
    </w:p>
    <w:p w14:paraId="3B37E8E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Delahanty, L. M., Peyrot, M., Shrader, P. ., Williamson, D. ., Meigs, J. ., Nathan, D. . &amp; Group, D. R. (2013). Pretreatment, psychological, and behavioral predictors of weight outcomes among lifestyle intervention participants in the diabetes prevention program (DPP). </w:t>
      </w:r>
      <w:r w:rsidRPr="00103A0B">
        <w:rPr>
          <w:rFonts w:ascii="Arial" w:hAnsi="Arial" w:cs="Arial"/>
          <w:i/>
          <w:iCs/>
          <w:noProof/>
          <w:sz w:val="24"/>
          <w:szCs w:val="24"/>
        </w:rPr>
        <w:t>Diabates Care</w:t>
      </w:r>
      <w:r w:rsidRPr="00103A0B">
        <w:rPr>
          <w:rFonts w:ascii="Arial" w:hAnsi="Arial" w:cs="Arial"/>
          <w:noProof/>
          <w:sz w:val="24"/>
          <w:szCs w:val="24"/>
        </w:rPr>
        <w:t xml:space="preserve">, </w:t>
      </w:r>
      <w:r w:rsidRPr="00103A0B">
        <w:rPr>
          <w:rFonts w:ascii="Arial" w:hAnsi="Arial" w:cs="Arial"/>
          <w:i/>
          <w:iCs/>
          <w:noProof/>
          <w:sz w:val="24"/>
          <w:szCs w:val="24"/>
        </w:rPr>
        <w:t>36</w:t>
      </w:r>
      <w:r w:rsidRPr="00103A0B">
        <w:rPr>
          <w:rFonts w:ascii="Arial" w:hAnsi="Arial" w:cs="Arial"/>
          <w:noProof/>
          <w:sz w:val="24"/>
          <w:szCs w:val="24"/>
        </w:rPr>
        <w:t>, 34–40. https://doi.org/10.2337/dc12-0733.</w:t>
      </w:r>
    </w:p>
    <w:p w14:paraId="6AEEBED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Department for Communities and Local Government. (2015). </w:t>
      </w:r>
      <w:r w:rsidRPr="00103A0B">
        <w:rPr>
          <w:rFonts w:ascii="Arial" w:hAnsi="Arial" w:cs="Arial"/>
          <w:i/>
          <w:iCs/>
          <w:noProof/>
          <w:sz w:val="24"/>
          <w:szCs w:val="24"/>
        </w:rPr>
        <w:t>The English indices of deprivation 2015</w:t>
      </w:r>
      <w:r w:rsidRPr="00103A0B">
        <w:rPr>
          <w:rFonts w:ascii="Arial" w:hAnsi="Arial" w:cs="Arial"/>
          <w:noProof/>
          <w:sz w:val="24"/>
          <w:szCs w:val="24"/>
        </w:rPr>
        <w:t>. https://doi.org/https://assets.publishing.service.gov.uk/government/uploads/system/uploads/attachment_data/file/465791/English_Indices_of_Deprivation_2015_-_Statistical_Release.pdf</w:t>
      </w:r>
    </w:p>
    <w:p w14:paraId="641CC8B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Deskur-Śmielecka, E., Borowicz-Bieńkowska, S., Brychcy, A., Wilk, M., Przywarska, I. &amp; Dylewicz, P. (2009). Why patients after acute coronary syndromes do not participate in an early outpatient rehabilitation programme? </w:t>
      </w:r>
      <w:r w:rsidRPr="00103A0B">
        <w:rPr>
          <w:rFonts w:ascii="Arial" w:hAnsi="Arial" w:cs="Arial"/>
          <w:i/>
          <w:iCs/>
          <w:noProof/>
          <w:sz w:val="24"/>
          <w:szCs w:val="24"/>
        </w:rPr>
        <w:t>Kardiologia Polska</w:t>
      </w:r>
      <w:r w:rsidRPr="00103A0B">
        <w:rPr>
          <w:rFonts w:ascii="Arial" w:hAnsi="Arial" w:cs="Arial"/>
          <w:noProof/>
          <w:sz w:val="24"/>
          <w:szCs w:val="24"/>
        </w:rPr>
        <w:t xml:space="preserve">, </w:t>
      </w:r>
      <w:r w:rsidRPr="00103A0B">
        <w:rPr>
          <w:rFonts w:ascii="Arial" w:hAnsi="Arial" w:cs="Arial"/>
          <w:i/>
          <w:iCs/>
          <w:noProof/>
          <w:sz w:val="24"/>
          <w:szCs w:val="24"/>
        </w:rPr>
        <w:t>67</w:t>
      </w:r>
      <w:r w:rsidRPr="00103A0B">
        <w:rPr>
          <w:rFonts w:ascii="Arial" w:hAnsi="Arial" w:cs="Arial"/>
          <w:noProof/>
          <w:sz w:val="24"/>
          <w:szCs w:val="24"/>
        </w:rPr>
        <w:t>(6), 632–638.</w:t>
      </w:r>
    </w:p>
    <w:p w14:paraId="3F4C5FA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DeSteno, D., Gross, J. J. &amp; Kubzansky, L. (2013). Affective science and health: the importance of emotion and emotion regulation. </w:t>
      </w:r>
      <w:r w:rsidRPr="00103A0B">
        <w:rPr>
          <w:rFonts w:ascii="Arial" w:hAnsi="Arial" w:cs="Arial"/>
          <w:i/>
          <w:iCs/>
          <w:noProof/>
          <w:sz w:val="24"/>
          <w:szCs w:val="24"/>
        </w:rPr>
        <w:t>Health Psychology</w:t>
      </w:r>
      <w:r w:rsidRPr="00103A0B">
        <w:rPr>
          <w:rFonts w:ascii="Arial" w:hAnsi="Arial" w:cs="Arial"/>
          <w:noProof/>
          <w:sz w:val="24"/>
          <w:szCs w:val="24"/>
        </w:rPr>
        <w:t xml:space="preserve">, </w:t>
      </w:r>
      <w:r w:rsidRPr="00103A0B">
        <w:rPr>
          <w:rFonts w:ascii="Arial" w:hAnsi="Arial" w:cs="Arial"/>
          <w:i/>
          <w:iCs/>
          <w:noProof/>
          <w:sz w:val="24"/>
          <w:szCs w:val="24"/>
        </w:rPr>
        <w:t>32</w:t>
      </w:r>
      <w:r w:rsidRPr="00103A0B">
        <w:rPr>
          <w:rFonts w:ascii="Arial" w:hAnsi="Arial" w:cs="Arial"/>
          <w:noProof/>
          <w:sz w:val="24"/>
          <w:szCs w:val="24"/>
        </w:rPr>
        <w:t>(5), 474–486. https://doi.org/http://dx.doi.org/10.1037/a0030259</w:t>
      </w:r>
    </w:p>
    <w:p w14:paraId="6FFE87B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Di Battista, E. M., Bracken, R. M., Stephens, J. W., Rice, S., Thomas, M., Williams, S. P., Mellalieu, S. D., Morgan, K., Cottrell, C., Davies, V., Newbury-Davies, L., Street, L., Judd, F., Evans, C., James, J., Jones, C., Williams, C., Smith, S., Thornton, J., … Williams, M. (2017). Workplace delivery of a dietitian-led cardiovascular disease and type 2 diabetes prevention programme: a qualitative study of participants’ experiences in the context of Basic Needs Theory. </w:t>
      </w:r>
      <w:r w:rsidRPr="00103A0B">
        <w:rPr>
          <w:rFonts w:ascii="Arial" w:hAnsi="Arial" w:cs="Arial"/>
          <w:i/>
          <w:iCs/>
          <w:noProof/>
          <w:sz w:val="24"/>
          <w:szCs w:val="24"/>
        </w:rPr>
        <w:t>Nutrition Bulletin</w:t>
      </w:r>
      <w:r w:rsidRPr="00103A0B">
        <w:rPr>
          <w:rFonts w:ascii="Arial" w:hAnsi="Arial" w:cs="Arial"/>
          <w:noProof/>
          <w:sz w:val="24"/>
          <w:szCs w:val="24"/>
        </w:rPr>
        <w:t xml:space="preserve">, </w:t>
      </w:r>
      <w:r w:rsidRPr="00103A0B">
        <w:rPr>
          <w:rFonts w:ascii="Arial" w:hAnsi="Arial" w:cs="Arial"/>
          <w:i/>
          <w:iCs/>
          <w:noProof/>
          <w:sz w:val="24"/>
          <w:szCs w:val="24"/>
        </w:rPr>
        <w:t>42</w:t>
      </w:r>
      <w:r w:rsidRPr="00103A0B">
        <w:rPr>
          <w:rFonts w:ascii="Arial" w:hAnsi="Arial" w:cs="Arial"/>
          <w:noProof/>
          <w:sz w:val="24"/>
          <w:szCs w:val="24"/>
        </w:rPr>
        <w:t>(4), 309–320. https://doi.org/10.1111/nbu.12292</w:t>
      </w:r>
    </w:p>
    <w:p w14:paraId="12A8A57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Diabetes Prevention Program Research Group. (2009). 10-year follow-up of diabetes incidence and weight loss in the diabetes prevention program outcomes study. </w:t>
      </w:r>
      <w:r w:rsidRPr="00103A0B">
        <w:rPr>
          <w:rFonts w:ascii="Arial" w:hAnsi="Arial" w:cs="Arial"/>
          <w:i/>
          <w:iCs/>
          <w:noProof/>
          <w:sz w:val="24"/>
          <w:szCs w:val="24"/>
        </w:rPr>
        <w:t>The Lancet</w:t>
      </w:r>
      <w:r w:rsidRPr="00103A0B">
        <w:rPr>
          <w:rFonts w:ascii="Arial" w:hAnsi="Arial" w:cs="Arial"/>
          <w:noProof/>
          <w:sz w:val="24"/>
          <w:szCs w:val="24"/>
        </w:rPr>
        <w:t xml:space="preserve">, </w:t>
      </w:r>
      <w:r w:rsidRPr="00103A0B">
        <w:rPr>
          <w:rFonts w:ascii="Arial" w:hAnsi="Arial" w:cs="Arial"/>
          <w:i/>
          <w:iCs/>
          <w:noProof/>
          <w:sz w:val="24"/>
          <w:szCs w:val="24"/>
        </w:rPr>
        <w:t>374</w:t>
      </w:r>
      <w:r w:rsidRPr="00103A0B">
        <w:rPr>
          <w:rFonts w:ascii="Arial" w:hAnsi="Arial" w:cs="Arial"/>
          <w:noProof/>
          <w:sz w:val="24"/>
          <w:szCs w:val="24"/>
        </w:rPr>
        <w:t>, 1677–1686. https://doi.org/10.1016/S0140- 6736(09)61457-4</w:t>
      </w:r>
    </w:p>
    <w:p w14:paraId="6ADF713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Diabetes Prevention Team. (2015). </w:t>
      </w:r>
      <w:r w:rsidRPr="00103A0B">
        <w:rPr>
          <w:rFonts w:ascii="Arial" w:hAnsi="Arial" w:cs="Arial"/>
          <w:i/>
          <w:iCs/>
          <w:noProof/>
          <w:sz w:val="24"/>
          <w:szCs w:val="24"/>
        </w:rPr>
        <w:t>Consultation guide: national procurement for the provision of behavioural interventions for people with non-diabetic hyperglycaemia</w:t>
      </w:r>
      <w:r w:rsidRPr="00103A0B">
        <w:rPr>
          <w:rFonts w:ascii="Arial" w:hAnsi="Arial" w:cs="Arial"/>
          <w:noProof/>
          <w:sz w:val="24"/>
          <w:szCs w:val="24"/>
        </w:rPr>
        <w:t>. https://www.engage.england.nhs.uk/consultation/non-diabetic-hyperglycaemia/supporting_documents/ndppconsultationguide.pdf</w:t>
      </w:r>
    </w:p>
    <w:p w14:paraId="1906EEF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Diabetes UK. (2020). </w:t>
      </w:r>
      <w:r w:rsidRPr="00103A0B">
        <w:rPr>
          <w:rFonts w:ascii="Arial" w:hAnsi="Arial" w:cs="Arial"/>
          <w:i/>
          <w:iCs/>
          <w:noProof/>
          <w:sz w:val="24"/>
          <w:szCs w:val="24"/>
        </w:rPr>
        <w:t>Prevention of type 2 diabetes through reducing obesity</w:t>
      </w:r>
      <w:r w:rsidRPr="00103A0B">
        <w:rPr>
          <w:rFonts w:ascii="Arial" w:hAnsi="Arial" w:cs="Arial"/>
          <w:noProof/>
          <w:sz w:val="24"/>
          <w:szCs w:val="24"/>
        </w:rPr>
        <w:t xml:space="preserve">. </w:t>
      </w:r>
      <w:r w:rsidRPr="00103A0B">
        <w:rPr>
          <w:rFonts w:ascii="Arial" w:hAnsi="Arial" w:cs="Arial"/>
          <w:noProof/>
          <w:sz w:val="24"/>
          <w:szCs w:val="24"/>
        </w:rPr>
        <w:lastRenderedPageBreak/>
        <w:t>https://www.diabetes.org.uk/professionals/position-statements-reports/type-2-diabetes-prevention-early-identification/prevention-of-type-2-diabetes-whole-society-interventions-to-reduce-obesity</w:t>
      </w:r>
    </w:p>
    <w:p w14:paraId="3A099AF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Diabetes UK. (2021a). </w:t>
      </w:r>
      <w:r w:rsidRPr="00103A0B">
        <w:rPr>
          <w:rFonts w:ascii="Arial" w:hAnsi="Arial" w:cs="Arial"/>
          <w:i/>
          <w:iCs/>
          <w:noProof/>
          <w:sz w:val="24"/>
          <w:szCs w:val="24"/>
        </w:rPr>
        <w:t>Diabetes diagnosis double in the last 15 years</w:t>
      </w:r>
      <w:r w:rsidRPr="00103A0B">
        <w:rPr>
          <w:rFonts w:ascii="Arial" w:hAnsi="Arial" w:cs="Arial"/>
          <w:noProof/>
          <w:sz w:val="24"/>
          <w:szCs w:val="24"/>
        </w:rPr>
        <w:t>. https://www.diabetes.org.uk/about_us/news/diabetes-diagnoses-doubled-prevalence-2021</w:t>
      </w:r>
    </w:p>
    <w:p w14:paraId="1D8A185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Diabetes UK. (2021b). </w:t>
      </w:r>
      <w:r w:rsidRPr="00103A0B">
        <w:rPr>
          <w:rFonts w:ascii="Arial" w:hAnsi="Arial" w:cs="Arial"/>
          <w:i/>
          <w:iCs/>
          <w:noProof/>
          <w:sz w:val="24"/>
          <w:szCs w:val="24"/>
        </w:rPr>
        <w:t>Early identification of type 2 diabetes</w:t>
      </w:r>
      <w:r w:rsidRPr="00103A0B">
        <w:rPr>
          <w:rFonts w:ascii="Arial" w:hAnsi="Arial" w:cs="Arial"/>
          <w:noProof/>
          <w:sz w:val="24"/>
          <w:szCs w:val="24"/>
        </w:rPr>
        <w:t>. https://www.diabetes.org.uk/professionals/position-statements-reports/type-2-diabetes-prevention-early-identification/early-identification-of-people-with-type-2-diabetes</w:t>
      </w:r>
    </w:p>
    <w:p w14:paraId="55D5C1E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Diabetes UK. (2021c). </w:t>
      </w:r>
      <w:r w:rsidRPr="00103A0B">
        <w:rPr>
          <w:rFonts w:ascii="Arial" w:hAnsi="Arial" w:cs="Arial"/>
          <w:i/>
          <w:iCs/>
          <w:noProof/>
          <w:sz w:val="24"/>
          <w:szCs w:val="24"/>
        </w:rPr>
        <w:t>Type 2 diabetes</w:t>
      </w:r>
      <w:r w:rsidRPr="00103A0B">
        <w:rPr>
          <w:rFonts w:ascii="Arial" w:hAnsi="Arial" w:cs="Arial"/>
          <w:noProof/>
          <w:sz w:val="24"/>
          <w:szCs w:val="24"/>
        </w:rPr>
        <w:t>. https://www.diabetes.org.uk/type-2-diabetes</w:t>
      </w:r>
    </w:p>
    <w:p w14:paraId="047CF9D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Díaz-Redondo, A., Giráldez-García, C., Carrillo, L., Serrano, R., García-Soidán, F. J., Artola, S., Franch, J., Díez, J., Ezkurra, P., Millaruelo, J. M., Seguí, M., Sangrós, J., Martínez-Candela, J., Muñoz, P., Goday, A., Regidor, E., Alonso, M., Álvarez, B., Álvarez, F., … Villaró, M. (2015). Modifiable risk factors associated with prediabetes in men and women: a cross-sectional analysis of the cohort study in primary health care on the evolution of patients with prediabetes (PREDAPS-Study). </w:t>
      </w:r>
      <w:r w:rsidRPr="00103A0B">
        <w:rPr>
          <w:rFonts w:ascii="Arial" w:hAnsi="Arial" w:cs="Arial"/>
          <w:i/>
          <w:iCs/>
          <w:noProof/>
          <w:sz w:val="24"/>
          <w:szCs w:val="24"/>
        </w:rPr>
        <w:t>BMC Family Practice</w:t>
      </w:r>
      <w:r w:rsidRPr="00103A0B">
        <w:rPr>
          <w:rFonts w:ascii="Arial" w:hAnsi="Arial" w:cs="Arial"/>
          <w:noProof/>
          <w:sz w:val="24"/>
          <w:szCs w:val="24"/>
        </w:rPr>
        <w:t xml:space="preserve">, </w:t>
      </w:r>
      <w:r w:rsidRPr="00103A0B">
        <w:rPr>
          <w:rFonts w:ascii="Arial" w:hAnsi="Arial" w:cs="Arial"/>
          <w:i/>
          <w:iCs/>
          <w:noProof/>
          <w:sz w:val="24"/>
          <w:szCs w:val="24"/>
        </w:rPr>
        <w:t>16</w:t>
      </w:r>
      <w:r w:rsidRPr="00103A0B">
        <w:rPr>
          <w:rFonts w:ascii="Arial" w:hAnsi="Arial" w:cs="Arial"/>
          <w:noProof/>
          <w:sz w:val="24"/>
          <w:szCs w:val="24"/>
        </w:rPr>
        <w:t>, 5. https://doi.org/10.1186/s12875-014-0216-3</w:t>
      </w:r>
    </w:p>
    <w:p w14:paraId="498959B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Dickinson, J. K., Guzman, S. J., Maryniuk, M. D., Brian, C. A. O., Kadohiro, J. K., Jackson, R. A. &amp; Al, E. (2017). The use of language in diabetes care and education.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40</w:t>
      </w:r>
      <w:r w:rsidRPr="00103A0B">
        <w:rPr>
          <w:rFonts w:ascii="Arial" w:hAnsi="Arial" w:cs="Arial"/>
          <w:noProof/>
          <w:sz w:val="24"/>
          <w:szCs w:val="24"/>
        </w:rPr>
        <w:t>(12), 1790–1799.</w:t>
      </w:r>
    </w:p>
    <w:p w14:paraId="354291B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Dixon, A. (2008). </w:t>
      </w:r>
      <w:r w:rsidRPr="00103A0B">
        <w:rPr>
          <w:rFonts w:ascii="Arial" w:hAnsi="Arial" w:cs="Arial"/>
          <w:i/>
          <w:iCs/>
          <w:noProof/>
          <w:sz w:val="24"/>
          <w:szCs w:val="24"/>
        </w:rPr>
        <w:t>Motivation and confidence : what does it take to change behaviour?</w:t>
      </w:r>
      <w:r w:rsidRPr="00103A0B">
        <w:rPr>
          <w:rFonts w:ascii="Arial" w:hAnsi="Arial" w:cs="Arial"/>
          <w:noProof/>
          <w:sz w:val="24"/>
          <w:szCs w:val="24"/>
        </w:rPr>
        <w:t xml:space="preserve"> https://www.kingsfund.org.uk/sites/files/kf/field/field_document/motivation-confidence-health-behavious-kicking-bad-habits-supporting-papers-anna-dixon.pdf</w:t>
      </w:r>
    </w:p>
    <w:p w14:paraId="55DC54E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Dong, Y. &amp; Peng, C. Y. J. (2013). Principled missing data methods for researchers. </w:t>
      </w:r>
      <w:r w:rsidRPr="00103A0B">
        <w:rPr>
          <w:rFonts w:ascii="Arial" w:hAnsi="Arial" w:cs="Arial"/>
          <w:i/>
          <w:iCs/>
          <w:noProof/>
          <w:sz w:val="24"/>
          <w:szCs w:val="24"/>
        </w:rPr>
        <w:t>SpringerPlus</w:t>
      </w:r>
      <w:r w:rsidRPr="00103A0B">
        <w:rPr>
          <w:rFonts w:ascii="Arial" w:hAnsi="Arial" w:cs="Arial"/>
          <w:noProof/>
          <w:sz w:val="24"/>
          <w:szCs w:val="24"/>
        </w:rPr>
        <w:t xml:space="preserve">, </w:t>
      </w:r>
      <w:r w:rsidRPr="00103A0B">
        <w:rPr>
          <w:rFonts w:ascii="Arial" w:hAnsi="Arial" w:cs="Arial"/>
          <w:i/>
          <w:iCs/>
          <w:noProof/>
          <w:sz w:val="24"/>
          <w:szCs w:val="24"/>
        </w:rPr>
        <w:t>2</w:t>
      </w:r>
      <w:r w:rsidRPr="00103A0B">
        <w:rPr>
          <w:rFonts w:ascii="Arial" w:hAnsi="Arial" w:cs="Arial"/>
          <w:noProof/>
          <w:sz w:val="24"/>
          <w:szCs w:val="24"/>
        </w:rPr>
        <w:t>, 222.</w:t>
      </w:r>
    </w:p>
    <w:p w14:paraId="00B2B3D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Duijzer, G., Haveman-Nies, A., Jansen, S. C., Ter Beek, J., Van Bruggen, R., Willink, M. G. J., Hiddink, G. J. &amp; Feskens, E. J. M. (2017). Effect and maintenance of the SLIMMER diabetes prevention lifestyle intervention in Dutch primary healthcare: a randomised controlled trial. </w:t>
      </w:r>
      <w:r w:rsidRPr="00103A0B">
        <w:rPr>
          <w:rFonts w:ascii="Arial" w:hAnsi="Arial" w:cs="Arial"/>
          <w:i/>
          <w:iCs/>
          <w:noProof/>
          <w:sz w:val="24"/>
          <w:szCs w:val="24"/>
        </w:rPr>
        <w:t>Nutrition and Diabetes</w:t>
      </w:r>
      <w:r w:rsidRPr="00103A0B">
        <w:rPr>
          <w:rFonts w:ascii="Arial" w:hAnsi="Arial" w:cs="Arial"/>
          <w:noProof/>
          <w:sz w:val="24"/>
          <w:szCs w:val="24"/>
        </w:rPr>
        <w:t xml:space="preserve">, </w:t>
      </w:r>
      <w:r w:rsidRPr="00103A0B">
        <w:rPr>
          <w:rFonts w:ascii="Arial" w:hAnsi="Arial" w:cs="Arial"/>
          <w:i/>
          <w:iCs/>
          <w:noProof/>
          <w:sz w:val="24"/>
          <w:szCs w:val="24"/>
        </w:rPr>
        <w:t>7</w:t>
      </w:r>
      <w:r w:rsidRPr="00103A0B">
        <w:rPr>
          <w:rFonts w:ascii="Arial" w:hAnsi="Arial" w:cs="Arial"/>
          <w:noProof/>
          <w:sz w:val="24"/>
          <w:szCs w:val="24"/>
        </w:rPr>
        <w:t>(5). https://doi.org/10.1038/nutd.2017.21</w:t>
      </w:r>
    </w:p>
    <w:p w14:paraId="62AAB56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Dunbar, J. A. (2017). Diabetes prevention in Australia: 10 years results and experience. </w:t>
      </w:r>
      <w:r w:rsidRPr="00103A0B">
        <w:rPr>
          <w:rFonts w:ascii="Arial" w:hAnsi="Arial" w:cs="Arial"/>
          <w:i/>
          <w:iCs/>
          <w:noProof/>
          <w:sz w:val="24"/>
          <w:szCs w:val="24"/>
        </w:rPr>
        <w:t>Diabetes and Metabolism Journal</w:t>
      </w:r>
      <w:r w:rsidRPr="00103A0B">
        <w:rPr>
          <w:rFonts w:ascii="Arial" w:hAnsi="Arial" w:cs="Arial"/>
          <w:noProof/>
          <w:sz w:val="24"/>
          <w:szCs w:val="24"/>
        </w:rPr>
        <w:t xml:space="preserve">, </w:t>
      </w:r>
      <w:r w:rsidRPr="00103A0B">
        <w:rPr>
          <w:rFonts w:ascii="Arial" w:hAnsi="Arial" w:cs="Arial"/>
          <w:i/>
          <w:iCs/>
          <w:noProof/>
          <w:sz w:val="24"/>
          <w:szCs w:val="24"/>
        </w:rPr>
        <w:t>41</w:t>
      </w:r>
      <w:r w:rsidRPr="00103A0B">
        <w:rPr>
          <w:rFonts w:ascii="Arial" w:hAnsi="Arial" w:cs="Arial"/>
          <w:noProof/>
          <w:sz w:val="24"/>
          <w:szCs w:val="24"/>
        </w:rPr>
        <w:t>(3), 160–167. https://doi.org/10.4093/dmj.2017.41.3.160</w:t>
      </w:r>
    </w:p>
    <w:p w14:paraId="49FDBF8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Dunbar, J. A., Hernan, A. L., Janus, E. D., Vartiainen, E., Laatikainen, T., Versace, V. L., Reynolds, J., Best, J. D., Skinner, T. C., O’Reilly, S. L., Namara, K. P. M., Stewart, E., Coates, M., Bennett, C. M. &amp; Carter, R. (2015). Challenges of diabetes prevention in the real world: results and lessons from the Melbourne diabetes prevention study. </w:t>
      </w:r>
      <w:r w:rsidRPr="00103A0B">
        <w:rPr>
          <w:rFonts w:ascii="Arial" w:hAnsi="Arial" w:cs="Arial"/>
          <w:i/>
          <w:iCs/>
          <w:noProof/>
          <w:sz w:val="24"/>
          <w:szCs w:val="24"/>
        </w:rPr>
        <w:t>BMJ Open Diabetes Research and Care</w:t>
      </w:r>
      <w:r w:rsidRPr="00103A0B">
        <w:rPr>
          <w:rFonts w:ascii="Arial" w:hAnsi="Arial" w:cs="Arial"/>
          <w:noProof/>
          <w:sz w:val="24"/>
          <w:szCs w:val="24"/>
        </w:rPr>
        <w:t xml:space="preserve">, </w:t>
      </w:r>
      <w:r w:rsidRPr="00103A0B">
        <w:rPr>
          <w:rFonts w:ascii="Arial" w:hAnsi="Arial" w:cs="Arial"/>
          <w:i/>
          <w:iCs/>
          <w:noProof/>
          <w:sz w:val="24"/>
          <w:szCs w:val="24"/>
        </w:rPr>
        <w:t>3</w:t>
      </w:r>
      <w:r w:rsidRPr="00103A0B">
        <w:rPr>
          <w:rFonts w:ascii="Arial" w:hAnsi="Arial" w:cs="Arial"/>
          <w:noProof/>
          <w:sz w:val="24"/>
          <w:szCs w:val="24"/>
        </w:rPr>
        <w:t>(1), 2–4. https://doi.org/10.1136/bmjdrc-2015-000131</w:t>
      </w:r>
    </w:p>
    <w:p w14:paraId="26AA840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Eaglehouse, Y. L., Venditti, E. M., Kramer, M. K., Arena, V. C., Vanderwood, K. K., Rockette-wagner, B. &amp; Kriska, A. M. (2017). Factors related to lifestyle goal achievement in a diabetes prevention program dissemination study. </w:t>
      </w:r>
      <w:r w:rsidRPr="00103A0B">
        <w:rPr>
          <w:rFonts w:ascii="Arial" w:hAnsi="Arial" w:cs="Arial"/>
          <w:i/>
          <w:iCs/>
          <w:noProof/>
          <w:sz w:val="24"/>
          <w:szCs w:val="24"/>
        </w:rPr>
        <w:t>TBM</w:t>
      </w:r>
      <w:r w:rsidRPr="00103A0B">
        <w:rPr>
          <w:rFonts w:ascii="Arial" w:hAnsi="Arial" w:cs="Arial"/>
          <w:noProof/>
          <w:sz w:val="24"/>
          <w:szCs w:val="24"/>
        </w:rPr>
        <w:t xml:space="preserve">, </w:t>
      </w:r>
      <w:r w:rsidRPr="00103A0B">
        <w:rPr>
          <w:rFonts w:ascii="Arial" w:hAnsi="Arial" w:cs="Arial"/>
          <w:i/>
          <w:iCs/>
          <w:noProof/>
          <w:sz w:val="24"/>
          <w:szCs w:val="24"/>
        </w:rPr>
        <w:t>7</w:t>
      </w:r>
      <w:r w:rsidRPr="00103A0B">
        <w:rPr>
          <w:rFonts w:ascii="Arial" w:hAnsi="Arial" w:cs="Arial"/>
          <w:noProof/>
          <w:sz w:val="24"/>
          <w:szCs w:val="24"/>
        </w:rPr>
        <w:t>, 873–</w:t>
      </w:r>
      <w:r w:rsidRPr="00103A0B">
        <w:rPr>
          <w:rFonts w:ascii="Arial" w:hAnsi="Arial" w:cs="Arial"/>
          <w:noProof/>
          <w:sz w:val="24"/>
          <w:szCs w:val="24"/>
        </w:rPr>
        <w:lastRenderedPageBreak/>
        <w:t>880. https://doi.org/10.1007/s13142-017-0494-0</w:t>
      </w:r>
    </w:p>
    <w:p w14:paraId="7698BBE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Edwards, R. &amp; Holland, J. (2013). </w:t>
      </w:r>
      <w:r w:rsidRPr="00103A0B">
        <w:rPr>
          <w:rFonts w:ascii="Arial" w:hAnsi="Arial" w:cs="Arial"/>
          <w:i/>
          <w:iCs/>
          <w:noProof/>
          <w:sz w:val="24"/>
          <w:szCs w:val="24"/>
        </w:rPr>
        <w:t>What is qualitative interviewing?</w:t>
      </w:r>
      <w:r w:rsidRPr="00103A0B">
        <w:rPr>
          <w:rFonts w:ascii="Arial" w:hAnsi="Arial" w:cs="Arial"/>
          <w:noProof/>
          <w:sz w:val="24"/>
          <w:szCs w:val="24"/>
        </w:rPr>
        <w:t xml:space="preserve"> Bloomsbury.</w:t>
      </w:r>
    </w:p>
    <w:p w14:paraId="5C6DEE0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Eekhout, I., Van De Wiel, M. A. &amp; Heymans, M. W. (2017). Methods for significance testing of categorical covariates in logistic regression models after multiple imputation: power and applicability analysis. </w:t>
      </w:r>
      <w:r w:rsidRPr="00103A0B">
        <w:rPr>
          <w:rFonts w:ascii="Arial" w:hAnsi="Arial" w:cs="Arial"/>
          <w:i/>
          <w:iCs/>
          <w:noProof/>
          <w:sz w:val="24"/>
          <w:szCs w:val="24"/>
        </w:rPr>
        <w:t>BMC Medical Research Methodology</w:t>
      </w:r>
      <w:r w:rsidRPr="00103A0B">
        <w:rPr>
          <w:rFonts w:ascii="Arial" w:hAnsi="Arial" w:cs="Arial"/>
          <w:noProof/>
          <w:sz w:val="24"/>
          <w:szCs w:val="24"/>
        </w:rPr>
        <w:t xml:space="preserve">, </w:t>
      </w:r>
      <w:r w:rsidRPr="00103A0B">
        <w:rPr>
          <w:rFonts w:ascii="Arial" w:hAnsi="Arial" w:cs="Arial"/>
          <w:i/>
          <w:iCs/>
          <w:noProof/>
          <w:sz w:val="24"/>
          <w:szCs w:val="24"/>
        </w:rPr>
        <w:t>17</w:t>
      </w:r>
      <w:r w:rsidRPr="00103A0B">
        <w:rPr>
          <w:rFonts w:ascii="Arial" w:hAnsi="Arial" w:cs="Arial"/>
          <w:noProof/>
          <w:sz w:val="24"/>
          <w:szCs w:val="24"/>
        </w:rPr>
        <w:t>, 129. https://doi.org/10.1186/s12874-017-0404-7</w:t>
      </w:r>
    </w:p>
    <w:p w14:paraId="005068B8" w14:textId="3DC5D41D"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Effective Public Health Practice Project. (2010). </w:t>
      </w:r>
      <w:r w:rsidRPr="00103A0B">
        <w:rPr>
          <w:rFonts w:ascii="Arial" w:hAnsi="Arial" w:cs="Arial"/>
          <w:i/>
          <w:iCs/>
          <w:noProof/>
          <w:sz w:val="24"/>
          <w:szCs w:val="24"/>
        </w:rPr>
        <w:t>Quality assessment tool for quantitative studies</w:t>
      </w:r>
      <w:r w:rsidRPr="00103A0B">
        <w:rPr>
          <w:rFonts w:ascii="Arial" w:hAnsi="Arial" w:cs="Arial"/>
          <w:noProof/>
          <w:sz w:val="24"/>
          <w:szCs w:val="24"/>
        </w:rPr>
        <w:t>. http://www.ephpp.ca/index.html%5Cnhttp://www.ephpp.ca/PDF/Quality Assessment Tool_2010_2.pdf</w:t>
      </w:r>
    </w:p>
    <w:p w14:paraId="27CE11D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Ely, E. K., Gruss, S. M., Luman, E. T., Gregg, E. W., Ali, M. K., Nhim, K., Rolka, D. B. &amp; Albright, A. L. (2017). A national effort to prevent type 2 diabetes: participant-level evaluation of CDC ’ s national diabetes prevention program.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40</w:t>
      </w:r>
      <w:r w:rsidRPr="00103A0B">
        <w:rPr>
          <w:rFonts w:ascii="Arial" w:hAnsi="Arial" w:cs="Arial"/>
          <w:noProof/>
          <w:sz w:val="24"/>
          <w:szCs w:val="24"/>
        </w:rPr>
        <w:t>, 1331–1341. https://doi.org/10.2337/dc16-2099</w:t>
      </w:r>
    </w:p>
    <w:p w14:paraId="278F4B6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Ferrer, R. A. &amp; Mendes, W. B. (2018). Emotion, health decision making, and health behaviour. </w:t>
      </w:r>
      <w:r w:rsidRPr="00103A0B">
        <w:rPr>
          <w:rFonts w:ascii="Arial" w:hAnsi="Arial" w:cs="Arial"/>
          <w:i/>
          <w:iCs/>
          <w:noProof/>
          <w:sz w:val="24"/>
          <w:szCs w:val="24"/>
        </w:rPr>
        <w:t>Psychology &amp; Health</w:t>
      </w:r>
      <w:r w:rsidRPr="00103A0B">
        <w:rPr>
          <w:rFonts w:ascii="Arial" w:hAnsi="Arial" w:cs="Arial"/>
          <w:noProof/>
          <w:sz w:val="24"/>
          <w:szCs w:val="24"/>
        </w:rPr>
        <w:t xml:space="preserve">, </w:t>
      </w:r>
      <w:r w:rsidRPr="00103A0B">
        <w:rPr>
          <w:rFonts w:ascii="Arial" w:hAnsi="Arial" w:cs="Arial"/>
          <w:i/>
          <w:iCs/>
          <w:noProof/>
          <w:sz w:val="24"/>
          <w:szCs w:val="24"/>
        </w:rPr>
        <w:t>33</w:t>
      </w:r>
      <w:r w:rsidRPr="00103A0B">
        <w:rPr>
          <w:rFonts w:ascii="Arial" w:hAnsi="Arial" w:cs="Arial"/>
          <w:noProof/>
          <w:sz w:val="24"/>
          <w:szCs w:val="24"/>
        </w:rPr>
        <w:t>(1), 1–16. https://doi.org/10.1080/08870446.2017.1385787</w:t>
      </w:r>
    </w:p>
    <w:p w14:paraId="3F4BD48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Fianu, A., Bourse, L., Naty, N., Le Moullec, N., Lepage, B., Lang, T. &amp; Favier, F. (2016). Long-term effectiveness of a lifestyle intervention for the primary prevention of type 2 diabetes in a low socio-economic community – an intervention follow-up study on reunion island. </w:t>
      </w:r>
      <w:r w:rsidRPr="00103A0B">
        <w:rPr>
          <w:rFonts w:ascii="Arial" w:hAnsi="Arial" w:cs="Arial"/>
          <w:i/>
          <w:iCs/>
          <w:noProof/>
          <w:sz w:val="24"/>
          <w:szCs w:val="24"/>
        </w:rPr>
        <w:t>Plos One</w:t>
      </w:r>
      <w:r w:rsidRPr="00103A0B">
        <w:rPr>
          <w:rFonts w:ascii="Arial" w:hAnsi="Arial" w:cs="Arial"/>
          <w:noProof/>
          <w:sz w:val="24"/>
          <w:szCs w:val="24"/>
        </w:rPr>
        <w:t xml:space="preserve">, </w:t>
      </w:r>
      <w:r w:rsidRPr="00103A0B">
        <w:rPr>
          <w:rFonts w:ascii="Arial" w:hAnsi="Arial" w:cs="Arial"/>
          <w:i/>
          <w:iCs/>
          <w:noProof/>
          <w:sz w:val="24"/>
          <w:szCs w:val="24"/>
        </w:rPr>
        <w:t>11</w:t>
      </w:r>
      <w:r w:rsidRPr="00103A0B">
        <w:rPr>
          <w:rFonts w:ascii="Arial" w:hAnsi="Arial" w:cs="Arial"/>
          <w:noProof/>
          <w:sz w:val="24"/>
          <w:szCs w:val="24"/>
        </w:rPr>
        <w:t>(1), e0146095. https://doi.org/10.1371/journal.pone.0146095</w:t>
      </w:r>
    </w:p>
    <w:p w14:paraId="5B2433E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Field, A. (2018). </w:t>
      </w:r>
      <w:r w:rsidRPr="00103A0B">
        <w:rPr>
          <w:rFonts w:ascii="Arial" w:hAnsi="Arial" w:cs="Arial"/>
          <w:i/>
          <w:iCs/>
          <w:noProof/>
          <w:sz w:val="24"/>
          <w:szCs w:val="24"/>
        </w:rPr>
        <w:t>Discovering statistics using IBM SPSS statistics</w:t>
      </w:r>
      <w:r w:rsidRPr="00103A0B">
        <w:rPr>
          <w:rFonts w:ascii="Arial" w:hAnsi="Arial" w:cs="Arial"/>
          <w:noProof/>
          <w:sz w:val="24"/>
          <w:szCs w:val="24"/>
        </w:rPr>
        <w:t xml:space="preserve"> (5th ed.). SAGE Publications Ltd.</w:t>
      </w:r>
    </w:p>
    <w:p w14:paraId="16E7F2F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Finlay, L. (2003). The reflexive journey: mapping multiple routes. In </w:t>
      </w:r>
      <w:r w:rsidRPr="00103A0B">
        <w:rPr>
          <w:rFonts w:ascii="Arial" w:hAnsi="Arial" w:cs="Arial"/>
          <w:i/>
          <w:iCs/>
          <w:noProof/>
          <w:sz w:val="24"/>
          <w:szCs w:val="24"/>
        </w:rPr>
        <w:t>Reflexivity: a practical guide for researchers in health and social sciences</w:t>
      </w:r>
      <w:r w:rsidRPr="00103A0B">
        <w:rPr>
          <w:rFonts w:ascii="Arial" w:hAnsi="Arial" w:cs="Arial"/>
          <w:noProof/>
          <w:sz w:val="24"/>
          <w:szCs w:val="24"/>
        </w:rPr>
        <w:t xml:space="preserve"> (pp. 3–20). Blackwell Science.</w:t>
      </w:r>
    </w:p>
    <w:p w14:paraId="5B61DE7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Forouzanfar, M. H., Alexander, L., Anderson, H. R., Bachman, V. F., Biryukov, S., Brauer, M., Burnett, R., Casey, D., Coates, M. M., Cohen, A., Delwiche, K., Estep, K., Frostad, J. J., KC, A., Kyu, H. H., Moradi-Lakeh, M., Ng, M., Slepak, E. L., Thomas, B. A., … Murray, C. J. (2015). Global, regional, and national comparative risk assessment of 79 behavioural, environmental and occupational, and metabolic risks or clusters of risks in 188 countries, 1990–2013: a systematic analysis for the global burden of disease study 2013. </w:t>
      </w:r>
      <w:r w:rsidRPr="00103A0B">
        <w:rPr>
          <w:rFonts w:ascii="Arial" w:hAnsi="Arial" w:cs="Arial"/>
          <w:i/>
          <w:iCs/>
          <w:noProof/>
          <w:sz w:val="24"/>
          <w:szCs w:val="24"/>
        </w:rPr>
        <w:t>The Lancet</w:t>
      </w:r>
      <w:r w:rsidRPr="00103A0B">
        <w:rPr>
          <w:rFonts w:ascii="Arial" w:hAnsi="Arial" w:cs="Arial"/>
          <w:noProof/>
          <w:sz w:val="24"/>
          <w:szCs w:val="24"/>
        </w:rPr>
        <w:t xml:space="preserve">, </w:t>
      </w:r>
      <w:r w:rsidRPr="00103A0B">
        <w:rPr>
          <w:rFonts w:ascii="Arial" w:hAnsi="Arial" w:cs="Arial"/>
          <w:i/>
          <w:iCs/>
          <w:noProof/>
          <w:sz w:val="24"/>
          <w:szCs w:val="24"/>
        </w:rPr>
        <w:t>386</w:t>
      </w:r>
      <w:r w:rsidRPr="00103A0B">
        <w:rPr>
          <w:rFonts w:ascii="Arial" w:hAnsi="Arial" w:cs="Arial"/>
          <w:noProof/>
          <w:sz w:val="24"/>
          <w:szCs w:val="24"/>
        </w:rPr>
        <w:t>(10010), 2287–2323. https://doi.org/https://doi.org/10.1016/S0140-6736(15)00128-2</w:t>
      </w:r>
    </w:p>
    <w:p w14:paraId="549FDC5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French, D. P., Cooper, A. &amp; Weinman, J. (2006). Illness perceptions predict attendance at cardiac rehabilitation following acute myocardial infarction: a systematic review with meta-analysis. </w:t>
      </w:r>
      <w:r w:rsidRPr="00103A0B">
        <w:rPr>
          <w:rFonts w:ascii="Arial" w:hAnsi="Arial" w:cs="Arial"/>
          <w:i/>
          <w:iCs/>
          <w:noProof/>
          <w:sz w:val="24"/>
          <w:szCs w:val="24"/>
        </w:rPr>
        <w:t>Journal of Psychosomatic Research</w:t>
      </w:r>
      <w:r w:rsidRPr="00103A0B">
        <w:rPr>
          <w:rFonts w:ascii="Arial" w:hAnsi="Arial" w:cs="Arial"/>
          <w:noProof/>
          <w:sz w:val="24"/>
          <w:szCs w:val="24"/>
        </w:rPr>
        <w:t xml:space="preserve">, </w:t>
      </w:r>
      <w:r w:rsidRPr="00103A0B">
        <w:rPr>
          <w:rFonts w:ascii="Arial" w:hAnsi="Arial" w:cs="Arial"/>
          <w:i/>
          <w:iCs/>
          <w:noProof/>
          <w:sz w:val="24"/>
          <w:szCs w:val="24"/>
        </w:rPr>
        <w:t>61</w:t>
      </w:r>
      <w:r w:rsidRPr="00103A0B">
        <w:rPr>
          <w:rFonts w:ascii="Arial" w:hAnsi="Arial" w:cs="Arial"/>
          <w:noProof/>
          <w:sz w:val="24"/>
          <w:szCs w:val="24"/>
        </w:rPr>
        <w:t>, 757–767.</w:t>
      </w:r>
    </w:p>
    <w:p w14:paraId="13D5958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French, D. P., Hawkes, R. E., Bower, P. &amp; Cameron, E. (2021). Is the NHS diabetes prevention programme intervention delivered as planned? an observational study of fidelity of intervention delivery. </w:t>
      </w:r>
      <w:r w:rsidRPr="00103A0B">
        <w:rPr>
          <w:rFonts w:ascii="Arial" w:hAnsi="Arial" w:cs="Arial"/>
          <w:i/>
          <w:iCs/>
          <w:noProof/>
          <w:sz w:val="24"/>
          <w:szCs w:val="24"/>
        </w:rPr>
        <w:t>Annals of Behavioral Medicine</w:t>
      </w:r>
      <w:r w:rsidRPr="00103A0B">
        <w:rPr>
          <w:rFonts w:ascii="Arial" w:hAnsi="Arial" w:cs="Arial"/>
          <w:noProof/>
          <w:sz w:val="24"/>
          <w:szCs w:val="24"/>
        </w:rPr>
        <w:t xml:space="preserve">, </w:t>
      </w:r>
      <w:r w:rsidRPr="00103A0B">
        <w:rPr>
          <w:rFonts w:ascii="Arial" w:hAnsi="Arial" w:cs="Arial"/>
          <w:i/>
          <w:iCs/>
          <w:noProof/>
          <w:sz w:val="24"/>
          <w:szCs w:val="24"/>
        </w:rPr>
        <w:t>XX</w:t>
      </w:r>
      <w:r w:rsidRPr="00103A0B">
        <w:rPr>
          <w:rFonts w:ascii="Arial" w:hAnsi="Arial" w:cs="Arial"/>
          <w:noProof/>
          <w:sz w:val="24"/>
          <w:szCs w:val="24"/>
        </w:rPr>
        <w:t>, 1–12. https://doi.org/10.1093/abm/kaaa108</w:t>
      </w:r>
    </w:p>
    <w:p w14:paraId="03D7442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Gagnon, C., Brown, C., Couture, C., Kamga-Ngande, C. N., Hivert, M. F., Baillargeon, J. P., Carpentier, A. C. &amp; Langlois, M. F. (2011). A cost-effective moderate-intensity interdisciplinary weight-management programme for individuals with prediabetes. </w:t>
      </w:r>
      <w:r w:rsidRPr="00103A0B">
        <w:rPr>
          <w:rFonts w:ascii="Arial" w:hAnsi="Arial" w:cs="Arial"/>
          <w:i/>
          <w:iCs/>
          <w:noProof/>
          <w:sz w:val="24"/>
          <w:szCs w:val="24"/>
        </w:rPr>
        <w:t>Diabetes and Metabolism</w:t>
      </w:r>
      <w:r w:rsidRPr="00103A0B">
        <w:rPr>
          <w:rFonts w:ascii="Arial" w:hAnsi="Arial" w:cs="Arial"/>
          <w:noProof/>
          <w:sz w:val="24"/>
          <w:szCs w:val="24"/>
        </w:rPr>
        <w:t xml:space="preserve">, </w:t>
      </w:r>
      <w:r w:rsidRPr="00103A0B">
        <w:rPr>
          <w:rFonts w:ascii="Arial" w:hAnsi="Arial" w:cs="Arial"/>
          <w:i/>
          <w:iCs/>
          <w:noProof/>
          <w:sz w:val="24"/>
          <w:szCs w:val="24"/>
        </w:rPr>
        <w:t>37</w:t>
      </w:r>
      <w:r w:rsidRPr="00103A0B">
        <w:rPr>
          <w:rFonts w:ascii="Arial" w:hAnsi="Arial" w:cs="Arial"/>
          <w:noProof/>
          <w:sz w:val="24"/>
          <w:szCs w:val="24"/>
        </w:rPr>
        <w:t>(5), 410–418. https://doi.org/10.1016/j.diabet.2011.01.003</w:t>
      </w:r>
    </w:p>
    <w:p w14:paraId="745E3E4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Gary-Webb, T. L., Walker, E. A., Realmuto, L., Kamler, A., Lukin, J., Tyson, W., Carrasquillo, O. &amp; Weiss, L. (2018). Translation of the national diabetes prevention program to engage men in disadvantaged neighborhoods in New York city: a description of power up for health. </w:t>
      </w:r>
      <w:r w:rsidRPr="00103A0B">
        <w:rPr>
          <w:rFonts w:ascii="Arial" w:hAnsi="Arial" w:cs="Arial"/>
          <w:i/>
          <w:iCs/>
          <w:noProof/>
          <w:sz w:val="24"/>
          <w:szCs w:val="24"/>
        </w:rPr>
        <w:t>American Journal of Men’s Health</w:t>
      </w:r>
      <w:r w:rsidRPr="00103A0B">
        <w:rPr>
          <w:rFonts w:ascii="Arial" w:hAnsi="Arial" w:cs="Arial"/>
          <w:noProof/>
          <w:sz w:val="24"/>
          <w:szCs w:val="24"/>
        </w:rPr>
        <w:t xml:space="preserve">, </w:t>
      </w:r>
      <w:r w:rsidRPr="00103A0B">
        <w:rPr>
          <w:rFonts w:ascii="Arial" w:hAnsi="Arial" w:cs="Arial"/>
          <w:i/>
          <w:iCs/>
          <w:noProof/>
          <w:sz w:val="24"/>
          <w:szCs w:val="24"/>
        </w:rPr>
        <w:t>12</w:t>
      </w:r>
      <w:r w:rsidRPr="00103A0B">
        <w:rPr>
          <w:rFonts w:ascii="Arial" w:hAnsi="Arial" w:cs="Arial"/>
          <w:noProof/>
          <w:sz w:val="24"/>
          <w:szCs w:val="24"/>
        </w:rPr>
        <w:t>(4), 998–1006. https://doi.org/10.1177/1557988318758788</w:t>
      </w:r>
    </w:p>
    <w:p w14:paraId="5E88B0F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Gholap, N., Davies, M., Patel, K., Sattar, N. &amp; Khunti, K. (2011). Type 2 diabetes and cardiovascular disease in South Asians. </w:t>
      </w:r>
      <w:r w:rsidRPr="00103A0B">
        <w:rPr>
          <w:rFonts w:ascii="Arial" w:hAnsi="Arial" w:cs="Arial"/>
          <w:i/>
          <w:iCs/>
          <w:noProof/>
          <w:sz w:val="24"/>
          <w:szCs w:val="24"/>
        </w:rPr>
        <w:t>Primary Care Diabetes</w:t>
      </w:r>
      <w:r w:rsidRPr="00103A0B">
        <w:rPr>
          <w:rFonts w:ascii="Arial" w:hAnsi="Arial" w:cs="Arial"/>
          <w:noProof/>
          <w:sz w:val="24"/>
          <w:szCs w:val="24"/>
        </w:rPr>
        <w:t xml:space="preserve">, </w:t>
      </w:r>
      <w:r w:rsidRPr="00103A0B">
        <w:rPr>
          <w:rFonts w:ascii="Arial" w:hAnsi="Arial" w:cs="Arial"/>
          <w:i/>
          <w:iCs/>
          <w:noProof/>
          <w:sz w:val="24"/>
          <w:szCs w:val="24"/>
        </w:rPr>
        <w:t>5</w:t>
      </w:r>
      <w:r w:rsidRPr="00103A0B">
        <w:rPr>
          <w:rFonts w:ascii="Arial" w:hAnsi="Arial" w:cs="Arial"/>
          <w:noProof/>
          <w:sz w:val="24"/>
          <w:szCs w:val="24"/>
        </w:rPr>
        <w:t>, 45–56. https://doi.org/10.1016/j.pcd.2010.08.002</w:t>
      </w:r>
    </w:p>
    <w:p w14:paraId="3CF8E46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Gidlow, C., Povey, R., Ellis, N., Begum, S., Riley, V., Chadwick, P., Chadborn, T. &amp; Gold, N. (2018). </w:t>
      </w:r>
      <w:r w:rsidRPr="00103A0B">
        <w:rPr>
          <w:rFonts w:ascii="Arial" w:hAnsi="Arial" w:cs="Arial"/>
          <w:i/>
          <w:iCs/>
          <w:noProof/>
          <w:sz w:val="24"/>
          <w:szCs w:val="24"/>
        </w:rPr>
        <w:t>Uptake and retention in group-based weight-management services</w:t>
      </w:r>
      <w:r w:rsidRPr="00103A0B">
        <w:rPr>
          <w:rFonts w:ascii="Arial" w:hAnsi="Arial" w:cs="Arial"/>
          <w:noProof/>
          <w:sz w:val="24"/>
          <w:szCs w:val="24"/>
        </w:rPr>
        <w:t>. https://www.gov.uk/government/publications/uptake-and-retention-in-group-based-weight-management-services</w:t>
      </w:r>
    </w:p>
    <w:p w14:paraId="335EBE2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Gilis-Januszewska, A., Lindström, J., Barengo, N. C., Tuomilehto, J., Schwarz, P. E., Wójtowicz, E., Piwońska-Solska, B., Szybiński, Z., Windak, A. &amp; Hubalewska-Dydejczyk, A. (2018). Predictors of completing a primary health care diabetes prevention intervention programme in people at high risk of type 2 diabetes: experiences of the DE-PLAN project. </w:t>
      </w:r>
      <w:r w:rsidRPr="00103A0B">
        <w:rPr>
          <w:rFonts w:ascii="Arial" w:hAnsi="Arial" w:cs="Arial"/>
          <w:i/>
          <w:iCs/>
          <w:noProof/>
          <w:sz w:val="24"/>
          <w:szCs w:val="24"/>
        </w:rPr>
        <w:t>Medicine</w:t>
      </w:r>
      <w:r w:rsidRPr="00103A0B">
        <w:rPr>
          <w:rFonts w:ascii="Arial" w:hAnsi="Arial" w:cs="Arial"/>
          <w:noProof/>
          <w:sz w:val="24"/>
          <w:szCs w:val="24"/>
        </w:rPr>
        <w:t xml:space="preserve">, </w:t>
      </w:r>
      <w:r w:rsidRPr="00103A0B">
        <w:rPr>
          <w:rFonts w:ascii="Arial" w:hAnsi="Arial" w:cs="Arial"/>
          <w:i/>
          <w:iCs/>
          <w:noProof/>
          <w:sz w:val="24"/>
          <w:szCs w:val="24"/>
        </w:rPr>
        <w:t>97</w:t>
      </w:r>
      <w:r w:rsidRPr="00103A0B">
        <w:rPr>
          <w:rFonts w:ascii="Arial" w:hAnsi="Arial" w:cs="Arial"/>
          <w:noProof/>
          <w:sz w:val="24"/>
          <w:szCs w:val="24"/>
        </w:rPr>
        <w:t>(5), e9790.</w:t>
      </w:r>
    </w:p>
    <w:p w14:paraId="54B282C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Gilis-Januszewska, A., Piwońska-Solska, B., Lindström, J., Wójtowicz, E., Tuomilehto, J., Schwarz, P. E. H., Kissimova-Skarbek, K., Szybiński, Z., Windak, A. &amp; Hubalewska-Dydejczyk, A. (2018). Determinants of weight outcomes in type 2 diabetes prevention intervention in primary health care setting (the DE-PLAN project). </w:t>
      </w:r>
      <w:r w:rsidRPr="00103A0B">
        <w:rPr>
          <w:rFonts w:ascii="Arial" w:hAnsi="Arial" w:cs="Arial"/>
          <w:i/>
          <w:iCs/>
          <w:noProof/>
          <w:sz w:val="24"/>
          <w:szCs w:val="24"/>
        </w:rPr>
        <w:t>BMC Public Health</w:t>
      </w:r>
      <w:r w:rsidRPr="00103A0B">
        <w:rPr>
          <w:rFonts w:ascii="Arial" w:hAnsi="Arial" w:cs="Arial"/>
          <w:noProof/>
          <w:sz w:val="24"/>
          <w:szCs w:val="24"/>
        </w:rPr>
        <w:t xml:space="preserve">, </w:t>
      </w:r>
      <w:r w:rsidRPr="00103A0B">
        <w:rPr>
          <w:rFonts w:ascii="Arial" w:hAnsi="Arial" w:cs="Arial"/>
          <w:i/>
          <w:iCs/>
          <w:noProof/>
          <w:sz w:val="24"/>
          <w:szCs w:val="24"/>
        </w:rPr>
        <w:t>18</w:t>
      </w:r>
      <w:r w:rsidRPr="00103A0B">
        <w:rPr>
          <w:rFonts w:ascii="Arial" w:hAnsi="Arial" w:cs="Arial"/>
          <w:noProof/>
          <w:sz w:val="24"/>
          <w:szCs w:val="24"/>
        </w:rPr>
        <w:t>(97), 1–9. https://doi.org/10.1186/s12889-017-4977-1</w:t>
      </w:r>
    </w:p>
    <w:p w14:paraId="5F4F587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Glynn, S. M. &amp; Ruderman, A. J. (1986). The development and validation of an eating self-efficacy scale. </w:t>
      </w:r>
      <w:r w:rsidRPr="00103A0B">
        <w:rPr>
          <w:rFonts w:ascii="Arial" w:hAnsi="Arial" w:cs="Arial"/>
          <w:i/>
          <w:iCs/>
          <w:noProof/>
          <w:sz w:val="24"/>
          <w:szCs w:val="24"/>
        </w:rPr>
        <w:t>Cognitive Therapy and Research</w:t>
      </w:r>
      <w:r w:rsidRPr="00103A0B">
        <w:rPr>
          <w:rFonts w:ascii="Arial" w:hAnsi="Arial" w:cs="Arial"/>
          <w:noProof/>
          <w:sz w:val="24"/>
          <w:szCs w:val="24"/>
        </w:rPr>
        <w:t xml:space="preserve">, </w:t>
      </w:r>
      <w:r w:rsidRPr="00103A0B">
        <w:rPr>
          <w:rFonts w:ascii="Arial" w:hAnsi="Arial" w:cs="Arial"/>
          <w:i/>
          <w:iCs/>
          <w:noProof/>
          <w:sz w:val="24"/>
          <w:szCs w:val="24"/>
        </w:rPr>
        <w:t>10</w:t>
      </w:r>
      <w:r w:rsidRPr="00103A0B">
        <w:rPr>
          <w:rFonts w:ascii="Arial" w:hAnsi="Arial" w:cs="Arial"/>
          <w:noProof/>
          <w:sz w:val="24"/>
          <w:szCs w:val="24"/>
        </w:rPr>
        <w:t>(4), 403–420.</w:t>
      </w:r>
    </w:p>
    <w:p w14:paraId="0200CC9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Gómez, M. L., Hieronymus, L. B., Ashford, K. B., Barnett, J. M. &amp; Renn, T. A. (2018). Linking postpartum and parenting women with a national diabetes prevention program: recruitment efforts, challenges, and recommendations. </w:t>
      </w:r>
      <w:r w:rsidRPr="00103A0B">
        <w:rPr>
          <w:rFonts w:ascii="Arial" w:hAnsi="Arial" w:cs="Arial"/>
          <w:i/>
          <w:iCs/>
          <w:noProof/>
          <w:sz w:val="24"/>
          <w:szCs w:val="24"/>
        </w:rPr>
        <w:t>Diabetes Spectrum</w:t>
      </w:r>
      <w:r w:rsidRPr="00103A0B">
        <w:rPr>
          <w:rFonts w:ascii="Arial" w:hAnsi="Arial" w:cs="Arial"/>
          <w:noProof/>
          <w:sz w:val="24"/>
          <w:szCs w:val="24"/>
        </w:rPr>
        <w:t xml:space="preserve">, </w:t>
      </w:r>
      <w:r w:rsidRPr="00103A0B">
        <w:rPr>
          <w:rFonts w:ascii="Arial" w:hAnsi="Arial" w:cs="Arial"/>
          <w:i/>
          <w:iCs/>
          <w:noProof/>
          <w:sz w:val="24"/>
          <w:szCs w:val="24"/>
        </w:rPr>
        <w:t>31</w:t>
      </w:r>
      <w:r w:rsidRPr="00103A0B">
        <w:rPr>
          <w:rFonts w:ascii="Arial" w:hAnsi="Arial" w:cs="Arial"/>
          <w:noProof/>
          <w:sz w:val="24"/>
          <w:szCs w:val="24"/>
        </w:rPr>
        <w:t>(4), 324–329. https://doi.org/10.2337/ds18-0013</w:t>
      </w:r>
    </w:p>
    <w:p w14:paraId="73B5285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Gordon-Finlayson, A. (2010). QM2: Grounded theory. In M. A. Forrester (Ed.), </w:t>
      </w:r>
      <w:r w:rsidRPr="00103A0B">
        <w:rPr>
          <w:rFonts w:ascii="Arial" w:hAnsi="Arial" w:cs="Arial"/>
          <w:i/>
          <w:iCs/>
          <w:noProof/>
          <w:sz w:val="24"/>
          <w:szCs w:val="24"/>
        </w:rPr>
        <w:t>Doing qualitative research in psychology: a practical guide</w:t>
      </w:r>
      <w:r w:rsidRPr="00103A0B">
        <w:rPr>
          <w:rFonts w:ascii="Arial" w:hAnsi="Arial" w:cs="Arial"/>
          <w:noProof/>
          <w:sz w:val="24"/>
          <w:szCs w:val="24"/>
        </w:rPr>
        <w:t xml:space="preserve"> (pp. 154–176). SAGE Publications Ltd.</w:t>
      </w:r>
    </w:p>
    <w:p w14:paraId="07D8DAD7" w14:textId="09E5718C"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Grace, S. L., Abbey, S. E., Shnek, Z. M., Irv</w:t>
      </w:r>
      <w:r w:rsidR="00B83665" w:rsidRPr="00103A0B">
        <w:rPr>
          <w:rFonts w:ascii="Arial" w:hAnsi="Arial" w:cs="Arial"/>
          <w:noProof/>
          <w:sz w:val="24"/>
          <w:szCs w:val="24"/>
        </w:rPr>
        <w:t>.</w:t>
      </w:r>
      <w:r w:rsidRPr="00103A0B">
        <w:rPr>
          <w:rFonts w:ascii="Arial" w:hAnsi="Arial" w:cs="Arial"/>
          <w:noProof/>
          <w:sz w:val="24"/>
          <w:szCs w:val="24"/>
        </w:rPr>
        <w:t xml:space="preserve">ine, J., Franche, R. L. &amp; Stewart, D. E. (2002). Cardiac rehabilitation II: referral and participation. </w:t>
      </w:r>
      <w:r w:rsidRPr="00103A0B">
        <w:rPr>
          <w:rFonts w:ascii="Arial" w:hAnsi="Arial" w:cs="Arial"/>
          <w:i/>
          <w:iCs/>
          <w:noProof/>
          <w:sz w:val="24"/>
          <w:szCs w:val="24"/>
        </w:rPr>
        <w:t>General Hospital Psychiatry</w:t>
      </w:r>
      <w:r w:rsidRPr="00103A0B">
        <w:rPr>
          <w:rFonts w:ascii="Arial" w:hAnsi="Arial" w:cs="Arial"/>
          <w:noProof/>
          <w:sz w:val="24"/>
          <w:szCs w:val="24"/>
        </w:rPr>
        <w:t xml:space="preserve">, </w:t>
      </w:r>
      <w:r w:rsidRPr="00103A0B">
        <w:rPr>
          <w:rFonts w:ascii="Arial" w:hAnsi="Arial" w:cs="Arial"/>
          <w:i/>
          <w:iCs/>
          <w:noProof/>
          <w:sz w:val="24"/>
          <w:szCs w:val="24"/>
        </w:rPr>
        <w:t>24</w:t>
      </w:r>
      <w:r w:rsidRPr="00103A0B">
        <w:rPr>
          <w:rFonts w:ascii="Arial" w:hAnsi="Arial" w:cs="Arial"/>
          <w:noProof/>
          <w:sz w:val="24"/>
          <w:szCs w:val="24"/>
        </w:rPr>
        <w:t>(3), 127–134. https://doi.org/10.1016/S0163-8343(02)00179-2</w:t>
      </w:r>
    </w:p>
    <w:p w14:paraId="255016B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Gray, L. J., Yates, T., Troughton, J., Khunti, K. &amp; Davies, M. J. (2016). Engagement, retention, and progression to type 2 diabetes: a retrospective analysis of the cluster-randomised “Let’s Prevent Diabetes” trial. </w:t>
      </w:r>
      <w:r w:rsidRPr="00103A0B">
        <w:rPr>
          <w:rFonts w:ascii="Arial" w:hAnsi="Arial" w:cs="Arial"/>
          <w:i/>
          <w:iCs/>
          <w:noProof/>
          <w:sz w:val="24"/>
          <w:szCs w:val="24"/>
        </w:rPr>
        <w:t>PLoS Medicine</w:t>
      </w:r>
      <w:r w:rsidRPr="00103A0B">
        <w:rPr>
          <w:rFonts w:ascii="Arial" w:hAnsi="Arial" w:cs="Arial"/>
          <w:noProof/>
          <w:sz w:val="24"/>
          <w:szCs w:val="24"/>
        </w:rPr>
        <w:t xml:space="preserve">, </w:t>
      </w:r>
      <w:r w:rsidRPr="00103A0B">
        <w:rPr>
          <w:rFonts w:ascii="Arial" w:hAnsi="Arial" w:cs="Arial"/>
          <w:i/>
          <w:iCs/>
          <w:noProof/>
          <w:sz w:val="24"/>
          <w:szCs w:val="24"/>
        </w:rPr>
        <w:t>13</w:t>
      </w:r>
      <w:r w:rsidRPr="00103A0B">
        <w:rPr>
          <w:rFonts w:ascii="Arial" w:hAnsi="Arial" w:cs="Arial"/>
          <w:noProof/>
          <w:sz w:val="24"/>
          <w:szCs w:val="24"/>
        </w:rPr>
        <w:t>(7), e1002078.</w:t>
      </w:r>
    </w:p>
    <w:p w14:paraId="0C833AB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Green, B. N. &amp; Johnson, C. D. (2015). Interprofessional collaboration in research, education, and clinical practice: working together for a better future. </w:t>
      </w:r>
      <w:r w:rsidRPr="00103A0B">
        <w:rPr>
          <w:rFonts w:ascii="Arial" w:hAnsi="Arial" w:cs="Arial"/>
          <w:i/>
          <w:iCs/>
          <w:noProof/>
          <w:sz w:val="24"/>
          <w:szCs w:val="24"/>
        </w:rPr>
        <w:t>Journal of Chiropractic Education</w:t>
      </w:r>
      <w:r w:rsidRPr="00103A0B">
        <w:rPr>
          <w:rFonts w:ascii="Arial" w:hAnsi="Arial" w:cs="Arial"/>
          <w:noProof/>
          <w:sz w:val="24"/>
          <w:szCs w:val="24"/>
        </w:rPr>
        <w:t xml:space="preserve">, </w:t>
      </w:r>
      <w:r w:rsidRPr="00103A0B">
        <w:rPr>
          <w:rFonts w:ascii="Arial" w:hAnsi="Arial" w:cs="Arial"/>
          <w:i/>
          <w:iCs/>
          <w:noProof/>
          <w:sz w:val="24"/>
          <w:szCs w:val="24"/>
        </w:rPr>
        <w:t>29</w:t>
      </w:r>
      <w:r w:rsidRPr="00103A0B">
        <w:rPr>
          <w:rFonts w:ascii="Arial" w:hAnsi="Arial" w:cs="Arial"/>
          <w:noProof/>
          <w:sz w:val="24"/>
          <w:szCs w:val="24"/>
        </w:rPr>
        <w:t>(1), 1–10. https://doi.org/10.7899/jce-14-36</w:t>
      </w:r>
    </w:p>
    <w:p w14:paraId="216FB9E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Griauzde, D. H., Saslow, L., Patterson, K., Ansari, T., Liestenfeltz, B., Tisack, A., Bihn, P., Shopinski, S. &amp; Richardson, C. R. (2020). Mixed methods pilot study of a low-carbohydrate diabetes prevention programme among adults with pre-diabetes in the USA. </w:t>
      </w:r>
      <w:r w:rsidRPr="00103A0B">
        <w:rPr>
          <w:rFonts w:ascii="Arial" w:hAnsi="Arial" w:cs="Arial"/>
          <w:i/>
          <w:iCs/>
          <w:noProof/>
          <w:sz w:val="24"/>
          <w:szCs w:val="24"/>
        </w:rPr>
        <w:t>BMJ Open</w:t>
      </w:r>
      <w:r w:rsidRPr="00103A0B">
        <w:rPr>
          <w:rFonts w:ascii="Arial" w:hAnsi="Arial" w:cs="Arial"/>
          <w:noProof/>
          <w:sz w:val="24"/>
          <w:szCs w:val="24"/>
        </w:rPr>
        <w:t xml:space="preserve">, </w:t>
      </w:r>
      <w:r w:rsidRPr="00103A0B">
        <w:rPr>
          <w:rFonts w:ascii="Arial" w:hAnsi="Arial" w:cs="Arial"/>
          <w:i/>
          <w:iCs/>
          <w:noProof/>
          <w:sz w:val="24"/>
          <w:szCs w:val="24"/>
        </w:rPr>
        <w:t>10</w:t>
      </w:r>
      <w:r w:rsidRPr="00103A0B">
        <w:rPr>
          <w:rFonts w:ascii="Arial" w:hAnsi="Arial" w:cs="Arial"/>
          <w:noProof/>
          <w:sz w:val="24"/>
          <w:szCs w:val="24"/>
        </w:rPr>
        <w:t>, e033397. https://doi.org/10.1136/bmjopen-2019-033397</w:t>
      </w:r>
    </w:p>
    <w:p w14:paraId="563C64D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Griauzde, D., Kullgren, J. T., Liestenfeltz, B., Ansari, T., Johnson, E. H., Fedewa, A., Saslow, L. R., Richardson, C. &amp; Heisler, M. (2019). A mobile phone-based program to promote healthy behaviors among adults with prediabetes who declined participation in free diabetes prevention programs: mixed-methods pilot randomized controlled trial. </w:t>
      </w:r>
      <w:r w:rsidRPr="00103A0B">
        <w:rPr>
          <w:rFonts w:ascii="Arial" w:hAnsi="Arial" w:cs="Arial"/>
          <w:i/>
          <w:iCs/>
          <w:noProof/>
          <w:sz w:val="24"/>
          <w:szCs w:val="24"/>
        </w:rPr>
        <w:t>Journal of Medical Internet Research</w:t>
      </w:r>
      <w:r w:rsidRPr="00103A0B">
        <w:rPr>
          <w:rFonts w:ascii="Arial" w:hAnsi="Arial" w:cs="Arial"/>
          <w:noProof/>
          <w:sz w:val="24"/>
          <w:szCs w:val="24"/>
        </w:rPr>
        <w:t xml:space="preserve">, </w:t>
      </w:r>
      <w:r w:rsidRPr="00103A0B">
        <w:rPr>
          <w:rFonts w:ascii="Arial" w:hAnsi="Arial" w:cs="Arial"/>
          <w:i/>
          <w:iCs/>
          <w:noProof/>
          <w:sz w:val="24"/>
          <w:szCs w:val="24"/>
        </w:rPr>
        <w:t>21</w:t>
      </w:r>
      <w:r w:rsidRPr="00103A0B">
        <w:rPr>
          <w:rFonts w:ascii="Arial" w:hAnsi="Arial" w:cs="Arial"/>
          <w:noProof/>
          <w:sz w:val="24"/>
          <w:szCs w:val="24"/>
        </w:rPr>
        <w:t>(1), 1–11. https://doi.org/10.2196/11267</w:t>
      </w:r>
    </w:p>
    <w:p w14:paraId="65F6026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Gul, R. B. &amp; Ali, P. A. (2010). Clinical trials : the challenge of recruitment and retention of participants. </w:t>
      </w:r>
      <w:r w:rsidRPr="00103A0B">
        <w:rPr>
          <w:rFonts w:ascii="Arial" w:hAnsi="Arial" w:cs="Arial"/>
          <w:i/>
          <w:iCs/>
          <w:noProof/>
          <w:sz w:val="24"/>
          <w:szCs w:val="24"/>
        </w:rPr>
        <w:t>Journal of Clinical Nursing</w:t>
      </w:r>
      <w:r w:rsidRPr="00103A0B">
        <w:rPr>
          <w:rFonts w:ascii="Arial" w:hAnsi="Arial" w:cs="Arial"/>
          <w:noProof/>
          <w:sz w:val="24"/>
          <w:szCs w:val="24"/>
        </w:rPr>
        <w:t xml:space="preserve">, </w:t>
      </w:r>
      <w:r w:rsidRPr="00103A0B">
        <w:rPr>
          <w:rFonts w:ascii="Arial" w:hAnsi="Arial" w:cs="Arial"/>
          <w:i/>
          <w:iCs/>
          <w:noProof/>
          <w:sz w:val="24"/>
          <w:szCs w:val="24"/>
        </w:rPr>
        <w:t>19</w:t>
      </w:r>
      <w:r w:rsidRPr="00103A0B">
        <w:rPr>
          <w:rFonts w:ascii="Arial" w:hAnsi="Arial" w:cs="Arial"/>
          <w:noProof/>
          <w:sz w:val="24"/>
          <w:szCs w:val="24"/>
        </w:rPr>
        <w:t>, 227–233. https://doi.org/10.1111/j.1365-2702.2009.03041.x</w:t>
      </w:r>
    </w:p>
    <w:p w14:paraId="29C6B88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Guyse, L. A., McHugh, B. R., Meszaros, J. F., Vanderwood, K. K., Hall, T. O., Arave, D., Butcher, M. K., Helgerson, S. D. &amp; Harwell, T. S. (2011). Collaborative approach to implementing an adapted diabetes prevention program lifestyle intervention. </w:t>
      </w:r>
      <w:r w:rsidRPr="00103A0B">
        <w:rPr>
          <w:rFonts w:ascii="Arial" w:hAnsi="Arial" w:cs="Arial"/>
          <w:i/>
          <w:iCs/>
          <w:noProof/>
          <w:sz w:val="24"/>
          <w:szCs w:val="24"/>
        </w:rPr>
        <w:t>Diabetes Spectrum</w:t>
      </w:r>
      <w:r w:rsidRPr="00103A0B">
        <w:rPr>
          <w:rFonts w:ascii="Arial" w:hAnsi="Arial" w:cs="Arial"/>
          <w:noProof/>
          <w:sz w:val="24"/>
          <w:szCs w:val="24"/>
        </w:rPr>
        <w:t xml:space="preserve">, </w:t>
      </w:r>
      <w:r w:rsidRPr="00103A0B">
        <w:rPr>
          <w:rFonts w:ascii="Arial" w:hAnsi="Arial" w:cs="Arial"/>
          <w:i/>
          <w:iCs/>
          <w:noProof/>
          <w:sz w:val="24"/>
          <w:szCs w:val="24"/>
        </w:rPr>
        <w:t>24</w:t>
      </w:r>
      <w:r w:rsidRPr="00103A0B">
        <w:rPr>
          <w:rFonts w:ascii="Arial" w:hAnsi="Arial" w:cs="Arial"/>
          <w:noProof/>
          <w:sz w:val="24"/>
          <w:szCs w:val="24"/>
        </w:rPr>
        <w:t>(3), 138–143. https://doi.org/10.2337/diaspect.24.3.138</w:t>
      </w:r>
    </w:p>
    <w:p w14:paraId="47A2ED9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Harrison, C. R., Phimphasone-Brady, P., DiOrio, B., Raghuanath, S. G., Bright, R., Ritchie, N. D. &amp; Sauder, K. A. (2020). Barriers and facilitators of national diabetes prevention program engagement among women of childbearing age: a qualitative study. </w:t>
      </w:r>
      <w:r w:rsidRPr="00103A0B">
        <w:rPr>
          <w:rFonts w:ascii="Arial" w:hAnsi="Arial" w:cs="Arial"/>
          <w:i/>
          <w:iCs/>
          <w:noProof/>
          <w:sz w:val="24"/>
          <w:szCs w:val="24"/>
        </w:rPr>
        <w:t>Diabetes Educator</w:t>
      </w:r>
      <w:r w:rsidRPr="00103A0B">
        <w:rPr>
          <w:rFonts w:ascii="Arial" w:hAnsi="Arial" w:cs="Arial"/>
          <w:noProof/>
          <w:sz w:val="24"/>
          <w:szCs w:val="24"/>
        </w:rPr>
        <w:t xml:space="preserve">, </w:t>
      </w:r>
      <w:r w:rsidRPr="00103A0B">
        <w:rPr>
          <w:rFonts w:ascii="Arial" w:hAnsi="Arial" w:cs="Arial"/>
          <w:i/>
          <w:iCs/>
          <w:noProof/>
          <w:sz w:val="24"/>
          <w:szCs w:val="24"/>
        </w:rPr>
        <w:t>46</w:t>
      </w:r>
      <w:r w:rsidRPr="00103A0B">
        <w:rPr>
          <w:rFonts w:ascii="Arial" w:hAnsi="Arial" w:cs="Arial"/>
          <w:noProof/>
          <w:sz w:val="24"/>
          <w:szCs w:val="24"/>
        </w:rPr>
        <w:t>(3), 279–288.</w:t>
      </w:r>
    </w:p>
    <w:p w14:paraId="508170B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Hawkes, R. E., Cameron, E., Bower, P. &amp; French, D. P. (2020). Does the design of the NHS diabetes prevention programme intervention have fidelity to the programme specification? a document analysis. </w:t>
      </w:r>
      <w:r w:rsidRPr="00103A0B">
        <w:rPr>
          <w:rFonts w:ascii="Arial" w:hAnsi="Arial" w:cs="Arial"/>
          <w:i/>
          <w:iCs/>
          <w:noProof/>
          <w:sz w:val="24"/>
          <w:szCs w:val="24"/>
        </w:rPr>
        <w:t>Diabetic Medicine</w:t>
      </w:r>
      <w:r w:rsidRPr="00103A0B">
        <w:rPr>
          <w:rFonts w:ascii="Arial" w:hAnsi="Arial" w:cs="Arial"/>
          <w:noProof/>
          <w:sz w:val="24"/>
          <w:szCs w:val="24"/>
        </w:rPr>
        <w:t xml:space="preserve">, </w:t>
      </w:r>
      <w:r w:rsidRPr="00103A0B">
        <w:rPr>
          <w:rFonts w:ascii="Arial" w:hAnsi="Arial" w:cs="Arial"/>
          <w:i/>
          <w:iCs/>
          <w:noProof/>
          <w:sz w:val="24"/>
          <w:szCs w:val="24"/>
        </w:rPr>
        <w:t>37</w:t>
      </w:r>
      <w:r w:rsidRPr="00103A0B">
        <w:rPr>
          <w:rFonts w:ascii="Arial" w:hAnsi="Arial" w:cs="Arial"/>
          <w:noProof/>
          <w:sz w:val="24"/>
          <w:szCs w:val="24"/>
        </w:rPr>
        <w:t>(8), 1357–1366. https://doi.org/10.1111/dme.14201</w:t>
      </w:r>
    </w:p>
    <w:p w14:paraId="10CD81B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Hawkes, R.E., Cameron, E., Cotterill, S., Bower, P. &amp; French, D. P. (2020). The NHS diabetes prevention programme: an observational study of service delivery and patient experience. </w:t>
      </w:r>
      <w:r w:rsidRPr="00103A0B">
        <w:rPr>
          <w:rFonts w:ascii="Arial" w:hAnsi="Arial" w:cs="Arial"/>
          <w:i/>
          <w:iCs/>
          <w:noProof/>
          <w:sz w:val="24"/>
          <w:szCs w:val="24"/>
        </w:rPr>
        <w:t>BMC Health Services Research</w:t>
      </w:r>
      <w:r w:rsidRPr="00103A0B">
        <w:rPr>
          <w:rFonts w:ascii="Arial" w:hAnsi="Arial" w:cs="Arial"/>
          <w:noProof/>
          <w:sz w:val="24"/>
          <w:szCs w:val="24"/>
        </w:rPr>
        <w:t xml:space="preserve">, </w:t>
      </w:r>
      <w:r w:rsidRPr="00103A0B">
        <w:rPr>
          <w:rFonts w:ascii="Arial" w:hAnsi="Arial" w:cs="Arial"/>
          <w:i/>
          <w:iCs/>
          <w:noProof/>
          <w:sz w:val="24"/>
          <w:szCs w:val="24"/>
        </w:rPr>
        <w:t>20</w:t>
      </w:r>
      <w:r w:rsidRPr="00103A0B">
        <w:rPr>
          <w:rFonts w:ascii="Arial" w:hAnsi="Arial" w:cs="Arial"/>
          <w:noProof/>
          <w:sz w:val="24"/>
          <w:szCs w:val="24"/>
        </w:rPr>
        <w:t>, 1098.</w:t>
      </w:r>
    </w:p>
    <w:p w14:paraId="36F6C2B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Hawkes, Rhiannon E., Cameron, E., Miles, L. M. &amp; French, D. P. (2021). The fidelity of training in behaviour change techniques to intervention design in a national diabetes prevention programme. </w:t>
      </w:r>
      <w:r w:rsidRPr="00103A0B">
        <w:rPr>
          <w:rFonts w:ascii="Arial" w:hAnsi="Arial" w:cs="Arial"/>
          <w:i/>
          <w:iCs/>
          <w:noProof/>
          <w:sz w:val="24"/>
          <w:szCs w:val="24"/>
        </w:rPr>
        <w:t>International Journal of Behavioral Medicine</w:t>
      </w:r>
      <w:r w:rsidRPr="00103A0B">
        <w:rPr>
          <w:rFonts w:ascii="Arial" w:hAnsi="Arial" w:cs="Arial"/>
          <w:noProof/>
          <w:sz w:val="24"/>
          <w:szCs w:val="24"/>
        </w:rPr>
        <w:t>. https://doi.org/10.1007/s12529-021-09961-5</w:t>
      </w:r>
    </w:p>
    <w:p w14:paraId="3397DF6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Hays, L. M., Finch, E. A., Saha, C., Marrero, D. G. &amp; Ronald, T. (2014). Effect of self-efficacy on weight loss: a psychosocial analysis of a community-based adaptation of the diabetes prevention program lifestyle intervention. </w:t>
      </w:r>
      <w:r w:rsidRPr="00103A0B">
        <w:rPr>
          <w:rFonts w:ascii="Arial" w:hAnsi="Arial" w:cs="Arial"/>
          <w:i/>
          <w:iCs/>
          <w:noProof/>
          <w:sz w:val="24"/>
          <w:szCs w:val="24"/>
        </w:rPr>
        <w:t>Diabetes Spectrum</w:t>
      </w:r>
      <w:r w:rsidRPr="00103A0B">
        <w:rPr>
          <w:rFonts w:ascii="Arial" w:hAnsi="Arial" w:cs="Arial"/>
          <w:noProof/>
          <w:sz w:val="24"/>
          <w:szCs w:val="24"/>
        </w:rPr>
        <w:t xml:space="preserve">, </w:t>
      </w:r>
      <w:r w:rsidRPr="00103A0B">
        <w:rPr>
          <w:rFonts w:ascii="Arial" w:hAnsi="Arial" w:cs="Arial"/>
          <w:i/>
          <w:iCs/>
          <w:noProof/>
          <w:sz w:val="24"/>
          <w:szCs w:val="24"/>
        </w:rPr>
        <w:t>27</w:t>
      </w:r>
      <w:r w:rsidRPr="00103A0B">
        <w:rPr>
          <w:rFonts w:ascii="Arial" w:hAnsi="Arial" w:cs="Arial"/>
          <w:noProof/>
          <w:sz w:val="24"/>
          <w:szCs w:val="24"/>
        </w:rPr>
        <w:t>(4), 270–275.</w:t>
      </w:r>
    </w:p>
    <w:p w14:paraId="64619FB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Helitzer, D. L., Peterson, A. B., Sanders, M. &amp; Thompson, J. (2007). Relationship of stages of change to attendance in a diabetes prevention program. </w:t>
      </w:r>
      <w:r w:rsidRPr="00103A0B">
        <w:rPr>
          <w:rFonts w:ascii="Arial" w:hAnsi="Arial" w:cs="Arial"/>
          <w:i/>
          <w:iCs/>
          <w:noProof/>
          <w:sz w:val="24"/>
          <w:szCs w:val="24"/>
        </w:rPr>
        <w:t>American Journal of Health Promotion</w:t>
      </w:r>
      <w:r w:rsidRPr="00103A0B">
        <w:rPr>
          <w:rFonts w:ascii="Arial" w:hAnsi="Arial" w:cs="Arial"/>
          <w:noProof/>
          <w:sz w:val="24"/>
          <w:szCs w:val="24"/>
        </w:rPr>
        <w:t xml:space="preserve">, </w:t>
      </w:r>
      <w:r w:rsidRPr="00103A0B">
        <w:rPr>
          <w:rFonts w:ascii="Arial" w:hAnsi="Arial" w:cs="Arial"/>
          <w:i/>
          <w:iCs/>
          <w:noProof/>
          <w:sz w:val="24"/>
          <w:szCs w:val="24"/>
        </w:rPr>
        <w:t>21</w:t>
      </w:r>
      <w:r w:rsidRPr="00103A0B">
        <w:rPr>
          <w:rFonts w:ascii="Arial" w:hAnsi="Arial" w:cs="Arial"/>
          <w:noProof/>
          <w:sz w:val="24"/>
          <w:szCs w:val="24"/>
        </w:rPr>
        <w:t>(6), 517–520. https://doi.org/10.4278/0890-1171-21.6.517</w:t>
      </w:r>
    </w:p>
    <w:p w14:paraId="10385B7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Herman, W. H. &amp; Zimmet, P. (2012). Type 2 diabetes: an epidemic requiring global attention and urgent action.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35</w:t>
      </w:r>
      <w:r w:rsidRPr="00103A0B">
        <w:rPr>
          <w:rFonts w:ascii="Arial" w:hAnsi="Arial" w:cs="Arial"/>
          <w:noProof/>
          <w:sz w:val="24"/>
          <w:szCs w:val="24"/>
        </w:rPr>
        <w:t>(5), 943–944. https://doi.org/10.2337/dc12-0298</w:t>
      </w:r>
    </w:p>
    <w:p w14:paraId="5D1A8C7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Hernan, A., Philpot, B., Janus, E. D. &amp; Dunbar, J. A. (2012). Recruitment into diabetes prevention programs: what is the impact of errors in self-reported measures of obesity? </w:t>
      </w:r>
      <w:r w:rsidRPr="00103A0B">
        <w:rPr>
          <w:rFonts w:ascii="Arial" w:hAnsi="Arial" w:cs="Arial"/>
          <w:i/>
          <w:iCs/>
          <w:noProof/>
          <w:sz w:val="24"/>
          <w:szCs w:val="24"/>
        </w:rPr>
        <w:t>BMC Public Health</w:t>
      </w:r>
      <w:r w:rsidRPr="00103A0B">
        <w:rPr>
          <w:rFonts w:ascii="Arial" w:hAnsi="Arial" w:cs="Arial"/>
          <w:noProof/>
          <w:sz w:val="24"/>
          <w:szCs w:val="24"/>
        </w:rPr>
        <w:t xml:space="preserve">, </w:t>
      </w:r>
      <w:r w:rsidRPr="00103A0B">
        <w:rPr>
          <w:rFonts w:ascii="Arial" w:hAnsi="Arial" w:cs="Arial"/>
          <w:i/>
          <w:iCs/>
          <w:noProof/>
          <w:sz w:val="24"/>
          <w:szCs w:val="24"/>
        </w:rPr>
        <w:t>12</w:t>
      </w:r>
      <w:r w:rsidRPr="00103A0B">
        <w:rPr>
          <w:rFonts w:ascii="Arial" w:hAnsi="Arial" w:cs="Arial"/>
          <w:noProof/>
          <w:sz w:val="24"/>
          <w:szCs w:val="24"/>
        </w:rPr>
        <w:t>, 510. https://doi.org/10.1186/1471-2458-12-510</w:t>
      </w:r>
    </w:p>
    <w:p w14:paraId="5E8CC5E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Hex, N., Bartlett, C., Wright, D., Taylor, M. &amp; Varley, D. (2012). Estimating the current and future costs of type 1 and type 2 diabetes in the UK, including direct health costs and indirect societal and productivity costs. </w:t>
      </w:r>
      <w:r w:rsidRPr="00103A0B">
        <w:rPr>
          <w:rFonts w:ascii="Arial" w:hAnsi="Arial" w:cs="Arial"/>
          <w:i/>
          <w:iCs/>
          <w:noProof/>
          <w:sz w:val="24"/>
          <w:szCs w:val="24"/>
        </w:rPr>
        <w:t>Diabetic Medicine</w:t>
      </w:r>
      <w:r w:rsidRPr="00103A0B">
        <w:rPr>
          <w:rFonts w:ascii="Arial" w:hAnsi="Arial" w:cs="Arial"/>
          <w:noProof/>
          <w:sz w:val="24"/>
          <w:szCs w:val="24"/>
        </w:rPr>
        <w:t xml:space="preserve">, </w:t>
      </w:r>
      <w:r w:rsidRPr="00103A0B">
        <w:rPr>
          <w:rFonts w:ascii="Arial" w:hAnsi="Arial" w:cs="Arial"/>
          <w:i/>
          <w:iCs/>
          <w:noProof/>
          <w:sz w:val="24"/>
          <w:szCs w:val="24"/>
        </w:rPr>
        <w:t>29</w:t>
      </w:r>
      <w:r w:rsidRPr="00103A0B">
        <w:rPr>
          <w:rFonts w:ascii="Arial" w:hAnsi="Arial" w:cs="Arial"/>
          <w:noProof/>
          <w:sz w:val="24"/>
          <w:szCs w:val="24"/>
        </w:rPr>
        <w:t>(7), 855–862.</w:t>
      </w:r>
    </w:p>
    <w:p w14:paraId="5991A3C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HM Government. (2019). </w:t>
      </w:r>
      <w:r w:rsidRPr="00103A0B">
        <w:rPr>
          <w:rFonts w:ascii="Arial" w:hAnsi="Arial" w:cs="Arial"/>
          <w:i/>
          <w:iCs/>
          <w:noProof/>
          <w:sz w:val="24"/>
          <w:szCs w:val="24"/>
        </w:rPr>
        <w:t>Advancing our health: prevention in the 2020s</w:t>
      </w:r>
      <w:r w:rsidRPr="00103A0B">
        <w:rPr>
          <w:rFonts w:ascii="Arial" w:hAnsi="Arial" w:cs="Arial"/>
          <w:noProof/>
          <w:sz w:val="24"/>
          <w:szCs w:val="24"/>
        </w:rPr>
        <w:t>. https://assets.publishing.service.gov.uk/government/uploads/system/uploads/attachment_data/file/819766/advancing-our-health-prevention-in-the-2020s-accessible.pdf</w:t>
      </w:r>
    </w:p>
    <w:p w14:paraId="4345209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Hofisi, C., Hofisi, M. &amp; Mago, S. (2014). Critiquing interviewing as a data collection method. </w:t>
      </w:r>
      <w:r w:rsidRPr="00103A0B">
        <w:rPr>
          <w:rFonts w:ascii="Arial" w:hAnsi="Arial" w:cs="Arial"/>
          <w:i/>
          <w:iCs/>
          <w:noProof/>
          <w:sz w:val="24"/>
          <w:szCs w:val="24"/>
        </w:rPr>
        <w:t>Mediterranean Journal of Social Sciences</w:t>
      </w:r>
      <w:r w:rsidRPr="00103A0B">
        <w:rPr>
          <w:rFonts w:ascii="Arial" w:hAnsi="Arial" w:cs="Arial"/>
          <w:noProof/>
          <w:sz w:val="24"/>
          <w:szCs w:val="24"/>
        </w:rPr>
        <w:t xml:space="preserve">, </w:t>
      </w:r>
      <w:r w:rsidRPr="00103A0B">
        <w:rPr>
          <w:rFonts w:ascii="Arial" w:hAnsi="Arial" w:cs="Arial"/>
          <w:i/>
          <w:iCs/>
          <w:noProof/>
          <w:sz w:val="24"/>
          <w:szCs w:val="24"/>
        </w:rPr>
        <w:t>5</w:t>
      </w:r>
      <w:r w:rsidRPr="00103A0B">
        <w:rPr>
          <w:rFonts w:ascii="Arial" w:hAnsi="Arial" w:cs="Arial"/>
          <w:noProof/>
          <w:sz w:val="24"/>
          <w:szCs w:val="24"/>
        </w:rPr>
        <w:t>(16), 60–64. https://doi.org/10.5901/mjss.2014.v5n16p60</w:t>
      </w:r>
    </w:p>
    <w:p w14:paraId="4DFF76F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Holman, N., Knighton, P., Kar, P., O’Keefe, J., Curley, M., Weaver, A., Barron, E., Bakhai, C., Khunti, K., Wareham, N. J., Sattar, N., Young, B. &amp; Valabhji, J. (2020). Risk factors for COVID-19-related mortality in people with type 1 and type 2 diabetes in England: a population-based cohort study. </w:t>
      </w:r>
      <w:r w:rsidRPr="00103A0B">
        <w:rPr>
          <w:rFonts w:ascii="Arial" w:hAnsi="Arial" w:cs="Arial"/>
          <w:i/>
          <w:iCs/>
          <w:noProof/>
          <w:sz w:val="24"/>
          <w:szCs w:val="24"/>
        </w:rPr>
        <w:t>Lancet Diabetes and Endocrinology</w:t>
      </w:r>
      <w:r w:rsidRPr="00103A0B">
        <w:rPr>
          <w:rFonts w:ascii="Arial" w:hAnsi="Arial" w:cs="Arial"/>
          <w:noProof/>
          <w:sz w:val="24"/>
          <w:szCs w:val="24"/>
        </w:rPr>
        <w:t>, 1–11. https://doi.org/10.2139/ssrn.3605226</w:t>
      </w:r>
    </w:p>
    <w:p w14:paraId="5C842AE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Howarth, E., Bower, P. J., Kontopantelis, E., Soiland-Reyes, C., Meacock, R., Whittaker, W. &amp; Cotterill, S. (2020). “Going the distance”: an independent cohort study of engagement and dropout among the first 100 000 referrals into a large-scale diabetes prevention program. </w:t>
      </w:r>
      <w:r w:rsidRPr="00103A0B">
        <w:rPr>
          <w:rFonts w:ascii="Arial" w:hAnsi="Arial" w:cs="Arial"/>
          <w:i/>
          <w:iCs/>
          <w:noProof/>
          <w:sz w:val="24"/>
          <w:szCs w:val="24"/>
        </w:rPr>
        <w:t>BMJ Open Diabetes Research and Care</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 e001835.</w:t>
      </w:r>
    </w:p>
    <w:p w14:paraId="556F218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ICS Health &amp; Wellbeing. (2020). </w:t>
      </w:r>
      <w:r w:rsidRPr="00103A0B">
        <w:rPr>
          <w:rFonts w:ascii="Arial" w:hAnsi="Arial" w:cs="Arial"/>
          <w:i/>
          <w:iCs/>
          <w:noProof/>
          <w:sz w:val="24"/>
          <w:szCs w:val="24"/>
        </w:rPr>
        <w:t>Know your risk of type 2 diabetes</w:t>
      </w:r>
      <w:r w:rsidRPr="00103A0B">
        <w:rPr>
          <w:rFonts w:ascii="Arial" w:hAnsi="Arial" w:cs="Arial"/>
          <w:noProof/>
          <w:sz w:val="24"/>
          <w:szCs w:val="24"/>
        </w:rPr>
        <w:t>. https://preventing-diabetes.co.uk/Know-your-risk-dtc/</w:t>
      </w:r>
    </w:p>
    <w:p w14:paraId="2366460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International Diabetes Federation. (2016). </w:t>
      </w:r>
      <w:r w:rsidRPr="00103A0B">
        <w:rPr>
          <w:rFonts w:ascii="Arial" w:hAnsi="Arial" w:cs="Arial"/>
          <w:i/>
          <w:iCs/>
          <w:noProof/>
          <w:sz w:val="24"/>
          <w:szCs w:val="24"/>
        </w:rPr>
        <w:t>Cost-effective solutions for the prevention of type 2 diabetes</w:t>
      </w:r>
      <w:r w:rsidRPr="00103A0B">
        <w:rPr>
          <w:rFonts w:ascii="Arial" w:hAnsi="Arial" w:cs="Arial"/>
          <w:noProof/>
          <w:sz w:val="24"/>
          <w:szCs w:val="24"/>
        </w:rPr>
        <w:t>. https://idf.org/component/attachments/attachments.html?id=1238&amp;task=download</w:t>
      </w:r>
    </w:p>
    <w:p w14:paraId="259982C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International Diabetes Federation. (2023). </w:t>
      </w:r>
      <w:r w:rsidRPr="00103A0B">
        <w:rPr>
          <w:rFonts w:ascii="Arial" w:hAnsi="Arial" w:cs="Arial"/>
          <w:i/>
          <w:iCs/>
          <w:noProof/>
          <w:sz w:val="24"/>
          <w:szCs w:val="24"/>
        </w:rPr>
        <w:t>Diabetes prevention</w:t>
      </w:r>
      <w:r w:rsidRPr="00103A0B">
        <w:rPr>
          <w:rFonts w:ascii="Arial" w:hAnsi="Arial" w:cs="Arial"/>
          <w:noProof/>
          <w:sz w:val="24"/>
          <w:szCs w:val="24"/>
        </w:rPr>
        <w:t>. https://idf.org/about-diabetes/diabetes-prevention/</w:t>
      </w:r>
    </w:p>
    <w:p w14:paraId="0D3A553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Islam, N. ., Zanowiak, J. ., Wyatt, L. C., Chun, K., Lee, L., Trinh-shevrin, C. &amp; C, K. S. (2013). A randomized-controlled, pilot intervention on diabetes prevention and healthy lifestyles in the New York city Korean community. </w:t>
      </w:r>
      <w:r w:rsidRPr="00103A0B">
        <w:rPr>
          <w:rFonts w:ascii="Arial" w:hAnsi="Arial" w:cs="Arial"/>
          <w:i/>
          <w:iCs/>
          <w:noProof/>
          <w:sz w:val="24"/>
          <w:szCs w:val="24"/>
        </w:rPr>
        <w:t>Journal of Community Health</w:t>
      </w:r>
      <w:r w:rsidRPr="00103A0B">
        <w:rPr>
          <w:rFonts w:ascii="Arial" w:hAnsi="Arial" w:cs="Arial"/>
          <w:noProof/>
          <w:sz w:val="24"/>
          <w:szCs w:val="24"/>
        </w:rPr>
        <w:t xml:space="preserve">, </w:t>
      </w:r>
      <w:r w:rsidRPr="00103A0B">
        <w:rPr>
          <w:rFonts w:ascii="Arial" w:hAnsi="Arial" w:cs="Arial"/>
          <w:i/>
          <w:iCs/>
          <w:noProof/>
          <w:sz w:val="24"/>
          <w:szCs w:val="24"/>
        </w:rPr>
        <w:t>38</w:t>
      </w:r>
      <w:r w:rsidRPr="00103A0B">
        <w:rPr>
          <w:rFonts w:ascii="Arial" w:hAnsi="Arial" w:cs="Arial"/>
          <w:noProof/>
          <w:sz w:val="24"/>
          <w:szCs w:val="24"/>
        </w:rPr>
        <w:t>, 1030–1041. https://doi.org/10.1007/s10900-013-9711-z</w:t>
      </w:r>
    </w:p>
    <w:p w14:paraId="11E4322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Jaber, L. A., Pinelli, N. R., Brown, M. B., Funnell, M. M., Anderson, R., Hammad, A. &amp; Herman, W. H. (2011). Feasibility of group lifestyle intervention for diabetes prevention in Arab Americans. </w:t>
      </w:r>
      <w:r w:rsidRPr="00103A0B">
        <w:rPr>
          <w:rFonts w:ascii="Arial" w:hAnsi="Arial" w:cs="Arial"/>
          <w:i/>
          <w:iCs/>
          <w:noProof/>
          <w:sz w:val="24"/>
          <w:szCs w:val="24"/>
        </w:rPr>
        <w:t>Diabetes Research and Clinical Practice</w:t>
      </w:r>
      <w:r w:rsidRPr="00103A0B">
        <w:rPr>
          <w:rFonts w:ascii="Arial" w:hAnsi="Arial" w:cs="Arial"/>
          <w:noProof/>
          <w:sz w:val="24"/>
          <w:szCs w:val="24"/>
        </w:rPr>
        <w:t xml:space="preserve">, </w:t>
      </w:r>
      <w:r w:rsidRPr="00103A0B">
        <w:rPr>
          <w:rFonts w:ascii="Arial" w:hAnsi="Arial" w:cs="Arial"/>
          <w:i/>
          <w:iCs/>
          <w:noProof/>
          <w:sz w:val="24"/>
          <w:szCs w:val="24"/>
        </w:rPr>
        <w:t>91</w:t>
      </w:r>
      <w:r w:rsidRPr="00103A0B">
        <w:rPr>
          <w:rFonts w:ascii="Arial" w:hAnsi="Arial" w:cs="Arial"/>
          <w:noProof/>
          <w:sz w:val="24"/>
          <w:szCs w:val="24"/>
        </w:rPr>
        <w:t>(3), 307–315. https://doi.org/10.1016/j.diabres.2010.11.032</w:t>
      </w:r>
    </w:p>
    <w:p w14:paraId="7A645F0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Jackson, M. C., Dai, S., Skeete, R. A., Owens-Gary, M., Cannon, M. J., Smith, B. D., Jabrah, R., Masalovich, S. E. &amp; Soler, R. E. (2020). An examination of gender differences in the national diabetes prevention program’s lifestyle change program. </w:t>
      </w:r>
      <w:r w:rsidRPr="00103A0B">
        <w:rPr>
          <w:rFonts w:ascii="Arial" w:hAnsi="Arial" w:cs="Arial"/>
          <w:i/>
          <w:iCs/>
          <w:noProof/>
          <w:sz w:val="24"/>
          <w:szCs w:val="24"/>
        </w:rPr>
        <w:t>Diabetes Educator</w:t>
      </w:r>
      <w:r w:rsidRPr="00103A0B">
        <w:rPr>
          <w:rFonts w:ascii="Arial" w:hAnsi="Arial" w:cs="Arial"/>
          <w:noProof/>
          <w:sz w:val="24"/>
          <w:szCs w:val="24"/>
        </w:rPr>
        <w:t xml:space="preserve">, </w:t>
      </w:r>
      <w:r w:rsidRPr="00103A0B">
        <w:rPr>
          <w:rFonts w:ascii="Arial" w:hAnsi="Arial" w:cs="Arial"/>
          <w:i/>
          <w:iCs/>
          <w:noProof/>
          <w:sz w:val="24"/>
          <w:szCs w:val="24"/>
        </w:rPr>
        <w:t>46</w:t>
      </w:r>
      <w:r w:rsidRPr="00103A0B">
        <w:rPr>
          <w:rFonts w:ascii="Arial" w:hAnsi="Arial" w:cs="Arial"/>
          <w:noProof/>
          <w:sz w:val="24"/>
          <w:szCs w:val="24"/>
        </w:rPr>
        <w:t>(6), 580–586. https://doi.org/10.1177/0145721720964585</w:t>
      </w:r>
    </w:p>
    <w:p w14:paraId="779E621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Jakobsen, J. C., Gluud, C., Wetterslev, J. &amp; Winkel, P. (2017). When and how should multiple imputation be used for handling missing data in randomised clinical trials - a practical guide with flowcharts. </w:t>
      </w:r>
      <w:r w:rsidRPr="00103A0B">
        <w:rPr>
          <w:rFonts w:ascii="Arial" w:hAnsi="Arial" w:cs="Arial"/>
          <w:i/>
          <w:iCs/>
          <w:noProof/>
          <w:sz w:val="24"/>
          <w:szCs w:val="24"/>
        </w:rPr>
        <w:t>BMC Medical Research Methodology</w:t>
      </w:r>
      <w:r w:rsidRPr="00103A0B">
        <w:rPr>
          <w:rFonts w:ascii="Arial" w:hAnsi="Arial" w:cs="Arial"/>
          <w:noProof/>
          <w:sz w:val="24"/>
          <w:szCs w:val="24"/>
        </w:rPr>
        <w:t xml:space="preserve">, </w:t>
      </w:r>
      <w:r w:rsidRPr="00103A0B">
        <w:rPr>
          <w:rFonts w:ascii="Arial" w:hAnsi="Arial" w:cs="Arial"/>
          <w:i/>
          <w:iCs/>
          <w:noProof/>
          <w:sz w:val="24"/>
          <w:szCs w:val="24"/>
        </w:rPr>
        <w:t>17</w:t>
      </w:r>
      <w:r w:rsidRPr="00103A0B">
        <w:rPr>
          <w:rFonts w:ascii="Arial" w:hAnsi="Arial" w:cs="Arial"/>
          <w:noProof/>
          <w:sz w:val="24"/>
          <w:szCs w:val="24"/>
        </w:rPr>
        <w:t>, 162. https://doi.org/10.1186/s12874-017-0442-1</w:t>
      </w:r>
    </w:p>
    <w:p w14:paraId="1226D2F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Jancey, J., Lee, A., Howat, P., Clarke, A., Wang, K. &amp; Shilton, T. (2007). Reducing attrition in physical activity programs for older adults. </w:t>
      </w:r>
      <w:r w:rsidRPr="00103A0B">
        <w:rPr>
          <w:rFonts w:ascii="Arial" w:hAnsi="Arial" w:cs="Arial"/>
          <w:i/>
          <w:iCs/>
          <w:noProof/>
          <w:sz w:val="24"/>
          <w:szCs w:val="24"/>
        </w:rPr>
        <w:t>Journal of Aging and Physical Activity</w:t>
      </w:r>
      <w:r w:rsidRPr="00103A0B">
        <w:rPr>
          <w:rFonts w:ascii="Arial" w:hAnsi="Arial" w:cs="Arial"/>
          <w:noProof/>
          <w:sz w:val="24"/>
          <w:szCs w:val="24"/>
        </w:rPr>
        <w:t xml:space="preserve">, </w:t>
      </w:r>
      <w:r w:rsidRPr="00103A0B">
        <w:rPr>
          <w:rFonts w:ascii="Arial" w:hAnsi="Arial" w:cs="Arial"/>
          <w:i/>
          <w:iCs/>
          <w:noProof/>
          <w:sz w:val="24"/>
          <w:szCs w:val="24"/>
        </w:rPr>
        <w:t>15</w:t>
      </w:r>
      <w:r w:rsidRPr="00103A0B">
        <w:rPr>
          <w:rFonts w:ascii="Arial" w:hAnsi="Arial" w:cs="Arial"/>
          <w:noProof/>
          <w:sz w:val="24"/>
          <w:szCs w:val="24"/>
        </w:rPr>
        <w:t>(2), 152–165.</w:t>
      </w:r>
    </w:p>
    <w:p w14:paraId="7678453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Jeffers, K. S., Castellon-lopez, Y., Grotts, J., Mangione, C. M., Moin, T., Tseng, C. &amp; Al., E. (2019). Diabetes prevention program attendance is associated with improved patient activation: results from the prediabetes informed decisions and education (PRIDE) study. </w:t>
      </w:r>
      <w:r w:rsidRPr="00103A0B">
        <w:rPr>
          <w:rFonts w:ascii="Arial" w:hAnsi="Arial" w:cs="Arial"/>
          <w:i/>
          <w:iCs/>
          <w:noProof/>
          <w:sz w:val="24"/>
          <w:szCs w:val="24"/>
        </w:rPr>
        <w:t>Preventive Medicine Reports</w:t>
      </w:r>
      <w:r w:rsidRPr="00103A0B">
        <w:rPr>
          <w:rFonts w:ascii="Arial" w:hAnsi="Arial" w:cs="Arial"/>
          <w:noProof/>
          <w:sz w:val="24"/>
          <w:szCs w:val="24"/>
        </w:rPr>
        <w:t xml:space="preserve">, </w:t>
      </w:r>
      <w:r w:rsidRPr="00103A0B">
        <w:rPr>
          <w:rFonts w:ascii="Arial" w:hAnsi="Arial" w:cs="Arial"/>
          <w:i/>
          <w:iCs/>
          <w:noProof/>
          <w:sz w:val="24"/>
          <w:szCs w:val="24"/>
        </w:rPr>
        <w:t>16</w:t>
      </w:r>
      <w:r w:rsidRPr="00103A0B">
        <w:rPr>
          <w:rFonts w:ascii="Arial" w:hAnsi="Arial" w:cs="Arial"/>
          <w:noProof/>
          <w:sz w:val="24"/>
          <w:szCs w:val="24"/>
        </w:rPr>
        <w:t>, 1–7. https://doi.org/https://doi.org/10.1016/j.pmedr.2019.100961</w:t>
      </w:r>
    </w:p>
    <w:p w14:paraId="7F052A7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Jiang, L., Johnson, A., Pratte, K., Beals, J., Bullock, A. &amp; Manson, S. M. (2018). Long-term outcomes of lifestyle intervention to prevent diabetes in American Indian and Alaska native communities: the special diabetes program for Indians diabetes prevention program.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41</w:t>
      </w:r>
      <w:r w:rsidRPr="00103A0B">
        <w:rPr>
          <w:rFonts w:ascii="Arial" w:hAnsi="Arial" w:cs="Arial"/>
          <w:noProof/>
          <w:sz w:val="24"/>
          <w:szCs w:val="24"/>
        </w:rPr>
        <w:t>(7), 1462–1470. https://doi.org/10.2337/dc17-2685</w:t>
      </w:r>
    </w:p>
    <w:p w14:paraId="043C355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Jiang, L., Manson, S. M., Beals, J., Henderson, W. G., Huang, H., Acton, K. J. &amp; Roubideaux, Y. (2013). Translating the diabetes prevention program into American Indian and Alaska native communities: results from the special diabetes program for Indians diabetes prevention demonstration project.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36</w:t>
      </w:r>
      <w:r w:rsidRPr="00103A0B">
        <w:rPr>
          <w:rFonts w:ascii="Arial" w:hAnsi="Arial" w:cs="Arial"/>
          <w:noProof/>
          <w:sz w:val="24"/>
          <w:szCs w:val="24"/>
        </w:rPr>
        <w:t>(7), 2027–2034. https://doi.org/10.2337/dc12-1250</w:t>
      </w:r>
    </w:p>
    <w:p w14:paraId="14D7E19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Jochelson, K. (2007). </w:t>
      </w:r>
      <w:r w:rsidRPr="00103A0B">
        <w:rPr>
          <w:rFonts w:ascii="Arial" w:hAnsi="Arial" w:cs="Arial"/>
          <w:i/>
          <w:iCs/>
          <w:noProof/>
          <w:sz w:val="24"/>
          <w:szCs w:val="24"/>
        </w:rPr>
        <w:t>Paying the patient improving health using financial incentives</w:t>
      </w:r>
      <w:r w:rsidRPr="00103A0B">
        <w:rPr>
          <w:rFonts w:ascii="Arial" w:hAnsi="Arial" w:cs="Arial"/>
          <w:noProof/>
          <w:sz w:val="24"/>
          <w:szCs w:val="24"/>
        </w:rPr>
        <w:t>. https://www.kingsfund.org.uk/sites/default/files/field/field_document/paying-the-patient-kicking-bad-habits-supporting-paper-karen-jochelson.pdf.</w:t>
      </w:r>
    </w:p>
    <w:p w14:paraId="38F534A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Kampshoff, C. S., Mechelen, W., Schep, G., Nijziel, M. R., Witlox, L., Bosman, L., Chinapaw, M. J. M., Brug, J. &amp; Buffart, L. M. (2016). Participation in and adherence to physical exercise after completion of primary cancer treatment. </w:t>
      </w:r>
      <w:r w:rsidRPr="00103A0B">
        <w:rPr>
          <w:rFonts w:ascii="Arial" w:hAnsi="Arial" w:cs="Arial"/>
          <w:i/>
          <w:iCs/>
          <w:noProof/>
          <w:sz w:val="24"/>
          <w:szCs w:val="24"/>
        </w:rPr>
        <w:t>International Journal of Behavioral Nutrition and Physical Activity</w:t>
      </w:r>
      <w:r w:rsidRPr="00103A0B">
        <w:rPr>
          <w:rFonts w:ascii="Arial" w:hAnsi="Arial" w:cs="Arial"/>
          <w:noProof/>
          <w:sz w:val="24"/>
          <w:szCs w:val="24"/>
        </w:rPr>
        <w:t xml:space="preserve">, </w:t>
      </w:r>
      <w:r w:rsidRPr="00103A0B">
        <w:rPr>
          <w:rFonts w:ascii="Arial" w:hAnsi="Arial" w:cs="Arial"/>
          <w:i/>
          <w:iCs/>
          <w:noProof/>
          <w:sz w:val="24"/>
          <w:szCs w:val="24"/>
        </w:rPr>
        <w:t>13</w:t>
      </w:r>
      <w:r w:rsidRPr="00103A0B">
        <w:rPr>
          <w:rFonts w:ascii="Arial" w:hAnsi="Arial" w:cs="Arial"/>
          <w:noProof/>
          <w:sz w:val="24"/>
          <w:szCs w:val="24"/>
        </w:rPr>
        <w:t>, 100.</w:t>
      </w:r>
    </w:p>
    <w:p w14:paraId="31F2586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Kangovi, S. &amp; Asch, D. A. (2018). Behavioral phenotyping in health promotion embracing or avoiding failure. </w:t>
      </w:r>
      <w:r w:rsidRPr="00103A0B">
        <w:rPr>
          <w:rFonts w:ascii="Arial" w:hAnsi="Arial" w:cs="Arial"/>
          <w:i/>
          <w:iCs/>
          <w:noProof/>
          <w:sz w:val="24"/>
          <w:szCs w:val="24"/>
        </w:rPr>
        <w:t>JAMA - Journal of the American Medical Association</w:t>
      </w:r>
      <w:r w:rsidRPr="00103A0B">
        <w:rPr>
          <w:rFonts w:ascii="Arial" w:hAnsi="Arial" w:cs="Arial"/>
          <w:noProof/>
          <w:sz w:val="24"/>
          <w:szCs w:val="24"/>
        </w:rPr>
        <w:t xml:space="preserve">, </w:t>
      </w:r>
      <w:r w:rsidRPr="00103A0B">
        <w:rPr>
          <w:rFonts w:ascii="Arial" w:hAnsi="Arial" w:cs="Arial"/>
          <w:i/>
          <w:iCs/>
          <w:noProof/>
          <w:sz w:val="24"/>
          <w:szCs w:val="24"/>
        </w:rPr>
        <w:t>319</w:t>
      </w:r>
      <w:r w:rsidRPr="00103A0B">
        <w:rPr>
          <w:rFonts w:ascii="Arial" w:hAnsi="Arial" w:cs="Arial"/>
          <w:noProof/>
          <w:sz w:val="24"/>
          <w:szCs w:val="24"/>
        </w:rPr>
        <w:t>(20), 2075–2076. https://doi.org/10.1001/jama.2018.2921</w:t>
      </w:r>
    </w:p>
    <w:p w14:paraId="3936C19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Katula, J. A., Vitolins, M. Z., Morgan, T. M., Lawlor, M. S., Blackwell, C. S., Isom, S. P., Pedley, C. F. &amp; Goff, D. C. (2013). The healthy living partnerships to prevent diabetes study: 2-year outcomes of a randomized controlled trial. </w:t>
      </w:r>
      <w:r w:rsidRPr="00103A0B">
        <w:rPr>
          <w:rFonts w:ascii="Arial" w:hAnsi="Arial" w:cs="Arial"/>
          <w:i/>
          <w:iCs/>
          <w:noProof/>
          <w:sz w:val="24"/>
          <w:szCs w:val="24"/>
        </w:rPr>
        <w:t>American Journal of Preventive Medicine</w:t>
      </w:r>
      <w:r w:rsidRPr="00103A0B">
        <w:rPr>
          <w:rFonts w:ascii="Arial" w:hAnsi="Arial" w:cs="Arial"/>
          <w:noProof/>
          <w:sz w:val="24"/>
          <w:szCs w:val="24"/>
        </w:rPr>
        <w:t xml:space="preserve">, </w:t>
      </w:r>
      <w:r w:rsidRPr="00103A0B">
        <w:rPr>
          <w:rFonts w:ascii="Arial" w:hAnsi="Arial" w:cs="Arial"/>
          <w:i/>
          <w:iCs/>
          <w:noProof/>
          <w:sz w:val="24"/>
          <w:szCs w:val="24"/>
        </w:rPr>
        <w:t>44</w:t>
      </w:r>
      <w:r w:rsidRPr="00103A0B">
        <w:rPr>
          <w:rFonts w:ascii="Arial" w:hAnsi="Arial" w:cs="Arial"/>
          <w:noProof/>
          <w:sz w:val="24"/>
          <w:szCs w:val="24"/>
        </w:rPr>
        <w:t>(4S4), S324–S332. https://doi.org/10.1016/j.amepre.2012.12.015</w:t>
      </w:r>
    </w:p>
    <w:p w14:paraId="04AE551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Khalil, E., Callaghan, P., Carter, T. &amp; Morres, I. (2012). Pragmatic randomised controlled trial of an exercise programme to improve wellbeing outcomes in </w:t>
      </w:r>
      <w:r w:rsidRPr="00103A0B">
        <w:rPr>
          <w:rFonts w:ascii="Arial" w:hAnsi="Arial" w:cs="Arial"/>
          <w:noProof/>
          <w:sz w:val="24"/>
          <w:szCs w:val="24"/>
        </w:rPr>
        <w:lastRenderedPageBreak/>
        <w:t xml:space="preserve">women with depression: findings from the qualitative component. </w:t>
      </w:r>
      <w:r w:rsidRPr="00103A0B">
        <w:rPr>
          <w:rFonts w:ascii="Arial" w:hAnsi="Arial" w:cs="Arial"/>
          <w:i/>
          <w:iCs/>
          <w:noProof/>
          <w:sz w:val="24"/>
          <w:szCs w:val="24"/>
        </w:rPr>
        <w:t>Scientific Research</w:t>
      </w:r>
      <w:r w:rsidRPr="00103A0B">
        <w:rPr>
          <w:rFonts w:ascii="Arial" w:hAnsi="Arial" w:cs="Arial"/>
          <w:noProof/>
          <w:sz w:val="24"/>
          <w:szCs w:val="24"/>
        </w:rPr>
        <w:t xml:space="preserve">, </w:t>
      </w:r>
      <w:r w:rsidRPr="00103A0B">
        <w:rPr>
          <w:rFonts w:ascii="Arial" w:hAnsi="Arial" w:cs="Arial"/>
          <w:i/>
          <w:iCs/>
          <w:noProof/>
          <w:sz w:val="24"/>
          <w:szCs w:val="24"/>
        </w:rPr>
        <w:t>3</w:t>
      </w:r>
      <w:r w:rsidRPr="00103A0B">
        <w:rPr>
          <w:rFonts w:ascii="Arial" w:hAnsi="Arial" w:cs="Arial"/>
          <w:noProof/>
          <w:sz w:val="24"/>
          <w:szCs w:val="24"/>
        </w:rPr>
        <w:t>(11), 979–986.</w:t>
      </w:r>
    </w:p>
    <w:p w14:paraId="2F04126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King, N. (2010). Research ethics in qualitative research. In M. A. Forrester (Ed.), </w:t>
      </w:r>
      <w:r w:rsidRPr="00103A0B">
        <w:rPr>
          <w:rFonts w:ascii="Arial" w:hAnsi="Arial" w:cs="Arial"/>
          <w:i/>
          <w:iCs/>
          <w:noProof/>
          <w:sz w:val="24"/>
          <w:szCs w:val="24"/>
        </w:rPr>
        <w:t>Doing qualitative research in psychology: a practical guide</w:t>
      </w:r>
      <w:r w:rsidRPr="00103A0B">
        <w:rPr>
          <w:rFonts w:ascii="Arial" w:hAnsi="Arial" w:cs="Arial"/>
          <w:noProof/>
          <w:sz w:val="24"/>
          <w:szCs w:val="24"/>
        </w:rPr>
        <w:t xml:space="preserve"> (pp. 98–118). SAGE Publications Ltd.</w:t>
      </w:r>
    </w:p>
    <w:p w14:paraId="4A42BD3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Kitzman, H., Mamun, A., Dodgen, L., Slater, D., King, G., King, A., Slater, J. L. &amp; DeHaven, M. (2021). Better me within randomized trial: faith-based diabetes prevention program for weight loss in African American women. </w:t>
      </w:r>
      <w:r w:rsidRPr="00103A0B">
        <w:rPr>
          <w:rFonts w:ascii="Arial" w:hAnsi="Arial" w:cs="Arial"/>
          <w:i/>
          <w:iCs/>
          <w:noProof/>
          <w:sz w:val="24"/>
          <w:szCs w:val="24"/>
        </w:rPr>
        <w:t>American Journal of Health Promotion</w:t>
      </w:r>
      <w:r w:rsidRPr="00103A0B">
        <w:rPr>
          <w:rFonts w:ascii="Arial" w:hAnsi="Arial" w:cs="Arial"/>
          <w:noProof/>
          <w:sz w:val="24"/>
          <w:szCs w:val="24"/>
        </w:rPr>
        <w:t xml:space="preserve">, </w:t>
      </w:r>
      <w:r w:rsidRPr="00103A0B">
        <w:rPr>
          <w:rFonts w:ascii="Arial" w:hAnsi="Arial" w:cs="Arial"/>
          <w:i/>
          <w:iCs/>
          <w:noProof/>
          <w:sz w:val="24"/>
          <w:szCs w:val="24"/>
        </w:rPr>
        <w:t>35</w:t>
      </w:r>
      <w:r w:rsidRPr="00103A0B">
        <w:rPr>
          <w:rFonts w:ascii="Arial" w:hAnsi="Arial" w:cs="Arial"/>
          <w:noProof/>
          <w:sz w:val="24"/>
          <w:szCs w:val="24"/>
        </w:rPr>
        <w:t>(2), 202–213. https://doi.org/10.1177/0890117120958545</w:t>
      </w:r>
    </w:p>
    <w:p w14:paraId="7D6242A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Knowler, W. C., Barrett-Connor, E., Fowler, S. E., Hamman, R. F., Lachin, J. M., Walker, E. A. &amp; Nathan, D. M. (2002). Reduction in the incidence of type 2 diabetes with lifestyle intervention or metformin. </w:t>
      </w:r>
      <w:r w:rsidRPr="00103A0B">
        <w:rPr>
          <w:rFonts w:ascii="Arial" w:hAnsi="Arial" w:cs="Arial"/>
          <w:i/>
          <w:iCs/>
          <w:noProof/>
          <w:sz w:val="24"/>
          <w:szCs w:val="24"/>
        </w:rPr>
        <w:t>New England Journal of Medicine</w:t>
      </w:r>
      <w:r w:rsidRPr="00103A0B">
        <w:rPr>
          <w:rFonts w:ascii="Arial" w:hAnsi="Arial" w:cs="Arial"/>
          <w:noProof/>
          <w:sz w:val="24"/>
          <w:szCs w:val="24"/>
        </w:rPr>
        <w:t xml:space="preserve">, </w:t>
      </w:r>
      <w:r w:rsidRPr="00103A0B">
        <w:rPr>
          <w:rFonts w:ascii="Arial" w:hAnsi="Arial" w:cs="Arial"/>
          <w:i/>
          <w:iCs/>
          <w:noProof/>
          <w:sz w:val="24"/>
          <w:szCs w:val="24"/>
        </w:rPr>
        <w:t>346</w:t>
      </w:r>
      <w:r w:rsidRPr="00103A0B">
        <w:rPr>
          <w:rFonts w:ascii="Arial" w:hAnsi="Arial" w:cs="Arial"/>
          <w:noProof/>
          <w:sz w:val="24"/>
          <w:szCs w:val="24"/>
        </w:rPr>
        <w:t>(6), 393–403. https://doi.org/10.1056/NEJMoa012512</w:t>
      </w:r>
    </w:p>
    <w:p w14:paraId="3DA489D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Knowles, S., Cotterill, S., Coupe, N. &amp; Spence, M. (2019). Referral of patients to diabetes prevention programmes from community campaigns and general practices: mixed-method evaluation using the RE-AIM framework and Normalisation Process Theory. </w:t>
      </w:r>
      <w:r w:rsidRPr="00103A0B">
        <w:rPr>
          <w:rFonts w:ascii="Arial" w:hAnsi="Arial" w:cs="Arial"/>
          <w:i/>
          <w:iCs/>
          <w:noProof/>
          <w:sz w:val="24"/>
          <w:szCs w:val="24"/>
        </w:rPr>
        <w:t>BMC Health Services Research</w:t>
      </w:r>
      <w:r w:rsidRPr="00103A0B">
        <w:rPr>
          <w:rFonts w:ascii="Arial" w:hAnsi="Arial" w:cs="Arial"/>
          <w:noProof/>
          <w:sz w:val="24"/>
          <w:szCs w:val="24"/>
        </w:rPr>
        <w:t xml:space="preserve">, </w:t>
      </w:r>
      <w:r w:rsidRPr="00103A0B">
        <w:rPr>
          <w:rFonts w:ascii="Arial" w:hAnsi="Arial" w:cs="Arial"/>
          <w:i/>
          <w:iCs/>
          <w:noProof/>
          <w:sz w:val="24"/>
          <w:szCs w:val="24"/>
        </w:rPr>
        <w:t>19</w:t>
      </w:r>
      <w:r w:rsidRPr="00103A0B">
        <w:rPr>
          <w:rFonts w:ascii="Arial" w:hAnsi="Arial" w:cs="Arial"/>
          <w:noProof/>
          <w:sz w:val="24"/>
          <w:szCs w:val="24"/>
        </w:rPr>
        <w:t>, 321. https://doi.org/https://doi.org/10.1186/s12913-019-4139-5</w:t>
      </w:r>
    </w:p>
    <w:p w14:paraId="6C48D05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Kramer, M. K., Kriska, A. M., Venditti, E. M., Miller, R. G., Brooks, M. M., Burke, L. E., Siminerio, L. M., Solano, F. X. &amp; Orchard, T. J. (2009). Translating the diabetes prevention program: a comprehensive model for prevention training and program delivery. </w:t>
      </w:r>
      <w:r w:rsidRPr="00103A0B">
        <w:rPr>
          <w:rFonts w:ascii="Arial" w:hAnsi="Arial" w:cs="Arial"/>
          <w:i/>
          <w:iCs/>
          <w:noProof/>
          <w:sz w:val="24"/>
          <w:szCs w:val="24"/>
        </w:rPr>
        <w:t>American Journal of Preventive Medicine</w:t>
      </w:r>
      <w:r w:rsidRPr="00103A0B">
        <w:rPr>
          <w:rFonts w:ascii="Arial" w:hAnsi="Arial" w:cs="Arial"/>
          <w:noProof/>
          <w:sz w:val="24"/>
          <w:szCs w:val="24"/>
        </w:rPr>
        <w:t xml:space="preserve">, </w:t>
      </w:r>
      <w:r w:rsidRPr="00103A0B">
        <w:rPr>
          <w:rFonts w:ascii="Arial" w:hAnsi="Arial" w:cs="Arial"/>
          <w:i/>
          <w:iCs/>
          <w:noProof/>
          <w:sz w:val="24"/>
          <w:szCs w:val="24"/>
        </w:rPr>
        <w:t>37</w:t>
      </w:r>
      <w:r w:rsidRPr="00103A0B">
        <w:rPr>
          <w:rFonts w:ascii="Arial" w:hAnsi="Arial" w:cs="Arial"/>
          <w:noProof/>
          <w:sz w:val="24"/>
          <w:szCs w:val="24"/>
        </w:rPr>
        <w:t>(6), 505–511. https://doi.org/10.1016/j.amepre.2009.07.020</w:t>
      </w:r>
    </w:p>
    <w:p w14:paraId="406DDEF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Kulzer, B., Hermanns, N., Gorges, D., Schwarz, P. &amp; Haak, T. (2009). Prevention of diabetes self-management program (PREDIAS): effects on weight, metabolic risk factors, and behavioral outcomes.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32</w:t>
      </w:r>
      <w:r w:rsidRPr="00103A0B">
        <w:rPr>
          <w:rFonts w:ascii="Arial" w:hAnsi="Arial" w:cs="Arial"/>
          <w:noProof/>
          <w:sz w:val="24"/>
          <w:szCs w:val="24"/>
        </w:rPr>
        <w:t>(7), 1143–1146. https://doi.org/10.2337/dc08-2141</w:t>
      </w:r>
    </w:p>
    <w:p w14:paraId="520F94A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Kyrios, M., Moore, S. M., Hackworth, N., Buzwell, S. A., Crafti, N., Critchley, C., Hardie, E. &amp; Medical, T. (2009). The influence of depression and anxiety on outcomes after an intervention for prediabetes. </w:t>
      </w:r>
      <w:r w:rsidRPr="00103A0B">
        <w:rPr>
          <w:rFonts w:ascii="Arial" w:hAnsi="Arial" w:cs="Arial"/>
          <w:i/>
          <w:iCs/>
          <w:noProof/>
          <w:sz w:val="24"/>
          <w:szCs w:val="24"/>
        </w:rPr>
        <w:t>Medical Journal of Austrailia (MJA)</w:t>
      </w:r>
      <w:r w:rsidRPr="00103A0B">
        <w:rPr>
          <w:rFonts w:ascii="Arial" w:hAnsi="Arial" w:cs="Arial"/>
          <w:noProof/>
          <w:sz w:val="24"/>
          <w:szCs w:val="24"/>
        </w:rPr>
        <w:t xml:space="preserve">, </w:t>
      </w:r>
      <w:r w:rsidRPr="00103A0B">
        <w:rPr>
          <w:rFonts w:ascii="Arial" w:hAnsi="Arial" w:cs="Arial"/>
          <w:i/>
          <w:iCs/>
          <w:noProof/>
          <w:sz w:val="24"/>
          <w:szCs w:val="24"/>
        </w:rPr>
        <w:t>190</w:t>
      </w:r>
      <w:r w:rsidRPr="00103A0B">
        <w:rPr>
          <w:rFonts w:ascii="Arial" w:hAnsi="Arial" w:cs="Arial"/>
          <w:noProof/>
          <w:sz w:val="24"/>
          <w:szCs w:val="24"/>
        </w:rPr>
        <w:t>, S81–S85.</w:t>
      </w:r>
    </w:p>
    <w:p w14:paraId="3AC6AC3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Laatikainen, T., Dunbar, J. A., Chapman, A., Kilkkinen, A., Vartiainen, E., Heistaro, S., Philpot, B., Absetz, P., Bunker, S., O’Neil, A., Reddy, P., Best, J. D. &amp; Janus, E. D. (2007). Prevention of type 2 diabetes by lifestyle intervention in an Australian primary health care setting: greater green triangle (GGT) diabetes prevention project. </w:t>
      </w:r>
      <w:r w:rsidRPr="00103A0B">
        <w:rPr>
          <w:rFonts w:ascii="Arial" w:hAnsi="Arial" w:cs="Arial"/>
          <w:i/>
          <w:iCs/>
          <w:noProof/>
          <w:sz w:val="24"/>
          <w:szCs w:val="24"/>
        </w:rPr>
        <w:t>BMC Public Health</w:t>
      </w:r>
      <w:r w:rsidRPr="00103A0B">
        <w:rPr>
          <w:rFonts w:ascii="Arial" w:hAnsi="Arial" w:cs="Arial"/>
          <w:noProof/>
          <w:sz w:val="24"/>
          <w:szCs w:val="24"/>
        </w:rPr>
        <w:t xml:space="preserve">, </w:t>
      </w:r>
      <w:r w:rsidRPr="00103A0B">
        <w:rPr>
          <w:rFonts w:ascii="Arial" w:hAnsi="Arial" w:cs="Arial"/>
          <w:i/>
          <w:iCs/>
          <w:noProof/>
          <w:sz w:val="24"/>
          <w:szCs w:val="24"/>
        </w:rPr>
        <w:t>7</w:t>
      </w:r>
      <w:r w:rsidRPr="00103A0B">
        <w:rPr>
          <w:rFonts w:ascii="Arial" w:hAnsi="Arial" w:cs="Arial"/>
          <w:noProof/>
          <w:sz w:val="24"/>
          <w:szCs w:val="24"/>
        </w:rPr>
        <w:t>(249). https://doi.org/10.1186/1471-2458-7-249</w:t>
      </w:r>
    </w:p>
    <w:p w14:paraId="72C9F39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Laws, R. A., Vita, P., Venugopal, K. &amp; Rissel, C. (2012). Factors influencing participant enrolment in a diabetes prevention program in general practice: lessons from the Sydney diabetes prevention program. </w:t>
      </w:r>
      <w:r w:rsidRPr="00103A0B">
        <w:rPr>
          <w:rFonts w:ascii="Arial" w:hAnsi="Arial" w:cs="Arial"/>
          <w:i/>
          <w:iCs/>
          <w:noProof/>
          <w:sz w:val="24"/>
          <w:szCs w:val="24"/>
        </w:rPr>
        <w:t>BMC Public Health</w:t>
      </w:r>
      <w:r w:rsidRPr="00103A0B">
        <w:rPr>
          <w:rFonts w:ascii="Arial" w:hAnsi="Arial" w:cs="Arial"/>
          <w:noProof/>
          <w:sz w:val="24"/>
          <w:szCs w:val="24"/>
        </w:rPr>
        <w:t xml:space="preserve">, </w:t>
      </w:r>
      <w:r w:rsidRPr="00103A0B">
        <w:rPr>
          <w:rFonts w:ascii="Arial" w:hAnsi="Arial" w:cs="Arial"/>
          <w:i/>
          <w:iCs/>
          <w:noProof/>
          <w:sz w:val="24"/>
          <w:szCs w:val="24"/>
        </w:rPr>
        <w:t>12</w:t>
      </w:r>
      <w:r w:rsidRPr="00103A0B">
        <w:rPr>
          <w:rFonts w:ascii="Arial" w:hAnsi="Arial" w:cs="Arial"/>
          <w:noProof/>
          <w:sz w:val="24"/>
          <w:szCs w:val="24"/>
        </w:rPr>
        <w:t>, 822.</w:t>
      </w:r>
    </w:p>
    <w:p w14:paraId="48924BA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Lee, P. G., Damschroder, L. J., Holleman, R., Moin, T. &amp; Richardson, C. R. (2018). Older adults and diabetes prevention programs in the veterans health administration.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41</w:t>
      </w:r>
      <w:r w:rsidRPr="00103A0B">
        <w:rPr>
          <w:rFonts w:ascii="Arial" w:hAnsi="Arial" w:cs="Arial"/>
          <w:noProof/>
          <w:sz w:val="24"/>
          <w:szCs w:val="24"/>
        </w:rPr>
        <w:t>(12), 2644–2647. https://doi.org/10.2337/dc18-1141</w:t>
      </w:r>
    </w:p>
    <w:p w14:paraId="2F6E470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Leung, A. W. Y., Chan, R. S. M., Sea, M. M. M. &amp; Woo, J. (2019). Identifying </w:t>
      </w:r>
      <w:r w:rsidRPr="00103A0B">
        <w:rPr>
          <w:rFonts w:ascii="Arial" w:hAnsi="Arial" w:cs="Arial"/>
          <w:noProof/>
          <w:sz w:val="24"/>
          <w:szCs w:val="24"/>
        </w:rPr>
        <w:lastRenderedPageBreak/>
        <w:t xml:space="preserve">psychological predictors of adherence to a community-based lifestyle modification program for weight loss among Chinese overweight and obese adults. </w:t>
      </w:r>
      <w:r w:rsidRPr="00103A0B">
        <w:rPr>
          <w:rFonts w:ascii="Arial" w:hAnsi="Arial" w:cs="Arial"/>
          <w:i/>
          <w:iCs/>
          <w:noProof/>
          <w:sz w:val="24"/>
          <w:szCs w:val="24"/>
        </w:rPr>
        <w:t>Nutrition Research and Practice</w:t>
      </w:r>
      <w:r w:rsidRPr="00103A0B">
        <w:rPr>
          <w:rFonts w:ascii="Arial" w:hAnsi="Arial" w:cs="Arial"/>
          <w:noProof/>
          <w:sz w:val="24"/>
          <w:szCs w:val="24"/>
        </w:rPr>
        <w:t xml:space="preserve">, </w:t>
      </w:r>
      <w:r w:rsidRPr="00103A0B">
        <w:rPr>
          <w:rFonts w:ascii="Arial" w:hAnsi="Arial" w:cs="Arial"/>
          <w:i/>
          <w:iCs/>
          <w:noProof/>
          <w:sz w:val="24"/>
          <w:szCs w:val="24"/>
        </w:rPr>
        <w:t>13</w:t>
      </w:r>
      <w:r w:rsidRPr="00103A0B">
        <w:rPr>
          <w:rFonts w:ascii="Arial" w:hAnsi="Arial" w:cs="Arial"/>
          <w:noProof/>
          <w:sz w:val="24"/>
          <w:szCs w:val="24"/>
        </w:rPr>
        <w:t>(5), 415–424. https://doi.org/10.4162/nrp.2019.13.5.415</w:t>
      </w:r>
    </w:p>
    <w:p w14:paraId="34A791D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Leventhal, H. (1970). Findings and theory in the study of fear communications. </w:t>
      </w:r>
      <w:r w:rsidRPr="00103A0B">
        <w:rPr>
          <w:rFonts w:ascii="Arial" w:hAnsi="Arial" w:cs="Arial"/>
          <w:i/>
          <w:iCs/>
          <w:noProof/>
          <w:sz w:val="24"/>
          <w:szCs w:val="24"/>
        </w:rPr>
        <w:t>Advances in Experimental Social Psychology</w:t>
      </w:r>
      <w:r w:rsidRPr="00103A0B">
        <w:rPr>
          <w:rFonts w:ascii="Arial" w:hAnsi="Arial" w:cs="Arial"/>
          <w:noProof/>
          <w:sz w:val="24"/>
          <w:szCs w:val="24"/>
        </w:rPr>
        <w:t xml:space="preserve">, </w:t>
      </w:r>
      <w:r w:rsidRPr="00103A0B">
        <w:rPr>
          <w:rFonts w:ascii="Arial" w:hAnsi="Arial" w:cs="Arial"/>
          <w:i/>
          <w:iCs/>
          <w:noProof/>
          <w:sz w:val="24"/>
          <w:szCs w:val="24"/>
        </w:rPr>
        <w:t>5</w:t>
      </w:r>
      <w:r w:rsidRPr="00103A0B">
        <w:rPr>
          <w:rFonts w:ascii="Arial" w:hAnsi="Arial" w:cs="Arial"/>
          <w:noProof/>
          <w:sz w:val="24"/>
          <w:szCs w:val="24"/>
        </w:rPr>
        <w:t>(C), 119–186. https://doi.org/10.1016/S0065-2601(08)60091-X</w:t>
      </w:r>
    </w:p>
    <w:p w14:paraId="1B92A4B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Leventhal, H., Diefenbach, M. &amp; Leventhal, E. (1992). Illness cognition: using common sense to understand treatment adherence and affect cognition interactions. </w:t>
      </w:r>
      <w:r w:rsidRPr="00103A0B">
        <w:rPr>
          <w:rFonts w:ascii="Arial" w:hAnsi="Arial" w:cs="Arial"/>
          <w:i/>
          <w:iCs/>
          <w:noProof/>
          <w:sz w:val="24"/>
          <w:szCs w:val="24"/>
        </w:rPr>
        <w:t>Cognitive Therapy and Research</w:t>
      </w:r>
      <w:r w:rsidRPr="00103A0B">
        <w:rPr>
          <w:rFonts w:ascii="Arial" w:hAnsi="Arial" w:cs="Arial"/>
          <w:noProof/>
          <w:sz w:val="24"/>
          <w:szCs w:val="24"/>
        </w:rPr>
        <w:t xml:space="preserve">, </w:t>
      </w:r>
      <w:r w:rsidRPr="00103A0B">
        <w:rPr>
          <w:rFonts w:ascii="Arial" w:hAnsi="Arial" w:cs="Arial"/>
          <w:i/>
          <w:iCs/>
          <w:noProof/>
          <w:sz w:val="24"/>
          <w:szCs w:val="24"/>
        </w:rPr>
        <w:t>16</w:t>
      </w:r>
      <w:r w:rsidRPr="00103A0B">
        <w:rPr>
          <w:rFonts w:ascii="Arial" w:hAnsi="Arial" w:cs="Arial"/>
          <w:noProof/>
          <w:sz w:val="24"/>
          <w:szCs w:val="24"/>
        </w:rPr>
        <w:t>, 143–163.</w:t>
      </w:r>
    </w:p>
    <w:p w14:paraId="63C608D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Leventhal, H., Meyer, D. &amp; Nerenz, D. (1980). The common sense representation of illness danger. In S. Rachman (Ed.), </w:t>
      </w:r>
      <w:r w:rsidRPr="00103A0B">
        <w:rPr>
          <w:rFonts w:ascii="Arial" w:hAnsi="Arial" w:cs="Arial"/>
          <w:i/>
          <w:iCs/>
          <w:noProof/>
          <w:sz w:val="24"/>
          <w:szCs w:val="24"/>
        </w:rPr>
        <w:t>Contributions to medical psychology</w:t>
      </w:r>
      <w:r w:rsidRPr="00103A0B">
        <w:rPr>
          <w:rFonts w:ascii="Arial" w:hAnsi="Arial" w:cs="Arial"/>
          <w:noProof/>
          <w:sz w:val="24"/>
          <w:szCs w:val="24"/>
        </w:rPr>
        <w:t xml:space="preserve"> (pp. 7–30). Pergamon Press.</w:t>
      </w:r>
    </w:p>
    <w:p w14:paraId="3F4E5D2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Lim, S., Dunbar, J. A., Versace, V. L., Janus, E., Wildey, C., Skinner, T. &amp; O’Reilly, S. (2017). Comparing a telephone- and a group-delivered diabetes prevention program: characteristics of engaged and non-engaged postpartum mothers with a history of gestational diabetes. </w:t>
      </w:r>
      <w:r w:rsidRPr="00103A0B">
        <w:rPr>
          <w:rFonts w:ascii="Arial" w:hAnsi="Arial" w:cs="Arial"/>
          <w:i/>
          <w:iCs/>
          <w:noProof/>
          <w:sz w:val="24"/>
          <w:szCs w:val="24"/>
        </w:rPr>
        <w:t>Diabetes Research and Clinical Practice</w:t>
      </w:r>
      <w:r w:rsidRPr="00103A0B">
        <w:rPr>
          <w:rFonts w:ascii="Arial" w:hAnsi="Arial" w:cs="Arial"/>
          <w:noProof/>
          <w:sz w:val="24"/>
          <w:szCs w:val="24"/>
        </w:rPr>
        <w:t xml:space="preserve">, </w:t>
      </w:r>
      <w:r w:rsidRPr="00103A0B">
        <w:rPr>
          <w:rFonts w:ascii="Arial" w:hAnsi="Arial" w:cs="Arial"/>
          <w:i/>
          <w:iCs/>
          <w:noProof/>
          <w:sz w:val="24"/>
          <w:szCs w:val="24"/>
        </w:rPr>
        <w:t>126</w:t>
      </w:r>
      <w:r w:rsidRPr="00103A0B">
        <w:rPr>
          <w:rFonts w:ascii="Arial" w:hAnsi="Arial" w:cs="Arial"/>
          <w:noProof/>
          <w:sz w:val="24"/>
          <w:szCs w:val="24"/>
        </w:rPr>
        <w:t>, 254–262.</w:t>
      </w:r>
    </w:p>
    <w:p w14:paraId="3C585F5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Lindstrom, J., Ilanne-Parikka, P., Peltonen, M., Aunola, S., Eriksson, J. G., Hemio, K., Hamalainen, H., Harkonen, P., Keinanen-Kiukaanniemi, S., Laakso, M., Louheranta, A., Mannelin, M., Paturi, M., Sundvall, J., Valle, T. T., Uusitupa, M. &amp; Tuomilehto, J. (2006). Sustained reduction in the incidence of type 2 diabetes by lifestyle intervention: follow-up of the Finnish diabetes prevention study. </w:t>
      </w:r>
      <w:r w:rsidRPr="00103A0B">
        <w:rPr>
          <w:rFonts w:ascii="Arial" w:hAnsi="Arial" w:cs="Arial"/>
          <w:i/>
          <w:iCs/>
          <w:noProof/>
          <w:sz w:val="24"/>
          <w:szCs w:val="24"/>
        </w:rPr>
        <w:t>The Lancet</w:t>
      </w:r>
      <w:r w:rsidRPr="00103A0B">
        <w:rPr>
          <w:rFonts w:ascii="Arial" w:hAnsi="Arial" w:cs="Arial"/>
          <w:noProof/>
          <w:sz w:val="24"/>
          <w:szCs w:val="24"/>
        </w:rPr>
        <w:t xml:space="preserve">, </w:t>
      </w:r>
      <w:r w:rsidRPr="00103A0B">
        <w:rPr>
          <w:rFonts w:ascii="Arial" w:hAnsi="Arial" w:cs="Arial"/>
          <w:i/>
          <w:iCs/>
          <w:noProof/>
          <w:sz w:val="24"/>
          <w:szCs w:val="24"/>
        </w:rPr>
        <w:t>368</w:t>
      </w:r>
      <w:r w:rsidRPr="00103A0B">
        <w:rPr>
          <w:rFonts w:ascii="Arial" w:hAnsi="Arial" w:cs="Arial"/>
          <w:noProof/>
          <w:sz w:val="24"/>
          <w:szCs w:val="24"/>
        </w:rPr>
        <w:t>, 1673–1679.</w:t>
      </w:r>
    </w:p>
    <w:p w14:paraId="254F1D1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Lipscombe, L. L. &amp; Hux, J. E. (2007). Trends in diabetes prevalence, incidence, and mortality in Ontario, Canada 1995-2005: a population-based study. </w:t>
      </w:r>
      <w:r w:rsidRPr="00103A0B">
        <w:rPr>
          <w:rFonts w:ascii="Arial" w:hAnsi="Arial" w:cs="Arial"/>
          <w:i/>
          <w:iCs/>
          <w:noProof/>
          <w:sz w:val="24"/>
          <w:szCs w:val="24"/>
        </w:rPr>
        <w:t>Lancet</w:t>
      </w:r>
      <w:r w:rsidRPr="00103A0B">
        <w:rPr>
          <w:rFonts w:ascii="Arial" w:hAnsi="Arial" w:cs="Arial"/>
          <w:noProof/>
          <w:sz w:val="24"/>
          <w:szCs w:val="24"/>
        </w:rPr>
        <w:t xml:space="preserve">, </w:t>
      </w:r>
      <w:r w:rsidRPr="00103A0B">
        <w:rPr>
          <w:rFonts w:ascii="Arial" w:hAnsi="Arial" w:cs="Arial"/>
          <w:i/>
          <w:iCs/>
          <w:noProof/>
          <w:sz w:val="24"/>
          <w:szCs w:val="24"/>
        </w:rPr>
        <w:t>369</w:t>
      </w:r>
      <w:r w:rsidRPr="00103A0B">
        <w:rPr>
          <w:rFonts w:ascii="Arial" w:hAnsi="Arial" w:cs="Arial"/>
          <w:noProof/>
          <w:sz w:val="24"/>
          <w:szCs w:val="24"/>
        </w:rPr>
        <w:t>(9563), 750–756. https://doi.org/10.1016/S0140-6736(07)60361-4</w:t>
      </w:r>
    </w:p>
    <w:p w14:paraId="671CF9C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Lotfaliany, M., Sathish, T., Shaw, J., Thomas, E., Tapp, R. J., Kapoor, N., Thankappan, K. R. &amp; Oldenburg, B. (2020). Effects of a lifestyle intervention on cardiovascular risk among high-risk individuals for diabetes in a low- and middle-income setting: secondary analysis of the Kerala diabetes prevention program. </w:t>
      </w:r>
      <w:r w:rsidRPr="00103A0B">
        <w:rPr>
          <w:rFonts w:ascii="Arial" w:hAnsi="Arial" w:cs="Arial"/>
          <w:i/>
          <w:iCs/>
          <w:noProof/>
          <w:sz w:val="24"/>
          <w:szCs w:val="24"/>
        </w:rPr>
        <w:t>Preventive Medicine</w:t>
      </w:r>
      <w:r w:rsidRPr="00103A0B">
        <w:rPr>
          <w:rFonts w:ascii="Arial" w:hAnsi="Arial" w:cs="Arial"/>
          <w:noProof/>
          <w:sz w:val="24"/>
          <w:szCs w:val="24"/>
        </w:rPr>
        <w:t xml:space="preserve">, </w:t>
      </w:r>
      <w:r w:rsidRPr="00103A0B">
        <w:rPr>
          <w:rFonts w:ascii="Arial" w:hAnsi="Arial" w:cs="Arial"/>
          <w:i/>
          <w:iCs/>
          <w:noProof/>
          <w:sz w:val="24"/>
          <w:szCs w:val="24"/>
        </w:rPr>
        <w:t>139</w:t>
      </w:r>
      <w:r w:rsidRPr="00103A0B">
        <w:rPr>
          <w:rFonts w:ascii="Arial" w:hAnsi="Arial" w:cs="Arial"/>
          <w:noProof/>
          <w:sz w:val="24"/>
          <w:szCs w:val="24"/>
        </w:rPr>
        <w:t>, 106068. https://doi.org/10.1016/j.ypmed.2020.106068</w:t>
      </w:r>
    </w:p>
    <w:p w14:paraId="5DA797D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Macmillan, H. (2016). </w:t>
      </w:r>
      <w:r w:rsidRPr="00103A0B">
        <w:rPr>
          <w:rFonts w:ascii="Arial" w:hAnsi="Arial" w:cs="Arial"/>
          <w:i/>
          <w:iCs/>
          <w:noProof/>
          <w:sz w:val="24"/>
          <w:szCs w:val="24"/>
        </w:rPr>
        <w:t>Healthier you: NHS diabetes prevention programme</w:t>
      </w:r>
      <w:r w:rsidRPr="00103A0B">
        <w:rPr>
          <w:rFonts w:ascii="Arial" w:hAnsi="Arial" w:cs="Arial"/>
          <w:noProof/>
          <w:sz w:val="24"/>
          <w:szCs w:val="24"/>
        </w:rPr>
        <w:t>. [URL removed so the local provider is not identifiable].</w:t>
      </w:r>
    </w:p>
    <w:p w14:paraId="01781A2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Mainous III, A. G., Tanner, R. J., Baker, R., Zayas, C. E. &amp; Harle, C. A. (2014). Prevalence of prediabetes in England from 2003 to 2011: population-based, cross-sectional study. </w:t>
      </w:r>
      <w:r w:rsidRPr="00103A0B">
        <w:rPr>
          <w:rFonts w:ascii="Arial" w:hAnsi="Arial" w:cs="Arial"/>
          <w:i/>
          <w:iCs/>
          <w:noProof/>
          <w:sz w:val="24"/>
          <w:szCs w:val="24"/>
        </w:rPr>
        <w:t>BMJ Open</w:t>
      </w:r>
      <w:r w:rsidRPr="00103A0B">
        <w:rPr>
          <w:rFonts w:ascii="Arial" w:hAnsi="Arial" w:cs="Arial"/>
          <w:noProof/>
          <w:sz w:val="24"/>
          <w:szCs w:val="24"/>
        </w:rPr>
        <w:t xml:space="preserve">, </w:t>
      </w:r>
      <w:r w:rsidRPr="00103A0B">
        <w:rPr>
          <w:rFonts w:ascii="Arial" w:hAnsi="Arial" w:cs="Arial"/>
          <w:i/>
          <w:iCs/>
          <w:noProof/>
          <w:sz w:val="24"/>
          <w:szCs w:val="24"/>
        </w:rPr>
        <w:t>4</w:t>
      </w:r>
      <w:r w:rsidRPr="00103A0B">
        <w:rPr>
          <w:rFonts w:ascii="Arial" w:hAnsi="Arial" w:cs="Arial"/>
          <w:noProof/>
          <w:sz w:val="24"/>
          <w:szCs w:val="24"/>
        </w:rPr>
        <w:t>, e005002.</w:t>
      </w:r>
    </w:p>
    <w:p w14:paraId="7790DD6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Makrilakis, K., Liatis, S., Grammatikou, S., Perrea, D. &amp; Katsilambros, N. (2010). Implementation and effectiveness of the first community lifestyle intervention programme to prevent type 2 diabetes in Greece. The DE-PLAN study. </w:t>
      </w:r>
      <w:r w:rsidRPr="00103A0B">
        <w:rPr>
          <w:rFonts w:ascii="Arial" w:hAnsi="Arial" w:cs="Arial"/>
          <w:i/>
          <w:iCs/>
          <w:noProof/>
          <w:sz w:val="24"/>
          <w:szCs w:val="24"/>
        </w:rPr>
        <w:t>Diabetic Medicine</w:t>
      </w:r>
      <w:r w:rsidRPr="00103A0B">
        <w:rPr>
          <w:rFonts w:ascii="Arial" w:hAnsi="Arial" w:cs="Arial"/>
          <w:noProof/>
          <w:sz w:val="24"/>
          <w:szCs w:val="24"/>
        </w:rPr>
        <w:t xml:space="preserve">, </w:t>
      </w:r>
      <w:r w:rsidRPr="00103A0B">
        <w:rPr>
          <w:rFonts w:ascii="Arial" w:hAnsi="Arial" w:cs="Arial"/>
          <w:i/>
          <w:iCs/>
          <w:noProof/>
          <w:sz w:val="24"/>
          <w:szCs w:val="24"/>
        </w:rPr>
        <w:t>27</w:t>
      </w:r>
      <w:r w:rsidRPr="00103A0B">
        <w:rPr>
          <w:rFonts w:ascii="Arial" w:hAnsi="Arial" w:cs="Arial"/>
          <w:noProof/>
          <w:sz w:val="24"/>
          <w:szCs w:val="24"/>
        </w:rPr>
        <w:t>(4), 459–465. https://doi.org/10.1111/j.1464-5491.2010.02918.x</w:t>
      </w:r>
    </w:p>
    <w:p w14:paraId="0B89B27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Marmarà, D., Marmarà, V. &amp; Hubbard, G. (2017). Health beliefs, illness perceptions and determinants of breast screening uptake in Malta: a cross-sectional survey. </w:t>
      </w:r>
      <w:r w:rsidRPr="00103A0B">
        <w:rPr>
          <w:rFonts w:ascii="Arial" w:hAnsi="Arial" w:cs="Arial"/>
          <w:i/>
          <w:iCs/>
          <w:noProof/>
          <w:sz w:val="24"/>
          <w:szCs w:val="24"/>
        </w:rPr>
        <w:t>BMC Public Health</w:t>
      </w:r>
      <w:r w:rsidRPr="00103A0B">
        <w:rPr>
          <w:rFonts w:ascii="Arial" w:hAnsi="Arial" w:cs="Arial"/>
          <w:noProof/>
          <w:sz w:val="24"/>
          <w:szCs w:val="24"/>
        </w:rPr>
        <w:t xml:space="preserve">, </w:t>
      </w:r>
      <w:r w:rsidRPr="00103A0B">
        <w:rPr>
          <w:rFonts w:ascii="Arial" w:hAnsi="Arial" w:cs="Arial"/>
          <w:i/>
          <w:iCs/>
          <w:noProof/>
          <w:sz w:val="24"/>
          <w:szCs w:val="24"/>
        </w:rPr>
        <w:t>17</w:t>
      </w:r>
      <w:r w:rsidRPr="00103A0B">
        <w:rPr>
          <w:rFonts w:ascii="Arial" w:hAnsi="Arial" w:cs="Arial"/>
          <w:noProof/>
          <w:sz w:val="24"/>
          <w:szCs w:val="24"/>
        </w:rPr>
        <w:t>, 416.</w:t>
      </w:r>
    </w:p>
    <w:p w14:paraId="3C8FAD7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Marmarà, D., Marmarà, V. &amp; Hubbard, G. (2019). Predicting reattendance to the second round of the Maltese national breast screening programme: an analytical descriptive study. </w:t>
      </w:r>
      <w:r w:rsidRPr="00103A0B">
        <w:rPr>
          <w:rFonts w:ascii="Arial" w:hAnsi="Arial" w:cs="Arial"/>
          <w:i/>
          <w:iCs/>
          <w:noProof/>
          <w:sz w:val="24"/>
          <w:szCs w:val="24"/>
        </w:rPr>
        <w:t>BMC Public Health</w:t>
      </w:r>
      <w:r w:rsidRPr="00103A0B">
        <w:rPr>
          <w:rFonts w:ascii="Arial" w:hAnsi="Arial" w:cs="Arial"/>
          <w:noProof/>
          <w:sz w:val="24"/>
          <w:szCs w:val="24"/>
        </w:rPr>
        <w:t xml:space="preserve">, </w:t>
      </w:r>
      <w:r w:rsidRPr="00103A0B">
        <w:rPr>
          <w:rFonts w:ascii="Arial" w:hAnsi="Arial" w:cs="Arial"/>
          <w:i/>
          <w:iCs/>
          <w:noProof/>
          <w:sz w:val="24"/>
          <w:szCs w:val="24"/>
        </w:rPr>
        <w:t>19</w:t>
      </w:r>
      <w:r w:rsidRPr="00103A0B">
        <w:rPr>
          <w:rFonts w:ascii="Arial" w:hAnsi="Arial" w:cs="Arial"/>
          <w:noProof/>
          <w:sz w:val="24"/>
          <w:szCs w:val="24"/>
        </w:rPr>
        <w:t>, 189. https://doi.org/10.1186/s12889-019-6507-9</w:t>
      </w:r>
    </w:p>
    <w:p w14:paraId="6EFF415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Marrero, D. G., Palmer, K. N. B., Phillips, E. O., Miller-Kovach, K., Foster, G. D. &amp; Saha, C. K. (2016). Comparison of commercial and self-initiated weight loss programs in people with prediabetes: a randomized control trial. </w:t>
      </w:r>
      <w:r w:rsidRPr="00103A0B">
        <w:rPr>
          <w:rFonts w:ascii="Arial" w:hAnsi="Arial" w:cs="Arial"/>
          <w:i/>
          <w:iCs/>
          <w:noProof/>
          <w:sz w:val="24"/>
          <w:szCs w:val="24"/>
        </w:rPr>
        <w:t>American Journal of Public Health</w:t>
      </w:r>
      <w:r w:rsidRPr="00103A0B">
        <w:rPr>
          <w:rFonts w:ascii="Arial" w:hAnsi="Arial" w:cs="Arial"/>
          <w:noProof/>
          <w:sz w:val="24"/>
          <w:szCs w:val="24"/>
        </w:rPr>
        <w:t xml:space="preserve">, </w:t>
      </w:r>
      <w:r w:rsidRPr="00103A0B">
        <w:rPr>
          <w:rFonts w:ascii="Arial" w:hAnsi="Arial" w:cs="Arial"/>
          <w:i/>
          <w:iCs/>
          <w:noProof/>
          <w:sz w:val="24"/>
          <w:szCs w:val="24"/>
        </w:rPr>
        <w:t>106</w:t>
      </w:r>
      <w:r w:rsidRPr="00103A0B">
        <w:rPr>
          <w:rFonts w:ascii="Arial" w:hAnsi="Arial" w:cs="Arial"/>
          <w:noProof/>
          <w:sz w:val="24"/>
          <w:szCs w:val="24"/>
        </w:rPr>
        <w:t>(5), 949–956. https://doi.org/10.2105/AJPH.2015.303035</w:t>
      </w:r>
    </w:p>
    <w:p w14:paraId="517B8C6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Mattessich, P. W. &amp; Monsey, B. R. (1992). </w:t>
      </w:r>
      <w:r w:rsidRPr="00103A0B">
        <w:rPr>
          <w:rFonts w:ascii="Arial" w:hAnsi="Arial" w:cs="Arial"/>
          <w:i/>
          <w:iCs/>
          <w:noProof/>
          <w:sz w:val="24"/>
          <w:szCs w:val="24"/>
        </w:rPr>
        <w:t>Collaboration: what makes it work- a review of research literature on factors influencing successful collaboration</w:t>
      </w:r>
      <w:r w:rsidRPr="00103A0B">
        <w:rPr>
          <w:rFonts w:ascii="Arial" w:hAnsi="Arial" w:cs="Arial"/>
          <w:noProof/>
          <w:sz w:val="24"/>
          <w:szCs w:val="24"/>
        </w:rPr>
        <w:t>. Amherst H. Wilder Foundation.</w:t>
      </w:r>
    </w:p>
    <w:p w14:paraId="0BC598B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Maxwell, J. A. (2010). Using numbers in qualitative research. </w:t>
      </w:r>
      <w:r w:rsidRPr="00103A0B">
        <w:rPr>
          <w:rFonts w:ascii="Arial" w:hAnsi="Arial" w:cs="Arial"/>
          <w:i/>
          <w:iCs/>
          <w:noProof/>
          <w:sz w:val="24"/>
          <w:szCs w:val="24"/>
        </w:rPr>
        <w:t>Qualitative Inquiry</w:t>
      </w:r>
      <w:r w:rsidRPr="00103A0B">
        <w:rPr>
          <w:rFonts w:ascii="Arial" w:hAnsi="Arial" w:cs="Arial"/>
          <w:noProof/>
          <w:sz w:val="24"/>
          <w:szCs w:val="24"/>
        </w:rPr>
        <w:t xml:space="preserve">, </w:t>
      </w:r>
      <w:r w:rsidRPr="00103A0B">
        <w:rPr>
          <w:rFonts w:ascii="Arial" w:hAnsi="Arial" w:cs="Arial"/>
          <w:i/>
          <w:iCs/>
          <w:noProof/>
          <w:sz w:val="24"/>
          <w:szCs w:val="24"/>
        </w:rPr>
        <w:t>16</w:t>
      </w:r>
      <w:r w:rsidRPr="00103A0B">
        <w:rPr>
          <w:rFonts w:ascii="Arial" w:hAnsi="Arial" w:cs="Arial"/>
          <w:noProof/>
          <w:sz w:val="24"/>
          <w:szCs w:val="24"/>
        </w:rPr>
        <w:t>(6), 475–482. https://doi.org/10.1177/1077800410364740</w:t>
      </w:r>
    </w:p>
    <w:p w14:paraId="367F994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McCann, J., Ridgers, N. D., Carver, A., Thornton, L. E. &amp; Teychenne, M. (2013). Effective recruitment and retention strategies in community health programs. </w:t>
      </w:r>
      <w:r w:rsidRPr="00103A0B">
        <w:rPr>
          <w:rFonts w:ascii="Arial" w:hAnsi="Arial" w:cs="Arial"/>
          <w:i/>
          <w:iCs/>
          <w:noProof/>
          <w:sz w:val="24"/>
          <w:szCs w:val="24"/>
        </w:rPr>
        <w:t>Health Promotion Journal of Australia</w:t>
      </w:r>
      <w:r w:rsidRPr="00103A0B">
        <w:rPr>
          <w:rFonts w:ascii="Arial" w:hAnsi="Arial" w:cs="Arial"/>
          <w:noProof/>
          <w:sz w:val="24"/>
          <w:szCs w:val="24"/>
        </w:rPr>
        <w:t xml:space="preserve">, </w:t>
      </w:r>
      <w:r w:rsidRPr="00103A0B">
        <w:rPr>
          <w:rFonts w:ascii="Arial" w:hAnsi="Arial" w:cs="Arial"/>
          <w:i/>
          <w:iCs/>
          <w:noProof/>
          <w:sz w:val="24"/>
          <w:szCs w:val="24"/>
        </w:rPr>
        <w:t>24</w:t>
      </w:r>
      <w:r w:rsidRPr="00103A0B">
        <w:rPr>
          <w:rFonts w:ascii="Arial" w:hAnsi="Arial" w:cs="Arial"/>
          <w:noProof/>
          <w:sz w:val="24"/>
          <w:szCs w:val="24"/>
        </w:rPr>
        <w:t>, 104–110.</w:t>
      </w:r>
    </w:p>
    <w:p w14:paraId="58278CC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McDermott, K. A., Rao, M. R., Nagarathna, R., Murphy, E. J., Burke, A., Nagendra, R. H. &amp; Hecht, F. M. (2014). A yoga intervention for type 2 diabetes risk reduction: a pilot randomized controlled trial. </w:t>
      </w:r>
      <w:r w:rsidRPr="00103A0B">
        <w:rPr>
          <w:rFonts w:ascii="Arial" w:hAnsi="Arial" w:cs="Arial"/>
          <w:i/>
          <w:iCs/>
          <w:noProof/>
          <w:sz w:val="24"/>
          <w:szCs w:val="24"/>
        </w:rPr>
        <w:t>BMC Complementary and Alternative Medicine</w:t>
      </w:r>
      <w:r w:rsidRPr="00103A0B">
        <w:rPr>
          <w:rFonts w:ascii="Arial" w:hAnsi="Arial" w:cs="Arial"/>
          <w:noProof/>
          <w:sz w:val="24"/>
          <w:szCs w:val="24"/>
        </w:rPr>
        <w:t xml:space="preserve">, </w:t>
      </w:r>
      <w:r w:rsidRPr="00103A0B">
        <w:rPr>
          <w:rFonts w:ascii="Arial" w:hAnsi="Arial" w:cs="Arial"/>
          <w:i/>
          <w:iCs/>
          <w:noProof/>
          <w:sz w:val="24"/>
          <w:szCs w:val="24"/>
        </w:rPr>
        <w:t>14</w:t>
      </w:r>
      <w:r w:rsidRPr="00103A0B">
        <w:rPr>
          <w:rFonts w:ascii="Arial" w:hAnsi="Arial" w:cs="Arial"/>
          <w:noProof/>
          <w:sz w:val="24"/>
          <w:szCs w:val="24"/>
        </w:rPr>
        <w:t>(1), 212. https://doi.org/10.1186/1472-6882-14-212</w:t>
      </w:r>
    </w:p>
    <w:p w14:paraId="0051C98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McQueen, R. A. &amp; Knussen, C. (2013). </w:t>
      </w:r>
      <w:r w:rsidRPr="00103A0B">
        <w:rPr>
          <w:rFonts w:ascii="Arial" w:hAnsi="Arial" w:cs="Arial"/>
          <w:i/>
          <w:iCs/>
          <w:noProof/>
          <w:sz w:val="24"/>
          <w:szCs w:val="24"/>
        </w:rPr>
        <w:t>Introduction to research methods and statistics in psychology: A practical guide for the undergraduate researcher</w:t>
      </w:r>
      <w:r w:rsidRPr="00103A0B">
        <w:rPr>
          <w:rFonts w:ascii="Arial" w:hAnsi="Arial" w:cs="Arial"/>
          <w:noProof/>
          <w:sz w:val="24"/>
          <w:szCs w:val="24"/>
        </w:rPr>
        <w:t xml:space="preserve"> (2nd ed.). Pearson Education Limited.</w:t>
      </w:r>
    </w:p>
    <w:p w14:paraId="5CAC075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Mendis, S. (2014). Global status report on noncommunicable diseases 2014. In </w:t>
      </w:r>
      <w:r w:rsidRPr="00103A0B">
        <w:rPr>
          <w:rFonts w:ascii="Arial" w:hAnsi="Arial" w:cs="Arial"/>
          <w:i/>
          <w:iCs/>
          <w:noProof/>
          <w:sz w:val="24"/>
          <w:szCs w:val="24"/>
        </w:rPr>
        <w:t>World Health Organization (WHO)</w:t>
      </w:r>
      <w:r w:rsidRPr="00103A0B">
        <w:rPr>
          <w:rFonts w:ascii="Arial" w:hAnsi="Arial" w:cs="Arial"/>
          <w:noProof/>
          <w:sz w:val="24"/>
          <w:szCs w:val="24"/>
        </w:rPr>
        <w:t>. https://doi.org/ISBN 9789241564854</w:t>
      </w:r>
    </w:p>
    <w:p w14:paraId="4EA29EA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Merriam, S. B. (2009). </w:t>
      </w:r>
      <w:r w:rsidRPr="00103A0B">
        <w:rPr>
          <w:rFonts w:ascii="Arial" w:hAnsi="Arial" w:cs="Arial"/>
          <w:i/>
          <w:iCs/>
          <w:noProof/>
          <w:sz w:val="24"/>
          <w:szCs w:val="24"/>
        </w:rPr>
        <w:t>Qualitative Research: A Guide to Design and Implementation</w:t>
      </w:r>
      <w:r w:rsidRPr="00103A0B">
        <w:rPr>
          <w:rFonts w:ascii="Arial" w:hAnsi="Arial" w:cs="Arial"/>
          <w:noProof/>
          <w:sz w:val="24"/>
          <w:szCs w:val="24"/>
        </w:rPr>
        <w:t>. Jossey-Bass A Wiley Imprint.</w:t>
      </w:r>
    </w:p>
    <w:p w14:paraId="4FAC385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Michie, S., Atkins, L. &amp; West, R. (2014). </w:t>
      </w:r>
      <w:r w:rsidRPr="00103A0B">
        <w:rPr>
          <w:rFonts w:ascii="Arial" w:hAnsi="Arial" w:cs="Arial"/>
          <w:i/>
          <w:iCs/>
          <w:noProof/>
          <w:sz w:val="24"/>
          <w:szCs w:val="24"/>
        </w:rPr>
        <w:t>The behaviour change wheel. a guide to designing interventions</w:t>
      </w:r>
      <w:r w:rsidRPr="00103A0B">
        <w:rPr>
          <w:rFonts w:ascii="Arial" w:hAnsi="Arial" w:cs="Arial"/>
          <w:noProof/>
          <w:sz w:val="24"/>
          <w:szCs w:val="24"/>
        </w:rPr>
        <w:t xml:space="preserve"> (1st ed.). Silverback Publishing.</w:t>
      </w:r>
    </w:p>
    <w:p w14:paraId="1CF94D4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Michie, Susan, Ashford, S., Sniehotta, F. F., Dombrowski, S. U., Bishop, A. &amp; French, D. P. (2011). A refined taxonomy of behaviour change techniques to help people change their physical activity and healthy eating behaviours: the CALO-RE taxonomy. </w:t>
      </w:r>
      <w:r w:rsidRPr="00103A0B">
        <w:rPr>
          <w:rFonts w:ascii="Arial" w:hAnsi="Arial" w:cs="Arial"/>
          <w:i/>
          <w:iCs/>
          <w:noProof/>
          <w:sz w:val="24"/>
          <w:szCs w:val="24"/>
        </w:rPr>
        <w:t>Psychology and Health</w:t>
      </w:r>
      <w:r w:rsidRPr="00103A0B">
        <w:rPr>
          <w:rFonts w:ascii="Arial" w:hAnsi="Arial" w:cs="Arial"/>
          <w:noProof/>
          <w:sz w:val="24"/>
          <w:szCs w:val="24"/>
        </w:rPr>
        <w:t xml:space="preserve">, </w:t>
      </w:r>
      <w:r w:rsidRPr="00103A0B">
        <w:rPr>
          <w:rFonts w:ascii="Arial" w:hAnsi="Arial" w:cs="Arial"/>
          <w:i/>
          <w:iCs/>
          <w:noProof/>
          <w:sz w:val="24"/>
          <w:szCs w:val="24"/>
        </w:rPr>
        <w:t>26</w:t>
      </w:r>
      <w:r w:rsidRPr="00103A0B">
        <w:rPr>
          <w:rFonts w:ascii="Arial" w:hAnsi="Arial" w:cs="Arial"/>
          <w:noProof/>
          <w:sz w:val="24"/>
          <w:szCs w:val="24"/>
        </w:rPr>
        <w:t>(11), 1479–1498. https://doi.org/10.1080/08870446.2010.540664</w:t>
      </w:r>
    </w:p>
    <w:p w14:paraId="2315513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Michie, Susan, Richardson, M., Johnston, M., Abraham, C., Francis, J., Hardeman, W., Eccles, M. P., Cane, J. &amp; Wood, C. E. (2013). The behavior change technique taxonomy (v1) of 93 hierarchically clustered techniques: building an international consensus for the reporting of behavior change interventions. </w:t>
      </w:r>
      <w:r w:rsidRPr="00103A0B">
        <w:rPr>
          <w:rFonts w:ascii="Arial" w:hAnsi="Arial" w:cs="Arial"/>
          <w:i/>
          <w:iCs/>
          <w:noProof/>
          <w:sz w:val="24"/>
          <w:szCs w:val="24"/>
        </w:rPr>
        <w:t>Annals of Behavioral Medicine</w:t>
      </w:r>
      <w:r w:rsidRPr="00103A0B">
        <w:rPr>
          <w:rFonts w:ascii="Arial" w:hAnsi="Arial" w:cs="Arial"/>
          <w:noProof/>
          <w:sz w:val="24"/>
          <w:szCs w:val="24"/>
        </w:rPr>
        <w:t xml:space="preserve">, </w:t>
      </w:r>
      <w:r w:rsidRPr="00103A0B">
        <w:rPr>
          <w:rFonts w:ascii="Arial" w:hAnsi="Arial" w:cs="Arial"/>
          <w:i/>
          <w:iCs/>
          <w:noProof/>
          <w:sz w:val="24"/>
          <w:szCs w:val="24"/>
        </w:rPr>
        <w:t>46</w:t>
      </w:r>
      <w:r w:rsidRPr="00103A0B">
        <w:rPr>
          <w:rFonts w:ascii="Arial" w:hAnsi="Arial" w:cs="Arial"/>
          <w:noProof/>
          <w:sz w:val="24"/>
          <w:szCs w:val="24"/>
        </w:rPr>
        <w:t>(1), 81–95. https://doi.org/10.1007/s12160-013-9486-6</w:t>
      </w:r>
    </w:p>
    <w:p w14:paraId="03D970F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Miller, C. K., Weinhold, K. R. &amp; Nagaraja, H. N. (2016). Impact of a worksite diabetes prevention intervention on diet quality and social cognitive influences of health behavior: a randomized controlled trial. </w:t>
      </w:r>
      <w:r w:rsidRPr="00103A0B">
        <w:rPr>
          <w:rFonts w:ascii="Arial" w:hAnsi="Arial" w:cs="Arial"/>
          <w:i/>
          <w:iCs/>
          <w:noProof/>
          <w:sz w:val="24"/>
          <w:szCs w:val="24"/>
        </w:rPr>
        <w:t>Journal of Nutrition Education and Behavior</w:t>
      </w:r>
      <w:r w:rsidRPr="00103A0B">
        <w:rPr>
          <w:rFonts w:ascii="Arial" w:hAnsi="Arial" w:cs="Arial"/>
          <w:noProof/>
          <w:sz w:val="24"/>
          <w:szCs w:val="24"/>
        </w:rPr>
        <w:t xml:space="preserve">, </w:t>
      </w:r>
      <w:r w:rsidRPr="00103A0B">
        <w:rPr>
          <w:rFonts w:ascii="Arial" w:hAnsi="Arial" w:cs="Arial"/>
          <w:i/>
          <w:iCs/>
          <w:noProof/>
          <w:sz w:val="24"/>
          <w:szCs w:val="24"/>
        </w:rPr>
        <w:t>48</w:t>
      </w:r>
      <w:r w:rsidRPr="00103A0B">
        <w:rPr>
          <w:rFonts w:ascii="Arial" w:hAnsi="Arial" w:cs="Arial"/>
          <w:noProof/>
          <w:sz w:val="24"/>
          <w:szCs w:val="24"/>
        </w:rPr>
        <w:t>(3), 160–169. https://doi.org/10.1016/j.jneb.2015.12.002</w:t>
      </w:r>
    </w:p>
    <w:p w14:paraId="47CF803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Ministry of Housing, C. and L. G. (2019). </w:t>
      </w:r>
      <w:r w:rsidRPr="00103A0B">
        <w:rPr>
          <w:rFonts w:ascii="Arial" w:hAnsi="Arial" w:cs="Arial"/>
          <w:i/>
          <w:iCs/>
          <w:noProof/>
          <w:sz w:val="24"/>
          <w:szCs w:val="24"/>
        </w:rPr>
        <w:t>English indices of deprivation 2019</w:t>
      </w:r>
      <w:r w:rsidRPr="00103A0B">
        <w:rPr>
          <w:rFonts w:ascii="Arial" w:hAnsi="Arial" w:cs="Arial"/>
          <w:noProof/>
          <w:sz w:val="24"/>
          <w:szCs w:val="24"/>
        </w:rPr>
        <w:t>. http://imd-by-postcode.opendatacommunities.org/</w:t>
      </w:r>
    </w:p>
    <w:p w14:paraId="7E7742B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Moher, D., Liberati, A., Tetzlaff, J. &amp; Altman, D. G. et al. (2009). Preferred reporting items for systematic reviews and meta-analyses: the PRISMA statement. </w:t>
      </w:r>
      <w:r w:rsidRPr="00103A0B">
        <w:rPr>
          <w:rFonts w:ascii="Arial" w:hAnsi="Arial" w:cs="Arial"/>
          <w:i/>
          <w:iCs/>
          <w:noProof/>
          <w:sz w:val="24"/>
          <w:szCs w:val="24"/>
        </w:rPr>
        <w:t>Annals of Internal Medicine</w:t>
      </w:r>
      <w:r w:rsidRPr="00103A0B">
        <w:rPr>
          <w:rFonts w:ascii="Arial" w:hAnsi="Arial" w:cs="Arial"/>
          <w:noProof/>
          <w:sz w:val="24"/>
          <w:szCs w:val="24"/>
        </w:rPr>
        <w:t xml:space="preserve">, </w:t>
      </w:r>
      <w:r w:rsidRPr="00103A0B">
        <w:rPr>
          <w:rFonts w:ascii="Arial" w:hAnsi="Arial" w:cs="Arial"/>
          <w:i/>
          <w:iCs/>
          <w:noProof/>
          <w:sz w:val="24"/>
          <w:szCs w:val="24"/>
        </w:rPr>
        <w:t>151</w:t>
      </w:r>
      <w:r w:rsidRPr="00103A0B">
        <w:rPr>
          <w:rFonts w:ascii="Arial" w:hAnsi="Arial" w:cs="Arial"/>
          <w:noProof/>
          <w:sz w:val="24"/>
          <w:szCs w:val="24"/>
        </w:rPr>
        <w:t>(4), 264–270. https://doi.org/10.1371/journal.pmed.1000097</w:t>
      </w:r>
    </w:p>
    <w:p w14:paraId="4047DDF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Moin, T., Damschroder, L. J., AuYoung, M., Maciejewski, M. L., Datta, S. K., Weinreb, J. E., Steinle, N. I., Billington, C., Hughes, M., Makki, F., Holleman, R. G., Kim, H. M., Jeffreys, A. S., Kinsinger, L. S., Burns, J. A. &amp; Richardson, C. R. (2017). Diabetes prevention program translation in the veterans health administration. </w:t>
      </w:r>
      <w:r w:rsidRPr="00103A0B">
        <w:rPr>
          <w:rFonts w:ascii="Arial" w:hAnsi="Arial" w:cs="Arial"/>
          <w:i/>
          <w:iCs/>
          <w:noProof/>
          <w:sz w:val="24"/>
          <w:szCs w:val="24"/>
        </w:rPr>
        <w:t>American Journal of Preventive Medicine</w:t>
      </w:r>
      <w:r w:rsidRPr="00103A0B">
        <w:rPr>
          <w:rFonts w:ascii="Arial" w:hAnsi="Arial" w:cs="Arial"/>
          <w:noProof/>
          <w:sz w:val="24"/>
          <w:szCs w:val="24"/>
        </w:rPr>
        <w:t xml:space="preserve">, </w:t>
      </w:r>
      <w:r w:rsidRPr="00103A0B">
        <w:rPr>
          <w:rFonts w:ascii="Arial" w:hAnsi="Arial" w:cs="Arial"/>
          <w:i/>
          <w:iCs/>
          <w:noProof/>
          <w:sz w:val="24"/>
          <w:szCs w:val="24"/>
        </w:rPr>
        <w:t>53</w:t>
      </w:r>
      <w:r w:rsidRPr="00103A0B">
        <w:rPr>
          <w:rFonts w:ascii="Arial" w:hAnsi="Arial" w:cs="Arial"/>
          <w:noProof/>
          <w:sz w:val="24"/>
          <w:szCs w:val="24"/>
        </w:rPr>
        <w:t>(1), 70–77. https://doi.org/10.1016/j.amepre.2016.11.009</w:t>
      </w:r>
    </w:p>
    <w:p w14:paraId="201B4B7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Moore, S. M., Hardie, E. A., Hackworth, N. J., Critchley, C. R., Kyrios, M., Buzwell, S. A. &amp; Crafti, N. A. (2011). Can the onset of type 2 diabetes be delayed by a group-based lifestyle intervention? a randomised control trial. </w:t>
      </w:r>
      <w:r w:rsidRPr="00103A0B">
        <w:rPr>
          <w:rFonts w:ascii="Arial" w:hAnsi="Arial" w:cs="Arial"/>
          <w:i/>
          <w:iCs/>
          <w:noProof/>
          <w:sz w:val="24"/>
          <w:szCs w:val="24"/>
        </w:rPr>
        <w:t>Psychology &amp; Health</w:t>
      </w:r>
      <w:r w:rsidRPr="00103A0B">
        <w:rPr>
          <w:rFonts w:ascii="Arial" w:hAnsi="Arial" w:cs="Arial"/>
          <w:noProof/>
          <w:sz w:val="24"/>
          <w:szCs w:val="24"/>
        </w:rPr>
        <w:t xml:space="preserve">, </w:t>
      </w:r>
      <w:r w:rsidRPr="00103A0B">
        <w:rPr>
          <w:rFonts w:ascii="Arial" w:hAnsi="Arial" w:cs="Arial"/>
          <w:i/>
          <w:iCs/>
          <w:noProof/>
          <w:sz w:val="24"/>
          <w:szCs w:val="24"/>
        </w:rPr>
        <w:t>26</w:t>
      </w:r>
      <w:r w:rsidRPr="00103A0B">
        <w:rPr>
          <w:rFonts w:ascii="Arial" w:hAnsi="Arial" w:cs="Arial"/>
          <w:noProof/>
          <w:sz w:val="24"/>
          <w:szCs w:val="24"/>
        </w:rPr>
        <w:t>(4), 485–499. https://doi.org/10.1080/08870440903548749</w:t>
      </w:r>
    </w:p>
    <w:p w14:paraId="5229C11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Moss-Morris, R., Weinman, J. &amp; Petrie, K. J. (2002). The revised illness perception questionnaire (IPQ-R). </w:t>
      </w:r>
      <w:r w:rsidRPr="00103A0B">
        <w:rPr>
          <w:rFonts w:ascii="Arial" w:hAnsi="Arial" w:cs="Arial"/>
          <w:i/>
          <w:iCs/>
          <w:noProof/>
          <w:sz w:val="24"/>
          <w:szCs w:val="24"/>
        </w:rPr>
        <w:t>Psychology and Health</w:t>
      </w:r>
      <w:r w:rsidRPr="00103A0B">
        <w:rPr>
          <w:rFonts w:ascii="Arial" w:hAnsi="Arial" w:cs="Arial"/>
          <w:noProof/>
          <w:sz w:val="24"/>
          <w:szCs w:val="24"/>
        </w:rPr>
        <w:t xml:space="preserve">, </w:t>
      </w:r>
      <w:r w:rsidRPr="00103A0B">
        <w:rPr>
          <w:rFonts w:ascii="Arial" w:hAnsi="Arial" w:cs="Arial"/>
          <w:i/>
          <w:iCs/>
          <w:noProof/>
          <w:sz w:val="24"/>
          <w:szCs w:val="24"/>
        </w:rPr>
        <w:t>17</w:t>
      </w:r>
      <w:r w:rsidRPr="00103A0B">
        <w:rPr>
          <w:rFonts w:ascii="Arial" w:hAnsi="Arial" w:cs="Arial"/>
          <w:noProof/>
          <w:sz w:val="24"/>
          <w:szCs w:val="24"/>
        </w:rPr>
        <w:t>(1), 1–16. https://doi.org/10.1080/08870440290001494</w:t>
      </w:r>
    </w:p>
    <w:p w14:paraId="26E121B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Murray, J., Craigs, C. L., Hill, K. M., Honey, S. &amp; House, A. (2012). A systematic review of patient reported factors associated with uptake and completion of cardiovascular lifestyle behaviour change. </w:t>
      </w:r>
      <w:r w:rsidRPr="00103A0B">
        <w:rPr>
          <w:rFonts w:ascii="Arial" w:hAnsi="Arial" w:cs="Arial"/>
          <w:i/>
          <w:iCs/>
          <w:noProof/>
          <w:sz w:val="24"/>
          <w:szCs w:val="24"/>
        </w:rPr>
        <w:t>BMC Cardiovascular Disorders</w:t>
      </w:r>
      <w:r w:rsidRPr="00103A0B">
        <w:rPr>
          <w:rFonts w:ascii="Arial" w:hAnsi="Arial" w:cs="Arial"/>
          <w:noProof/>
          <w:sz w:val="24"/>
          <w:szCs w:val="24"/>
        </w:rPr>
        <w:t xml:space="preserve">, </w:t>
      </w:r>
      <w:r w:rsidRPr="00103A0B">
        <w:rPr>
          <w:rFonts w:ascii="Arial" w:hAnsi="Arial" w:cs="Arial"/>
          <w:i/>
          <w:iCs/>
          <w:noProof/>
          <w:sz w:val="24"/>
          <w:szCs w:val="24"/>
        </w:rPr>
        <w:t>12</w:t>
      </w:r>
      <w:r w:rsidRPr="00103A0B">
        <w:rPr>
          <w:rFonts w:ascii="Arial" w:hAnsi="Arial" w:cs="Arial"/>
          <w:noProof/>
          <w:sz w:val="24"/>
          <w:szCs w:val="24"/>
        </w:rPr>
        <w:t>, 120.</w:t>
      </w:r>
    </w:p>
    <w:p w14:paraId="25D7303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National Institute for Health and Care Excellence (NICE). (2011). </w:t>
      </w:r>
      <w:r w:rsidRPr="00103A0B">
        <w:rPr>
          <w:rFonts w:ascii="Arial" w:hAnsi="Arial" w:cs="Arial"/>
          <w:i/>
          <w:iCs/>
          <w:noProof/>
          <w:sz w:val="24"/>
          <w:szCs w:val="24"/>
        </w:rPr>
        <w:t>Type 2 diabetes prevention: population and community-level interventions</w:t>
      </w:r>
      <w:r w:rsidRPr="00103A0B">
        <w:rPr>
          <w:rFonts w:ascii="Arial" w:hAnsi="Arial" w:cs="Arial"/>
          <w:noProof/>
          <w:sz w:val="24"/>
          <w:szCs w:val="24"/>
        </w:rPr>
        <w:t>. nice.org.uk/guidance/ph35</w:t>
      </w:r>
    </w:p>
    <w:p w14:paraId="4B61737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National Institute for Health and Care Excellence (NICE). (2014). </w:t>
      </w:r>
      <w:r w:rsidRPr="00103A0B">
        <w:rPr>
          <w:rFonts w:ascii="Arial" w:hAnsi="Arial" w:cs="Arial"/>
          <w:i/>
          <w:iCs/>
          <w:noProof/>
          <w:sz w:val="24"/>
          <w:szCs w:val="24"/>
        </w:rPr>
        <w:t>Behaviour change: individual approaches</w:t>
      </w:r>
      <w:r w:rsidRPr="00103A0B">
        <w:rPr>
          <w:rFonts w:ascii="Arial" w:hAnsi="Arial" w:cs="Arial"/>
          <w:noProof/>
          <w:sz w:val="24"/>
          <w:szCs w:val="24"/>
        </w:rPr>
        <w:t>. nice.org.uk/guidance/ph49</w:t>
      </w:r>
    </w:p>
    <w:p w14:paraId="7496782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National Institute of Clinical Excellence. (2012). Type 2 diabetes: prevention in people at high risk. In </w:t>
      </w:r>
      <w:r w:rsidRPr="00103A0B">
        <w:rPr>
          <w:rFonts w:ascii="Arial" w:hAnsi="Arial" w:cs="Arial"/>
          <w:i/>
          <w:iCs/>
          <w:noProof/>
          <w:sz w:val="24"/>
          <w:szCs w:val="24"/>
        </w:rPr>
        <w:t>NICE guidance</w:t>
      </w:r>
      <w:r w:rsidRPr="00103A0B">
        <w:rPr>
          <w:rFonts w:ascii="Arial" w:hAnsi="Arial" w:cs="Arial"/>
          <w:noProof/>
          <w:sz w:val="24"/>
          <w:szCs w:val="24"/>
        </w:rPr>
        <w:t>. https://www.nice.org.uk/guidance/ph38</w:t>
      </w:r>
    </w:p>
    <w:p w14:paraId="4B8BB87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New Policy Institute. (2016). </w:t>
      </w:r>
      <w:r w:rsidRPr="00103A0B">
        <w:rPr>
          <w:rFonts w:ascii="Arial" w:hAnsi="Arial" w:cs="Arial"/>
          <w:i/>
          <w:iCs/>
          <w:noProof/>
          <w:sz w:val="24"/>
          <w:szCs w:val="24"/>
        </w:rPr>
        <w:t>Demography and deprivation in Southwark and Tower Hamlets</w:t>
      </w:r>
      <w:r w:rsidRPr="00103A0B">
        <w:rPr>
          <w:rFonts w:ascii="Arial" w:hAnsi="Arial" w:cs="Arial"/>
          <w:noProof/>
          <w:sz w:val="24"/>
          <w:szCs w:val="24"/>
        </w:rPr>
        <w:t>. https://www.npi.org.uk/files/6614/7316/1332/Demography_and_deprivation_in_Southwark_and_Tower_Hamlets.pdf.</w:t>
      </w:r>
    </w:p>
    <w:p w14:paraId="4A31BBA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Newbound, T. &amp; Valabhji, J. (2020). </w:t>
      </w:r>
      <w:r w:rsidRPr="00103A0B">
        <w:rPr>
          <w:rFonts w:ascii="Arial" w:hAnsi="Arial" w:cs="Arial"/>
          <w:i/>
          <w:iCs/>
          <w:noProof/>
          <w:sz w:val="24"/>
          <w:szCs w:val="24"/>
        </w:rPr>
        <w:t>COVID-19: NHS diabetes prevention programme</w:t>
      </w:r>
      <w:r w:rsidRPr="00103A0B">
        <w:rPr>
          <w:rFonts w:ascii="Arial" w:hAnsi="Arial" w:cs="Arial"/>
          <w:noProof/>
          <w:sz w:val="24"/>
          <w:szCs w:val="24"/>
        </w:rPr>
        <w:t>. http://journals.sagepub.com/doi/10.1177/1120700020921110%0Ahttps://doi.org/10.1016/j.reuma.2018.06.001%0Ahttps://doi.org/10.1016/j.arth.2018.03.044%0Ahttps://reader.elsevier.com/reader/sd/pii/S1063458420300078?token=C039B8B13922A2079230DC9AF11A333E295FCD8</w:t>
      </w:r>
    </w:p>
    <w:p w14:paraId="70F7BAA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Neweb Creations. (2020). </w:t>
      </w:r>
      <w:r w:rsidRPr="00103A0B">
        <w:rPr>
          <w:rFonts w:ascii="Arial" w:hAnsi="Arial" w:cs="Arial"/>
          <w:i/>
          <w:iCs/>
          <w:noProof/>
          <w:sz w:val="24"/>
          <w:szCs w:val="24"/>
        </w:rPr>
        <w:t>London borough map</w:t>
      </w:r>
      <w:r w:rsidRPr="00103A0B">
        <w:rPr>
          <w:rFonts w:ascii="Arial" w:hAnsi="Arial" w:cs="Arial"/>
          <w:noProof/>
          <w:sz w:val="24"/>
          <w:szCs w:val="24"/>
        </w:rPr>
        <w:t>. https://maps-london.com/london-borough-map</w:t>
      </w:r>
    </w:p>
    <w:p w14:paraId="6AC03DC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Digital. (2020a). </w:t>
      </w:r>
      <w:r w:rsidRPr="00103A0B">
        <w:rPr>
          <w:rFonts w:ascii="Arial" w:hAnsi="Arial" w:cs="Arial"/>
          <w:i/>
          <w:iCs/>
          <w:noProof/>
          <w:sz w:val="24"/>
          <w:szCs w:val="24"/>
        </w:rPr>
        <w:t>Non-diabetic hyperglycaemia, quarter 2 2019-20: diagnoses and demographics</w:t>
      </w:r>
      <w:r w:rsidRPr="00103A0B">
        <w:rPr>
          <w:rFonts w:ascii="Arial" w:hAnsi="Arial" w:cs="Arial"/>
          <w:noProof/>
          <w:sz w:val="24"/>
          <w:szCs w:val="24"/>
        </w:rPr>
        <w:t>. https://digital.nhs.uk/data-and-</w:t>
      </w:r>
      <w:r w:rsidRPr="00103A0B">
        <w:rPr>
          <w:rFonts w:ascii="Arial" w:hAnsi="Arial" w:cs="Arial"/>
          <w:noProof/>
          <w:sz w:val="24"/>
          <w:szCs w:val="24"/>
        </w:rPr>
        <w:lastRenderedPageBreak/>
        <w:t>information/publications/statistical/national-diabetes-audit/diabetes-prevention-programme---quarterly-report-january-to-september-2019</w:t>
      </w:r>
    </w:p>
    <w:p w14:paraId="6C0E120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Digital. (2020b). </w:t>
      </w:r>
      <w:r w:rsidRPr="00103A0B">
        <w:rPr>
          <w:rFonts w:ascii="Arial" w:hAnsi="Arial" w:cs="Arial"/>
          <w:i/>
          <w:iCs/>
          <w:noProof/>
          <w:sz w:val="24"/>
          <w:szCs w:val="24"/>
        </w:rPr>
        <w:t>Statistics on obesity, physical activity and diet, england, 2020</w:t>
      </w:r>
      <w:r w:rsidRPr="00103A0B">
        <w:rPr>
          <w:rFonts w:ascii="Arial" w:hAnsi="Arial" w:cs="Arial"/>
          <w:noProof/>
          <w:sz w:val="24"/>
          <w:szCs w:val="24"/>
        </w:rPr>
        <w:t>. https://digital.nhs.uk/data-and-information/publications/statistical/statistics-on-obesity-physical-activity-and-diet/england-2020</w:t>
      </w:r>
    </w:p>
    <w:p w14:paraId="72D61BC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England. (2016a). </w:t>
      </w:r>
      <w:r w:rsidRPr="00103A0B">
        <w:rPr>
          <w:rFonts w:ascii="Arial" w:hAnsi="Arial" w:cs="Arial"/>
          <w:i/>
          <w:iCs/>
          <w:noProof/>
          <w:sz w:val="24"/>
          <w:szCs w:val="24"/>
        </w:rPr>
        <w:t>NDPP national service specification</w:t>
      </w:r>
      <w:r w:rsidRPr="00103A0B">
        <w:rPr>
          <w:rFonts w:ascii="Arial" w:hAnsi="Arial" w:cs="Arial"/>
          <w:noProof/>
          <w:sz w:val="24"/>
          <w:szCs w:val="24"/>
        </w:rPr>
        <w:t>. https://www.england.nhs.uk/wp-content/uploads/2016/08/dpp-service-spec-aug16.pdf</w:t>
      </w:r>
    </w:p>
    <w:p w14:paraId="1AF4E36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England. (2016b). </w:t>
      </w:r>
      <w:r w:rsidRPr="00103A0B">
        <w:rPr>
          <w:rFonts w:ascii="Arial" w:hAnsi="Arial" w:cs="Arial"/>
          <w:i/>
          <w:iCs/>
          <w:noProof/>
          <w:sz w:val="24"/>
          <w:szCs w:val="24"/>
        </w:rPr>
        <w:t>NHS england impact analysis of implementing NHS diabetes prevention programme, 2016 to 2021</w:t>
      </w:r>
      <w:r w:rsidRPr="00103A0B">
        <w:rPr>
          <w:rFonts w:ascii="Arial" w:hAnsi="Arial" w:cs="Arial"/>
          <w:noProof/>
          <w:sz w:val="24"/>
          <w:szCs w:val="24"/>
        </w:rPr>
        <w:t>. https://www.england.nhs.uk/wp-content/uploads/2016/08/impact-assessment-ndpp.pdf</w:t>
      </w:r>
    </w:p>
    <w:p w14:paraId="3FC5E51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England. (2020a). </w:t>
      </w:r>
      <w:r w:rsidRPr="00103A0B">
        <w:rPr>
          <w:rFonts w:ascii="Arial" w:hAnsi="Arial" w:cs="Arial"/>
          <w:i/>
          <w:iCs/>
          <w:noProof/>
          <w:sz w:val="24"/>
          <w:szCs w:val="24"/>
        </w:rPr>
        <w:t>Fast online access to world leading NHS weight loss advice</w:t>
      </w:r>
      <w:r w:rsidRPr="00103A0B">
        <w:rPr>
          <w:rFonts w:ascii="Arial" w:hAnsi="Arial" w:cs="Arial"/>
          <w:noProof/>
          <w:sz w:val="24"/>
          <w:szCs w:val="24"/>
        </w:rPr>
        <w:t>. https://www.england.nhs.uk/2020/07/fast-online-access-to-world-leading-nhs-weight-loss-advice/</w:t>
      </w:r>
    </w:p>
    <w:p w14:paraId="25F1FC3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England. (2020b). </w:t>
      </w:r>
      <w:r w:rsidRPr="00103A0B">
        <w:rPr>
          <w:rFonts w:ascii="Arial" w:hAnsi="Arial" w:cs="Arial"/>
          <w:i/>
          <w:iCs/>
          <w:noProof/>
          <w:sz w:val="24"/>
          <w:szCs w:val="24"/>
        </w:rPr>
        <w:t>NHS DPP expert reference group</w:t>
      </w:r>
      <w:r w:rsidRPr="00103A0B">
        <w:rPr>
          <w:rFonts w:ascii="Arial" w:hAnsi="Arial" w:cs="Arial"/>
          <w:noProof/>
          <w:sz w:val="24"/>
          <w:szCs w:val="24"/>
        </w:rPr>
        <w:t>. https://www.england.nhs.uk/diabetes/diabetes-prevention/exp-ref-grp/</w:t>
      </w:r>
    </w:p>
    <w:p w14:paraId="4F66B76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England. (2023a). </w:t>
      </w:r>
      <w:r w:rsidRPr="00103A0B">
        <w:rPr>
          <w:rFonts w:ascii="Arial" w:hAnsi="Arial" w:cs="Arial"/>
          <w:i/>
          <w:iCs/>
          <w:noProof/>
          <w:sz w:val="24"/>
          <w:szCs w:val="24"/>
        </w:rPr>
        <w:t>Healthier you NHS diabetes prevention programme: provider contact details</w:t>
      </w:r>
      <w:r w:rsidRPr="00103A0B">
        <w:rPr>
          <w:rFonts w:ascii="Arial" w:hAnsi="Arial" w:cs="Arial"/>
          <w:noProof/>
          <w:sz w:val="24"/>
          <w:szCs w:val="24"/>
        </w:rPr>
        <w:t>. https://www.england.nhs.uk/diabetes/diabetes-prevention/resources/provider-contact-details/</w:t>
      </w:r>
    </w:p>
    <w:p w14:paraId="3296E54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England. (2023b). </w:t>
      </w:r>
      <w:r w:rsidRPr="00103A0B">
        <w:rPr>
          <w:rFonts w:ascii="Arial" w:hAnsi="Arial" w:cs="Arial"/>
          <w:i/>
          <w:iCs/>
          <w:noProof/>
          <w:sz w:val="24"/>
          <w:szCs w:val="24"/>
        </w:rPr>
        <w:t>NHS diabetes prevention programme (NHS DPP)</w:t>
      </w:r>
      <w:r w:rsidRPr="00103A0B">
        <w:rPr>
          <w:rFonts w:ascii="Arial" w:hAnsi="Arial" w:cs="Arial"/>
          <w:noProof/>
          <w:sz w:val="24"/>
          <w:szCs w:val="24"/>
        </w:rPr>
        <w:t>. https://www.england.nhs.uk/diabetes/diabetes-prevention/</w:t>
      </w:r>
    </w:p>
    <w:p w14:paraId="61E7909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England, Public Health England, Health Education England, Monitor, Care Quality Commission &amp; Authority, T. D. (2014). </w:t>
      </w:r>
      <w:r w:rsidRPr="00103A0B">
        <w:rPr>
          <w:rFonts w:ascii="Arial" w:hAnsi="Arial" w:cs="Arial"/>
          <w:i/>
          <w:iCs/>
          <w:noProof/>
          <w:sz w:val="24"/>
          <w:szCs w:val="24"/>
        </w:rPr>
        <w:t>Five year forward view</w:t>
      </w:r>
      <w:r w:rsidRPr="00103A0B">
        <w:rPr>
          <w:rFonts w:ascii="Arial" w:hAnsi="Arial" w:cs="Arial"/>
          <w:noProof/>
          <w:sz w:val="24"/>
          <w:szCs w:val="24"/>
        </w:rPr>
        <w:t>. https://www.england.nhs.uk/wp-content/uploads/2014/10/5yfv-web.pdf</w:t>
      </w:r>
    </w:p>
    <w:p w14:paraId="0BA3C87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NHS England Publications. (2016). </w:t>
      </w:r>
      <w:r w:rsidRPr="00103A0B">
        <w:rPr>
          <w:rFonts w:ascii="Arial" w:hAnsi="Arial" w:cs="Arial"/>
          <w:i/>
          <w:iCs/>
          <w:noProof/>
          <w:sz w:val="24"/>
          <w:szCs w:val="24"/>
        </w:rPr>
        <w:t>NHS diabetes prevention programme</w:t>
      </w:r>
      <w:r w:rsidRPr="00103A0B">
        <w:rPr>
          <w:rFonts w:ascii="Arial" w:hAnsi="Arial" w:cs="Arial"/>
          <w:noProof/>
          <w:sz w:val="24"/>
          <w:szCs w:val="24"/>
        </w:rPr>
        <w:t>. https://www.england.nhs.uk/wp-content/uploads/2016/08/dpp-faq.pdf</w:t>
      </w:r>
    </w:p>
    <w:p w14:paraId="254ECA5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Nordström, A., Hadrévi, J., Olsson, T., Franks, P. W. &amp; Nordström, P. (2016). Higher prevalence of type 2 diabetes in men than in women is associated with differences in visceral fat mass. </w:t>
      </w:r>
      <w:r w:rsidRPr="00103A0B">
        <w:rPr>
          <w:rFonts w:ascii="Arial" w:hAnsi="Arial" w:cs="Arial"/>
          <w:i/>
          <w:iCs/>
          <w:noProof/>
          <w:sz w:val="24"/>
          <w:szCs w:val="24"/>
        </w:rPr>
        <w:t>Journal of Clinical Endocrinology and Metabolism</w:t>
      </w:r>
      <w:r w:rsidRPr="00103A0B">
        <w:rPr>
          <w:rFonts w:ascii="Arial" w:hAnsi="Arial" w:cs="Arial"/>
          <w:noProof/>
          <w:sz w:val="24"/>
          <w:szCs w:val="24"/>
        </w:rPr>
        <w:t xml:space="preserve">, </w:t>
      </w:r>
      <w:r w:rsidRPr="00103A0B">
        <w:rPr>
          <w:rFonts w:ascii="Arial" w:hAnsi="Arial" w:cs="Arial"/>
          <w:i/>
          <w:iCs/>
          <w:noProof/>
          <w:sz w:val="24"/>
          <w:szCs w:val="24"/>
        </w:rPr>
        <w:t>101</w:t>
      </w:r>
      <w:r w:rsidRPr="00103A0B">
        <w:rPr>
          <w:rFonts w:ascii="Arial" w:hAnsi="Arial" w:cs="Arial"/>
          <w:noProof/>
          <w:sz w:val="24"/>
          <w:szCs w:val="24"/>
        </w:rPr>
        <w:t>(10), 3740–3746. https://doi.org/10.1210/jc.2016-1915</w:t>
      </w:r>
    </w:p>
    <w:p w14:paraId="5AB4184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North Central London Integrated Care Board. (2023). </w:t>
      </w:r>
      <w:r w:rsidRPr="00103A0B">
        <w:rPr>
          <w:rFonts w:ascii="Arial" w:hAnsi="Arial" w:cs="Arial"/>
          <w:i/>
          <w:iCs/>
          <w:noProof/>
          <w:sz w:val="24"/>
          <w:szCs w:val="24"/>
        </w:rPr>
        <w:t>Diabetes prevention programme</w:t>
      </w:r>
      <w:r w:rsidRPr="00103A0B">
        <w:rPr>
          <w:rFonts w:ascii="Arial" w:hAnsi="Arial" w:cs="Arial"/>
          <w:noProof/>
          <w:sz w:val="24"/>
          <w:szCs w:val="24"/>
        </w:rPr>
        <w:t>. https://gps.northcentrallondon.icb.nhs.uk/service/diabetes-prevention-programme-dpp</w:t>
      </w:r>
    </w:p>
    <w:p w14:paraId="4A155FD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Nuzhat, B. A., Spong, R., Carter, P., Davies, M., Dunkley, A. &amp; Gillies, C,  et al. (2015). A systematic review and meta- analysis assessing the effectiveness of pragmatic lifestyle interventions for the prevention of type 2 diabetes mellitus in routine practice. In </w:t>
      </w:r>
      <w:r w:rsidRPr="00103A0B">
        <w:rPr>
          <w:rFonts w:ascii="Arial" w:hAnsi="Arial" w:cs="Arial"/>
          <w:i/>
          <w:iCs/>
          <w:noProof/>
          <w:sz w:val="24"/>
          <w:szCs w:val="24"/>
        </w:rPr>
        <w:t>Public Health England</w:t>
      </w:r>
      <w:r w:rsidRPr="00103A0B">
        <w:rPr>
          <w:rFonts w:ascii="Arial" w:hAnsi="Arial" w:cs="Arial"/>
          <w:noProof/>
          <w:sz w:val="24"/>
          <w:szCs w:val="24"/>
        </w:rPr>
        <w:t>. https://www.gov.uk/government/uploads/system/uploads/attachment_data/file/456147/PHE_Evidence_Review_of_diabetes_prevention_programmes-_FINAL.pdf</w:t>
      </w:r>
    </w:p>
    <w:p w14:paraId="310AD6C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Nyström, M. E., Karltun, J., Keller, C. &amp; Andersson Gäre, B. (2018). Collaborative and partnership research for improvement of health and social services: researcher’s experiences from 20 projects. </w:t>
      </w:r>
      <w:r w:rsidRPr="00103A0B">
        <w:rPr>
          <w:rFonts w:ascii="Arial" w:hAnsi="Arial" w:cs="Arial"/>
          <w:i/>
          <w:iCs/>
          <w:noProof/>
          <w:sz w:val="24"/>
          <w:szCs w:val="24"/>
        </w:rPr>
        <w:t>Health Research Policy and Systems</w:t>
      </w:r>
      <w:r w:rsidRPr="00103A0B">
        <w:rPr>
          <w:rFonts w:ascii="Arial" w:hAnsi="Arial" w:cs="Arial"/>
          <w:noProof/>
          <w:sz w:val="24"/>
          <w:szCs w:val="24"/>
        </w:rPr>
        <w:t xml:space="preserve">, </w:t>
      </w:r>
      <w:r w:rsidRPr="00103A0B">
        <w:rPr>
          <w:rFonts w:ascii="Arial" w:hAnsi="Arial" w:cs="Arial"/>
          <w:i/>
          <w:iCs/>
          <w:noProof/>
          <w:sz w:val="24"/>
          <w:szCs w:val="24"/>
        </w:rPr>
        <w:t>16</w:t>
      </w:r>
      <w:r w:rsidRPr="00103A0B">
        <w:rPr>
          <w:rFonts w:ascii="Arial" w:hAnsi="Arial" w:cs="Arial"/>
          <w:noProof/>
          <w:sz w:val="24"/>
          <w:szCs w:val="24"/>
        </w:rPr>
        <w:t>, 1–17.</w:t>
      </w:r>
    </w:p>
    <w:p w14:paraId="07DF87E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O’Brien, M. J., Perez, A., Alos, V. ., Whitaker, R. ., Ciolino, J. ., Mohr, D. . &amp; Ackermann, R. . (2015). The feasibility, acceptability, and preliminary effectiveness of a promotora-led diabetes prevention program (PL-DPP) in Latinas: a pilot study. </w:t>
      </w:r>
      <w:r w:rsidRPr="00103A0B">
        <w:rPr>
          <w:rFonts w:ascii="Arial" w:hAnsi="Arial" w:cs="Arial"/>
          <w:i/>
          <w:iCs/>
          <w:noProof/>
          <w:sz w:val="24"/>
          <w:szCs w:val="24"/>
        </w:rPr>
        <w:t>Diabetes Educator</w:t>
      </w:r>
      <w:r w:rsidRPr="00103A0B">
        <w:rPr>
          <w:rFonts w:ascii="Arial" w:hAnsi="Arial" w:cs="Arial"/>
          <w:noProof/>
          <w:sz w:val="24"/>
          <w:szCs w:val="24"/>
        </w:rPr>
        <w:t xml:space="preserve">, </w:t>
      </w:r>
      <w:r w:rsidRPr="00103A0B">
        <w:rPr>
          <w:rFonts w:ascii="Arial" w:hAnsi="Arial" w:cs="Arial"/>
          <w:i/>
          <w:iCs/>
          <w:noProof/>
          <w:sz w:val="24"/>
          <w:szCs w:val="24"/>
        </w:rPr>
        <w:t>41</w:t>
      </w:r>
      <w:r w:rsidRPr="00103A0B">
        <w:rPr>
          <w:rFonts w:ascii="Arial" w:hAnsi="Arial" w:cs="Arial"/>
          <w:noProof/>
          <w:sz w:val="24"/>
          <w:szCs w:val="24"/>
        </w:rPr>
        <w:t>(4), 485–494. https://doi.org/10.1016/j.physbeh.2017.03.040</w:t>
      </w:r>
    </w:p>
    <w:p w14:paraId="256DBEC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O’Dowd, N. C. (2018). </w:t>
      </w:r>
      <w:r w:rsidRPr="00103A0B">
        <w:rPr>
          <w:rFonts w:ascii="Arial" w:hAnsi="Arial" w:cs="Arial"/>
          <w:i/>
          <w:iCs/>
          <w:noProof/>
          <w:sz w:val="24"/>
          <w:szCs w:val="24"/>
        </w:rPr>
        <w:t>Multiple long-term conditions in Southwark Southwark`s joint strategic needs assessment</w:t>
      </w:r>
      <w:r w:rsidRPr="00103A0B">
        <w:rPr>
          <w:rFonts w:ascii="Arial" w:hAnsi="Arial" w:cs="Arial"/>
          <w:noProof/>
          <w:sz w:val="24"/>
          <w:szCs w:val="24"/>
        </w:rPr>
        <w:t>. https://www.southwark.gov.uk/assets/attach/7295/JSNA-Factsheet-2018-Multiple-LTCs-in-Southwark-20180413.pdf</w:t>
      </w:r>
    </w:p>
    <w:p w14:paraId="7E3C968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O’Halloran, J., Miller, G. C. &amp; Britt, H. (2004). Defining chronic conditions for primary care with ICPC-2. </w:t>
      </w:r>
      <w:r w:rsidRPr="00103A0B">
        <w:rPr>
          <w:rFonts w:ascii="Arial" w:hAnsi="Arial" w:cs="Arial"/>
          <w:i/>
          <w:iCs/>
          <w:noProof/>
          <w:sz w:val="24"/>
          <w:szCs w:val="24"/>
        </w:rPr>
        <w:t>Family Practice</w:t>
      </w:r>
      <w:r w:rsidRPr="00103A0B">
        <w:rPr>
          <w:rFonts w:ascii="Arial" w:hAnsi="Arial" w:cs="Arial"/>
          <w:noProof/>
          <w:sz w:val="24"/>
          <w:szCs w:val="24"/>
        </w:rPr>
        <w:t xml:space="preserve">, </w:t>
      </w:r>
      <w:r w:rsidRPr="00103A0B">
        <w:rPr>
          <w:rFonts w:ascii="Arial" w:hAnsi="Arial" w:cs="Arial"/>
          <w:i/>
          <w:iCs/>
          <w:noProof/>
          <w:sz w:val="24"/>
          <w:szCs w:val="24"/>
        </w:rPr>
        <w:t>21</w:t>
      </w:r>
      <w:r w:rsidRPr="00103A0B">
        <w:rPr>
          <w:rFonts w:ascii="Arial" w:hAnsi="Arial" w:cs="Arial"/>
          <w:noProof/>
          <w:sz w:val="24"/>
          <w:szCs w:val="24"/>
        </w:rPr>
        <w:t>(4), 381–386. https://doi.org/10.1093/fampra/cmh407</w:t>
      </w:r>
    </w:p>
    <w:p w14:paraId="7568C39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Ockene, I. S., Tellez, T. L., Rosal, M. C., Reed, G. W., Mordes, J., Merriam, P. A., Olendzki, B. C., Handelman, G., Nicolosi, R. &amp; Ma, Y. (2012). Outcomes of a Latino community-based intervention for the prevention of diabetes: the lawrence Latino diabetes prevention project. </w:t>
      </w:r>
      <w:r w:rsidRPr="00103A0B">
        <w:rPr>
          <w:rFonts w:ascii="Arial" w:hAnsi="Arial" w:cs="Arial"/>
          <w:i/>
          <w:iCs/>
          <w:noProof/>
          <w:sz w:val="24"/>
          <w:szCs w:val="24"/>
        </w:rPr>
        <w:t>American Journal of Public Health</w:t>
      </w:r>
      <w:r w:rsidRPr="00103A0B">
        <w:rPr>
          <w:rFonts w:ascii="Arial" w:hAnsi="Arial" w:cs="Arial"/>
          <w:noProof/>
          <w:sz w:val="24"/>
          <w:szCs w:val="24"/>
        </w:rPr>
        <w:t xml:space="preserve">, </w:t>
      </w:r>
      <w:r w:rsidRPr="00103A0B">
        <w:rPr>
          <w:rFonts w:ascii="Arial" w:hAnsi="Arial" w:cs="Arial"/>
          <w:i/>
          <w:iCs/>
          <w:noProof/>
          <w:sz w:val="24"/>
          <w:szCs w:val="24"/>
        </w:rPr>
        <w:t>102</w:t>
      </w:r>
      <w:r w:rsidRPr="00103A0B">
        <w:rPr>
          <w:rFonts w:ascii="Arial" w:hAnsi="Arial" w:cs="Arial"/>
          <w:noProof/>
          <w:sz w:val="24"/>
          <w:szCs w:val="24"/>
        </w:rPr>
        <w:t>(2), 336–342. https://doi.org/10.2105/AJPH.2011.300357</w:t>
      </w:r>
    </w:p>
    <w:p w14:paraId="4F254BF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Odgers-Jewell, K., Ball, L. E., Kelly, J. T., Isenring, E. A., Reidlinger, D. P. &amp; Thomas, R. (2017). Effectiveness of group-based self-management education for individuals with type 2 diabetes: a systematic review with meta-analyses and meta-regression. </w:t>
      </w:r>
      <w:r w:rsidRPr="00103A0B">
        <w:rPr>
          <w:rFonts w:ascii="Arial" w:hAnsi="Arial" w:cs="Arial"/>
          <w:i/>
          <w:iCs/>
          <w:noProof/>
          <w:sz w:val="24"/>
          <w:szCs w:val="24"/>
        </w:rPr>
        <w:t>Diabetic Medicine</w:t>
      </w:r>
      <w:r w:rsidRPr="00103A0B">
        <w:rPr>
          <w:rFonts w:ascii="Arial" w:hAnsi="Arial" w:cs="Arial"/>
          <w:noProof/>
          <w:sz w:val="24"/>
          <w:szCs w:val="24"/>
        </w:rPr>
        <w:t xml:space="preserve">, </w:t>
      </w:r>
      <w:r w:rsidRPr="00103A0B">
        <w:rPr>
          <w:rFonts w:ascii="Arial" w:hAnsi="Arial" w:cs="Arial"/>
          <w:i/>
          <w:iCs/>
          <w:noProof/>
          <w:sz w:val="24"/>
          <w:szCs w:val="24"/>
        </w:rPr>
        <w:t>34</w:t>
      </w:r>
      <w:r w:rsidRPr="00103A0B">
        <w:rPr>
          <w:rFonts w:ascii="Arial" w:hAnsi="Arial" w:cs="Arial"/>
          <w:noProof/>
          <w:sz w:val="24"/>
          <w:szCs w:val="24"/>
        </w:rPr>
        <w:t>(8), 1027–1039. https://doi.org/10.1111/dme.13340</w:t>
      </w:r>
    </w:p>
    <w:p w14:paraId="64DFBB7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Pan, X.-R., Li, G.-W., Hu, Y.-H., Wang, J.-X., Yang, W.-Y., An, Z.-X. &amp; Hu, Z-X.,  et al. (1997). Effects of diet and exercise in preventing NIDDM in people with impaired glucose tolerance.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20</w:t>
      </w:r>
      <w:r w:rsidRPr="00103A0B">
        <w:rPr>
          <w:rFonts w:ascii="Arial" w:hAnsi="Arial" w:cs="Arial"/>
          <w:noProof/>
          <w:sz w:val="24"/>
          <w:szCs w:val="24"/>
        </w:rPr>
        <w:t>(4), 537–544. https://doi.org/10.2337/diacare.20.4.537</w:t>
      </w:r>
    </w:p>
    <w:p w14:paraId="7627865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Parikh, P., Simon, E. P., Fei, K., Looker, H., Goytia, C. &amp; Horowitz, C. R. (2010). Results of a pilot diabetes prevention intervention in East Harlem, New York city: project HEED. </w:t>
      </w:r>
      <w:r w:rsidRPr="00103A0B">
        <w:rPr>
          <w:rFonts w:ascii="Arial" w:hAnsi="Arial" w:cs="Arial"/>
          <w:i/>
          <w:iCs/>
          <w:noProof/>
          <w:sz w:val="24"/>
          <w:szCs w:val="24"/>
        </w:rPr>
        <w:t>American Journal of Public Health</w:t>
      </w:r>
      <w:r w:rsidRPr="00103A0B">
        <w:rPr>
          <w:rFonts w:ascii="Arial" w:hAnsi="Arial" w:cs="Arial"/>
          <w:noProof/>
          <w:sz w:val="24"/>
          <w:szCs w:val="24"/>
        </w:rPr>
        <w:t xml:space="preserve">, </w:t>
      </w:r>
      <w:r w:rsidRPr="00103A0B">
        <w:rPr>
          <w:rFonts w:ascii="Arial" w:hAnsi="Arial" w:cs="Arial"/>
          <w:i/>
          <w:iCs/>
          <w:noProof/>
          <w:sz w:val="24"/>
          <w:szCs w:val="24"/>
        </w:rPr>
        <w:t>100</w:t>
      </w:r>
      <w:r w:rsidRPr="00103A0B">
        <w:rPr>
          <w:rFonts w:ascii="Arial" w:hAnsi="Arial" w:cs="Arial"/>
          <w:noProof/>
          <w:sz w:val="24"/>
          <w:szCs w:val="24"/>
        </w:rPr>
        <w:t>, 232–239.</w:t>
      </w:r>
    </w:p>
    <w:p w14:paraId="6558B33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Paulweber, B., Valensi, P., Lindstrom, J., Lalic, N. M., Greaves, C. J. &amp; McKee, M,  et al. (2010). A European evidence-based guideline for the prevention of type 2 diabetes. </w:t>
      </w:r>
      <w:r w:rsidRPr="00103A0B">
        <w:rPr>
          <w:rFonts w:ascii="Arial" w:hAnsi="Arial" w:cs="Arial"/>
          <w:i/>
          <w:iCs/>
          <w:noProof/>
          <w:sz w:val="24"/>
          <w:szCs w:val="24"/>
        </w:rPr>
        <w:t>Hormone and Metabolic Research</w:t>
      </w:r>
      <w:r w:rsidRPr="00103A0B">
        <w:rPr>
          <w:rFonts w:ascii="Arial" w:hAnsi="Arial" w:cs="Arial"/>
          <w:noProof/>
          <w:sz w:val="24"/>
          <w:szCs w:val="24"/>
        </w:rPr>
        <w:t xml:space="preserve">, </w:t>
      </w:r>
      <w:r w:rsidRPr="00103A0B">
        <w:rPr>
          <w:rFonts w:ascii="Arial" w:hAnsi="Arial" w:cs="Arial"/>
          <w:i/>
          <w:iCs/>
          <w:noProof/>
          <w:sz w:val="24"/>
          <w:szCs w:val="24"/>
        </w:rPr>
        <w:t>42</w:t>
      </w:r>
      <w:r w:rsidRPr="00103A0B">
        <w:rPr>
          <w:rFonts w:ascii="Arial" w:hAnsi="Arial" w:cs="Arial"/>
          <w:noProof/>
          <w:sz w:val="24"/>
          <w:szCs w:val="24"/>
        </w:rPr>
        <w:t>, S3–S36. https://doi.org/10.1055/s-0029-1240928</w:t>
      </w:r>
    </w:p>
    <w:p w14:paraId="16DFD3B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Payne WR, Walsh KJ., Harvey JT, Livy MF, Mckenzie KJ, Donaldson A,  et al. (2008). Effect of a low–resource-intensive lifestyle modification program incorporating gymnasium-based and home-based resistance training on type 2 diabetes risk in Australian adults.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31</w:t>
      </w:r>
      <w:r w:rsidRPr="00103A0B">
        <w:rPr>
          <w:rFonts w:ascii="Arial" w:hAnsi="Arial" w:cs="Arial"/>
          <w:noProof/>
          <w:sz w:val="24"/>
          <w:szCs w:val="24"/>
        </w:rPr>
        <w:t>, 2244–2250. https://doi.org/10.2337/dc08-0152.</w:t>
      </w:r>
    </w:p>
    <w:p w14:paraId="23CAF18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Penn, L., Rodrigues, A., Haste, A., Marques, M. M., Budig, K., Sainsbury, K. &amp; Al., E. (2018). NHS diabetes prevention programme in England: formative evaluation of the programme in early phase implementation. </w:t>
      </w:r>
      <w:r w:rsidRPr="00103A0B">
        <w:rPr>
          <w:rFonts w:ascii="Arial" w:hAnsi="Arial" w:cs="Arial"/>
          <w:i/>
          <w:iCs/>
          <w:noProof/>
          <w:sz w:val="24"/>
          <w:szCs w:val="24"/>
        </w:rPr>
        <w:t>BMJ Open</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 e019467.</w:t>
      </w:r>
    </w:p>
    <w:p w14:paraId="3BA1535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Penn, L., White, M., Oldroyd, J., Walker, M., Alberti, K. G. M. M. &amp; Mathers, J. C. (2009). Prevention of type 2 diabetes in adults with impaired glucose tolerance: the european diabetes prevention RCT in Newcastle upon Tyne, UK. </w:t>
      </w:r>
      <w:r w:rsidRPr="00103A0B">
        <w:rPr>
          <w:rFonts w:ascii="Arial" w:hAnsi="Arial" w:cs="Arial"/>
          <w:i/>
          <w:iCs/>
          <w:noProof/>
          <w:sz w:val="24"/>
          <w:szCs w:val="24"/>
        </w:rPr>
        <w:t xml:space="preserve">BMC Public </w:t>
      </w:r>
      <w:r w:rsidRPr="00103A0B">
        <w:rPr>
          <w:rFonts w:ascii="Arial" w:hAnsi="Arial" w:cs="Arial"/>
          <w:i/>
          <w:iCs/>
          <w:noProof/>
          <w:sz w:val="24"/>
          <w:szCs w:val="24"/>
        </w:rPr>
        <w:lastRenderedPageBreak/>
        <w:t>Health</w:t>
      </w:r>
      <w:r w:rsidRPr="00103A0B">
        <w:rPr>
          <w:rFonts w:ascii="Arial" w:hAnsi="Arial" w:cs="Arial"/>
          <w:noProof/>
          <w:sz w:val="24"/>
          <w:szCs w:val="24"/>
        </w:rPr>
        <w:t xml:space="preserve">, </w:t>
      </w:r>
      <w:r w:rsidRPr="00103A0B">
        <w:rPr>
          <w:rFonts w:ascii="Arial" w:hAnsi="Arial" w:cs="Arial"/>
          <w:i/>
          <w:iCs/>
          <w:noProof/>
          <w:sz w:val="24"/>
          <w:szCs w:val="24"/>
        </w:rPr>
        <w:t>9</w:t>
      </w:r>
      <w:r w:rsidRPr="00103A0B">
        <w:rPr>
          <w:rFonts w:ascii="Arial" w:hAnsi="Arial" w:cs="Arial"/>
          <w:noProof/>
          <w:sz w:val="24"/>
          <w:szCs w:val="24"/>
        </w:rPr>
        <w:t>, 1–14. https://doi.org/10.1186/1471-2458-9-342</w:t>
      </w:r>
    </w:p>
    <w:p w14:paraId="3705FA8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Petrie, K. J., Jago, L. A. &amp; Devcich, D. A. (2007). The role of illness perceptions in patients with medical conditions. </w:t>
      </w:r>
      <w:r w:rsidRPr="00103A0B">
        <w:rPr>
          <w:rFonts w:ascii="Arial" w:hAnsi="Arial" w:cs="Arial"/>
          <w:i/>
          <w:iCs/>
          <w:noProof/>
          <w:sz w:val="24"/>
          <w:szCs w:val="24"/>
        </w:rPr>
        <w:t>Current Opinion in Psychiatry</w:t>
      </w:r>
      <w:r w:rsidRPr="00103A0B">
        <w:rPr>
          <w:rFonts w:ascii="Arial" w:hAnsi="Arial" w:cs="Arial"/>
          <w:noProof/>
          <w:sz w:val="24"/>
          <w:szCs w:val="24"/>
        </w:rPr>
        <w:t xml:space="preserve">, </w:t>
      </w:r>
      <w:r w:rsidRPr="00103A0B">
        <w:rPr>
          <w:rFonts w:ascii="Arial" w:hAnsi="Arial" w:cs="Arial"/>
          <w:i/>
          <w:iCs/>
          <w:noProof/>
          <w:sz w:val="24"/>
          <w:szCs w:val="24"/>
        </w:rPr>
        <w:t>20</w:t>
      </w:r>
      <w:r w:rsidRPr="00103A0B">
        <w:rPr>
          <w:rFonts w:ascii="Arial" w:hAnsi="Arial" w:cs="Arial"/>
          <w:noProof/>
          <w:sz w:val="24"/>
          <w:szCs w:val="24"/>
        </w:rPr>
        <w:t>, 163–167.</w:t>
      </w:r>
    </w:p>
    <w:p w14:paraId="7B68FE6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Petrie, K. J. &amp; Weinman, J. (2006). Why illness perceptions matter. </w:t>
      </w:r>
      <w:r w:rsidRPr="00103A0B">
        <w:rPr>
          <w:rFonts w:ascii="Arial" w:hAnsi="Arial" w:cs="Arial"/>
          <w:i/>
          <w:iCs/>
          <w:noProof/>
          <w:sz w:val="24"/>
          <w:szCs w:val="24"/>
        </w:rPr>
        <w:t>Clinical Medicine</w:t>
      </w:r>
      <w:r w:rsidRPr="00103A0B">
        <w:rPr>
          <w:rFonts w:ascii="Arial" w:hAnsi="Arial" w:cs="Arial"/>
          <w:noProof/>
          <w:sz w:val="24"/>
          <w:szCs w:val="24"/>
        </w:rPr>
        <w:t xml:space="preserve">, </w:t>
      </w:r>
      <w:r w:rsidRPr="00103A0B">
        <w:rPr>
          <w:rFonts w:ascii="Arial" w:hAnsi="Arial" w:cs="Arial"/>
          <w:i/>
          <w:iCs/>
          <w:noProof/>
          <w:sz w:val="24"/>
          <w:szCs w:val="24"/>
        </w:rPr>
        <w:t>6</w:t>
      </w:r>
      <w:r w:rsidRPr="00103A0B">
        <w:rPr>
          <w:rFonts w:ascii="Arial" w:hAnsi="Arial" w:cs="Arial"/>
          <w:noProof/>
          <w:sz w:val="24"/>
          <w:szCs w:val="24"/>
        </w:rPr>
        <w:t>(6), 536–539. https://doi.org/10.7861/clinmedicine.6-6-536</w:t>
      </w:r>
    </w:p>
    <w:p w14:paraId="05F4D52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Petrie, K. J., Weinman, J., Sharpe, N. &amp; Buckley, J. (1996). Role of patients’ view of their illness in predicting return to work and functioning after myocardial infarction: longitudinal study. </w:t>
      </w:r>
      <w:r w:rsidRPr="00103A0B">
        <w:rPr>
          <w:rFonts w:ascii="Arial" w:hAnsi="Arial" w:cs="Arial"/>
          <w:i/>
          <w:iCs/>
          <w:noProof/>
          <w:sz w:val="24"/>
          <w:szCs w:val="24"/>
        </w:rPr>
        <w:t>British Medical Journal</w:t>
      </w:r>
      <w:r w:rsidRPr="00103A0B">
        <w:rPr>
          <w:rFonts w:ascii="Arial" w:hAnsi="Arial" w:cs="Arial"/>
          <w:noProof/>
          <w:sz w:val="24"/>
          <w:szCs w:val="24"/>
        </w:rPr>
        <w:t xml:space="preserve">, </w:t>
      </w:r>
      <w:r w:rsidRPr="00103A0B">
        <w:rPr>
          <w:rFonts w:ascii="Arial" w:hAnsi="Arial" w:cs="Arial"/>
          <w:i/>
          <w:iCs/>
          <w:noProof/>
          <w:sz w:val="24"/>
          <w:szCs w:val="24"/>
        </w:rPr>
        <w:t>312</w:t>
      </w:r>
      <w:r w:rsidRPr="00103A0B">
        <w:rPr>
          <w:rFonts w:ascii="Arial" w:hAnsi="Arial" w:cs="Arial"/>
          <w:noProof/>
          <w:sz w:val="24"/>
          <w:szCs w:val="24"/>
        </w:rPr>
        <w:t>, 1191–1194. https://doi.org/10.1136/bmj.312.7040.1191</w:t>
      </w:r>
    </w:p>
    <w:p w14:paraId="1CA28FF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Pimentel, G. D., Portero-Mclellan, K. C., Oliveira, É. P., Spada, A. P. M., Oshiiwa, M., Zemdegs, J. C. S. &amp; Barbalho, S. M. (2010). Long-term nutrition education reduces several risk factors for type 2 diabetes mellitus in Brazilians with impaired glucose tolerance. </w:t>
      </w:r>
      <w:r w:rsidRPr="00103A0B">
        <w:rPr>
          <w:rFonts w:ascii="Arial" w:hAnsi="Arial" w:cs="Arial"/>
          <w:i/>
          <w:iCs/>
          <w:noProof/>
          <w:sz w:val="24"/>
          <w:szCs w:val="24"/>
        </w:rPr>
        <w:t>Nutrition Research</w:t>
      </w:r>
      <w:r w:rsidRPr="00103A0B">
        <w:rPr>
          <w:rFonts w:ascii="Arial" w:hAnsi="Arial" w:cs="Arial"/>
          <w:noProof/>
          <w:sz w:val="24"/>
          <w:szCs w:val="24"/>
        </w:rPr>
        <w:t xml:space="preserve">, </w:t>
      </w:r>
      <w:r w:rsidRPr="00103A0B">
        <w:rPr>
          <w:rFonts w:ascii="Arial" w:hAnsi="Arial" w:cs="Arial"/>
          <w:i/>
          <w:iCs/>
          <w:noProof/>
          <w:sz w:val="24"/>
          <w:szCs w:val="24"/>
        </w:rPr>
        <w:t>30</w:t>
      </w:r>
      <w:r w:rsidRPr="00103A0B">
        <w:rPr>
          <w:rFonts w:ascii="Arial" w:hAnsi="Arial" w:cs="Arial"/>
          <w:noProof/>
          <w:sz w:val="24"/>
          <w:szCs w:val="24"/>
        </w:rPr>
        <w:t>(3), 186–190. https://doi.org/10.1016/j.nutres.2010.03.003</w:t>
      </w:r>
    </w:p>
    <w:p w14:paraId="237AADA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Pinelli, N. R., Herman, W. H., Brown, M. B. &amp; Jaber, L. A. (2010). Perceived risk and the willingness to enroll in a diabetes prevention lifestyle intervention in Arab Americans. </w:t>
      </w:r>
      <w:r w:rsidRPr="00103A0B">
        <w:rPr>
          <w:rFonts w:ascii="Arial" w:hAnsi="Arial" w:cs="Arial"/>
          <w:i/>
          <w:iCs/>
          <w:noProof/>
          <w:sz w:val="24"/>
          <w:szCs w:val="24"/>
        </w:rPr>
        <w:t>Diabetes Research &amp; Clinical Practice</w:t>
      </w:r>
      <w:r w:rsidRPr="00103A0B">
        <w:rPr>
          <w:rFonts w:ascii="Arial" w:hAnsi="Arial" w:cs="Arial"/>
          <w:noProof/>
          <w:sz w:val="24"/>
          <w:szCs w:val="24"/>
        </w:rPr>
        <w:t xml:space="preserve">, </w:t>
      </w:r>
      <w:r w:rsidRPr="00103A0B">
        <w:rPr>
          <w:rFonts w:ascii="Arial" w:hAnsi="Arial" w:cs="Arial"/>
          <w:i/>
          <w:iCs/>
          <w:noProof/>
          <w:sz w:val="24"/>
          <w:szCs w:val="24"/>
        </w:rPr>
        <w:t>90</w:t>
      </w:r>
      <w:r w:rsidRPr="00103A0B">
        <w:rPr>
          <w:rFonts w:ascii="Arial" w:hAnsi="Arial" w:cs="Arial"/>
          <w:noProof/>
          <w:sz w:val="24"/>
          <w:szCs w:val="24"/>
        </w:rPr>
        <w:t>(2), e27–e29. https://doi.org/10.1038/jid.2014.371</w:t>
      </w:r>
    </w:p>
    <w:p w14:paraId="3465E51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Plotnikoff, R. C., Brez, S. &amp; Brunet, S. (2003). Are exercise social-cognitive factors and behaviours different for adults with diabetes? a randomized community sample. </w:t>
      </w:r>
      <w:r w:rsidRPr="00103A0B">
        <w:rPr>
          <w:rFonts w:ascii="Arial" w:hAnsi="Arial" w:cs="Arial"/>
          <w:i/>
          <w:iCs/>
          <w:noProof/>
          <w:sz w:val="24"/>
          <w:szCs w:val="24"/>
        </w:rPr>
        <w:t>Psychology, Health &amp; Medicine</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(4), 465–471. https://doi.org/10.1080/1354850310001604577</w:t>
      </w:r>
    </w:p>
    <w:p w14:paraId="4411BCD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PRISMA. (2015). </w:t>
      </w:r>
      <w:r w:rsidRPr="00103A0B">
        <w:rPr>
          <w:rFonts w:ascii="Arial" w:hAnsi="Arial" w:cs="Arial"/>
          <w:i/>
          <w:iCs/>
          <w:noProof/>
          <w:sz w:val="24"/>
          <w:szCs w:val="24"/>
        </w:rPr>
        <w:t>The preferred reporting items for systematic reviews and meta-analyses (PRISMA)</w:t>
      </w:r>
      <w:r w:rsidRPr="00103A0B">
        <w:rPr>
          <w:rFonts w:ascii="Arial" w:hAnsi="Arial" w:cs="Arial"/>
          <w:noProof/>
          <w:sz w:val="24"/>
          <w:szCs w:val="24"/>
        </w:rPr>
        <w:t>. http://www.prisma-statement.org/</w:t>
      </w:r>
    </w:p>
    <w:p w14:paraId="7786E4D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Public Health England. (2014). </w:t>
      </w:r>
      <w:r w:rsidRPr="00103A0B">
        <w:rPr>
          <w:rFonts w:ascii="Arial" w:hAnsi="Arial" w:cs="Arial"/>
          <w:i/>
          <w:iCs/>
          <w:noProof/>
          <w:sz w:val="24"/>
          <w:szCs w:val="24"/>
        </w:rPr>
        <w:t>From evidence into action: opportunities to protect and improve the nation’s health</w:t>
      </w:r>
      <w:r w:rsidRPr="00103A0B">
        <w:rPr>
          <w:rFonts w:ascii="Arial" w:hAnsi="Arial" w:cs="Arial"/>
          <w:noProof/>
          <w:sz w:val="24"/>
          <w:szCs w:val="24"/>
        </w:rPr>
        <w:t xml:space="preserve"> (Issue October). https://www.gov.uk/government/uploads/system/uploads/attachment_data/file/366852/PHE_Priorities.pdf</w:t>
      </w:r>
    </w:p>
    <w:p w14:paraId="0D04F5C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Public Health England. (2016). </w:t>
      </w:r>
      <w:r w:rsidRPr="00103A0B">
        <w:rPr>
          <w:rFonts w:ascii="Arial" w:hAnsi="Arial" w:cs="Arial"/>
          <w:i/>
          <w:iCs/>
          <w:noProof/>
          <w:sz w:val="24"/>
          <w:szCs w:val="24"/>
        </w:rPr>
        <w:t>NHS diabetes prevention programme: an opportunity to partner with the behavioural insight team to improve outcomes</w:t>
      </w:r>
      <w:r w:rsidRPr="00103A0B">
        <w:rPr>
          <w:rFonts w:ascii="Arial" w:hAnsi="Arial" w:cs="Arial"/>
          <w:noProof/>
          <w:sz w:val="24"/>
          <w:szCs w:val="24"/>
        </w:rPr>
        <w:t>. https://www.england.nhs.uk/wp-content/uploads/2016/07/behav-insight.pdf</w:t>
      </w:r>
    </w:p>
    <w:p w14:paraId="1256853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Public Health England. (2020a). </w:t>
      </w:r>
      <w:r w:rsidRPr="00103A0B">
        <w:rPr>
          <w:rFonts w:ascii="Arial" w:hAnsi="Arial" w:cs="Arial"/>
          <w:i/>
          <w:iCs/>
          <w:noProof/>
          <w:sz w:val="24"/>
          <w:szCs w:val="24"/>
        </w:rPr>
        <w:t>Disparities in the risk and outcomes of COVID-19</w:t>
      </w:r>
      <w:r w:rsidRPr="00103A0B">
        <w:rPr>
          <w:rFonts w:ascii="Arial" w:hAnsi="Arial" w:cs="Arial"/>
          <w:noProof/>
          <w:sz w:val="24"/>
          <w:szCs w:val="24"/>
        </w:rPr>
        <w:t>. https://assets.publishing.service.gov.uk/government/uploads/system/uploads/attachment_data/file/908434/Disparities_in_the_risk_and_outcomes_of_COVID_August_2020_update.pdf</w:t>
      </w:r>
    </w:p>
    <w:p w14:paraId="1C41CE0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Public Health England. (2020b). </w:t>
      </w:r>
      <w:r w:rsidRPr="00103A0B">
        <w:rPr>
          <w:rFonts w:ascii="Arial" w:hAnsi="Arial" w:cs="Arial"/>
          <w:i/>
          <w:iCs/>
          <w:noProof/>
          <w:sz w:val="24"/>
          <w:szCs w:val="24"/>
        </w:rPr>
        <w:t>Southwark local authority health profile 2019</w:t>
      </w:r>
      <w:r w:rsidRPr="00103A0B">
        <w:rPr>
          <w:rFonts w:ascii="Arial" w:hAnsi="Arial" w:cs="Arial"/>
          <w:noProof/>
          <w:sz w:val="24"/>
          <w:szCs w:val="24"/>
        </w:rPr>
        <w:t>. https://fingertips.phe.org.uk/profile/health-profiles/data#page/13/gid/1938132696/pat/6/par/E12000007/ati/202/are/E09000028/cid/4</w:t>
      </w:r>
    </w:p>
    <w:p w14:paraId="238A833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Public Health England (PHE). (2018). </w:t>
      </w:r>
      <w:r w:rsidRPr="00103A0B">
        <w:rPr>
          <w:rFonts w:ascii="Arial" w:hAnsi="Arial" w:cs="Arial"/>
          <w:i/>
          <w:iCs/>
          <w:noProof/>
          <w:sz w:val="24"/>
          <w:szCs w:val="24"/>
        </w:rPr>
        <w:t>Health Matters: Preventing Type 2 Diabetes</w:t>
      </w:r>
      <w:r w:rsidRPr="00103A0B">
        <w:rPr>
          <w:rFonts w:ascii="Arial" w:hAnsi="Arial" w:cs="Arial"/>
          <w:noProof/>
          <w:sz w:val="24"/>
          <w:szCs w:val="24"/>
        </w:rPr>
        <w:t>. https://www.gov.uk/government/publications/health-matters-preventing-type-2-diabetes/health-matters-preventing-type-2-diabetes</w:t>
      </w:r>
    </w:p>
    <w:p w14:paraId="13D9B60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Punthakee, Z., Goldenberg, R. &amp; Katz, P. (2018). Definition, classification and </w:t>
      </w:r>
      <w:r w:rsidRPr="00103A0B">
        <w:rPr>
          <w:rFonts w:ascii="Arial" w:hAnsi="Arial" w:cs="Arial"/>
          <w:noProof/>
          <w:sz w:val="24"/>
          <w:szCs w:val="24"/>
        </w:rPr>
        <w:lastRenderedPageBreak/>
        <w:t xml:space="preserve">diagnosis of diabetes, prediabetes and metabolic syndrome. </w:t>
      </w:r>
      <w:r w:rsidRPr="00103A0B">
        <w:rPr>
          <w:rFonts w:ascii="Arial" w:hAnsi="Arial" w:cs="Arial"/>
          <w:i/>
          <w:iCs/>
          <w:noProof/>
          <w:sz w:val="24"/>
          <w:szCs w:val="24"/>
        </w:rPr>
        <w:t>Canadian Journal of Diabetes</w:t>
      </w:r>
      <w:r w:rsidRPr="00103A0B">
        <w:rPr>
          <w:rFonts w:ascii="Arial" w:hAnsi="Arial" w:cs="Arial"/>
          <w:noProof/>
          <w:sz w:val="24"/>
          <w:szCs w:val="24"/>
        </w:rPr>
        <w:t xml:space="preserve">, </w:t>
      </w:r>
      <w:r w:rsidRPr="00103A0B">
        <w:rPr>
          <w:rFonts w:ascii="Arial" w:hAnsi="Arial" w:cs="Arial"/>
          <w:i/>
          <w:iCs/>
          <w:noProof/>
          <w:sz w:val="24"/>
          <w:szCs w:val="24"/>
        </w:rPr>
        <w:t>42</w:t>
      </w:r>
      <w:r w:rsidRPr="00103A0B">
        <w:rPr>
          <w:rFonts w:ascii="Arial" w:hAnsi="Arial" w:cs="Arial"/>
          <w:noProof/>
          <w:sz w:val="24"/>
          <w:szCs w:val="24"/>
        </w:rPr>
        <w:t>, S10–S15. https://doi.org/10.1016/j.jcjd.2017.10.003</w:t>
      </w:r>
    </w:p>
    <w:p w14:paraId="222999A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Putz, Rebecca; O’Hara, Kate; Taggart, Frances and Stewart-Brown, S. (2012). </w:t>
      </w:r>
      <w:r w:rsidRPr="00103A0B">
        <w:rPr>
          <w:rFonts w:ascii="Arial" w:hAnsi="Arial" w:cs="Arial"/>
          <w:i/>
          <w:iCs/>
          <w:noProof/>
          <w:sz w:val="24"/>
          <w:szCs w:val="24"/>
        </w:rPr>
        <w:t>Using WEMWBS to measure the impact of your work on mental wellbeing: a practice-based user guide</w:t>
      </w:r>
      <w:r w:rsidRPr="00103A0B">
        <w:rPr>
          <w:rFonts w:ascii="Arial" w:hAnsi="Arial" w:cs="Arial"/>
          <w:noProof/>
          <w:sz w:val="24"/>
          <w:szCs w:val="24"/>
        </w:rPr>
        <w:t>. https://www.corc.uk.net/media/1244/wemwbs_practitioneruserguide.pdf</w:t>
      </w:r>
    </w:p>
    <w:p w14:paraId="30F7F3A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Quiñones, M. M., Lombard-Newell, J., Sharp, D., Way, V. &amp; Cross, W. (2018). Case study of an adaptation and implementation of a diabetes prevention program for individuals with serious mental illness. </w:t>
      </w:r>
      <w:r w:rsidRPr="00103A0B">
        <w:rPr>
          <w:rFonts w:ascii="Arial" w:hAnsi="Arial" w:cs="Arial"/>
          <w:i/>
          <w:iCs/>
          <w:noProof/>
          <w:sz w:val="24"/>
          <w:szCs w:val="24"/>
        </w:rPr>
        <w:t>Translational Behavioral Medicine</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(2), 195–203. https://doi.org/10.1093/tbm/ibx064</w:t>
      </w:r>
    </w:p>
    <w:p w14:paraId="334B4E0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Ramachandran, A., Snehalatha, C., Mary, S., Mukesh, B., Bhaskar, A. D. &amp; Vijay, V. (2006). The Indian diabetes prevention programme shows that lifestyle modification and metformin prevent type 2 diabetes in Asian Indian subjects with impaired glucose tolerance (IDPP-1). </w:t>
      </w:r>
      <w:r w:rsidRPr="00103A0B">
        <w:rPr>
          <w:rFonts w:ascii="Arial" w:hAnsi="Arial" w:cs="Arial"/>
          <w:i/>
          <w:iCs/>
          <w:noProof/>
          <w:sz w:val="24"/>
          <w:szCs w:val="24"/>
        </w:rPr>
        <w:t>Diabetologia</w:t>
      </w:r>
      <w:r w:rsidRPr="00103A0B">
        <w:rPr>
          <w:rFonts w:ascii="Arial" w:hAnsi="Arial" w:cs="Arial"/>
          <w:noProof/>
          <w:sz w:val="24"/>
          <w:szCs w:val="24"/>
        </w:rPr>
        <w:t xml:space="preserve">, </w:t>
      </w:r>
      <w:r w:rsidRPr="00103A0B">
        <w:rPr>
          <w:rFonts w:ascii="Arial" w:hAnsi="Arial" w:cs="Arial"/>
          <w:i/>
          <w:iCs/>
          <w:noProof/>
          <w:sz w:val="24"/>
          <w:szCs w:val="24"/>
        </w:rPr>
        <w:t>49</w:t>
      </w:r>
      <w:r w:rsidRPr="00103A0B">
        <w:rPr>
          <w:rFonts w:ascii="Arial" w:hAnsi="Arial" w:cs="Arial"/>
          <w:noProof/>
          <w:sz w:val="24"/>
          <w:szCs w:val="24"/>
        </w:rPr>
        <w:t>(2), 289–297. https://doi.org/10.1007/s00125-005-0097-z</w:t>
      </w:r>
    </w:p>
    <w:p w14:paraId="6AFCF56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Realmuto, L., Kamler, A., Weiss, L., Gary-Webb, T. L., Hodge, M. E., Pagán, J. A. &amp; Walker, E. A. (2018). Power up for health—participants’ perspectives on an adaptation of the national diabetes prevention program to engage men. </w:t>
      </w:r>
      <w:r w:rsidRPr="00103A0B">
        <w:rPr>
          <w:rFonts w:ascii="Arial" w:hAnsi="Arial" w:cs="Arial"/>
          <w:i/>
          <w:iCs/>
          <w:noProof/>
          <w:sz w:val="24"/>
          <w:szCs w:val="24"/>
        </w:rPr>
        <w:t>American Journal of Men’s Health</w:t>
      </w:r>
      <w:r w:rsidRPr="00103A0B">
        <w:rPr>
          <w:rFonts w:ascii="Arial" w:hAnsi="Arial" w:cs="Arial"/>
          <w:noProof/>
          <w:sz w:val="24"/>
          <w:szCs w:val="24"/>
        </w:rPr>
        <w:t xml:space="preserve">, </w:t>
      </w:r>
      <w:r w:rsidRPr="00103A0B">
        <w:rPr>
          <w:rFonts w:ascii="Arial" w:hAnsi="Arial" w:cs="Arial"/>
          <w:i/>
          <w:iCs/>
          <w:noProof/>
          <w:sz w:val="24"/>
          <w:szCs w:val="24"/>
        </w:rPr>
        <w:t>12</w:t>
      </w:r>
      <w:r w:rsidRPr="00103A0B">
        <w:rPr>
          <w:rFonts w:ascii="Arial" w:hAnsi="Arial" w:cs="Arial"/>
          <w:noProof/>
          <w:sz w:val="24"/>
          <w:szCs w:val="24"/>
        </w:rPr>
        <w:t>(4), 981–988.</w:t>
      </w:r>
    </w:p>
    <w:p w14:paraId="056027C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Richardson, E., Zaletel, J. &amp; Nolte, E. (2016). National diabetes plans in Europe: what lessons are there for the prevention and control of chronic diseases in Europe? In </w:t>
      </w:r>
      <w:r w:rsidRPr="00103A0B">
        <w:rPr>
          <w:rFonts w:ascii="Arial" w:hAnsi="Arial" w:cs="Arial"/>
          <w:i/>
          <w:iCs/>
          <w:noProof/>
          <w:sz w:val="24"/>
          <w:szCs w:val="24"/>
        </w:rPr>
        <w:t>National Institute of Public Health</w:t>
      </w:r>
      <w:r w:rsidRPr="00103A0B">
        <w:rPr>
          <w:rFonts w:ascii="Arial" w:hAnsi="Arial" w:cs="Arial"/>
          <w:noProof/>
          <w:sz w:val="24"/>
          <w:szCs w:val="24"/>
        </w:rPr>
        <w:t>.</w:t>
      </w:r>
    </w:p>
    <w:p w14:paraId="54E1996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Rintamäki, R., Rautio, N., Peltonen, M., Jokelainen, J., Keinänen-Kiukaanniemi, S., Oksa, H., Saaristo, T., Puolijoki, H., Saltevo, J., Tuomilehto, J., Uusitupa, M. &amp; Moilanen, L. (2021). Long-term outcomes of lifestyle intervention to prevent type 2 diabetes in people at high risk in primary health care. </w:t>
      </w:r>
      <w:r w:rsidRPr="00103A0B">
        <w:rPr>
          <w:rFonts w:ascii="Arial" w:hAnsi="Arial" w:cs="Arial"/>
          <w:i/>
          <w:iCs/>
          <w:noProof/>
          <w:sz w:val="24"/>
          <w:szCs w:val="24"/>
        </w:rPr>
        <w:t>Primary Care Diabetes</w:t>
      </w:r>
      <w:r w:rsidRPr="00103A0B">
        <w:rPr>
          <w:rFonts w:ascii="Arial" w:hAnsi="Arial" w:cs="Arial"/>
          <w:noProof/>
          <w:sz w:val="24"/>
          <w:szCs w:val="24"/>
        </w:rPr>
        <w:t xml:space="preserve">, </w:t>
      </w:r>
      <w:r w:rsidRPr="00103A0B">
        <w:rPr>
          <w:rFonts w:ascii="Arial" w:hAnsi="Arial" w:cs="Arial"/>
          <w:i/>
          <w:iCs/>
          <w:noProof/>
          <w:sz w:val="24"/>
          <w:szCs w:val="24"/>
        </w:rPr>
        <w:t>15</w:t>
      </w:r>
      <w:r w:rsidRPr="00103A0B">
        <w:rPr>
          <w:rFonts w:ascii="Arial" w:hAnsi="Arial" w:cs="Arial"/>
          <w:noProof/>
          <w:sz w:val="24"/>
          <w:szCs w:val="24"/>
        </w:rPr>
        <w:t>(3), 444–450. https://doi.org/10.1016/j.pcd.2021.03.002</w:t>
      </w:r>
    </w:p>
    <w:p w14:paraId="6DC8295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Ritchie, N. D., Baucom, K. J. W. &amp; Sauder, K. A. (2020). Benefits of participating with a partner in the national diabetes prevention program.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43</w:t>
      </w:r>
      <w:r w:rsidRPr="00103A0B">
        <w:rPr>
          <w:rFonts w:ascii="Arial" w:hAnsi="Arial" w:cs="Arial"/>
          <w:noProof/>
          <w:sz w:val="24"/>
          <w:szCs w:val="24"/>
        </w:rPr>
        <w:t>(2), E20–E21. https://doi.org/10.2337/dc19-1489</w:t>
      </w:r>
    </w:p>
    <w:p w14:paraId="32E7C02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Ritchie, N. D., Christoe-Frazier, L., McFann, K. K., Havranek, E. P. &amp; Pereira, R. I. (2018). Effect of the national diabetes prevention program on weight loss for english- and spanish-speaking Latinos. </w:t>
      </w:r>
      <w:r w:rsidRPr="00103A0B">
        <w:rPr>
          <w:rFonts w:ascii="Arial" w:hAnsi="Arial" w:cs="Arial"/>
          <w:i/>
          <w:iCs/>
          <w:noProof/>
          <w:sz w:val="24"/>
          <w:szCs w:val="24"/>
        </w:rPr>
        <w:t>American Journal of Health Promotion</w:t>
      </w:r>
      <w:r w:rsidRPr="00103A0B">
        <w:rPr>
          <w:rFonts w:ascii="Arial" w:hAnsi="Arial" w:cs="Arial"/>
          <w:noProof/>
          <w:sz w:val="24"/>
          <w:szCs w:val="24"/>
        </w:rPr>
        <w:t xml:space="preserve">, </w:t>
      </w:r>
      <w:r w:rsidRPr="00103A0B">
        <w:rPr>
          <w:rFonts w:ascii="Arial" w:hAnsi="Arial" w:cs="Arial"/>
          <w:i/>
          <w:iCs/>
          <w:noProof/>
          <w:sz w:val="24"/>
          <w:szCs w:val="24"/>
        </w:rPr>
        <w:t>32</w:t>
      </w:r>
      <w:r w:rsidRPr="00103A0B">
        <w:rPr>
          <w:rFonts w:ascii="Arial" w:hAnsi="Arial" w:cs="Arial"/>
          <w:noProof/>
          <w:sz w:val="24"/>
          <w:szCs w:val="24"/>
        </w:rPr>
        <w:t>(3), 812–815. https://doi.org/10.1177/0890117117698623</w:t>
      </w:r>
    </w:p>
    <w:p w14:paraId="7FC3A39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Ritchie, N. D., Gutiérrez-Raghunath, S., Durfee, M. J. &amp; Fischer, H. (2020). Supplemental text message support with the national diabetes prevention program: pragmatic comparative effectiveness trial. </w:t>
      </w:r>
      <w:r w:rsidRPr="00103A0B">
        <w:rPr>
          <w:rFonts w:ascii="Arial" w:hAnsi="Arial" w:cs="Arial"/>
          <w:i/>
          <w:iCs/>
          <w:noProof/>
          <w:sz w:val="24"/>
          <w:szCs w:val="24"/>
        </w:rPr>
        <w:t>JMIR MHealth and UHealth</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(6), e15478. https://doi.org/10.2196/15478</w:t>
      </w:r>
    </w:p>
    <w:p w14:paraId="0F6872C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Ritchie, N. D., Holtrop, J. S., Mark Gritz, R., Sauder, K. A., Durfee, M. J., Miriam Dickinson, L. &amp; Kaufmann, P. G. (2020). Enhanced enrollment in the national diabetes prevention program to increase engagement and weight loss for the underserved: protocol for a randomized controlled trial. </w:t>
      </w:r>
      <w:r w:rsidRPr="00103A0B">
        <w:rPr>
          <w:rFonts w:ascii="Arial" w:hAnsi="Arial" w:cs="Arial"/>
          <w:i/>
          <w:iCs/>
          <w:noProof/>
          <w:sz w:val="24"/>
          <w:szCs w:val="24"/>
        </w:rPr>
        <w:t>JMIR Research Protocols</w:t>
      </w:r>
      <w:r w:rsidRPr="00103A0B">
        <w:rPr>
          <w:rFonts w:ascii="Arial" w:hAnsi="Arial" w:cs="Arial"/>
          <w:noProof/>
          <w:sz w:val="24"/>
          <w:szCs w:val="24"/>
        </w:rPr>
        <w:t xml:space="preserve">, </w:t>
      </w:r>
      <w:r w:rsidRPr="00103A0B">
        <w:rPr>
          <w:rFonts w:ascii="Arial" w:hAnsi="Arial" w:cs="Arial"/>
          <w:i/>
          <w:iCs/>
          <w:noProof/>
          <w:sz w:val="24"/>
          <w:szCs w:val="24"/>
        </w:rPr>
        <w:t>9</w:t>
      </w:r>
      <w:r w:rsidRPr="00103A0B">
        <w:rPr>
          <w:rFonts w:ascii="Arial" w:hAnsi="Arial" w:cs="Arial"/>
          <w:noProof/>
          <w:sz w:val="24"/>
          <w:szCs w:val="24"/>
        </w:rPr>
        <w:t>(6). https://doi.org/10.2196/15499</w:t>
      </w:r>
    </w:p>
    <w:p w14:paraId="35085E1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Ritchie, N. D., Sauder, K. A. &amp; Fabbri, S. (2017). Reach and effectiveness of the </w:t>
      </w:r>
      <w:r w:rsidRPr="00103A0B">
        <w:rPr>
          <w:rFonts w:ascii="Arial" w:hAnsi="Arial" w:cs="Arial"/>
          <w:noProof/>
          <w:sz w:val="24"/>
          <w:szCs w:val="24"/>
        </w:rPr>
        <w:lastRenderedPageBreak/>
        <w:t xml:space="preserve">national diabetes prevention program for young women. </w:t>
      </w:r>
      <w:r w:rsidRPr="00103A0B">
        <w:rPr>
          <w:rFonts w:ascii="Arial" w:hAnsi="Arial" w:cs="Arial"/>
          <w:i/>
          <w:iCs/>
          <w:noProof/>
          <w:sz w:val="24"/>
          <w:szCs w:val="24"/>
        </w:rPr>
        <w:t>American Journal of Preventive Medicine</w:t>
      </w:r>
      <w:r w:rsidRPr="00103A0B">
        <w:rPr>
          <w:rFonts w:ascii="Arial" w:hAnsi="Arial" w:cs="Arial"/>
          <w:noProof/>
          <w:sz w:val="24"/>
          <w:szCs w:val="24"/>
        </w:rPr>
        <w:t xml:space="preserve">, </w:t>
      </w:r>
      <w:r w:rsidRPr="00103A0B">
        <w:rPr>
          <w:rFonts w:ascii="Arial" w:hAnsi="Arial" w:cs="Arial"/>
          <w:i/>
          <w:iCs/>
          <w:noProof/>
          <w:sz w:val="24"/>
          <w:szCs w:val="24"/>
        </w:rPr>
        <w:t>53</w:t>
      </w:r>
      <w:r w:rsidRPr="00103A0B">
        <w:rPr>
          <w:rFonts w:ascii="Arial" w:hAnsi="Arial" w:cs="Arial"/>
          <w:noProof/>
          <w:sz w:val="24"/>
          <w:szCs w:val="24"/>
        </w:rPr>
        <w:t>(5), 714–718. https://doi.org/10.1016/j.amepre.2017.06.013</w:t>
      </w:r>
    </w:p>
    <w:p w14:paraId="1D0D6BD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Rockliffe, L., Chorley, A. J., Marlow, L. A. V. &amp; Forster, A. S. (2018). It’s hard to reach the “hard-to-reach”: the challenges of recruiting people who do not access preventative healthcare services into interview studies. </w:t>
      </w:r>
      <w:r w:rsidRPr="00103A0B">
        <w:rPr>
          <w:rFonts w:ascii="Arial" w:hAnsi="Arial" w:cs="Arial"/>
          <w:i/>
          <w:iCs/>
          <w:noProof/>
          <w:sz w:val="24"/>
          <w:szCs w:val="24"/>
        </w:rPr>
        <w:t>International Journal of Qualitative Studies on Health and Well-Being</w:t>
      </w:r>
      <w:r w:rsidRPr="00103A0B">
        <w:rPr>
          <w:rFonts w:ascii="Arial" w:hAnsi="Arial" w:cs="Arial"/>
          <w:noProof/>
          <w:sz w:val="24"/>
          <w:szCs w:val="24"/>
        </w:rPr>
        <w:t xml:space="preserve">, </w:t>
      </w:r>
      <w:r w:rsidRPr="00103A0B">
        <w:rPr>
          <w:rFonts w:ascii="Arial" w:hAnsi="Arial" w:cs="Arial"/>
          <w:i/>
          <w:iCs/>
          <w:noProof/>
          <w:sz w:val="24"/>
          <w:szCs w:val="24"/>
        </w:rPr>
        <w:t>13</w:t>
      </w:r>
      <w:r w:rsidRPr="00103A0B">
        <w:rPr>
          <w:rFonts w:ascii="Arial" w:hAnsi="Arial" w:cs="Arial"/>
          <w:noProof/>
          <w:sz w:val="24"/>
          <w:szCs w:val="24"/>
        </w:rPr>
        <w:t>, 1479582. https://doi.org/10.1080/17482631.2018.1479582</w:t>
      </w:r>
    </w:p>
    <w:p w14:paraId="26F01E9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Rodrigues, A. M., Haste, A., Penn, L., Bell, R., Summerbell, C., White, M., Adamson, A. J. &amp; Sniehotta, F. F. (2020). Stakeholders’ perceptions and experiences of the National Health Service diabetes prevention programme in England: qualitative study with service users, intervention providers and deliverers, commissioners and referrers. </w:t>
      </w:r>
      <w:r w:rsidRPr="00103A0B">
        <w:rPr>
          <w:rFonts w:ascii="Arial" w:hAnsi="Arial" w:cs="Arial"/>
          <w:i/>
          <w:iCs/>
          <w:noProof/>
          <w:sz w:val="24"/>
          <w:szCs w:val="24"/>
        </w:rPr>
        <w:t>BMC Health Services Research</w:t>
      </w:r>
      <w:r w:rsidRPr="00103A0B">
        <w:rPr>
          <w:rFonts w:ascii="Arial" w:hAnsi="Arial" w:cs="Arial"/>
          <w:noProof/>
          <w:sz w:val="24"/>
          <w:szCs w:val="24"/>
        </w:rPr>
        <w:t xml:space="preserve">, </w:t>
      </w:r>
      <w:r w:rsidRPr="00103A0B">
        <w:rPr>
          <w:rFonts w:ascii="Arial" w:hAnsi="Arial" w:cs="Arial"/>
          <w:i/>
          <w:iCs/>
          <w:noProof/>
          <w:sz w:val="24"/>
          <w:szCs w:val="24"/>
        </w:rPr>
        <w:t>20</w:t>
      </w:r>
      <w:r w:rsidRPr="00103A0B">
        <w:rPr>
          <w:rFonts w:ascii="Arial" w:hAnsi="Arial" w:cs="Arial"/>
          <w:noProof/>
          <w:sz w:val="24"/>
          <w:szCs w:val="24"/>
        </w:rPr>
        <w:t>, 307.</w:t>
      </w:r>
    </w:p>
    <w:p w14:paraId="64D2FCE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Ruiz-Roso, M. B., Knott-Torcal, C., Matilla-Escalante, D. C., Garcimartín, A., Sampedro-Nuñez, M. A., Dávalos, A. &amp; Marazuela, M. (2020). COVID-19 lockdown and changes of the dietary pattern and physical activity habits in a cohort of patients with type 2 diabetes mellitus. </w:t>
      </w:r>
      <w:r w:rsidRPr="00103A0B">
        <w:rPr>
          <w:rFonts w:ascii="Arial" w:hAnsi="Arial" w:cs="Arial"/>
          <w:i/>
          <w:iCs/>
          <w:noProof/>
          <w:sz w:val="24"/>
          <w:szCs w:val="24"/>
        </w:rPr>
        <w:t>Nutrients</w:t>
      </w:r>
      <w:r w:rsidRPr="00103A0B">
        <w:rPr>
          <w:rFonts w:ascii="Arial" w:hAnsi="Arial" w:cs="Arial"/>
          <w:noProof/>
          <w:sz w:val="24"/>
          <w:szCs w:val="24"/>
        </w:rPr>
        <w:t xml:space="preserve">, </w:t>
      </w:r>
      <w:r w:rsidRPr="00103A0B">
        <w:rPr>
          <w:rFonts w:ascii="Arial" w:hAnsi="Arial" w:cs="Arial"/>
          <w:i/>
          <w:iCs/>
          <w:noProof/>
          <w:sz w:val="24"/>
          <w:szCs w:val="24"/>
        </w:rPr>
        <w:t>12</w:t>
      </w:r>
      <w:r w:rsidRPr="00103A0B">
        <w:rPr>
          <w:rFonts w:ascii="Arial" w:hAnsi="Arial" w:cs="Arial"/>
          <w:noProof/>
          <w:sz w:val="24"/>
          <w:szCs w:val="24"/>
        </w:rPr>
        <w:t>(8). https://doi.org/10.3390/nu12082327</w:t>
      </w:r>
    </w:p>
    <w:p w14:paraId="0D3DB0B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Ryan, R. M. &amp; Deci, E. L. (2001). On happiness and human potentials: a review of research on hedonic and eudaimonic well-being. </w:t>
      </w:r>
      <w:r w:rsidRPr="00103A0B">
        <w:rPr>
          <w:rFonts w:ascii="Arial" w:hAnsi="Arial" w:cs="Arial"/>
          <w:i/>
          <w:iCs/>
          <w:noProof/>
          <w:sz w:val="24"/>
          <w:szCs w:val="24"/>
        </w:rPr>
        <w:t>Annual Review of Psychology</w:t>
      </w:r>
      <w:r w:rsidRPr="00103A0B">
        <w:rPr>
          <w:rFonts w:ascii="Arial" w:hAnsi="Arial" w:cs="Arial"/>
          <w:noProof/>
          <w:sz w:val="24"/>
          <w:szCs w:val="24"/>
        </w:rPr>
        <w:t xml:space="preserve">, </w:t>
      </w:r>
      <w:r w:rsidRPr="00103A0B">
        <w:rPr>
          <w:rFonts w:ascii="Arial" w:hAnsi="Arial" w:cs="Arial"/>
          <w:i/>
          <w:iCs/>
          <w:noProof/>
          <w:sz w:val="24"/>
          <w:szCs w:val="24"/>
        </w:rPr>
        <w:t>52</w:t>
      </w:r>
      <w:r w:rsidRPr="00103A0B">
        <w:rPr>
          <w:rFonts w:ascii="Arial" w:hAnsi="Arial" w:cs="Arial"/>
          <w:noProof/>
          <w:sz w:val="24"/>
          <w:szCs w:val="24"/>
        </w:rPr>
        <w:t>, 141–166. https://doi.org/10.1146/annurev.psych.52.1.141</w:t>
      </w:r>
    </w:p>
    <w:p w14:paraId="12B050A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Rycroft-Malone, J., Burton, C., Wilkinson, J., Harvey, G., McCormack, B., Baker, R., Dopson, S., Graham, I., Staniszewska, S., Thompson, C., Ariss, S., Melville-Richards, L. &amp; Williams, L. (2015). Collective action for knowledge mobilisation: a realist evaluation of the collaborations for leadership in applied health research and care. </w:t>
      </w:r>
      <w:r w:rsidRPr="00103A0B">
        <w:rPr>
          <w:rFonts w:ascii="Arial" w:hAnsi="Arial" w:cs="Arial"/>
          <w:i/>
          <w:iCs/>
          <w:noProof/>
          <w:sz w:val="24"/>
          <w:szCs w:val="24"/>
        </w:rPr>
        <w:t>Health Services and Delivery Research</w:t>
      </w:r>
      <w:r w:rsidRPr="00103A0B">
        <w:rPr>
          <w:rFonts w:ascii="Arial" w:hAnsi="Arial" w:cs="Arial"/>
          <w:noProof/>
          <w:sz w:val="24"/>
          <w:szCs w:val="24"/>
        </w:rPr>
        <w:t xml:space="preserve">, </w:t>
      </w:r>
      <w:r w:rsidRPr="00103A0B">
        <w:rPr>
          <w:rFonts w:ascii="Arial" w:hAnsi="Arial" w:cs="Arial"/>
          <w:i/>
          <w:iCs/>
          <w:noProof/>
          <w:sz w:val="24"/>
          <w:szCs w:val="24"/>
        </w:rPr>
        <w:t>3</w:t>
      </w:r>
      <w:r w:rsidRPr="00103A0B">
        <w:rPr>
          <w:rFonts w:ascii="Arial" w:hAnsi="Arial" w:cs="Arial"/>
          <w:noProof/>
          <w:sz w:val="24"/>
          <w:szCs w:val="24"/>
        </w:rPr>
        <w:t>(44), 1–200. https://doi.org/10.3310/hsdr03440</w:t>
      </w:r>
    </w:p>
    <w:p w14:paraId="111365D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Saeedi, P., Petersohn, I., Salpea, P., Malanda, B., Karuranga, S., Unwin, N., Colagiuri, S., Guariguata, L., Motala, A. A., Ogurtsova, K., Shaw, J. E. &amp; Bright, D. (2019). Global and regional diabetes prevalence estimates for 2019 and projections for 2030 and 2045 : results from the International Diabetes Federation Diabetes Atlas, 9th edition. </w:t>
      </w:r>
      <w:r w:rsidRPr="00103A0B">
        <w:rPr>
          <w:rFonts w:ascii="Arial" w:hAnsi="Arial" w:cs="Arial"/>
          <w:i/>
          <w:iCs/>
          <w:noProof/>
          <w:sz w:val="24"/>
          <w:szCs w:val="24"/>
        </w:rPr>
        <w:t>Diabetes Research and Clinical Practice</w:t>
      </w:r>
      <w:r w:rsidRPr="00103A0B">
        <w:rPr>
          <w:rFonts w:ascii="Arial" w:hAnsi="Arial" w:cs="Arial"/>
          <w:noProof/>
          <w:sz w:val="24"/>
          <w:szCs w:val="24"/>
        </w:rPr>
        <w:t xml:space="preserve">, </w:t>
      </w:r>
      <w:r w:rsidRPr="00103A0B">
        <w:rPr>
          <w:rFonts w:ascii="Arial" w:hAnsi="Arial" w:cs="Arial"/>
          <w:i/>
          <w:iCs/>
          <w:noProof/>
          <w:sz w:val="24"/>
          <w:szCs w:val="24"/>
        </w:rPr>
        <w:t>157</w:t>
      </w:r>
      <w:r w:rsidRPr="00103A0B">
        <w:rPr>
          <w:rFonts w:ascii="Arial" w:hAnsi="Arial" w:cs="Arial"/>
          <w:noProof/>
          <w:sz w:val="24"/>
          <w:szCs w:val="24"/>
        </w:rPr>
        <w:t>, 107843.</w:t>
      </w:r>
    </w:p>
    <w:p w14:paraId="3036F26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Safiri, S., Karamzad, N., Kaufman, J. S., Bell, A. W., Nejadghaderi, S. A., Sullman, M. J. M., Moradi-Lakeh, M., Collins, G. &amp; Kolahi, A. A. (2022). Prevalence, deaths and disability-adjusted-life-years (DALYs) due to type 2 diabetes and its attributable risk factors in 204 countries and territories, 1990-2019: results from the global burden of disease study 2019. </w:t>
      </w:r>
      <w:r w:rsidRPr="00103A0B">
        <w:rPr>
          <w:rFonts w:ascii="Arial" w:hAnsi="Arial" w:cs="Arial"/>
          <w:i/>
          <w:iCs/>
          <w:noProof/>
          <w:sz w:val="24"/>
          <w:szCs w:val="24"/>
        </w:rPr>
        <w:t>Frontiers in Endocrinology</w:t>
      </w:r>
      <w:r w:rsidRPr="00103A0B">
        <w:rPr>
          <w:rFonts w:ascii="Arial" w:hAnsi="Arial" w:cs="Arial"/>
          <w:noProof/>
          <w:sz w:val="24"/>
          <w:szCs w:val="24"/>
        </w:rPr>
        <w:t xml:space="preserve">, </w:t>
      </w:r>
      <w:r w:rsidRPr="00103A0B">
        <w:rPr>
          <w:rFonts w:ascii="Arial" w:hAnsi="Arial" w:cs="Arial"/>
          <w:i/>
          <w:iCs/>
          <w:noProof/>
          <w:sz w:val="24"/>
          <w:szCs w:val="24"/>
        </w:rPr>
        <w:t>13</w:t>
      </w:r>
      <w:r w:rsidRPr="00103A0B">
        <w:rPr>
          <w:rFonts w:ascii="Arial" w:hAnsi="Arial" w:cs="Arial"/>
          <w:noProof/>
          <w:sz w:val="24"/>
          <w:szCs w:val="24"/>
        </w:rPr>
        <w:t>, 1–14. https://doi.org/10.3389/fendo.2022.838027</w:t>
      </w:r>
    </w:p>
    <w:p w14:paraId="46FD1DB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Sakane, N., Sato, J., Tsushita, K., Tsujii, S., Kotani, K., Tsuzaki, K., Tominaga, M., Kawazu, S., Sato, Y., Usui, T., Kamae, I., Yoshida, T., Kiyohara, Y., Sato, S. &amp; Kuzuya, H. (2011). Prevention of type 2 diabetes in a primary healthcare setting: three-year results of lifestyle intervention in Japanese subjects with impaired glucose tolerance. </w:t>
      </w:r>
      <w:r w:rsidRPr="00103A0B">
        <w:rPr>
          <w:rFonts w:ascii="Arial" w:hAnsi="Arial" w:cs="Arial"/>
          <w:i/>
          <w:iCs/>
          <w:noProof/>
          <w:sz w:val="24"/>
          <w:szCs w:val="24"/>
        </w:rPr>
        <w:t>BMC Public Health</w:t>
      </w:r>
      <w:r w:rsidRPr="00103A0B">
        <w:rPr>
          <w:rFonts w:ascii="Arial" w:hAnsi="Arial" w:cs="Arial"/>
          <w:noProof/>
          <w:sz w:val="24"/>
          <w:szCs w:val="24"/>
        </w:rPr>
        <w:t xml:space="preserve">, </w:t>
      </w:r>
      <w:r w:rsidRPr="00103A0B">
        <w:rPr>
          <w:rFonts w:ascii="Arial" w:hAnsi="Arial" w:cs="Arial"/>
          <w:i/>
          <w:iCs/>
          <w:noProof/>
          <w:sz w:val="24"/>
          <w:szCs w:val="24"/>
        </w:rPr>
        <w:t>11</w:t>
      </w:r>
      <w:r w:rsidRPr="00103A0B">
        <w:rPr>
          <w:rFonts w:ascii="Arial" w:hAnsi="Arial" w:cs="Arial"/>
          <w:noProof/>
          <w:sz w:val="24"/>
          <w:szCs w:val="24"/>
        </w:rPr>
        <w:t>(1), 40. https://doi.org/10.1186/1471-2458-11-40</w:t>
      </w:r>
    </w:p>
    <w:p w14:paraId="776A1BA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Sanchez, A., Silvestre, C., Campo, N. &amp; Grandes, G. (2018). Effective translation of a </w:t>
      </w:r>
      <w:r w:rsidRPr="00103A0B">
        <w:rPr>
          <w:rFonts w:ascii="Arial" w:hAnsi="Arial" w:cs="Arial"/>
          <w:noProof/>
          <w:sz w:val="24"/>
          <w:szCs w:val="24"/>
        </w:rPr>
        <w:lastRenderedPageBreak/>
        <w:t xml:space="preserve">type-2 diabetes primary prevention programme into routine primary care: the PreDE cluster randomised clinical trial. </w:t>
      </w:r>
      <w:r w:rsidRPr="00103A0B">
        <w:rPr>
          <w:rFonts w:ascii="Arial" w:hAnsi="Arial" w:cs="Arial"/>
          <w:i/>
          <w:iCs/>
          <w:noProof/>
          <w:sz w:val="24"/>
          <w:szCs w:val="24"/>
        </w:rPr>
        <w:t>Diabetes Research And Clinical Practice</w:t>
      </w:r>
      <w:r w:rsidRPr="00103A0B">
        <w:rPr>
          <w:rFonts w:ascii="Arial" w:hAnsi="Arial" w:cs="Arial"/>
          <w:noProof/>
          <w:sz w:val="24"/>
          <w:szCs w:val="24"/>
        </w:rPr>
        <w:t xml:space="preserve">, </w:t>
      </w:r>
      <w:r w:rsidRPr="00103A0B">
        <w:rPr>
          <w:rFonts w:ascii="Arial" w:hAnsi="Arial" w:cs="Arial"/>
          <w:i/>
          <w:iCs/>
          <w:noProof/>
          <w:sz w:val="24"/>
          <w:szCs w:val="24"/>
        </w:rPr>
        <w:t>139</w:t>
      </w:r>
      <w:r w:rsidRPr="00103A0B">
        <w:rPr>
          <w:rFonts w:ascii="Arial" w:hAnsi="Arial" w:cs="Arial"/>
          <w:noProof/>
          <w:sz w:val="24"/>
          <w:szCs w:val="24"/>
        </w:rPr>
        <w:t>, 32–42. https://doi.org/10.1016/j.diabres.2018.01.006</w:t>
      </w:r>
    </w:p>
    <w:p w14:paraId="3CB46AA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Sardu, C., Gargiulo, G., Esposito, G., Paolisso, G. &amp; Marfella, R. (2020). Impact of diabetes mellitus on clinical outcomes in patients affected by Covid-19. </w:t>
      </w:r>
      <w:r w:rsidRPr="00103A0B">
        <w:rPr>
          <w:rFonts w:ascii="Arial" w:hAnsi="Arial" w:cs="Arial"/>
          <w:i/>
          <w:iCs/>
          <w:noProof/>
          <w:sz w:val="24"/>
          <w:szCs w:val="24"/>
        </w:rPr>
        <w:t>Cardiovascular Diabetology</w:t>
      </w:r>
      <w:r w:rsidRPr="00103A0B">
        <w:rPr>
          <w:rFonts w:ascii="Arial" w:hAnsi="Arial" w:cs="Arial"/>
          <w:noProof/>
          <w:sz w:val="24"/>
          <w:szCs w:val="24"/>
        </w:rPr>
        <w:t xml:space="preserve">, </w:t>
      </w:r>
      <w:r w:rsidRPr="00103A0B">
        <w:rPr>
          <w:rFonts w:ascii="Arial" w:hAnsi="Arial" w:cs="Arial"/>
          <w:i/>
          <w:iCs/>
          <w:noProof/>
          <w:sz w:val="24"/>
          <w:szCs w:val="24"/>
        </w:rPr>
        <w:t>19</w:t>
      </w:r>
      <w:r w:rsidRPr="00103A0B">
        <w:rPr>
          <w:rFonts w:ascii="Arial" w:hAnsi="Arial" w:cs="Arial"/>
          <w:noProof/>
          <w:sz w:val="24"/>
          <w:szCs w:val="24"/>
        </w:rPr>
        <w:t>(1), 4–7. https://doi.org/10.1186/s12933-020-01047-y</w:t>
      </w:r>
    </w:p>
    <w:p w14:paraId="706D5CE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Schwarzer, R. (1999). Self-regulatory processes in the adoption and maintenance of health behaviors. </w:t>
      </w:r>
      <w:r w:rsidRPr="00103A0B">
        <w:rPr>
          <w:rFonts w:ascii="Arial" w:hAnsi="Arial" w:cs="Arial"/>
          <w:i/>
          <w:iCs/>
          <w:noProof/>
          <w:sz w:val="24"/>
          <w:szCs w:val="24"/>
        </w:rPr>
        <w:t>Journal of Health Psychology</w:t>
      </w:r>
      <w:r w:rsidRPr="00103A0B">
        <w:rPr>
          <w:rFonts w:ascii="Arial" w:hAnsi="Arial" w:cs="Arial"/>
          <w:noProof/>
          <w:sz w:val="24"/>
          <w:szCs w:val="24"/>
        </w:rPr>
        <w:t xml:space="preserve">, </w:t>
      </w:r>
      <w:r w:rsidRPr="00103A0B">
        <w:rPr>
          <w:rFonts w:ascii="Arial" w:hAnsi="Arial" w:cs="Arial"/>
          <w:i/>
          <w:iCs/>
          <w:noProof/>
          <w:sz w:val="24"/>
          <w:szCs w:val="24"/>
        </w:rPr>
        <w:t>4</w:t>
      </w:r>
      <w:r w:rsidRPr="00103A0B">
        <w:rPr>
          <w:rFonts w:ascii="Arial" w:hAnsi="Arial" w:cs="Arial"/>
          <w:noProof/>
          <w:sz w:val="24"/>
          <w:szCs w:val="24"/>
        </w:rPr>
        <w:t>(2), 115–127.</w:t>
      </w:r>
    </w:p>
    <w:p w14:paraId="2E9276B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Seear, K. H., Atkinson, D. N., Lelievre, M. P., Henderson-Yates, L. M. &amp; Marley, J. V. (2019). Piloting a culturally appropriate, localised diabetes prevention program for young Aboriginal people in a remote town. </w:t>
      </w:r>
      <w:r w:rsidRPr="00103A0B">
        <w:rPr>
          <w:rFonts w:ascii="Arial" w:hAnsi="Arial" w:cs="Arial"/>
          <w:i/>
          <w:iCs/>
          <w:noProof/>
          <w:sz w:val="24"/>
          <w:szCs w:val="24"/>
        </w:rPr>
        <w:t>Australian Journal of Primary Health</w:t>
      </w:r>
      <w:r w:rsidRPr="00103A0B">
        <w:rPr>
          <w:rFonts w:ascii="Arial" w:hAnsi="Arial" w:cs="Arial"/>
          <w:noProof/>
          <w:sz w:val="24"/>
          <w:szCs w:val="24"/>
        </w:rPr>
        <w:t xml:space="preserve">, </w:t>
      </w:r>
      <w:r w:rsidRPr="00103A0B">
        <w:rPr>
          <w:rFonts w:ascii="Arial" w:hAnsi="Arial" w:cs="Arial"/>
          <w:i/>
          <w:iCs/>
          <w:noProof/>
          <w:sz w:val="24"/>
          <w:szCs w:val="24"/>
        </w:rPr>
        <w:t>25</w:t>
      </w:r>
      <w:r w:rsidRPr="00103A0B">
        <w:rPr>
          <w:rFonts w:ascii="Arial" w:hAnsi="Arial" w:cs="Arial"/>
          <w:noProof/>
          <w:sz w:val="24"/>
          <w:szCs w:val="24"/>
        </w:rPr>
        <w:t>(5), 495–500.</w:t>
      </w:r>
    </w:p>
    <w:p w14:paraId="43E03D8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Seidel, M. C., Powell, R. O., Zgibor, J. C., Siminerio, L. M. &amp; Piatt, G. A. (2008). Translating the diabetes prevention program into an urban medically underserved community.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31</w:t>
      </w:r>
      <w:r w:rsidRPr="00103A0B">
        <w:rPr>
          <w:rFonts w:ascii="Arial" w:hAnsi="Arial" w:cs="Arial"/>
          <w:noProof/>
          <w:sz w:val="24"/>
          <w:szCs w:val="24"/>
        </w:rPr>
        <w:t>(4), 684–689. https://doi.org/10.2337/dc07-1869</w:t>
      </w:r>
    </w:p>
    <w:p w14:paraId="0CA5BDC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Seidel, R. W., Pardo, K. A., Estabrooks, P. A., You, W., Wall, S. S., Davy, B. M. &amp; Almeida, F. A. (2014). Beginning a patient-centered approach in the design of a diabetes prevention program. </w:t>
      </w:r>
      <w:r w:rsidRPr="00103A0B">
        <w:rPr>
          <w:rFonts w:ascii="Arial" w:hAnsi="Arial" w:cs="Arial"/>
          <w:i/>
          <w:iCs/>
          <w:noProof/>
          <w:sz w:val="24"/>
          <w:szCs w:val="24"/>
        </w:rPr>
        <w:t>International Journal of Environmental Research and Public Health</w:t>
      </w:r>
      <w:r w:rsidRPr="00103A0B">
        <w:rPr>
          <w:rFonts w:ascii="Arial" w:hAnsi="Arial" w:cs="Arial"/>
          <w:noProof/>
          <w:sz w:val="24"/>
          <w:szCs w:val="24"/>
        </w:rPr>
        <w:t xml:space="preserve">, </w:t>
      </w:r>
      <w:r w:rsidRPr="00103A0B">
        <w:rPr>
          <w:rFonts w:ascii="Arial" w:hAnsi="Arial" w:cs="Arial"/>
          <w:i/>
          <w:iCs/>
          <w:noProof/>
          <w:sz w:val="24"/>
          <w:szCs w:val="24"/>
        </w:rPr>
        <w:t>11</w:t>
      </w:r>
      <w:r w:rsidRPr="00103A0B">
        <w:rPr>
          <w:rFonts w:ascii="Arial" w:hAnsi="Arial" w:cs="Arial"/>
          <w:noProof/>
          <w:sz w:val="24"/>
          <w:szCs w:val="24"/>
        </w:rPr>
        <w:t>(2), 2003–2013. https://doi.org/10.3390/ijerph110202003</w:t>
      </w:r>
    </w:p>
    <w:p w14:paraId="4D6E9C0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Selzler, A., Rodgers, W. M., Berry, T. R., Mcfadden, K., Husband, C. &amp; Hall, C. (2019). Reciprocal relationships between self-efficacy, outcome satisfaction, and attendance at an exercise programme. </w:t>
      </w:r>
      <w:r w:rsidRPr="00103A0B">
        <w:rPr>
          <w:rFonts w:ascii="Arial" w:hAnsi="Arial" w:cs="Arial"/>
          <w:i/>
          <w:iCs/>
          <w:noProof/>
          <w:sz w:val="24"/>
          <w:szCs w:val="24"/>
        </w:rPr>
        <w:t>British Journal of Health Psychology</w:t>
      </w:r>
      <w:r w:rsidRPr="00103A0B">
        <w:rPr>
          <w:rFonts w:ascii="Arial" w:hAnsi="Arial" w:cs="Arial"/>
          <w:noProof/>
          <w:sz w:val="24"/>
          <w:szCs w:val="24"/>
        </w:rPr>
        <w:t xml:space="preserve">, </w:t>
      </w:r>
      <w:r w:rsidRPr="00103A0B">
        <w:rPr>
          <w:rFonts w:ascii="Arial" w:hAnsi="Arial" w:cs="Arial"/>
          <w:i/>
          <w:iCs/>
          <w:noProof/>
          <w:sz w:val="24"/>
          <w:szCs w:val="24"/>
        </w:rPr>
        <w:t>24</w:t>
      </w:r>
      <w:r w:rsidRPr="00103A0B">
        <w:rPr>
          <w:rFonts w:ascii="Arial" w:hAnsi="Arial" w:cs="Arial"/>
          <w:noProof/>
          <w:sz w:val="24"/>
          <w:szCs w:val="24"/>
        </w:rPr>
        <w:t>, 123–140.</w:t>
      </w:r>
    </w:p>
    <w:p w14:paraId="276410A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Shapo, L. (2018). </w:t>
      </w:r>
      <w:r w:rsidRPr="00103A0B">
        <w:rPr>
          <w:rFonts w:ascii="Arial" w:hAnsi="Arial" w:cs="Arial"/>
          <w:i/>
          <w:iCs/>
          <w:noProof/>
          <w:sz w:val="24"/>
          <w:szCs w:val="24"/>
        </w:rPr>
        <w:t>Supporting commissioning decisions by assessing the burden of long-term conditions locally</w:t>
      </w:r>
      <w:r w:rsidRPr="00103A0B">
        <w:rPr>
          <w:rFonts w:ascii="Arial" w:hAnsi="Arial" w:cs="Arial"/>
          <w:noProof/>
          <w:sz w:val="24"/>
          <w:szCs w:val="24"/>
        </w:rPr>
        <w:t>. https://doi.org/https://www.southwark.gov.uk/assets/attach/7294/jsna-factsheet-2018-long-term-conditions-20180614.pdf</w:t>
      </w:r>
    </w:p>
    <w:p w14:paraId="44E0CB2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Sharma, M. (2007). Behavioural interventions for preventing and treating obesity in adults. </w:t>
      </w:r>
      <w:r w:rsidRPr="00103A0B">
        <w:rPr>
          <w:rFonts w:ascii="Arial" w:hAnsi="Arial" w:cs="Arial"/>
          <w:i/>
          <w:iCs/>
          <w:noProof/>
          <w:sz w:val="24"/>
          <w:szCs w:val="24"/>
        </w:rPr>
        <w:t>Obesity Reviews</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(5), 441–449. https://doi.org/10.1111/j.1467-789X.2007.00351.x</w:t>
      </w:r>
    </w:p>
    <w:p w14:paraId="7EDDD51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Shaw, R. (2010). QM3: Interpretative phenomenological analysis. In M. A. Forrester (Ed.), </w:t>
      </w:r>
      <w:r w:rsidRPr="00103A0B">
        <w:rPr>
          <w:rFonts w:ascii="Arial" w:hAnsi="Arial" w:cs="Arial"/>
          <w:i/>
          <w:iCs/>
          <w:noProof/>
          <w:sz w:val="24"/>
          <w:szCs w:val="24"/>
        </w:rPr>
        <w:t>Doing qualitative research in psychology: a practical guide</w:t>
      </w:r>
      <w:r w:rsidRPr="00103A0B">
        <w:rPr>
          <w:rFonts w:ascii="Arial" w:hAnsi="Arial" w:cs="Arial"/>
          <w:noProof/>
          <w:sz w:val="24"/>
          <w:szCs w:val="24"/>
        </w:rPr>
        <w:t xml:space="preserve"> (pp. 177–201). SAGE Publications Ltd.</w:t>
      </w:r>
    </w:p>
    <w:p w14:paraId="1F44588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Siddiqui, S., Zainal, H., Harun, S. N., Sheikh Ghadzi, S. M. &amp; Ghafoor, S. (2020). Gender differences in the modifiable risk factors associated with the presence of prediabetes: a systematic review. </w:t>
      </w:r>
      <w:r w:rsidRPr="00103A0B">
        <w:rPr>
          <w:rFonts w:ascii="Arial" w:hAnsi="Arial" w:cs="Arial"/>
          <w:i/>
          <w:iCs/>
          <w:noProof/>
          <w:sz w:val="24"/>
          <w:szCs w:val="24"/>
        </w:rPr>
        <w:t>Diabetes and Metabolic Syndrome: Clinical Research and Reviews</w:t>
      </w:r>
      <w:r w:rsidRPr="00103A0B">
        <w:rPr>
          <w:rFonts w:ascii="Arial" w:hAnsi="Arial" w:cs="Arial"/>
          <w:noProof/>
          <w:sz w:val="24"/>
          <w:szCs w:val="24"/>
        </w:rPr>
        <w:t xml:space="preserve">, </w:t>
      </w:r>
      <w:r w:rsidRPr="00103A0B">
        <w:rPr>
          <w:rFonts w:ascii="Arial" w:hAnsi="Arial" w:cs="Arial"/>
          <w:i/>
          <w:iCs/>
          <w:noProof/>
          <w:sz w:val="24"/>
          <w:szCs w:val="24"/>
        </w:rPr>
        <w:t>14</w:t>
      </w:r>
      <w:r w:rsidRPr="00103A0B">
        <w:rPr>
          <w:rFonts w:ascii="Arial" w:hAnsi="Arial" w:cs="Arial"/>
          <w:noProof/>
          <w:sz w:val="24"/>
          <w:szCs w:val="24"/>
        </w:rPr>
        <w:t>(5), 1243–1252. https://doi.org/10.1016/j.dsx.2020.06.069</w:t>
      </w:r>
    </w:p>
    <w:p w14:paraId="1C04FB0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Smith, J. A. &amp; Osborn, M. (2015). Interpretative phenomenological analysis. In J. A. Smith (Ed.), </w:t>
      </w:r>
      <w:r w:rsidRPr="00103A0B">
        <w:rPr>
          <w:rFonts w:ascii="Arial" w:hAnsi="Arial" w:cs="Arial"/>
          <w:i/>
          <w:iCs/>
          <w:noProof/>
          <w:sz w:val="24"/>
          <w:szCs w:val="24"/>
        </w:rPr>
        <w:t>Qualitative psychology: a practical guide to research methods</w:t>
      </w:r>
      <w:r w:rsidRPr="00103A0B">
        <w:rPr>
          <w:rFonts w:ascii="Arial" w:hAnsi="Arial" w:cs="Arial"/>
          <w:noProof/>
          <w:sz w:val="24"/>
          <w:szCs w:val="24"/>
        </w:rPr>
        <w:t xml:space="preserve"> (3rd ed., pp. 25–52). SAGE Publications Ltd.</w:t>
      </w:r>
    </w:p>
    <w:p w14:paraId="061FEA8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Smith, J., Gardner, B. &amp; Michie, S. (2010). </w:t>
      </w:r>
      <w:r w:rsidRPr="00103A0B">
        <w:rPr>
          <w:rFonts w:ascii="Arial" w:hAnsi="Arial" w:cs="Arial"/>
          <w:i/>
          <w:iCs/>
          <w:noProof/>
          <w:sz w:val="24"/>
          <w:szCs w:val="24"/>
        </w:rPr>
        <w:t xml:space="preserve">Self efficacy guidance material for health </w:t>
      </w:r>
      <w:r w:rsidRPr="00103A0B">
        <w:rPr>
          <w:rFonts w:ascii="Arial" w:hAnsi="Arial" w:cs="Arial"/>
          <w:i/>
          <w:iCs/>
          <w:noProof/>
          <w:sz w:val="24"/>
          <w:szCs w:val="24"/>
        </w:rPr>
        <w:lastRenderedPageBreak/>
        <w:t>trainer services</w:t>
      </w:r>
      <w:r w:rsidRPr="00103A0B">
        <w:rPr>
          <w:rFonts w:ascii="Arial" w:hAnsi="Arial" w:cs="Arial"/>
          <w:noProof/>
          <w:sz w:val="24"/>
          <w:szCs w:val="24"/>
        </w:rPr>
        <w:t>. https://pdfs.semanticscholar.org/e166/e7fc326736ac0387c44440625918bc2ded7d.pdf</w:t>
      </w:r>
    </w:p>
    <w:p w14:paraId="1176125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Smith, J. R., Greaves, C. J., Thompson, J. L., Taylor, R. S., Jones, M., Armstrong, R., Moorlock, S., Griffin, A., Solomon-Moore, E., Biddle, M. S. Y., Price, L. &amp; Abraham, C. (2019). The community-based prevention of diabetes (ComPoD) study: a randomised, waiting list controlled trial of a voluntary sector-led diabetes prevention programme. </w:t>
      </w:r>
      <w:r w:rsidRPr="00103A0B">
        <w:rPr>
          <w:rFonts w:ascii="Arial" w:hAnsi="Arial" w:cs="Arial"/>
          <w:i/>
          <w:iCs/>
          <w:noProof/>
          <w:sz w:val="24"/>
          <w:szCs w:val="24"/>
        </w:rPr>
        <w:t>International Journal of Behavioral Nutrition and Physical Activity</w:t>
      </w:r>
      <w:r w:rsidRPr="00103A0B">
        <w:rPr>
          <w:rFonts w:ascii="Arial" w:hAnsi="Arial" w:cs="Arial"/>
          <w:noProof/>
          <w:sz w:val="24"/>
          <w:szCs w:val="24"/>
        </w:rPr>
        <w:t xml:space="preserve">, </w:t>
      </w:r>
      <w:r w:rsidRPr="00103A0B">
        <w:rPr>
          <w:rFonts w:ascii="Arial" w:hAnsi="Arial" w:cs="Arial"/>
          <w:i/>
          <w:iCs/>
          <w:noProof/>
          <w:sz w:val="24"/>
          <w:szCs w:val="24"/>
        </w:rPr>
        <w:t>16</w:t>
      </w:r>
      <w:r w:rsidRPr="00103A0B">
        <w:rPr>
          <w:rFonts w:ascii="Arial" w:hAnsi="Arial" w:cs="Arial"/>
          <w:noProof/>
          <w:sz w:val="24"/>
          <w:szCs w:val="24"/>
        </w:rPr>
        <w:t>, 112. https://doi.org/10.1186/s12966-019-0877-3</w:t>
      </w:r>
    </w:p>
    <w:p w14:paraId="79AA7BC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Southwark Council. (2018). </w:t>
      </w:r>
      <w:r w:rsidRPr="00103A0B">
        <w:rPr>
          <w:rFonts w:ascii="Arial" w:hAnsi="Arial" w:cs="Arial"/>
          <w:i/>
          <w:iCs/>
          <w:noProof/>
          <w:sz w:val="24"/>
          <w:szCs w:val="24"/>
        </w:rPr>
        <w:t>Overview of Southwark ’ s population</w:t>
      </w:r>
      <w:r w:rsidRPr="00103A0B">
        <w:rPr>
          <w:rFonts w:ascii="Arial" w:hAnsi="Arial" w:cs="Arial"/>
          <w:noProof/>
          <w:sz w:val="24"/>
          <w:szCs w:val="24"/>
        </w:rPr>
        <w:t>. https://www.southwark.gov.uk/assets/attach/7379/JSNA-Factsheet-2018-19-Demography-20180725.pdf.</w:t>
      </w:r>
    </w:p>
    <w:p w14:paraId="1C5A876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Stewart-Brown, S. &amp; Janmohamed, K. (2008). </w:t>
      </w:r>
      <w:r w:rsidRPr="00103A0B">
        <w:rPr>
          <w:rFonts w:ascii="Arial" w:hAnsi="Arial" w:cs="Arial"/>
          <w:i/>
          <w:iCs/>
          <w:noProof/>
          <w:sz w:val="24"/>
          <w:szCs w:val="24"/>
        </w:rPr>
        <w:t>Warwick-Edinburgh mental well-being scale user guide</w:t>
      </w:r>
      <w:r w:rsidRPr="00103A0B">
        <w:rPr>
          <w:rFonts w:ascii="Arial" w:hAnsi="Arial" w:cs="Arial"/>
          <w:noProof/>
          <w:sz w:val="24"/>
          <w:szCs w:val="24"/>
        </w:rPr>
        <w:t>. http://www.mentalhealthpromotion.net/resources/user-guide.pdf</w:t>
      </w:r>
    </w:p>
    <w:p w14:paraId="5808A69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Taetzsch, A., Gilhooly, C. H., Bukhari, A., Das, S. K., Martin, E., Hatch, A. M., Silver, R. E., Montain, S. J. &amp; Roberts, S. B. (2019). Development of a videoconference-adapted version of the community diabetes prevention program, and comparison of weight loss with in-person program delivery. </w:t>
      </w:r>
      <w:r w:rsidRPr="00103A0B">
        <w:rPr>
          <w:rFonts w:ascii="Arial" w:hAnsi="Arial" w:cs="Arial"/>
          <w:i/>
          <w:iCs/>
          <w:noProof/>
          <w:sz w:val="24"/>
          <w:szCs w:val="24"/>
        </w:rPr>
        <w:t>Military Medicine</w:t>
      </w:r>
      <w:r w:rsidRPr="00103A0B">
        <w:rPr>
          <w:rFonts w:ascii="Arial" w:hAnsi="Arial" w:cs="Arial"/>
          <w:noProof/>
          <w:sz w:val="24"/>
          <w:szCs w:val="24"/>
        </w:rPr>
        <w:t xml:space="preserve">, </w:t>
      </w:r>
      <w:r w:rsidRPr="00103A0B">
        <w:rPr>
          <w:rFonts w:ascii="Arial" w:hAnsi="Arial" w:cs="Arial"/>
          <w:i/>
          <w:iCs/>
          <w:noProof/>
          <w:sz w:val="24"/>
          <w:szCs w:val="24"/>
        </w:rPr>
        <w:t>184</w:t>
      </w:r>
      <w:r w:rsidRPr="00103A0B">
        <w:rPr>
          <w:rFonts w:ascii="Arial" w:hAnsi="Arial" w:cs="Arial"/>
          <w:noProof/>
          <w:sz w:val="24"/>
          <w:szCs w:val="24"/>
        </w:rPr>
        <w:t>(11–12), 647–652. https://doi.org/10.1093/milmed/usz069</w:t>
      </w:r>
    </w:p>
    <w:p w14:paraId="5EEB256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Taradash, J., Kramer, M., Molenaar, D., Arena, V., Vanderwood, K. &amp; Kriska, A. M. (2015). Recruitment for a diabetes prevention program translation effort in a worksite setting. </w:t>
      </w:r>
      <w:r w:rsidRPr="00103A0B">
        <w:rPr>
          <w:rFonts w:ascii="Arial" w:hAnsi="Arial" w:cs="Arial"/>
          <w:i/>
          <w:iCs/>
          <w:noProof/>
          <w:sz w:val="24"/>
          <w:szCs w:val="24"/>
        </w:rPr>
        <w:t>Contemporary Clinical Trials</w:t>
      </w:r>
      <w:r w:rsidRPr="00103A0B">
        <w:rPr>
          <w:rFonts w:ascii="Arial" w:hAnsi="Arial" w:cs="Arial"/>
          <w:noProof/>
          <w:sz w:val="24"/>
          <w:szCs w:val="24"/>
        </w:rPr>
        <w:t xml:space="preserve">, </w:t>
      </w:r>
      <w:r w:rsidRPr="00103A0B">
        <w:rPr>
          <w:rFonts w:ascii="Arial" w:hAnsi="Arial" w:cs="Arial"/>
          <w:i/>
          <w:iCs/>
          <w:noProof/>
          <w:sz w:val="24"/>
          <w:szCs w:val="24"/>
        </w:rPr>
        <w:t>41</w:t>
      </w:r>
      <w:r w:rsidRPr="00103A0B">
        <w:rPr>
          <w:rFonts w:ascii="Arial" w:hAnsi="Arial" w:cs="Arial"/>
          <w:noProof/>
          <w:sz w:val="24"/>
          <w:szCs w:val="24"/>
        </w:rPr>
        <w:t>, 204–210. https://doi.org/10.1016/j.cct.2015.01.010</w:t>
      </w:r>
    </w:p>
    <w:p w14:paraId="7E07A022"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Taylor, L. M., Raine, K. D., Plotnikoff, R. C., Vallance, J. K., Arya, M., Spence, J. C., Taylor, L. M., Raine, K. D., Plotnikoff, R. C., Vallance, J. K. &amp; Arya, M. (2016). Understanding physical activity in individuals with prediabetes: an application of Social Cognitive Theory. </w:t>
      </w:r>
      <w:r w:rsidRPr="00103A0B">
        <w:rPr>
          <w:rFonts w:ascii="Arial" w:hAnsi="Arial" w:cs="Arial"/>
          <w:i/>
          <w:iCs/>
          <w:noProof/>
          <w:sz w:val="24"/>
          <w:szCs w:val="24"/>
        </w:rPr>
        <w:t>Psychology, Health &amp; Medicine</w:t>
      </w:r>
      <w:r w:rsidRPr="00103A0B">
        <w:rPr>
          <w:rFonts w:ascii="Arial" w:hAnsi="Arial" w:cs="Arial"/>
          <w:noProof/>
          <w:sz w:val="24"/>
          <w:szCs w:val="24"/>
        </w:rPr>
        <w:t xml:space="preserve">, </w:t>
      </w:r>
      <w:r w:rsidRPr="00103A0B">
        <w:rPr>
          <w:rFonts w:ascii="Arial" w:hAnsi="Arial" w:cs="Arial"/>
          <w:i/>
          <w:iCs/>
          <w:noProof/>
          <w:sz w:val="24"/>
          <w:szCs w:val="24"/>
        </w:rPr>
        <w:t>8506</w:t>
      </w:r>
      <w:r w:rsidRPr="00103A0B">
        <w:rPr>
          <w:rFonts w:ascii="Arial" w:hAnsi="Arial" w:cs="Arial"/>
          <w:noProof/>
          <w:sz w:val="24"/>
          <w:szCs w:val="24"/>
        </w:rPr>
        <w:t>, 1–7. https://doi.org/10.1080/13548506.2015.1058486</w:t>
      </w:r>
    </w:p>
    <w:p w14:paraId="05973AE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Teixeira, P. J., Going, S. B., Houtkooper, L. B., Cussler, E. C., Metcalfe, L. L., Blew, R. M., Sardinha, L. B. &amp; Lohman, T. G. (2004). Pretreatment predictors of attrition and successful weight management in women. </w:t>
      </w:r>
      <w:r w:rsidRPr="00103A0B">
        <w:rPr>
          <w:rFonts w:ascii="Arial" w:hAnsi="Arial" w:cs="Arial"/>
          <w:i/>
          <w:iCs/>
          <w:noProof/>
          <w:sz w:val="24"/>
          <w:szCs w:val="24"/>
        </w:rPr>
        <w:t>International Journal of Obesity</w:t>
      </w:r>
      <w:r w:rsidRPr="00103A0B">
        <w:rPr>
          <w:rFonts w:ascii="Arial" w:hAnsi="Arial" w:cs="Arial"/>
          <w:noProof/>
          <w:sz w:val="24"/>
          <w:szCs w:val="24"/>
        </w:rPr>
        <w:t xml:space="preserve">, </w:t>
      </w:r>
      <w:r w:rsidRPr="00103A0B">
        <w:rPr>
          <w:rFonts w:ascii="Arial" w:hAnsi="Arial" w:cs="Arial"/>
          <w:i/>
          <w:iCs/>
          <w:noProof/>
          <w:sz w:val="24"/>
          <w:szCs w:val="24"/>
        </w:rPr>
        <w:t>28</w:t>
      </w:r>
      <w:r w:rsidRPr="00103A0B">
        <w:rPr>
          <w:rFonts w:ascii="Arial" w:hAnsi="Arial" w:cs="Arial"/>
          <w:noProof/>
          <w:sz w:val="24"/>
          <w:szCs w:val="24"/>
        </w:rPr>
        <w:t>(9), 1124–1133. https://doi.org/10.1038/sj.ijo.0802727</w:t>
      </w:r>
    </w:p>
    <w:p w14:paraId="15BA8D6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Terry, G., Hayfield, N., Clarke, V. &amp; Braun, V. (2017). Thematic analysis. In C. Willig &amp; W. S. Rogers (Eds.), </w:t>
      </w:r>
      <w:r w:rsidRPr="00103A0B">
        <w:rPr>
          <w:rFonts w:ascii="Arial" w:hAnsi="Arial" w:cs="Arial"/>
          <w:i/>
          <w:iCs/>
          <w:noProof/>
          <w:sz w:val="24"/>
          <w:szCs w:val="24"/>
        </w:rPr>
        <w:t>The SAGE handbook of qualitative research in psychology</w:t>
      </w:r>
      <w:r w:rsidRPr="00103A0B">
        <w:rPr>
          <w:rFonts w:ascii="Arial" w:hAnsi="Arial" w:cs="Arial"/>
          <w:noProof/>
          <w:sz w:val="24"/>
          <w:szCs w:val="24"/>
        </w:rPr>
        <w:t xml:space="preserve"> (pp. 17–36). SAGE Publications Ltd.</w:t>
      </w:r>
    </w:p>
    <w:p w14:paraId="30CF5CB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Teuschl, Y., Matz, K., Dachenhausen, A., Tuomilehto, J. &amp; Brainin, M. (2012). Factors associated with participation in a diabetes prevention program in Austria: a prospective cohort study. </w:t>
      </w:r>
      <w:r w:rsidRPr="00103A0B">
        <w:rPr>
          <w:rFonts w:ascii="Arial" w:hAnsi="Arial" w:cs="Arial"/>
          <w:i/>
          <w:iCs/>
          <w:noProof/>
          <w:sz w:val="24"/>
          <w:szCs w:val="24"/>
        </w:rPr>
        <w:t>Diabetes Management</w:t>
      </w:r>
      <w:r w:rsidRPr="00103A0B">
        <w:rPr>
          <w:rFonts w:ascii="Arial" w:hAnsi="Arial" w:cs="Arial"/>
          <w:noProof/>
          <w:sz w:val="24"/>
          <w:szCs w:val="24"/>
        </w:rPr>
        <w:t xml:space="preserve">, </w:t>
      </w:r>
      <w:r w:rsidRPr="00103A0B">
        <w:rPr>
          <w:rFonts w:ascii="Arial" w:hAnsi="Arial" w:cs="Arial"/>
          <w:i/>
          <w:iCs/>
          <w:noProof/>
          <w:sz w:val="24"/>
          <w:szCs w:val="24"/>
        </w:rPr>
        <w:t>2</w:t>
      </w:r>
      <w:r w:rsidRPr="00103A0B">
        <w:rPr>
          <w:rFonts w:ascii="Arial" w:hAnsi="Arial" w:cs="Arial"/>
          <w:noProof/>
          <w:sz w:val="24"/>
          <w:szCs w:val="24"/>
        </w:rPr>
        <w:t>(5), 385–393. https://doi.org/10.2217/dmt.12.46</w:t>
      </w:r>
    </w:p>
    <w:p w14:paraId="1E24D071"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The British Psychological Society. (2018). Code of ethics and conduct. In </w:t>
      </w:r>
      <w:r w:rsidRPr="00103A0B">
        <w:rPr>
          <w:rFonts w:ascii="Arial" w:hAnsi="Arial" w:cs="Arial"/>
          <w:i/>
          <w:iCs/>
          <w:noProof/>
          <w:sz w:val="24"/>
          <w:szCs w:val="24"/>
        </w:rPr>
        <w:t>The British Psychological Society</w:t>
      </w:r>
      <w:r w:rsidRPr="00103A0B">
        <w:rPr>
          <w:rFonts w:ascii="Arial" w:hAnsi="Arial" w:cs="Arial"/>
          <w:noProof/>
          <w:sz w:val="24"/>
          <w:szCs w:val="24"/>
        </w:rPr>
        <w:t>. www.bps.org.uk.</w:t>
      </w:r>
    </w:p>
    <w:p w14:paraId="055D517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The Diabetes Prevention Program Research Group. (2003). Costs associated with the primary prevention of type 2 diabetes mellitus in the diabetes prevention program. </w:t>
      </w:r>
      <w:r w:rsidRPr="00103A0B">
        <w:rPr>
          <w:rFonts w:ascii="Arial" w:hAnsi="Arial" w:cs="Arial"/>
          <w:i/>
          <w:iCs/>
          <w:noProof/>
          <w:sz w:val="24"/>
          <w:szCs w:val="24"/>
        </w:rPr>
        <w:lastRenderedPageBreak/>
        <w:t>Diabetes Care</w:t>
      </w:r>
      <w:r w:rsidRPr="00103A0B">
        <w:rPr>
          <w:rFonts w:ascii="Arial" w:hAnsi="Arial" w:cs="Arial"/>
          <w:noProof/>
          <w:sz w:val="24"/>
          <w:szCs w:val="24"/>
        </w:rPr>
        <w:t xml:space="preserve">, </w:t>
      </w:r>
      <w:r w:rsidRPr="00103A0B">
        <w:rPr>
          <w:rFonts w:ascii="Arial" w:hAnsi="Arial" w:cs="Arial"/>
          <w:i/>
          <w:iCs/>
          <w:noProof/>
          <w:sz w:val="24"/>
          <w:szCs w:val="24"/>
        </w:rPr>
        <w:t>26</w:t>
      </w:r>
      <w:r w:rsidRPr="00103A0B">
        <w:rPr>
          <w:rFonts w:ascii="Arial" w:hAnsi="Arial" w:cs="Arial"/>
          <w:noProof/>
          <w:sz w:val="24"/>
          <w:szCs w:val="24"/>
        </w:rPr>
        <w:t>(1), 36–47. https://doi.org/10.2337/diacare.26.1.36</w:t>
      </w:r>
    </w:p>
    <w:p w14:paraId="680B614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Thomas, C., Sadler, S., Breeze, P., Squires, H., Gillett, M. &amp; Brennan, A. (2017). Assessing the potential return on investment of the proposed UK NHS diabetes prevention programme in different population subgroups: an economic evaluation. </w:t>
      </w:r>
      <w:r w:rsidRPr="00103A0B">
        <w:rPr>
          <w:rFonts w:ascii="Arial" w:hAnsi="Arial" w:cs="Arial"/>
          <w:i/>
          <w:iCs/>
          <w:noProof/>
          <w:sz w:val="24"/>
          <w:szCs w:val="24"/>
        </w:rPr>
        <w:t>BMJ Open</w:t>
      </w:r>
      <w:r w:rsidRPr="00103A0B">
        <w:rPr>
          <w:rFonts w:ascii="Arial" w:hAnsi="Arial" w:cs="Arial"/>
          <w:noProof/>
          <w:sz w:val="24"/>
          <w:szCs w:val="24"/>
        </w:rPr>
        <w:t xml:space="preserve">, </w:t>
      </w:r>
      <w:r w:rsidRPr="00103A0B">
        <w:rPr>
          <w:rFonts w:ascii="Arial" w:hAnsi="Arial" w:cs="Arial"/>
          <w:i/>
          <w:iCs/>
          <w:noProof/>
          <w:sz w:val="24"/>
          <w:szCs w:val="24"/>
        </w:rPr>
        <w:t>7</w:t>
      </w:r>
      <w:r w:rsidRPr="00103A0B">
        <w:rPr>
          <w:rFonts w:ascii="Arial" w:hAnsi="Arial" w:cs="Arial"/>
          <w:noProof/>
          <w:sz w:val="24"/>
          <w:szCs w:val="24"/>
        </w:rPr>
        <w:t>(8), e014953–e014953. https://doi.org/10.1136/bmjopen-2016-014953</w:t>
      </w:r>
    </w:p>
    <w:p w14:paraId="17A0B8B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Thomas, T., Samuel-Hodge, C. D., Porterfield, D. S., Alva, M. L. &amp; Leeman, J. (2019). Scaling up diabetes prevention programs in North Carolina: perceptions of demand from potential program recipients and providers. </w:t>
      </w:r>
      <w:r w:rsidRPr="00103A0B">
        <w:rPr>
          <w:rFonts w:ascii="Arial" w:hAnsi="Arial" w:cs="Arial"/>
          <w:i/>
          <w:iCs/>
          <w:noProof/>
          <w:sz w:val="24"/>
          <w:szCs w:val="24"/>
        </w:rPr>
        <w:t>Diabetes Educator</w:t>
      </w:r>
      <w:r w:rsidRPr="00103A0B">
        <w:rPr>
          <w:rFonts w:ascii="Arial" w:hAnsi="Arial" w:cs="Arial"/>
          <w:noProof/>
          <w:sz w:val="24"/>
          <w:szCs w:val="24"/>
        </w:rPr>
        <w:t xml:space="preserve">, </w:t>
      </w:r>
      <w:r w:rsidRPr="00103A0B">
        <w:rPr>
          <w:rFonts w:ascii="Arial" w:hAnsi="Arial" w:cs="Arial"/>
          <w:i/>
          <w:iCs/>
          <w:noProof/>
          <w:sz w:val="24"/>
          <w:szCs w:val="24"/>
        </w:rPr>
        <w:t>45</w:t>
      </w:r>
      <w:r w:rsidRPr="00103A0B">
        <w:rPr>
          <w:rFonts w:ascii="Arial" w:hAnsi="Arial" w:cs="Arial"/>
          <w:noProof/>
          <w:sz w:val="24"/>
          <w:szCs w:val="24"/>
        </w:rPr>
        <w:t>(1), 116–124. https://doi.org/10.1177/0145721718811564</w:t>
      </w:r>
    </w:p>
    <w:p w14:paraId="0BDB13F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Townsend, C. K. ., Miyamoto, R. E. ., Antonio, M., Zhang, G., Paloma, D., Basques, D., Braun, K. L. &amp; Keawe, J. K. (2016). The PILI@Work Program: a translation of the diabetes prevention program to native Hawaiian-serving worksites in Hawai‘i. </w:t>
      </w:r>
      <w:r w:rsidRPr="00103A0B">
        <w:rPr>
          <w:rFonts w:ascii="Arial" w:hAnsi="Arial" w:cs="Arial"/>
          <w:i/>
          <w:iCs/>
          <w:noProof/>
          <w:sz w:val="24"/>
          <w:szCs w:val="24"/>
        </w:rPr>
        <w:t>Translational Behavioral Medicine</w:t>
      </w:r>
      <w:r w:rsidRPr="00103A0B">
        <w:rPr>
          <w:rFonts w:ascii="Arial" w:hAnsi="Arial" w:cs="Arial"/>
          <w:noProof/>
          <w:sz w:val="24"/>
          <w:szCs w:val="24"/>
        </w:rPr>
        <w:t xml:space="preserve">, </w:t>
      </w:r>
      <w:r w:rsidRPr="00103A0B">
        <w:rPr>
          <w:rFonts w:ascii="Arial" w:hAnsi="Arial" w:cs="Arial"/>
          <w:i/>
          <w:iCs/>
          <w:noProof/>
          <w:sz w:val="24"/>
          <w:szCs w:val="24"/>
        </w:rPr>
        <w:t>6</w:t>
      </w:r>
      <w:r w:rsidRPr="00103A0B">
        <w:rPr>
          <w:rFonts w:ascii="Arial" w:hAnsi="Arial" w:cs="Arial"/>
          <w:noProof/>
          <w:sz w:val="24"/>
          <w:szCs w:val="24"/>
        </w:rPr>
        <w:t>, 190–201. https://doi.org/10.1007/s13142-015-0383-3</w:t>
      </w:r>
    </w:p>
    <w:p w14:paraId="6E9A534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Troughton, J., Chatterjee, S., Hill, S. E., Daly, H., Martin Stacey, L., Stone, M. A., Patel, N., Khunti, K., Yates, T., Gray, L. J. &amp; Davies, M. J. (2015). Development of a lifestyle intervention using the MRC framework for diabetes prevention in people with impaired glucose regulation. </w:t>
      </w:r>
      <w:r w:rsidRPr="00103A0B">
        <w:rPr>
          <w:rFonts w:ascii="Arial" w:hAnsi="Arial" w:cs="Arial"/>
          <w:i/>
          <w:iCs/>
          <w:noProof/>
          <w:sz w:val="24"/>
          <w:szCs w:val="24"/>
        </w:rPr>
        <w:t>Journal of Public Health</w:t>
      </w:r>
      <w:r w:rsidRPr="00103A0B">
        <w:rPr>
          <w:rFonts w:ascii="Arial" w:hAnsi="Arial" w:cs="Arial"/>
          <w:noProof/>
          <w:sz w:val="24"/>
          <w:szCs w:val="24"/>
        </w:rPr>
        <w:t xml:space="preserve">, </w:t>
      </w:r>
      <w:r w:rsidRPr="00103A0B">
        <w:rPr>
          <w:rFonts w:ascii="Arial" w:hAnsi="Arial" w:cs="Arial"/>
          <w:i/>
          <w:iCs/>
          <w:noProof/>
          <w:sz w:val="24"/>
          <w:szCs w:val="24"/>
        </w:rPr>
        <w:t>38</w:t>
      </w:r>
      <w:r w:rsidRPr="00103A0B">
        <w:rPr>
          <w:rFonts w:ascii="Arial" w:hAnsi="Arial" w:cs="Arial"/>
          <w:noProof/>
          <w:sz w:val="24"/>
          <w:szCs w:val="24"/>
        </w:rPr>
        <w:t>(3), 493–501. https://doi.org/10.1093/pubmed/fdv110</w:t>
      </w:r>
    </w:p>
    <w:p w14:paraId="317AD05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Tsai, F.-M., Lin, C.-C., Lin, H.-S. &amp; Liu, Y. (2018). A preliminary study of the effects of a multitheory-driven intervention in adults with prediabetes mellitus. </w:t>
      </w:r>
      <w:r w:rsidRPr="00103A0B">
        <w:rPr>
          <w:rFonts w:ascii="Arial" w:hAnsi="Arial" w:cs="Arial"/>
          <w:i/>
          <w:iCs/>
          <w:noProof/>
          <w:sz w:val="24"/>
          <w:szCs w:val="24"/>
        </w:rPr>
        <w:t>Journal of Nursing Research</w:t>
      </w:r>
      <w:r w:rsidRPr="00103A0B">
        <w:rPr>
          <w:rFonts w:ascii="Arial" w:hAnsi="Arial" w:cs="Arial"/>
          <w:noProof/>
          <w:sz w:val="24"/>
          <w:szCs w:val="24"/>
        </w:rPr>
        <w:t xml:space="preserve">, </w:t>
      </w:r>
      <w:r w:rsidRPr="00103A0B">
        <w:rPr>
          <w:rFonts w:ascii="Arial" w:hAnsi="Arial" w:cs="Arial"/>
          <w:i/>
          <w:iCs/>
          <w:noProof/>
          <w:sz w:val="24"/>
          <w:szCs w:val="24"/>
        </w:rPr>
        <w:t>26</w:t>
      </w:r>
      <w:r w:rsidRPr="00103A0B">
        <w:rPr>
          <w:rFonts w:ascii="Arial" w:hAnsi="Arial" w:cs="Arial"/>
          <w:noProof/>
          <w:sz w:val="24"/>
          <w:szCs w:val="24"/>
        </w:rPr>
        <w:t>(3), 216–225. https://doi.org/10.1097/jnr.0000000000000225</w:t>
      </w:r>
    </w:p>
    <w:p w14:paraId="4F97A74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UK Government. (2018). </w:t>
      </w:r>
      <w:r w:rsidRPr="00103A0B">
        <w:rPr>
          <w:rFonts w:ascii="Arial" w:hAnsi="Arial" w:cs="Arial"/>
          <w:i/>
          <w:iCs/>
          <w:noProof/>
          <w:sz w:val="24"/>
          <w:szCs w:val="24"/>
        </w:rPr>
        <w:t>Population of England and Wales</w:t>
      </w:r>
      <w:r w:rsidRPr="00103A0B">
        <w:rPr>
          <w:rFonts w:ascii="Arial" w:hAnsi="Arial" w:cs="Arial"/>
          <w:noProof/>
          <w:sz w:val="24"/>
          <w:szCs w:val="24"/>
        </w:rPr>
        <w:t>. https://www.ethnicity-facts-figures.service.gov.uk/uk-population-by-ethnicity/national-and-regional-populations/population-of-england-and-wales/latest#download-the-data</w:t>
      </w:r>
    </w:p>
    <w:p w14:paraId="07F9D49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University of Warwick. (2020). </w:t>
      </w:r>
      <w:r w:rsidRPr="00103A0B">
        <w:rPr>
          <w:rFonts w:ascii="Arial" w:hAnsi="Arial" w:cs="Arial"/>
          <w:i/>
          <w:iCs/>
          <w:noProof/>
          <w:sz w:val="24"/>
          <w:szCs w:val="24"/>
        </w:rPr>
        <w:t>Collect, score, analyse and interpret WEMWBS</w:t>
      </w:r>
      <w:r w:rsidRPr="00103A0B">
        <w:rPr>
          <w:rFonts w:ascii="Arial" w:hAnsi="Arial" w:cs="Arial"/>
          <w:noProof/>
          <w:sz w:val="24"/>
          <w:szCs w:val="24"/>
        </w:rPr>
        <w:t>. https://warwick.ac.uk/fac/sci/med/research/platform/wemwbs/using/howto/</w:t>
      </w:r>
    </w:p>
    <w:p w14:paraId="165D97B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Valabhji, J., Barron, E., Bradley, D., Bakhai, C., Fagg, J., Neill, S. O., Young, B., Wareham, N., Khunti, K., Jebb, S. &amp; Smith, J. (2020). Early outcomes from the English National Health Service diabetes prevention programme. </w:t>
      </w:r>
      <w:r w:rsidRPr="00103A0B">
        <w:rPr>
          <w:rFonts w:ascii="Arial" w:hAnsi="Arial" w:cs="Arial"/>
          <w:i/>
          <w:iCs/>
          <w:noProof/>
          <w:sz w:val="24"/>
          <w:szCs w:val="24"/>
        </w:rPr>
        <w:t>Diabates Care</w:t>
      </w:r>
      <w:r w:rsidRPr="00103A0B">
        <w:rPr>
          <w:rFonts w:ascii="Arial" w:hAnsi="Arial" w:cs="Arial"/>
          <w:noProof/>
          <w:sz w:val="24"/>
          <w:szCs w:val="24"/>
        </w:rPr>
        <w:t xml:space="preserve">, </w:t>
      </w:r>
      <w:r w:rsidRPr="00103A0B">
        <w:rPr>
          <w:rFonts w:ascii="Arial" w:hAnsi="Arial" w:cs="Arial"/>
          <w:i/>
          <w:iCs/>
          <w:noProof/>
          <w:sz w:val="24"/>
          <w:szCs w:val="24"/>
        </w:rPr>
        <w:t>43</w:t>
      </w:r>
      <w:r w:rsidRPr="00103A0B">
        <w:rPr>
          <w:rFonts w:ascii="Arial" w:hAnsi="Arial" w:cs="Arial"/>
          <w:noProof/>
          <w:sz w:val="24"/>
          <w:szCs w:val="24"/>
        </w:rPr>
        <w:t>, 152–160.</w:t>
      </w:r>
    </w:p>
    <w:p w14:paraId="1F92592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Van Dongen, E. J. I., Duijzer, G., Jansen, S. C., Ter Beek, J., Huijg, J. M., Leerlooijer, J. N., Hiddink, G. J., Feskens, E. J. M. &amp; Haveman-Nies, A. (2016). Process evaluation of a randomised controlled trial of a diabetes prevention intervention in Dutch primary health care: the SLIMMER study. </w:t>
      </w:r>
      <w:r w:rsidRPr="00103A0B">
        <w:rPr>
          <w:rFonts w:ascii="Arial" w:hAnsi="Arial" w:cs="Arial"/>
          <w:i/>
          <w:iCs/>
          <w:noProof/>
          <w:sz w:val="24"/>
          <w:szCs w:val="24"/>
        </w:rPr>
        <w:t>Public Health Nutrition</w:t>
      </w:r>
      <w:r w:rsidRPr="00103A0B">
        <w:rPr>
          <w:rFonts w:ascii="Arial" w:hAnsi="Arial" w:cs="Arial"/>
          <w:noProof/>
          <w:sz w:val="24"/>
          <w:szCs w:val="24"/>
        </w:rPr>
        <w:t xml:space="preserve">, </w:t>
      </w:r>
      <w:r w:rsidRPr="00103A0B">
        <w:rPr>
          <w:rFonts w:ascii="Arial" w:hAnsi="Arial" w:cs="Arial"/>
          <w:i/>
          <w:iCs/>
          <w:noProof/>
          <w:sz w:val="24"/>
          <w:szCs w:val="24"/>
        </w:rPr>
        <w:t>19</w:t>
      </w:r>
      <w:r w:rsidRPr="00103A0B">
        <w:rPr>
          <w:rFonts w:ascii="Arial" w:hAnsi="Arial" w:cs="Arial"/>
          <w:noProof/>
          <w:sz w:val="24"/>
          <w:szCs w:val="24"/>
        </w:rPr>
        <w:t>(16), 3027–3038.</w:t>
      </w:r>
    </w:p>
    <w:p w14:paraId="4C72981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Vanderwood, K. K., Hall, T. O., Harwell, T. S., Arave, D., Butcher, M. K. &amp; Helgerson, S. D. (2011). Factors associated with the maintenance or achievement of the weight loss goal at follow-up among participants completing an adapted diabetes prevention program. </w:t>
      </w:r>
      <w:r w:rsidRPr="00103A0B">
        <w:rPr>
          <w:rFonts w:ascii="Arial" w:hAnsi="Arial" w:cs="Arial"/>
          <w:i/>
          <w:iCs/>
          <w:noProof/>
          <w:sz w:val="24"/>
          <w:szCs w:val="24"/>
        </w:rPr>
        <w:t>Diabetes Research and Clinical Practice</w:t>
      </w:r>
      <w:r w:rsidRPr="00103A0B">
        <w:rPr>
          <w:rFonts w:ascii="Arial" w:hAnsi="Arial" w:cs="Arial"/>
          <w:noProof/>
          <w:sz w:val="24"/>
          <w:szCs w:val="24"/>
        </w:rPr>
        <w:t xml:space="preserve">, </w:t>
      </w:r>
      <w:r w:rsidRPr="00103A0B">
        <w:rPr>
          <w:rFonts w:ascii="Arial" w:hAnsi="Arial" w:cs="Arial"/>
          <w:i/>
          <w:iCs/>
          <w:noProof/>
          <w:sz w:val="24"/>
          <w:szCs w:val="24"/>
        </w:rPr>
        <w:t>91</w:t>
      </w:r>
      <w:r w:rsidRPr="00103A0B">
        <w:rPr>
          <w:rFonts w:ascii="Arial" w:hAnsi="Arial" w:cs="Arial"/>
          <w:noProof/>
          <w:sz w:val="24"/>
          <w:szCs w:val="24"/>
        </w:rPr>
        <w:t>(2), 141–147. https://doi.org/10.1016/j.diabres.2010.12.001</w:t>
      </w:r>
    </w:p>
    <w:p w14:paraId="634268C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Vanderwood, K. K., Hall, T. O., Harwell, T. S., Butcher, M. K. &amp; Helgerson, S. D. </w:t>
      </w:r>
      <w:r w:rsidRPr="00103A0B">
        <w:rPr>
          <w:rFonts w:ascii="Arial" w:hAnsi="Arial" w:cs="Arial"/>
          <w:noProof/>
          <w:sz w:val="24"/>
          <w:szCs w:val="24"/>
        </w:rPr>
        <w:lastRenderedPageBreak/>
        <w:t xml:space="preserve">(2010). Implementing a state-based cardiovascular disease and diabetes prevention program.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33</w:t>
      </w:r>
      <w:r w:rsidRPr="00103A0B">
        <w:rPr>
          <w:rFonts w:ascii="Arial" w:hAnsi="Arial" w:cs="Arial"/>
          <w:noProof/>
          <w:sz w:val="24"/>
          <w:szCs w:val="24"/>
        </w:rPr>
        <w:t>(12), 2543–2545. https://doi.org/10.2337/dc10-0862</w:t>
      </w:r>
    </w:p>
    <w:p w14:paraId="05BB594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Venkataramani, M., Pollack, C. E., Yeh, H. C. &amp; Maruthur, N. M. (2019). Prevalence and correlates of diabetes prevention program referral and participation. </w:t>
      </w:r>
      <w:r w:rsidRPr="00103A0B">
        <w:rPr>
          <w:rFonts w:ascii="Arial" w:hAnsi="Arial" w:cs="Arial"/>
          <w:i/>
          <w:iCs/>
          <w:noProof/>
          <w:sz w:val="24"/>
          <w:szCs w:val="24"/>
        </w:rPr>
        <w:t>American Journal of Preventive Medicine</w:t>
      </w:r>
      <w:r w:rsidRPr="00103A0B">
        <w:rPr>
          <w:rFonts w:ascii="Arial" w:hAnsi="Arial" w:cs="Arial"/>
          <w:noProof/>
          <w:sz w:val="24"/>
          <w:szCs w:val="24"/>
        </w:rPr>
        <w:t xml:space="preserve">, </w:t>
      </w:r>
      <w:r w:rsidRPr="00103A0B">
        <w:rPr>
          <w:rFonts w:ascii="Arial" w:hAnsi="Arial" w:cs="Arial"/>
          <w:i/>
          <w:iCs/>
          <w:noProof/>
          <w:sz w:val="24"/>
          <w:szCs w:val="24"/>
        </w:rPr>
        <w:t>56</w:t>
      </w:r>
      <w:r w:rsidRPr="00103A0B">
        <w:rPr>
          <w:rFonts w:ascii="Arial" w:hAnsi="Arial" w:cs="Arial"/>
          <w:noProof/>
          <w:sz w:val="24"/>
          <w:szCs w:val="24"/>
        </w:rPr>
        <w:t>(3), 452–457.</w:t>
      </w:r>
    </w:p>
    <w:p w14:paraId="7F5C428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Vermunt, P. W. A., Milder, I. E. J., Wielaard, F., Baan, C. A., Schelfhout, J. D. M., Westert, G. P. &amp; Van Oers, H. A. M. (2012). Implementation of a lifestyle intervention for type 2 diabetes prevention in Dutch primary care: opportunities for intervention content. </w:t>
      </w:r>
      <w:r w:rsidRPr="00103A0B">
        <w:rPr>
          <w:rFonts w:ascii="Arial" w:hAnsi="Arial" w:cs="Arial"/>
          <w:i/>
          <w:iCs/>
          <w:noProof/>
          <w:sz w:val="24"/>
          <w:szCs w:val="24"/>
        </w:rPr>
        <w:t>BMC Family Practice</w:t>
      </w:r>
      <w:r w:rsidRPr="00103A0B">
        <w:rPr>
          <w:rFonts w:ascii="Arial" w:hAnsi="Arial" w:cs="Arial"/>
          <w:noProof/>
          <w:sz w:val="24"/>
          <w:szCs w:val="24"/>
        </w:rPr>
        <w:t xml:space="preserve">, </w:t>
      </w:r>
      <w:r w:rsidRPr="00103A0B">
        <w:rPr>
          <w:rFonts w:ascii="Arial" w:hAnsi="Arial" w:cs="Arial"/>
          <w:i/>
          <w:iCs/>
          <w:noProof/>
          <w:sz w:val="24"/>
          <w:szCs w:val="24"/>
        </w:rPr>
        <w:t>13</w:t>
      </w:r>
      <w:r w:rsidRPr="00103A0B">
        <w:rPr>
          <w:rFonts w:ascii="Arial" w:hAnsi="Arial" w:cs="Arial"/>
          <w:noProof/>
          <w:sz w:val="24"/>
          <w:szCs w:val="24"/>
        </w:rPr>
        <w:t>(79). https://doi.org/10.1186/1471-2296-14-78</w:t>
      </w:r>
    </w:p>
    <w:p w14:paraId="1171BB3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Vermunt, P. W. A., Milder, I. E. J., Wielaard, F., van Oers, J. A. M. &amp; Westert, G. P. (2010). An active strategy to identify individuals eligible for type 2 diabetes prevention by lifestyle intervention in Dutch primary care: the APHRODITE study. </w:t>
      </w:r>
      <w:r w:rsidRPr="00103A0B">
        <w:rPr>
          <w:rFonts w:ascii="Arial" w:hAnsi="Arial" w:cs="Arial"/>
          <w:i/>
          <w:iCs/>
          <w:noProof/>
          <w:sz w:val="24"/>
          <w:szCs w:val="24"/>
        </w:rPr>
        <w:t>Family Practice</w:t>
      </w:r>
      <w:r w:rsidRPr="00103A0B">
        <w:rPr>
          <w:rFonts w:ascii="Arial" w:hAnsi="Arial" w:cs="Arial"/>
          <w:noProof/>
          <w:sz w:val="24"/>
          <w:szCs w:val="24"/>
        </w:rPr>
        <w:t xml:space="preserve">, </w:t>
      </w:r>
      <w:r w:rsidRPr="00103A0B">
        <w:rPr>
          <w:rFonts w:ascii="Arial" w:hAnsi="Arial" w:cs="Arial"/>
          <w:i/>
          <w:iCs/>
          <w:noProof/>
          <w:sz w:val="24"/>
          <w:szCs w:val="24"/>
        </w:rPr>
        <w:t>27</w:t>
      </w:r>
      <w:r w:rsidRPr="00103A0B">
        <w:rPr>
          <w:rFonts w:ascii="Arial" w:hAnsi="Arial" w:cs="Arial"/>
          <w:noProof/>
          <w:sz w:val="24"/>
          <w:szCs w:val="24"/>
        </w:rPr>
        <w:t>(3), 312–319. https://doi.org/10.1093/fampra/cmp100</w:t>
      </w:r>
    </w:p>
    <w:p w14:paraId="53281C6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Vincent, D., McEwen, M. M., Hepworth, J. T. &amp; Stump, C. S. (2014). The effects of a community-based, culturally tailored diabetes prevention intervention for high-risk adults of Mexican descent. </w:t>
      </w:r>
      <w:r w:rsidRPr="00103A0B">
        <w:rPr>
          <w:rFonts w:ascii="Arial" w:hAnsi="Arial" w:cs="Arial"/>
          <w:i/>
          <w:iCs/>
          <w:noProof/>
          <w:sz w:val="24"/>
          <w:szCs w:val="24"/>
        </w:rPr>
        <w:t>The Diabetes Educator</w:t>
      </w:r>
      <w:r w:rsidRPr="00103A0B">
        <w:rPr>
          <w:rFonts w:ascii="Arial" w:hAnsi="Arial" w:cs="Arial"/>
          <w:noProof/>
          <w:sz w:val="24"/>
          <w:szCs w:val="24"/>
        </w:rPr>
        <w:t xml:space="preserve">, </w:t>
      </w:r>
      <w:r w:rsidRPr="00103A0B">
        <w:rPr>
          <w:rFonts w:ascii="Arial" w:hAnsi="Arial" w:cs="Arial"/>
          <w:i/>
          <w:iCs/>
          <w:noProof/>
          <w:sz w:val="24"/>
          <w:szCs w:val="24"/>
        </w:rPr>
        <w:t>40</w:t>
      </w:r>
      <w:r w:rsidRPr="00103A0B">
        <w:rPr>
          <w:rFonts w:ascii="Arial" w:hAnsi="Arial" w:cs="Arial"/>
          <w:noProof/>
          <w:sz w:val="24"/>
          <w:szCs w:val="24"/>
        </w:rPr>
        <w:t>(2), 202–213. https://doi.org/10.1177/0145721714521020</w:t>
      </w:r>
    </w:p>
    <w:p w14:paraId="44D652B7"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Vita, P., Cardona-Morrell, M., Bauman, A., Singh, M. F., Moore, M., Pennock, R., Snow, J., Williams, M., Jackson, L., Milat, A. &amp; Colagiuri, S. (2016). Type 2 diabetes prevention in the community: 12-month outcomes from the Sydney diabetes prevention program. </w:t>
      </w:r>
      <w:r w:rsidRPr="00103A0B">
        <w:rPr>
          <w:rFonts w:ascii="Arial" w:hAnsi="Arial" w:cs="Arial"/>
          <w:i/>
          <w:iCs/>
          <w:noProof/>
          <w:sz w:val="24"/>
          <w:szCs w:val="24"/>
        </w:rPr>
        <w:t>Diabetes Research and Clinical Practice</w:t>
      </w:r>
      <w:r w:rsidRPr="00103A0B">
        <w:rPr>
          <w:rFonts w:ascii="Arial" w:hAnsi="Arial" w:cs="Arial"/>
          <w:noProof/>
          <w:sz w:val="24"/>
          <w:szCs w:val="24"/>
        </w:rPr>
        <w:t xml:space="preserve">, </w:t>
      </w:r>
      <w:r w:rsidRPr="00103A0B">
        <w:rPr>
          <w:rFonts w:ascii="Arial" w:hAnsi="Arial" w:cs="Arial"/>
          <w:i/>
          <w:iCs/>
          <w:noProof/>
          <w:sz w:val="24"/>
          <w:szCs w:val="24"/>
        </w:rPr>
        <w:t>112</w:t>
      </w:r>
      <w:r w:rsidRPr="00103A0B">
        <w:rPr>
          <w:rFonts w:ascii="Arial" w:hAnsi="Arial" w:cs="Arial"/>
          <w:noProof/>
          <w:sz w:val="24"/>
          <w:szCs w:val="24"/>
        </w:rPr>
        <w:t>, 13–19. https://doi.org/10.1016/j.diabres.2015.11.010</w:t>
      </w:r>
    </w:p>
    <w:p w14:paraId="6D30124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Wagner, C. Von, Good, A., Whitaker, K. L. &amp; Wardle, J. (2011). Psychosocial determinants of socioeconomic inequalities in cancer screening participation: a conceptual framework. </w:t>
      </w:r>
      <w:r w:rsidRPr="00103A0B">
        <w:rPr>
          <w:rFonts w:ascii="Arial" w:hAnsi="Arial" w:cs="Arial"/>
          <w:i/>
          <w:iCs/>
          <w:noProof/>
          <w:sz w:val="24"/>
          <w:szCs w:val="24"/>
        </w:rPr>
        <w:t>Epidemiologic Reviews</w:t>
      </w:r>
      <w:r w:rsidRPr="00103A0B">
        <w:rPr>
          <w:rFonts w:ascii="Arial" w:hAnsi="Arial" w:cs="Arial"/>
          <w:noProof/>
          <w:sz w:val="24"/>
          <w:szCs w:val="24"/>
        </w:rPr>
        <w:t xml:space="preserve">, </w:t>
      </w:r>
      <w:r w:rsidRPr="00103A0B">
        <w:rPr>
          <w:rFonts w:ascii="Arial" w:hAnsi="Arial" w:cs="Arial"/>
          <w:i/>
          <w:iCs/>
          <w:noProof/>
          <w:sz w:val="24"/>
          <w:szCs w:val="24"/>
        </w:rPr>
        <w:t>33</w:t>
      </w:r>
      <w:r w:rsidRPr="00103A0B">
        <w:rPr>
          <w:rFonts w:ascii="Arial" w:hAnsi="Arial" w:cs="Arial"/>
          <w:noProof/>
          <w:sz w:val="24"/>
          <w:szCs w:val="24"/>
        </w:rPr>
        <w:t>, 135–147. https://doi.org/10.1093/epirev/mxq018</w:t>
      </w:r>
    </w:p>
    <w:p w14:paraId="6839A819"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Weinman, J., Petrie, K. J., Moss-Morris, R. &amp; Horne, R. (1996). The illness perception questionnaire: a new method for assessing the cognitive representation of illness. </w:t>
      </w:r>
      <w:r w:rsidRPr="00103A0B">
        <w:rPr>
          <w:rFonts w:ascii="Arial" w:hAnsi="Arial" w:cs="Arial"/>
          <w:i/>
          <w:iCs/>
          <w:noProof/>
          <w:sz w:val="24"/>
          <w:szCs w:val="24"/>
        </w:rPr>
        <w:t>Psychology and Health</w:t>
      </w:r>
      <w:r w:rsidRPr="00103A0B">
        <w:rPr>
          <w:rFonts w:ascii="Arial" w:hAnsi="Arial" w:cs="Arial"/>
          <w:noProof/>
          <w:sz w:val="24"/>
          <w:szCs w:val="24"/>
        </w:rPr>
        <w:t xml:space="preserve">, </w:t>
      </w:r>
      <w:r w:rsidRPr="00103A0B">
        <w:rPr>
          <w:rFonts w:ascii="Arial" w:hAnsi="Arial" w:cs="Arial"/>
          <w:i/>
          <w:iCs/>
          <w:noProof/>
          <w:sz w:val="24"/>
          <w:szCs w:val="24"/>
        </w:rPr>
        <w:t>11</w:t>
      </w:r>
      <w:r w:rsidRPr="00103A0B">
        <w:rPr>
          <w:rFonts w:ascii="Arial" w:hAnsi="Arial" w:cs="Arial"/>
          <w:noProof/>
          <w:sz w:val="24"/>
          <w:szCs w:val="24"/>
        </w:rPr>
        <w:t>(3), 431–445.</w:t>
      </w:r>
    </w:p>
    <w:p w14:paraId="06F2A86B"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Whelan, M. &amp; Bell, L. (2022). The English national health service diabetes prevention programme (NHS DPP): A scoping review of existing evidence. </w:t>
      </w:r>
      <w:r w:rsidRPr="00103A0B">
        <w:rPr>
          <w:rFonts w:ascii="Arial" w:hAnsi="Arial" w:cs="Arial"/>
          <w:i/>
          <w:iCs/>
          <w:noProof/>
          <w:sz w:val="24"/>
          <w:szCs w:val="24"/>
        </w:rPr>
        <w:t>Diabetic Medicine</w:t>
      </w:r>
      <w:r w:rsidRPr="00103A0B">
        <w:rPr>
          <w:rFonts w:ascii="Arial" w:hAnsi="Arial" w:cs="Arial"/>
          <w:noProof/>
          <w:sz w:val="24"/>
          <w:szCs w:val="24"/>
        </w:rPr>
        <w:t xml:space="preserve">, </w:t>
      </w:r>
      <w:r w:rsidRPr="00103A0B">
        <w:rPr>
          <w:rFonts w:ascii="Arial" w:hAnsi="Arial" w:cs="Arial"/>
          <w:i/>
          <w:iCs/>
          <w:noProof/>
          <w:sz w:val="24"/>
          <w:szCs w:val="24"/>
        </w:rPr>
        <w:t>39</w:t>
      </w:r>
      <w:r w:rsidRPr="00103A0B">
        <w:rPr>
          <w:rFonts w:ascii="Arial" w:hAnsi="Arial" w:cs="Arial"/>
          <w:noProof/>
          <w:sz w:val="24"/>
          <w:szCs w:val="24"/>
        </w:rPr>
        <w:t>(7), 1–10. https://doi.org/10.1111/dme.14855</w:t>
      </w:r>
    </w:p>
    <w:p w14:paraId="2633C27A"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Whitmarsh, A., Koutantji, M. &amp; Sidell, K. (2003). Illness perceptions, mood and coping in predicting attendance at cardiac rehabilitation. </w:t>
      </w:r>
      <w:r w:rsidRPr="00103A0B">
        <w:rPr>
          <w:rFonts w:ascii="Arial" w:hAnsi="Arial" w:cs="Arial"/>
          <w:i/>
          <w:iCs/>
          <w:noProof/>
          <w:sz w:val="24"/>
          <w:szCs w:val="24"/>
        </w:rPr>
        <w:t>British Journal of Health Psychology</w:t>
      </w:r>
      <w:r w:rsidRPr="00103A0B">
        <w:rPr>
          <w:rFonts w:ascii="Arial" w:hAnsi="Arial" w:cs="Arial"/>
          <w:noProof/>
          <w:sz w:val="24"/>
          <w:szCs w:val="24"/>
        </w:rPr>
        <w:t xml:space="preserve">, </w:t>
      </w:r>
      <w:r w:rsidRPr="00103A0B">
        <w:rPr>
          <w:rFonts w:ascii="Arial" w:hAnsi="Arial" w:cs="Arial"/>
          <w:i/>
          <w:iCs/>
          <w:noProof/>
          <w:sz w:val="24"/>
          <w:szCs w:val="24"/>
        </w:rPr>
        <w:t>8</w:t>
      </w:r>
      <w:r w:rsidRPr="00103A0B">
        <w:rPr>
          <w:rFonts w:ascii="Arial" w:hAnsi="Arial" w:cs="Arial"/>
          <w:noProof/>
          <w:sz w:val="24"/>
          <w:szCs w:val="24"/>
        </w:rPr>
        <w:t>(2), 209–221.</w:t>
      </w:r>
    </w:p>
    <w:p w14:paraId="2AB87F3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Whittemore, R., Melkus, G., Wagner, J., Northrup, V., Dziura, J. &amp; Grey, M. (2009). Translating the diabetes prevention program to primary care: a pilot study. </w:t>
      </w:r>
      <w:r w:rsidRPr="00103A0B">
        <w:rPr>
          <w:rFonts w:ascii="Arial" w:hAnsi="Arial" w:cs="Arial"/>
          <w:i/>
          <w:iCs/>
          <w:noProof/>
          <w:sz w:val="24"/>
          <w:szCs w:val="24"/>
        </w:rPr>
        <w:t>Nursing Research</w:t>
      </w:r>
      <w:r w:rsidRPr="00103A0B">
        <w:rPr>
          <w:rFonts w:ascii="Arial" w:hAnsi="Arial" w:cs="Arial"/>
          <w:noProof/>
          <w:sz w:val="24"/>
          <w:szCs w:val="24"/>
        </w:rPr>
        <w:t xml:space="preserve">, </w:t>
      </w:r>
      <w:r w:rsidRPr="00103A0B">
        <w:rPr>
          <w:rFonts w:ascii="Arial" w:hAnsi="Arial" w:cs="Arial"/>
          <w:i/>
          <w:iCs/>
          <w:noProof/>
          <w:sz w:val="24"/>
          <w:szCs w:val="24"/>
        </w:rPr>
        <w:t>58</w:t>
      </w:r>
      <w:r w:rsidRPr="00103A0B">
        <w:rPr>
          <w:rFonts w:ascii="Arial" w:hAnsi="Arial" w:cs="Arial"/>
          <w:noProof/>
          <w:sz w:val="24"/>
          <w:szCs w:val="24"/>
        </w:rPr>
        <w:t>(1), 2–12. https://doi.org/10.1097/NNR.0b013e31818fcef3.Translating</w:t>
      </w:r>
    </w:p>
    <w:p w14:paraId="02F6147D"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Whittemore, R., Rosenberg, A., Gilmore, L., Withey, M. &amp; Breault, A. (2014). Implementation of a diabetes prevention program in public housing communities. </w:t>
      </w:r>
      <w:r w:rsidRPr="00103A0B">
        <w:rPr>
          <w:rFonts w:ascii="Arial" w:hAnsi="Arial" w:cs="Arial"/>
          <w:i/>
          <w:iCs/>
          <w:noProof/>
          <w:sz w:val="24"/>
          <w:szCs w:val="24"/>
        </w:rPr>
        <w:t>Public Health Nursing</w:t>
      </w:r>
      <w:r w:rsidRPr="00103A0B">
        <w:rPr>
          <w:rFonts w:ascii="Arial" w:hAnsi="Arial" w:cs="Arial"/>
          <w:noProof/>
          <w:sz w:val="24"/>
          <w:szCs w:val="24"/>
        </w:rPr>
        <w:t xml:space="preserve">, </w:t>
      </w:r>
      <w:r w:rsidRPr="00103A0B">
        <w:rPr>
          <w:rFonts w:ascii="Arial" w:hAnsi="Arial" w:cs="Arial"/>
          <w:i/>
          <w:iCs/>
          <w:noProof/>
          <w:sz w:val="24"/>
          <w:szCs w:val="24"/>
        </w:rPr>
        <w:t>31</w:t>
      </w:r>
      <w:r w:rsidRPr="00103A0B">
        <w:rPr>
          <w:rFonts w:ascii="Arial" w:hAnsi="Arial" w:cs="Arial"/>
          <w:noProof/>
          <w:sz w:val="24"/>
          <w:szCs w:val="24"/>
        </w:rPr>
        <w:t>(4), 317–326. https://doi.org/10.1111/phn.12093</w:t>
      </w:r>
    </w:p>
    <w:p w14:paraId="357CC445"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lastRenderedPageBreak/>
        <w:t xml:space="preserve">Wiggins, S. &amp; Riley, S. (2010). QM1: Discourse analysis. In M. A. Forrester (Ed.), </w:t>
      </w:r>
      <w:r w:rsidRPr="00103A0B">
        <w:rPr>
          <w:rFonts w:ascii="Arial" w:hAnsi="Arial" w:cs="Arial"/>
          <w:i/>
          <w:iCs/>
          <w:noProof/>
          <w:sz w:val="24"/>
          <w:szCs w:val="24"/>
        </w:rPr>
        <w:t>Doing qualitative research in psychology: a practical guide</w:t>
      </w:r>
      <w:r w:rsidRPr="00103A0B">
        <w:rPr>
          <w:rFonts w:ascii="Arial" w:hAnsi="Arial" w:cs="Arial"/>
          <w:noProof/>
          <w:sz w:val="24"/>
          <w:szCs w:val="24"/>
        </w:rPr>
        <w:t xml:space="preserve"> (pp. 135–153). SAGE Publications Ltd.</w:t>
      </w:r>
    </w:p>
    <w:p w14:paraId="0E82622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Wilkinson, S. (2015). Focus groups. In J. A. Smith (Ed.), </w:t>
      </w:r>
      <w:r w:rsidRPr="00103A0B">
        <w:rPr>
          <w:rFonts w:ascii="Arial" w:hAnsi="Arial" w:cs="Arial"/>
          <w:i/>
          <w:iCs/>
          <w:noProof/>
          <w:sz w:val="24"/>
          <w:szCs w:val="24"/>
        </w:rPr>
        <w:t>Qualitative psychology: a practical guide to research methods</w:t>
      </w:r>
      <w:r w:rsidRPr="00103A0B">
        <w:rPr>
          <w:rFonts w:ascii="Arial" w:hAnsi="Arial" w:cs="Arial"/>
          <w:noProof/>
          <w:sz w:val="24"/>
          <w:szCs w:val="24"/>
        </w:rPr>
        <w:t xml:space="preserve"> (3rd ed., pp. 199–221). SAGE Publications Ltd.</w:t>
      </w:r>
    </w:p>
    <w:p w14:paraId="3AFBA5BE"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Willig, C. (2013). </w:t>
      </w:r>
      <w:r w:rsidRPr="00103A0B">
        <w:rPr>
          <w:rFonts w:ascii="Arial" w:hAnsi="Arial" w:cs="Arial"/>
          <w:i/>
          <w:iCs/>
          <w:noProof/>
          <w:sz w:val="24"/>
          <w:szCs w:val="24"/>
        </w:rPr>
        <w:t>Introducing qualitative research in psychology</w:t>
      </w:r>
      <w:r w:rsidRPr="00103A0B">
        <w:rPr>
          <w:rFonts w:ascii="Arial" w:hAnsi="Arial" w:cs="Arial"/>
          <w:noProof/>
          <w:sz w:val="24"/>
          <w:szCs w:val="24"/>
        </w:rPr>
        <w:t xml:space="preserve"> (3rd ed.). Open University Press.</w:t>
      </w:r>
    </w:p>
    <w:p w14:paraId="6312395F"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Woods-Giscombe, C. L., Gaylord, S. A., Li, Y., Brintz, C. E., Bangdiwala, S. I., Buse, J. B., Mann, J. D., Lynch, C., Phillips, P., Smith, S., Leniek, K., Young, L., Al-Barwani, S., Yoo, J. &amp; Faurot, K. (2019). A mixed-methods, randomized clinical trial to examine feasibility of a mindfulness-based stress management and diabetes risk reduction intervention for African Americans with prediabetes. </w:t>
      </w:r>
      <w:r w:rsidRPr="00103A0B">
        <w:rPr>
          <w:rFonts w:ascii="Arial" w:hAnsi="Arial" w:cs="Arial"/>
          <w:i/>
          <w:iCs/>
          <w:noProof/>
          <w:sz w:val="24"/>
          <w:szCs w:val="24"/>
        </w:rPr>
        <w:t>Evidence-Based Complementary and Alternative Medicine</w:t>
      </w:r>
      <w:r w:rsidRPr="00103A0B">
        <w:rPr>
          <w:rFonts w:ascii="Arial" w:hAnsi="Arial" w:cs="Arial"/>
          <w:noProof/>
          <w:sz w:val="24"/>
          <w:szCs w:val="24"/>
        </w:rPr>
        <w:t>, 1–16.</w:t>
      </w:r>
    </w:p>
    <w:p w14:paraId="4D2FD910"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World Health Organization. (2023). </w:t>
      </w:r>
      <w:r w:rsidRPr="00103A0B">
        <w:rPr>
          <w:rFonts w:ascii="Arial" w:hAnsi="Arial" w:cs="Arial"/>
          <w:i/>
          <w:iCs/>
          <w:noProof/>
          <w:sz w:val="24"/>
          <w:szCs w:val="24"/>
        </w:rPr>
        <w:t>Diabetes</w:t>
      </w:r>
      <w:r w:rsidRPr="00103A0B">
        <w:rPr>
          <w:rFonts w:ascii="Arial" w:hAnsi="Arial" w:cs="Arial"/>
          <w:noProof/>
          <w:sz w:val="24"/>
          <w:szCs w:val="24"/>
        </w:rPr>
        <w:t>. https://www.who.int/news-room/fact-sheets/detail/diabetes</w:t>
      </w:r>
    </w:p>
    <w:p w14:paraId="3FA715B3"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World Health Organization (WHO). (2016). </w:t>
      </w:r>
      <w:r w:rsidRPr="00103A0B">
        <w:rPr>
          <w:rFonts w:ascii="Arial" w:hAnsi="Arial" w:cs="Arial"/>
          <w:i/>
          <w:iCs/>
          <w:noProof/>
          <w:sz w:val="24"/>
          <w:szCs w:val="24"/>
        </w:rPr>
        <w:t>Global Report on Diabetes</w:t>
      </w:r>
      <w:r w:rsidRPr="00103A0B">
        <w:rPr>
          <w:rFonts w:ascii="Arial" w:hAnsi="Arial" w:cs="Arial"/>
          <w:noProof/>
          <w:sz w:val="24"/>
          <w:szCs w:val="24"/>
        </w:rPr>
        <w:t>. https://doi.org/ISBN 978 92 4 156525 7</w:t>
      </w:r>
    </w:p>
    <w:p w14:paraId="07F85A8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Yates, T., Davies, M., Gorley, T., Bull, F. &amp; Khunti, K. (2009). Effectiveness of a pragmatic education program designed to promote walking activity in individuals with impaired glucose tolerance. </w:t>
      </w:r>
      <w:r w:rsidRPr="00103A0B">
        <w:rPr>
          <w:rFonts w:ascii="Arial" w:hAnsi="Arial" w:cs="Arial"/>
          <w:i/>
          <w:iCs/>
          <w:noProof/>
          <w:sz w:val="24"/>
          <w:szCs w:val="24"/>
        </w:rPr>
        <w:t>Diabetes Care</w:t>
      </w:r>
      <w:r w:rsidRPr="00103A0B">
        <w:rPr>
          <w:rFonts w:ascii="Arial" w:hAnsi="Arial" w:cs="Arial"/>
          <w:noProof/>
          <w:sz w:val="24"/>
          <w:szCs w:val="24"/>
        </w:rPr>
        <w:t xml:space="preserve">, </w:t>
      </w:r>
      <w:r w:rsidRPr="00103A0B">
        <w:rPr>
          <w:rFonts w:ascii="Arial" w:hAnsi="Arial" w:cs="Arial"/>
          <w:i/>
          <w:iCs/>
          <w:noProof/>
          <w:sz w:val="24"/>
          <w:szCs w:val="24"/>
        </w:rPr>
        <w:t>32</w:t>
      </w:r>
      <w:r w:rsidRPr="00103A0B">
        <w:rPr>
          <w:rFonts w:ascii="Arial" w:hAnsi="Arial" w:cs="Arial"/>
          <w:noProof/>
          <w:sz w:val="24"/>
          <w:szCs w:val="24"/>
        </w:rPr>
        <w:t>, 1404–1410. https://doi.org/10.2337/dc09-0130.</w:t>
      </w:r>
    </w:p>
    <w:p w14:paraId="5DB5D976"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Yates, T., Edwardson, C. ., Henson, J., Gray, L. J., Ashra, N. B., Troughton, J., Khunti, K. &amp; Davies, M. J. (2017). Walking away from type 2 diabetes: a cluster randomised controlled trial. </w:t>
      </w:r>
      <w:r w:rsidRPr="00103A0B">
        <w:rPr>
          <w:rFonts w:ascii="Arial" w:hAnsi="Arial" w:cs="Arial"/>
          <w:i/>
          <w:iCs/>
          <w:noProof/>
          <w:sz w:val="24"/>
          <w:szCs w:val="24"/>
        </w:rPr>
        <w:t>Diabetic Medicine</w:t>
      </w:r>
      <w:r w:rsidRPr="00103A0B">
        <w:rPr>
          <w:rFonts w:ascii="Arial" w:hAnsi="Arial" w:cs="Arial"/>
          <w:noProof/>
          <w:sz w:val="24"/>
          <w:szCs w:val="24"/>
        </w:rPr>
        <w:t xml:space="preserve">, </w:t>
      </w:r>
      <w:r w:rsidRPr="00103A0B">
        <w:rPr>
          <w:rFonts w:ascii="Arial" w:hAnsi="Arial" w:cs="Arial"/>
          <w:i/>
          <w:iCs/>
          <w:noProof/>
          <w:sz w:val="24"/>
          <w:szCs w:val="24"/>
        </w:rPr>
        <w:t>34</w:t>
      </w:r>
      <w:r w:rsidRPr="00103A0B">
        <w:rPr>
          <w:rFonts w:ascii="Arial" w:hAnsi="Arial" w:cs="Arial"/>
          <w:noProof/>
          <w:sz w:val="24"/>
          <w:szCs w:val="24"/>
        </w:rPr>
        <w:t>(5), 698–707. https://doi.org/10.1017/CBO9781107415324.004</w:t>
      </w:r>
    </w:p>
    <w:p w14:paraId="24647DB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Yeh, M. C., Heo, M., Suchday, S., Wong, A., Poon, E., Liu, G. &amp; Wylie-Rosett, J. (2015). Translation of the diabetes prevention program for diabetes risk reduction in Chinese immigrants in New York city. </w:t>
      </w:r>
      <w:r w:rsidRPr="00103A0B">
        <w:rPr>
          <w:rFonts w:ascii="Arial" w:hAnsi="Arial" w:cs="Arial"/>
          <w:i/>
          <w:iCs/>
          <w:noProof/>
          <w:sz w:val="24"/>
          <w:szCs w:val="24"/>
        </w:rPr>
        <w:t>Diabetic Medicine</w:t>
      </w:r>
      <w:r w:rsidRPr="00103A0B">
        <w:rPr>
          <w:rFonts w:ascii="Arial" w:hAnsi="Arial" w:cs="Arial"/>
          <w:noProof/>
          <w:sz w:val="24"/>
          <w:szCs w:val="24"/>
        </w:rPr>
        <w:t xml:space="preserve">, </w:t>
      </w:r>
      <w:r w:rsidRPr="00103A0B">
        <w:rPr>
          <w:rFonts w:ascii="Arial" w:hAnsi="Arial" w:cs="Arial"/>
          <w:i/>
          <w:iCs/>
          <w:noProof/>
          <w:sz w:val="24"/>
          <w:szCs w:val="24"/>
        </w:rPr>
        <w:t>33</w:t>
      </w:r>
      <w:r w:rsidRPr="00103A0B">
        <w:rPr>
          <w:rFonts w:ascii="Arial" w:hAnsi="Arial" w:cs="Arial"/>
          <w:noProof/>
          <w:sz w:val="24"/>
          <w:szCs w:val="24"/>
        </w:rPr>
        <w:t>(4), 547–551. https://doi.org/10.1111/dme.12848</w:t>
      </w:r>
    </w:p>
    <w:p w14:paraId="3E372334"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Yohannes, A. M., Yalfani, A., Doherty, P. &amp; Bundy, C. (2007). Predictors of drop-out from an outpatient cardiac rehabilitation programme. </w:t>
      </w:r>
      <w:r w:rsidRPr="00103A0B">
        <w:rPr>
          <w:rFonts w:ascii="Arial" w:hAnsi="Arial" w:cs="Arial"/>
          <w:i/>
          <w:iCs/>
          <w:noProof/>
          <w:sz w:val="24"/>
          <w:szCs w:val="24"/>
        </w:rPr>
        <w:t>Clinical Rehabilitation</w:t>
      </w:r>
      <w:r w:rsidRPr="00103A0B">
        <w:rPr>
          <w:rFonts w:ascii="Arial" w:hAnsi="Arial" w:cs="Arial"/>
          <w:noProof/>
          <w:sz w:val="24"/>
          <w:szCs w:val="24"/>
        </w:rPr>
        <w:t xml:space="preserve">, </w:t>
      </w:r>
      <w:r w:rsidRPr="00103A0B">
        <w:rPr>
          <w:rFonts w:ascii="Arial" w:hAnsi="Arial" w:cs="Arial"/>
          <w:i/>
          <w:iCs/>
          <w:noProof/>
          <w:sz w:val="24"/>
          <w:szCs w:val="24"/>
        </w:rPr>
        <w:t>21</w:t>
      </w:r>
      <w:r w:rsidRPr="00103A0B">
        <w:rPr>
          <w:rFonts w:ascii="Arial" w:hAnsi="Arial" w:cs="Arial"/>
          <w:noProof/>
          <w:sz w:val="24"/>
          <w:szCs w:val="24"/>
        </w:rPr>
        <w:t>, 222–229.</w:t>
      </w:r>
    </w:p>
    <w:p w14:paraId="644E604C"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szCs w:val="24"/>
        </w:rPr>
      </w:pPr>
      <w:r w:rsidRPr="00103A0B">
        <w:rPr>
          <w:rFonts w:ascii="Arial" w:hAnsi="Arial" w:cs="Arial"/>
          <w:noProof/>
          <w:sz w:val="24"/>
          <w:szCs w:val="24"/>
        </w:rPr>
        <w:t xml:space="preserve">Zhu, L., She, Z. G., Cheng, X., Qin, J. J., Zhang, X. J., Cai, J., Lei, F., Wang, H., Xie, J., Wang, W., Li, H., Zhang, P., Song, X., Chen, X., Xiang, M., Zhang, C., Bai, L., Xiang, D., Chen, M. M., … Li, H. (2020). Association of blood glucose control and outcomes in patients with COVID-19 and pre-existing type 2 diabetes. </w:t>
      </w:r>
      <w:r w:rsidRPr="00103A0B">
        <w:rPr>
          <w:rFonts w:ascii="Arial" w:hAnsi="Arial" w:cs="Arial"/>
          <w:i/>
          <w:iCs/>
          <w:noProof/>
          <w:sz w:val="24"/>
          <w:szCs w:val="24"/>
        </w:rPr>
        <w:t>Cell Metabolism</w:t>
      </w:r>
      <w:r w:rsidRPr="00103A0B">
        <w:rPr>
          <w:rFonts w:ascii="Arial" w:hAnsi="Arial" w:cs="Arial"/>
          <w:noProof/>
          <w:sz w:val="24"/>
          <w:szCs w:val="24"/>
        </w:rPr>
        <w:t xml:space="preserve">, </w:t>
      </w:r>
      <w:r w:rsidRPr="00103A0B">
        <w:rPr>
          <w:rFonts w:ascii="Arial" w:hAnsi="Arial" w:cs="Arial"/>
          <w:i/>
          <w:iCs/>
          <w:noProof/>
          <w:sz w:val="24"/>
          <w:szCs w:val="24"/>
        </w:rPr>
        <w:t>31</w:t>
      </w:r>
      <w:r w:rsidRPr="00103A0B">
        <w:rPr>
          <w:rFonts w:ascii="Arial" w:hAnsi="Arial" w:cs="Arial"/>
          <w:noProof/>
          <w:sz w:val="24"/>
          <w:szCs w:val="24"/>
        </w:rPr>
        <w:t>, 1068–1077. https://doi.org/10.1016/j.cmet.2020.04.021</w:t>
      </w:r>
    </w:p>
    <w:p w14:paraId="2DD13EB8" w14:textId="77777777" w:rsidR="00591FE2" w:rsidRPr="00103A0B" w:rsidRDefault="00591FE2" w:rsidP="00573732">
      <w:pPr>
        <w:widowControl w:val="0"/>
        <w:autoSpaceDE w:val="0"/>
        <w:autoSpaceDN w:val="0"/>
        <w:adjustRightInd w:val="0"/>
        <w:spacing w:line="240" w:lineRule="auto"/>
        <w:ind w:left="480" w:hanging="480"/>
        <w:jc w:val="both"/>
        <w:rPr>
          <w:rFonts w:ascii="Arial" w:hAnsi="Arial" w:cs="Arial"/>
          <w:noProof/>
          <w:sz w:val="24"/>
        </w:rPr>
      </w:pPr>
      <w:r w:rsidRPr="00103A0B">
        <w:rPr>
          <w:rFonts w:ascii="Arial" w:hAnsi="Arial" w:cs="Arial"/>
          <w:noProof/>
          <w:sz w:val="24"/>
          <w:szCs w:val="24"/>
        </w:rPr>
        <w:t xml:space="preserve">Zigmont, V. A., Shoben, A. B., Kaye, G. L., Snow, R. J., Clinton, S. K., Harris, R. E. &amp; Olivo-Marston, S. E. (2018). An evaluation of reach for a work site implementation of the national diabetes prevention program focusing on diet and exercise. </w:t>
      </w:r>
      <w:r w:rsidRPr="00103A0B">
        <w:rPr>
          <w:rFonts w:ascii="Arial" w:hAnsi="Arial" w:cs="Arial"/>
          <w:i/>
          <w:iCs/>
          <w:noProof/>
          <w:sz w:val="24"/>
          <w:szCs w:val="24"/>
        </w:rPr>
        <w:t>American Journal of Health Promotion</w:t>
      </w:r>
      <w:r w:rsidRPr="00103A0B">
        <w:rPr>
          <w:rFonts w:ascii="Arial" w:hAnsi="Arial" w:cs="Arial"/>
          <w:noProof/>
          <w:sz w:val="24"/>
          <w:szCs w:val="24"/>
        </w:rPr>
        <w:t xml:space="preserve">, </w:t>
      </w:r>
      <w:r w:rsidRPr="00103A0B">
        <w:rPr>
          <w:rFonts w:ascii="Arial" w:hAnsi="Arial" w:cs="Arial"/>
          <w:i/>
          <w:iCs/>
          <w:noProof/>
          <w:sz w:val="24"/>
          <w:szCs w:val="24"/>
        </w:rPr>
        <w:t>32</w:t>
      </w:r>
      <w:r w:rsidRPr="00103A0B">
        <w:rPr>
          <w:rFonts w:ascii="Arial" w:hAnsi="Arial" w:cs="Arial"/>
          <w:noProof/>
          <w:sz w:val="24"/>
          <w:szCs w:val="24"/>
        </w:rPr>
        <w:t>(6), 1417–1424.</w:t>
      </w:r>
    </w:p>
    <w:p w14:paraId="24B2681B" w14:textId="268F9153" w:rsidR="001A70E7" w:rsidRPr="00103A0B" w:rsidRDefault="00062570" w:rsidP="00573732">
      <w:pPr>
        <w:jc w:val="both"/>
        <w:rPr>
          <w:rFonts w:ascii="Arial" w:hAnsi="Arial" w:cs="Arial"/>
          <w:sz w:val="24"/>
          <w:szCs w:val="24"/>
          <w:lang w:eastAsia="en-GB" w:bidi="en-US"/>
        </w:rPr>
        <w:sectPr w:rsidR="001A70E7" w:rsidRPr="00103A0B">
          <w:pgSz w:w="11906" w:h="16838"/>
          <w:pgMar w:top="1440" w:right="1440" w:bottom="1440" w:left="1440" w:header="708" w:footer="708" w:gutter="0"/>
          <w:cols w:space="708"/>
          <w:docGrid w:linePitch="360"/>
        </w:sectPr>
      </w:pPr>
      <w:r w:rsidRPr="00103A0B">
        <w:rPr>
          <w:rFonts w:ascii="Arial" w:hAnsi="Arial" w:cs="Arial"/>
          <w:sz w:val="24"/>
          <w:szCs w:val="24"/>
          <w:lang w:eastAsia="en-GB" w:bidi="en-US"/>
        </w:rPr>
        <w:fldChar w:fldCharType="end"/>
      </w:r>
    </w:p>
    <w:p w14:paraId="63752871" w14:textId="77777777" w:rsidR="00D23942" w:rsidRPr="00103A0B" w:rsidRDefault="00F24ADC" w:rsidP="00573732">
      <w:pPr>
        <w:pStyle w:val="Heading1"/>
        <w:keepNext/>
        <w:keepLines/>
        <w:numPr>
          <w:ilvl w:val="0"/>
          <w:numId w:val="0"/>
        </w:numPr>
        <w:rPr>
          <w:rFonts w:ascii="Arial" w:hAnsi="Arial" w:cs="Arial"/>
        </w:rPr>
      </w:pPr>
      <w:bookmarkStart w:id="422" w:name="_Toc151548345"/>
      <w:r w:rsidRPr="00103A0B">
        <w:rPr>
          <w:rFonts w:ascii="Arial" w:hAnsi="Arial" w:cs="Arial"/>
        </w:rPr>
        <w:lastRenderedPageBreak/>
        <w:t>Appendices</w:t>
      </w:r>
      <w:bookmarkEnd w:id="422"/>
    </w:p>
    <w:p w14:paraId="1071FE31" w14:textId="0D49CE1F" w:rsidR="00F07686" w:rsidRPr="00103A0B" w:rsidRDefault="00F07686" w:rsidP="00F07686">
      <w:pPr>
        <w:pStyle w:val="Heading1"/>
        <w:keepNext/>
        <w:keepLines/>
        <w:numPr>
          <w:ilvl w:val="0"/>
          <w:numId w:val="0"/>
        </w:numPr>
        <w:rPr>
          <w:rFonts w:ascii="Arial" w:hAnsi="Arial" w:cs="Arial"/>
        </w:rPr>
      </w:pPr>
      <w:bookmarkStart w:id="423" w:name="_Toc151548346"/>
      <w:r w:rsidRPr="00103A0B">
        <w:rPr>
          <w:rFonts w:ascii="Arial" w:hAnsi="Arial" w:cs="Arial"/>
          <w:bCs/>
          <w:sz w:val="28"/>
          <w:szCs w:val="28"/>
        </w:rPr>
        <w:t>Appendix 1: PRISMA checklist (Chapter 2)</w:t>
      </w:r>
      <w:bookmarkEnd w:id="423"/>
      <w:r w:rsidRPr="00103A0B">
        <w:rPr>
          <w:rFonts w:ascii="Arial" w:hAnsi="Arial" w:cs="Arial"/>
          <w:bCs/>
          <w:sz w:val="28"/>
          <w:szCs w:val="28"/>
        </w:rPr>
        <w:t xml:space="preserve"> </w:t>
      </w:r>
    </w:p>
    <w:p w14:paraId="572D022C" w14:textId="136B24DD" w:rsidR="00F07686" w:rsidRPr="00103A0B" w:rsidRDefault="00F07686" w:rsidP="00F07686">
      <w:pPr>
        <w:rPr>
          <w:lang w:bidi="en-US"/>
        </w:rPr>
      </w:pPr>
    </w:p>
    <w:p w14:paraId="4B6EB537" w14:textId="055D9BC1" w:rsidR="00F07686" w:rsidRPr="00103A0B" w:rsidRDefault="00F07686" w:rsidP="00F07686">
      <w:pPr>
        <w:rPr>
          <w:lang w:bidi="en-US"/>
        </w:rPr>
      </w:pPr>
      <w:r w:rsidRPr="00103A0B">
        <w:rPr>
          <w:noProof/>
        </w:rPr>
        <w:drawing>
          <wp:inline distT="0" distB="0" distL="0" distR="0" wp14:anchorId="732D0165" wp14:editId="590BBBA7">
            <wp:extent cx="7793892" cy="442912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27"/>
                    <a:srcRect l="17410" t="7645" r="18864" b="9787"/>
                    <a:stretch/>
                  </pic:blipFill>
                  <pic:spPr bwMode="auto">
                    <a:xfrm>
                      <a:off x="0" y="0"/>
                      <a:ext cx="7816882" cy="4442190"/>
                    </a:xfrm>
                    <a:prstGeom prst="rect">
                      <a:avLst/>
                    </a:prstGeom>
                    <a:ln>
                      <a:noFill/>
                    </a:ln>
                    <a:extLst>
                      <a:ext uri="{53640926-AAD7-44D8-BBD7-CCE9431645EC}">
                        <a14:shadowObscured xmlns:a14="http://schemas.microsoft.com/office/drawing/2010/main"/>
                      </a:ext>
                    </a:extLst>
                  </pic:spPr>
                </pic:pic>
              </a:graphicData>
            </a:graphic>
          </wp:inline>
        </w:drawing>
      </w:r>
    </w:p>
    <w:p w14:paraId="629C7417" w14:textId="68043F51" w:rsidR="00BA7C6A" w:rsidRPr="00103A0B" w:rsidRDefault="00F07686" w:rsidP="00BA7C6A">
      <w:pPr>
        <w:tabs>
          <w:tab w:val="left" w:pos="2700"/>
        </w:tabs>
        <w:sectPr w:rsidR="00BA7C6A" w:rsidRPr="00103A0B" w:rsidSect="001621A8">
          <w:pgSz w:w="16838" w:h="11906" w:orient="landscape"/>
          <w:pgMar w:top="1440" w:right="1440" w:bottom="1440" w:left="1440" w:header="709" w:footer="709" w:gutter="0"/>
          <w:cols w:space="708"/>
          <w:docGrid w:linePitch="360"/>
        </w:sectPr>
      </w:pPr>
      <w:r w:rsidRPr="00103A0B">
        <w:rPr>
          <w:noProof/>
        </w:rPr>
        <w:lastRenderedPageBreak/>
        <w:drawing>
          <wp:inline distT="0" distB="0" distL="0" distR="0" wp14:anchorId="05FDE6A3" wp14:editId="2EE39CB6">
            <wp:extent cx="7772400" cy="5659768"/>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rotWithShape="1">
                    <a:blip r:embed="rId28"/>
                    <a:srcRect l="17517" t="10512" r="18434" b="6537"/>
                    <a:stretch/>
                  </pic:blipFill>
                  <pic:spPr bwMode="auto">
                    <a:xfrm>
                      <a:off x="0" y="0"/>
                      <a:ext cx="7780243" cy="5665479"/>
                    </a:xfrm>
                    <a:prstGeom prst="rect">
                      <a:avLst/>
                    </a:prstGeom>
                    <a:ln>
                      <a:noFill/>
                    </a:ln>
                    <a:extLst>
                      <a:ext uri="{53640926-AAD7-44D8-BBD7-CCE9431645EC}">
                        <a14:shadowObscured xmlns:a14="http://schemas.microsoft.com/office/drawing/2010/main"/>
                      </a:ext>
                    </a:extLst>
                  </pic:spPr>
                </pic:pic>
              </a:graphicData>
            </a:graphic>
          </wp:inline>
        </w:drawing>
      </w:r>
      <w:r w:rsidR="00BA7C6A" w:rsidRPr="00103A0B">
        <w:tab/>
      </w:r>
    </w:p>
    <w:p w14:paraId="600FAF3A" w14:textId="056C651B" w:rsidR="009C03C2" w:rsidRPr="00103A0B" w:rsidRDefault="009C03C2" w:rsidP="00CD5919">
      <w:pPr>
        <w:jc w:val="both"/>
        <w:rPr>
          <w:rFonts w:ascii="Arial" w:hAnsi="Arial" w:cs="Arial"/>
          <w:b/>
          <w:bCs/>
          <w:sz w:val="28"/>
          <w:szCs w:val="28"/>
        </w:rPr>
      </w:pPr>
      <w:r w:rsidRPr="00103A0B">
        <w:rPr>
          <w:rFonts w:ascii="Arial" w:hAnsi="Arial" w:cs="Arial"/>
          <w:b/>
          <w:bCs/>
          <w:sz w:val="28"/>
          <w:szCs w:val="28"/>
        </w:rPr>
        <w:lastRenderedPageBreak/>
        <w:t xml:space="preserve">Appendix 2: </w:t>
      </w:r>
      <w:r w:rsidR="00523A39" w:rsidRPr="00103A0B">
        <w:rPr>
          <w:rFonts w:ascii="Arial" w:hAnsi="Arial" w:cs="Arial"/>
          <w:b/>
          <w:bCs/>
          <w:sz w:val="28"/>
          <w:szCs w:val="28"/>
        </w:rPr>
        <w:t>D</w:t>
      </w:r>
      <w:r w:rsidRPr="00103A0B">
        <w:rPr>
          <w:rFonts w:ascii="Arial" w:hAnsi="Arial" w:cs="Arial"/>
          <w:b/>
          <w:bCs/>
          <w:sz w:val="28"/>
          <w:szCs w:val="28"/>
        </w:rPr>
        <w:t xml:space="preserve">ata </w:t>
      </w:r>
      <w:r w:rsidR="00F064BD" w:rsidRPr="00103A0B">
        <w:rPr>
          <w:rFonts w:ascii="Arial" w:hAnsi="Arial" w:cs="Arial"/>
          <w:b/>
          <w:bCs/>
          <w:sz w:val="28"/>
          <w:szCs w:val="28"/>
        </w:rPr>
        <w:t>e</w:t>
      </w:r>
      <w:r w:rsidRPr="00103A0B">
        <w:rPr>
          <w:rFonts w:ascii="Arial" w:hAnsi="Arial" w:cs="Arial"/>
          <w:b/>
          <w:bCs/>
          <w:sz w:val="28"/>
          <w:szCs w:val="28"/>
        </w:rPr>
        <w:t xml:space="preserve">xtraction </w:t>
      </w:r>
      <w:r w:rsidR="00F064BD" w:rsidRPr="00103A0B">
        <w:rPr>
          <w:rFonts w:ascii="Arial" w:hAnsi="Arial" w:cs="Arial"/>
          <w:b/>
          <w:bCs/>
          <w:sz w:val="28"/>
          <w:szCs w:val="28"/>
        </w:rPr>
        <w:t>t</w:t>
      </w:r>
      <w:r w:rsidRPr="00103A0B">
        <w:rPr>
          <w:rFonts w:ascii="Arial" w:hAnsi="Arial" w:cs="Arial"/>
          <w:b/>
          <w:bCs/>
          <w:sz w:val="28"/>
          <w:szCs w:val="28"/>
        </w:rPr>
        <w:t xml:space="preserve">able </w:t>
      </w:r>
      <w:r w:rsidR="00F064BD" w:rsidRPr="00103A0B">
        <w:rPr>
          <w:rFonts w:ascii="Arial" w:hAnsi="Arial" w:cs="Arial"/>
          <w:b/>
          <w:bCs/>
          <w:sz w:val="28"/>
          <w:szCs w:val="28"/>
        </w:rPr>
        <w:t>(Chapter 2)</w:t>
      </w:r>
    </w:p>
    <w:p w14:paraId="146600AC" w14:textId="77777777" w:rsidR="009C03C2" w:rsidRPr="00103A0B" w:rsidRDefault="009C03C2" w:rsidP="00CD5919">
      <w:pPr>
        <w:jc w:val="both"/>
        <w:rPr>
          <w:lang w:eastAsia="en-GB" w:bidi="en-US"/>
        </w:rPr>
      </w:pPr>
    </w:p>
    <w:tbl>
      <w:tblPr>
        <w:tblStyle w:val="TableGrid"/>
        <w:tblW w:w="15593" w:type="dxa"/>
        <w:tblInd w:w="-459" w:type="dxa"/>
        <w:tblLook w:val="01E0" w:firstRow="1" w:lastRow="1" w:firstColumn="1" w:lastColumn="1" w:noHBand="0" w:noVBand="0"/>
      </w:tblPr>
      <w:tblGrid>
        <w:gridCol w:w="1231"/>
        <w:gridCol w:w="1284"/>
        <w:gridCol w:w="1285"/>
        <w:gridCol w:w="29"/>
        <w:gridCol w:w="2223"/>
        <w:gridCol w:w="1482"/>
        <w:gridCol w:w="2378"/>
        <w:gridCol w:w="1221"/>
        <w:gridCol w:w="1540"/>
        <w:gridCol w:w="1360"/>
        <w:gridCol w:w="1560"/>
      </w:tblGrid>
      <w:tr w:rsidR="005B43C1" w:rsidRPr="00103A0B" w14:paraId="1C7EFB6E" w14:textId="77777777" w:rsidTr="005B43C1">
        <w:trPr>
          <w:trHeight w:val="795"/>
          <w:tblHeader/>
        </w:trPr>
        <w:tc>
          <w:tcPr>
            <w:tcW w:w="1232" w:type="dxa"/>
          </w:tcPr>
          <w:p w14:paraId="35ECB5C2"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Author/s</w:t>
            </w:r>
          </w:p>
          <w:p w14:paraId="5505B662" w14:textId="77777777" w:rsidR="005B43C1" w:rsidRPr="00103A0B" w:rsidRDefault="005B43C1" w:rsidP="00CD5919">
            <w:pPr>
              <w:jc w:val="both"/>
              <w:rPr>
                <w:rFonts w:ascii="Arial" w:hAnsi="Arial" w:cs="Arial"/>
                <w:b/>
                <w:sz w:val="16"/>
                <w:szCs w:val="16"/>
              </w:rPr>
            </w:pPr>
          </w:p>
          <w:p w14:paraId="57329E73" w14:textId="77777777" w:rsidR="005B43C1" w:rsidRPr="00103A0B" w:rsidRDefault="005B43C1" w:rsidP="00CD5919">
            <w:pPr>
              <w:jc w:val="both"/>
              <w:rPr>
                <w:rFonts w:ascii="Arial" w:hAnsi="Arial" w:cs="Arial"/>
                <w:b/>
                <w:sz w:val="16"/>
                <w:szCs w:val="16"/>
              </w:rPr>
            </w:pPr>
          </w:p>
        </w:tc>
        <w:tc>
          <w:tcPr>
            <w:tcW w:w="1284" w:type="dxa"/>
          </w:tcPr>
          <w:p w14:paraId="4BF57B3E"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Country</w:t>
            </w:r>
          </w:p>
        </w:tc>
        <w:tc>
          <w:tcPr>
            <w:tcW w:w="1316" w:type="dxa"/>
            <w:gridSpan w:val="2"/>
          </w:tcPr>
          <w:p w14:paraId="2385CEB8"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 xml:space="preserve">Study Design/ Setting </w:t>
            </w:r>
          </w:p>
        </w:tc>
        <w:tc>
          <w:tcPr>
            <w:tcW w:w="2405" w:type="dxa"/>
          </w:tcPr>
          <w:p w14:paraId="5F583079"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Intervention &amp; Group component (size, frequency, content)</w:t>
            </w:r>
          </w:p>
        </w:tc>
        <w:tc>
          <w:tcPr>
            <w:tcW w:w="1560" w:type="dxa"/>
          </w:tcPr>
          <w:p w14:paraId="554884AC"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 xml:space="preserve">Length of follow up </w:t>
            </w:r>
          </w:p>
        </w:tc>
        <w:tc>
          <w:tcPr>
            <w:tcW w:w="2063" w:type="dxa"/>
          </w:tcPr>
          <w:p w14:paraId="5A1697D8"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Recruitment method</w:t>
            </w:r>
          </w:p>
        </w:tc>
        <w:tc>
          <w:tcPr>
            <w:tcW w:w="0" w:type="auto"/>
          </w:tcPr>
          <w:p w14:paraId="2FCC1FBF"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 xml:space="preserve">Sample (age, gender, ethnicity) </w:t>
            </w:r>
          </w:p>
        </w:tc>
        <w:tc>
          <w:tcPr>
            <w:tcW w:w="1588" w:type="dxa"/>
          </w:tcPr>
          <w:p w14:paraId="44EAB9E7"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Response rate (RR)</w:t>
            </w:r>
          </w:p>
        </w:tc>
        <w:tc>
          <w:tcPr>
            <w:tcW w:w="1360" w:type="dxa"/>
          </w:tcPr>
          <w:p w14:paraId="7BEAB2BF"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Uptake rate</w:t>
            </w:r>
          </w:p>
        </w:tc>
        <w:tc>
          <w:tcPr>
            <w:tcW w:w="1564" w:type="dxa"/>
          </w:tcPr>
          <w:p w14:paraId="75D855CD" w14:textId="77777777" w:rsidR="005B43C1" w:rsidRPr="00103A0B" w:rsidRDefault="005B43C1" w:rsidP="00CD5919">
            <w:pPr>
              <w:jc w:val="both"/>
              <w:rPr>
                <w:rFonts w:ascii="Arial" w:hAnsi="Arial" w:cs="Arial"/>
                <w:b/>
                <w:sz w:val="16"/>
                <w:szCs w:val="16"/>
              </w:rPr>
            </w:pPr>
            <w:r w:rsidRPr="00103A0B">
              <w:rPr>
                <w:rFonts w:ascii="Arial" w:hAnsi="Arial" w:cs="Arial"/>
                <w:b/>
                <w:sz w:val="16"/>
                <w:szCs w:val="16"/>
              </w:rPr>
              <w:t>Retention and/or Dropout rate (DO)</w:t>
            </w:r>
          </w:p>
        </w:tc>
      </w:tr>
      <w:tr w:rsidR="005B43C1" w:rsidRPr="00103A0B" w14:paraId="20A18154" w14:textId="77777777" w:rsidTr="00F07686">
        <w:trPr>
          <w:trHeight w:val="3317"/>
        </w:trPr>
        <w:tc>
          <w:tcPr>
            <w:tcW w:w="1232" w:type="dxa"/>
          </w:tcPr>
          <w:p w14:paraId="4E806840"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Aekplakorn</w:t>
            </w:r>
            <w:proofErr w:type="spellEnd"/>
            <w:r w:rsidRPr="00103A0B">
              <w:rPr>
                <w:rFonts w:ascii="Arial" w:hAnsi="Arial" w:cs="Arial"/>
                <w:sz w:val="16"/>
                <w:szCs w:val="16"/>
              </w:rPr>
              <w:t xml:space="preserve"> et al. (2019) </w:t>
            </w:r>
          </w:p>
        </w:tc>
        <w:tc>
          <w:tcPr>
            <w:tcW w:w="1284" w:type="dxa"/>
          </w:tcPr>
          <w:p w14:paraId="2F2C4F6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Thailand </w:t>
            </w:r>
          </w:p>
        </w:tc>
        <w:tc>
          <w:tcPr>
            <w:tcW w:w="1316" w:type="dxa"/>
            <w:gridSpan w:val="2"/>
          </w:tcPr>
          <w:p w14:paraId="51EF927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Matched-pair cluster randomized controlled </w:t>
            </w:r>
            <w:proofErr w:type="gramStart"/>
            <w:r w:rsidRPr="00103A0B">
              <w:rPr>
                <w:rFonts w:ascii="Arial" w:hAnsi="Arial" w:cs="Arial"/>
                <w:sz w:val="16"/>
                <w:szCs w:val="16"/>
              </w:rPr>
              <w:t>trial</w:t>
            </w:r>
            <w:proofErr w:type="gramEnd"/>
          </w:p>
          <w:p w14:paraId="6ED39E59" w14:textId="77777777" w:rsidR="005B43C1" w:rsidRPr="00103A0B" w:rsidRDefault="005B43C1" w:rsidP="00CD5919">
            <w:pPr>
              <w:jc w:val="both"/>
              <w:rPr>
                <w:rFonts w:ascii="Arial" w:hAnsi="Arial" w:cs="Arial"/>
                <w:sz w:val="16"/>
                <w:szCs w:val="16"/>
              </w:rPr>
            </w:pPr>
          </w:p>
          <w:p w14:paraId="476EAD7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Primary care units </w:t>
            </w:r>
          </w:p>
        </w:tc>
        <w:tc>
          <w:tcPr>
            <w:tcW w:w="2405" w:type="dxa"/>
          </w:tcPr>
          <w:p w14:paraId="7C01DF9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Size &amp; frequency: 3-day workshop followed by a half-day workshop once a month for 6 months. For following 18 months, P`s engaged in group activities every 2 months for a total of 6 sessions and every 3 months for the last 2 sessions. Content: topics covered included: smart food choices, spiritual and mindfulness, exercise and physical activity, weight management, and emotional management, </w:t>
            </w:r>
          </w:p>
          <w:p w14:paraId="6EEB5528" w14:textId="77777777" w:rsidR="005B43C1" w:rsidRPr="00103A0B" w:rsidRDefault="005B43C1" w:rsidP="00CD5919">
            <w:pPr>
              <w:jc w:val="both"/>
              <w:rPr>
                <w:rFonts w:ascii="Arial" w:hAnsi="Arial" w:cs="Arial"/>
                <w:sz w:val="16"/>
                <w:szCs w:val="16"/>
              </w:rPr>
            </w:pPr>
          </w:p>
          <w:p w14:paraId="552ECD7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tc>
        <w:tc>
          <w:tcPr>
            <w:tcW w:w="1560" w:type="dxa"/>
          </w:tcPr>
          <w:p w14:paraId="7F8CA09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post-intervention </w:t>
            </w:r>
          </w:p>
        </w:tc>
        <w:tc>
          <w:tcPr>
            <w:tcW w:w="2063" w:type="dxa"/>
          </w:tcPr>
          <w:p w14:paraId="50F9F60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Recruitment strategies included meeting with community leaders and village health volunteers to inform and recruit members. </w:t>
            </w:r>
          </w:p>
          <w:p w14:paraId="206072D7" w14:textId="77777777" w:rsidR="005B43C1" w:rsidRPr="00103A0B" w:rsidRDefault="005B43C1" w:rsidP="00CD5919">
            <w:pPr>
              <w:jc w:val="both"/>
              <w:rPr>
                <w:rFonts w:ascii="Arial" w:hAnsi="Arial" w:cs="Arial"/>
                <w:sz w:val="16"/>
                <w:szCs w:val="16"/>
              </w:rPr>
            </w:pPr>
          </w:p>
          <w:p w14:paraId="2F22651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Announcements/presentations </w:t>
            </w:r>
          </w:p>
        </w:tc>
        <w:tc>
          <w:tcPr>
            <w:tcW w:w="0" w:type="auto"/>
          </w:tcPr>
          <w:p w14:paraId="558D0C0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Age: mean age 50.9 (6.3) years </w:t>
            </w:r>
          </w:p>
          <w:p w14:paraId="1F135F3B" w14:textId="77777777" w:rsidR="005B43C1" w:rsidRPr="00103A0B" w:rsidRDefault="005B43C1" w:rsidP="00CD5919">
            <w:pPr>
              <w:jc w:val="both"/>
              <w:rPr>
                <w:rFonts w:ascii="Arial" w:hAnsi="Arial" w:cs="Arial"/>
                <w:sz w:val="16"/>
                <w:szCs w:val="16"/>
              </w:rPr>
            </w:pPr>
          </w:p>
          <w:p w14:paraId="4539297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Ethnicity: n/a</w:t>
            </w:r>
          </w:p>
          <w:p w14:paraId="3CF945BA" w14:textId="77777777" w:rsidR="005B43C1" w:rsidRPr="00103A0B" w:rsidRDefault="005B43C1" w:rsidP="00CD5919">
            <w:pPr>
              <w:jc w:val="both"/>
              <w:rPr>
                <w:rFonts w:ascii="Arial" w:hAnsi="Arial" w:cs="Arial"/>
                <w:sz w:val="16"/>
                <w:szCs w:val="16"/>
              </w:rPr>
            </w:pPr>
          </w:p>
          <w:p w14:paraId="41F4B59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Gender: majority female 809 (78.5%)</w:t>
            </w:r>
          </w:p>
        </w:tc>
        <w:tc>
          <w:tcPr>
            <w:tcW w:w="1588" w:type="dxa"/>
          </w:tcPr>
          <w:p w14:paraId="63E6D3C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295700B6" w14:textId="77777777" w:rsidR="005B43C1" w:rsidRPr="00103A0B" w:rsidRDefault="005B43C1" w:rsidP="00CD5919">
            <w:pPr>
              <w:jc w:val="both"/>
              <w:rPr>
                <w:rFonts w:ascii="Arial" w:eastAsia="Calibri" w:hAnsi="Arial" w:cs="Arial"/>
                <w:sz w:val="16"/>
                <w:szCs w:val="16"/>
              </w:rPr>
            </w:pPr>
            <w:r w:rsidRPr="00103A0B">
              <w:rPr>
                <w:rFonts w:ascii="Arial" w:eastAsia="Calibri" w:hAnsi="Arial" w:cs="Arial"/>
                <w:sz w:val="16"/>
                <w:szCs w:val="16"/>
              </w:rPr>
              <w:t xml:space="preserve">n/a </w:t>
            </w:r>
          </w:p>
        </w:tc>
        <w:tc>
          <w:tcPr>
            <w:tcW w:w="1564" w:type="dxa"/>
          </w:tcPr>
          <w:p w14:paraId="09C31F4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1903 individuals participated in the study (873 were in the control group and 1,030 in the intervention group).</w:t>
            </w:r>
          </w:p>
          <w:p w14:paraId="1D93ECD8" w14:textId="77777777" w:rsidR="005B43C1" w:rsidRPr="00103A0B" w:rsidRDefault="005B43C1" w:rsidP="00CD5919">
            <w:pPr>
              <w:jc w:val="both"/>
              <w:rPr>
                <w:rFonts w:ascii="Arial" w:hAnsi="Arial" w:cs="Arial"/>
                <w:sz w:val="16"/>
                <w:szCs w:val="16"/>
              </w:rPr>
            </w:pPr>
          </w:p>
          <w:p w14:paraId="4EF1CC3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At end of intervention, 111 P`s in the intervention dropped </w:t>
            </w:r>
            <w:proofErr w:type="gramStart"/>
            <w:r w:rsidRPr="00103A0B">
              <w:rPr>
                <w:rFonts w:ascii="Arial" w:hAnsi="Arial" w:cs="Arial"/>
                <w:sz w:val="16"/>
                <w:szCs w:val="16"/>
              </w:rPr>
              <w:t>out</w:t>
            </w:r>
            <w:proofErr w:type="gramEnd"/>
            <w:r w:rsidRPr="00103A0B">
              <w:rPr>
                <w:rFonts w:ascii="Arial" w:hAnsi="Arial" w:cs="Arial"/>
                <w:sz w:val="16"/>
                <w:szCs w:val="16"/>
              </w:rPr>
              <w:t xml:space="preserve"> </w:t>
            </w:r>
          </w:p>
          <w:p w14:paraId="2D347190" w14:textId="77777777" w:rsidR="005B43C1" w:rsidRPr="00103A0B" w:rsidRDefault="005B43C1" w:rsidP="00CD5919">
            <w:pPr>
              <w:jc w:val="both"/>
              <w:rPr>
                <w:rFonts w:ascii="Arial" w:hAnsi="Arial" w:cs="Arial"/>
                <w:sz w:val="16"/>
                <w:szCs w:val="16"/>
              </w:rPr>
            </w:pPr>
          </w:p>
          <w:p w14:paraId="4FF5666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Retention=89.22%</w:t>
            </w:r>
          </w:p>
          <w:p w14:paraId="2C6675C8" w14:textId="0E9C3008" w:rsidR="005B43C1" w:rsidRPr="00103A0B" w:rsidRDefault="005B43C1" w:rsidP="00CD5919">
            <w:pPr>
              <w:spacing w:before="240"/>
              <w:jc w:val="both"/>
              <w:rPr>
                <w:rFonts w:ascii="Arial" w:hAnsi="Arial" w:cs="Arial"/>
                <w:sz w:val="16"/>
                <w:szCs w:val="16"/>
              </w:rPr>
            </w:pPr>
            <w:r w:rsidRPr="00103A0B">
              <w:rPr>
                <w:rFonts w:ascii="Arial" w:hAnsi="Arial" w:cs="Arial"/>
                <w:sz w:val="16"/>
                <w:szCs w:val="16"/>
              </w:rPr>
              <w:t>DO=10.78%</w:t>
            </w:r>
          </w:p>
        </w:tc>
      </w:tr>
      <w:tr w:rsidR="005B43C1" w:rsidRPr="00103A0B" w14:paraId="6E54C9E6" w14:textId="77777777" w:rsidTr="00AF3B17">
        <w:trPr>
          <w:trHeight w:val="2447"/>
        </w:trPr>
        <w:tc>
          <w:tcPr>
            <w:tcW w:w="1232" w:type="dxa"/>
          </w:tcPr>
          <w:p w14:paraId="6EEB372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Almeida et al. (2010) </w:t>
            </w:r>
          </w:p>
          <w:p w14:paraId="50B09403" w14:textId="77777777" w:rsidR="005B43C1" w:rsidRPr="00103A0B" w:rsidRDefault="005B43C1" w:rsidP="00CD5919">
            <w:pPr>
              <w:jc w:val="both"/>
              <w:rPr>
                <w:rFonts w:ascii="Arial" w:hAnsi="Arial" w:cs="Arial"/>
                <w:sz w:val="16"/>
                <w:szCs w:val="16"/>
              </w:rPr>
            </w:pPr>
          </w:p>
          <w:p w14:paraId="212B08D7" w14:textId="77777777" w:rsidR="005B43C1" w:rsidRPr="00103A0B" w:rsidRDefault="005B43C1" w:rsidP="00CD5919">
            <w:pPr>
              <w:jc w:val="both"/>
              <w:rPr>
                <w:rFonts w:ascii="Arial" w:hAnsi="Arial" w:cs="Arial"/>
                <w:sz w:val="16"/>
                <w:szCs w:val="16"/>
              </w:rPr>
            </w:pPr>
          </w:p>
        </w:tc>
        <w:tc>
          <w:tcPr>
            <w:tcW w:w="1284" w:type="dxa"/>
          </w:tcPr>
          <w:p w14:paraId="0AFEDA1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USA-Colorado</w:t>
            </w:r>
          </w:p>
        </w:tc>
        <w:tc>
          <w:tcPr>
            <w:tcW w:w="1316" w:type="dxa"/>
            <w:gridSpan w:val="2"/>
          </w:tcPr>
          <w:p w14:paraId="6E01E18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Matched cohort longitudinal study </w:t>
            </w:r>
          </w:p>
          <w:p w14:paraId="5936AA59" w14:textId="77777777" w:rsidR="005B43C1" w:rsidRPr="00103A0B" w:rsidRDefault="005B43C1" w:rsidP="00CD5919">
            <w:pPr>
              <w:jc w:val="both"/>
              <w:rPr>
                <w:rFonts w:ascii="Arial" w:hAnsi="Arial" w:cs="Arial"/>
                <w:sz w:val="16"/>
                <w:szCs w:val="16"/>
              </w:rPr>
            </w:pPr>
          </w:p>
          <w:p w14:paraId="21320727" w14:textId="77777777" w:rsidR="005B43C1" w:rsidRPr="00103A0B" w:rsidRDefault="005B43C1" w:rsidP="00CD5919">
            <w:pPr>
              <w:jc w:val="both"/>
              <w:rPr>
                <w:rFonts w:ascii="Arial" w:eastAsia="Calibri" w:hAnsi="Arial" w:cs="Arial"/>
                <w:sz w:val="16"/>
                <w:szCs w:val="16"/>
              </w:rPr>
            </w:pPr>
            <w:r w:rsidRPr="00103A0B">
              <w:rPr>
                <w:rFonts w:ascii="Arial" w:eastAsia="Calibri" w:hAnsi="Arial" w:cs="Arial"/>
                <w:sz w:val="16"/>
                <w:szCs w:val="16"/>
              </w:rPr>
              <w:t>The Kaiser Permanente Colorado (KPCO)- integrated</w:t>
            </w:r>
          </w:p>
          <w:p w14:paraId="17492F73" w14:textId="77777777" w:rsidR="005B43C1" w:rsidRPr="00103A0B" w:rsidRDefault="005B43C1" w:rsidP="00CD5919">
            <w:pPr>
              <w:jc w:val="both"/>
              <w:rPr>
                <w:rFonts w:ascii="Arial" w:hAnsi="Arial" w:cs="Arial"/>
                <w:sz w:val="16"/>
                <w:szCs w:val="16"/>
              </w:rPr>
            </w:pPr>
            <w:r w:rsidRPr="00103A0B">
              <w:rPr>
                <w:rFonts w:ascii="Arial" w:eastAsia="Calibri" w:hAnsi="Arial" w:cs="Arial"/>
                <w:sz w:val="16"/>
                <w:szCs w:val="16"/>
              </w:rPr>
              <w:t>health care organization</w:t>
            </w:r>
          </w:p>
        </w:tc>
        <w:tc>
          <w:tcPr>
            <w:tcW w:w="2405" w:type="dxa"/>
          </w:tcPr>
          <w:p w14:paraId="6DADFEC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Size: approx. 10-20 P`s</w:t>
            </w:r>
          </w:p>
          <w:p w14:paraId="47150F3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Time: 90-minute session</w:t>
            </w:r>
          </w:p>
          <w:p w14:paraId="0DF647F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Frequency: 4-6 classes offered monthly from 04-05. </w:t>
            </w:r>
          </w:p>
          <w:p w14:paraId="3C32A58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Content: targeted personal action planning for healthful eating, physical activity, and weight management. Twelve months intervention. </w:t>
            </w:r>
          </w:p>
          <w:p w14:paraId="7E0599C9" w14:textId="77777777" w:rsidR="005B43C1" w:rsidRPr="00103A0B" w:rsidRDefault="005B43C1" w:rsidP="00CD5919">
            <w:pPr>
              <w:jc w:val="both"/>
              <w:rPr>
                <w:rFonts w:ascii="Arial" w:hAnsi="Arial" w:cs="Arial"/>
                <w:sz w:val="16"/>
                <w:szCs w:val="16"/>
              </w:rPr>
            </w:pPr>
          </w:p>
          <w:p w14:paraId="37E9C17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tc>
        <w:tc>
          <w:tcPr>
            <w:tcW w:w="1560" w:type="dxa"/>
          </w:tcPr>
          <w:p w14:paraId="1DB089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post-intervention </w:t>
            </w:r>
          </w:p>
        </w:tc>
        <w:tc>
          <w:tcPr>
            <w:tcW w:w="2063" w:type="dxa"/>
          </w:tcPr>
          <w:p w14:paraId="1897594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Classes advertised through KPCOs magazine with all health promotion offerings, KPCOs website, doctor referrals and medical </w:t>
            </w:r>
            <w:proofErr w:type="gramStart"/>
            <w:r w:rsidRPr="00103A0B">
              <w:rPr>
                <w:rFonts w:ascii="Arial" w:hAnsi="Arial" w:cs="Arial"/>
                <w:sz w:val="16"/>
                <w:szCs w:val="16"/>
              </w:rPr>
              <w:t>records</w:t>
            </w:r>
            <w:proofErr w:type="gramEnd"/>
          </w:p>
          <w:p w14:paraId="0148BC9B" w14:textId="77777777" w:rsidR="005B43C1" w:rsidRPr="00103A0B" w:rsidRDefault="005B43C1" w:rsidP="00CD5919">
            <w:pPr>
              <w:jc w:val="both"/>
              <w:rPr>
                <w:rFonts w:ascii="Arial" w:hAnsi="Arial" w:cs="Arial"/>
                <w:sz w:val="16"/>
                <w:szCs w:val="16"/>
              </w:rPr>
            </w:pPr>
          </w:p>
          <w:p w14:paraId="5E78488B" w14:textId="77777777" w:rsidR="005B43C1" w:rsidRPr="00103A0B" w:rsidRDefault="005B43C1" w:rsidP="00CD5919">
            <w:pPr>
              <w:jc w:val="both"/>
              <w:rPr>
                <w:rFonts w:ascii="Arial" w:hAnsi="Arial" w:cs="Arial"/>
                <w:sz w:val="16"/>
                <w:szCs w:val="16"/>
              </w:rPr>
            </w:pPr>
          </w:p>
          <w:p w14:paraId="4783EC37" w14:textId="77777777" w:rsidR="005B43C1" w:rsidRPr="00103A0B" w:rsidRDefault="005B43C1" w:rsidP="00CD5919">
            <w:pPr>
              <w:jc w:val="both"/>
              <w:rPr>
                <w:rFonts w:ascii="Arial" w:hAnsi="Arial" w:cs="Arial"/>
                <w:sz w:val="16"/>
                <w:szCs w:val="16"/>
              </w:rPr>
            </w:pPr>
          </w:p>
          <w:p w14:paraId="2B09D89E" w14:textId="77777777" w:rsidR="005B43C1" w:rsidRPr="00103A0B" w:rsidRDefault="005B43C1" w:rsidP="00CD5919">
            <w:pPr>
              <w:jc w:val="both"/>
              <w:rPr>
                <w:rFonts w:ascii="Arial" w:hAnsi="Arial" w:cs="Arial"/>
                <w:sz w:val="16"/>
                <w:szCs w:val="16"/>
              </w:rPr>
            </w:pPr>
          </w:p>
          <w:p w14:paraId="33C7E8AF" w14:textId="77777777" w:rsidR="005B43C1" w:rsidRPr="00103A0B" w:rsidRDefault="005B43C1" w:rsidP="00CD5919">
            <w:pPr>
              <w:jc w:val="both"/>
              <w:rPr>
                <w:rFonts w:ascii="Arial" w:hAnsi="Arial" w:cs="Arial"/>
                <w:sz w:val="16"/>
                <w:szCs w:val="16"/>
              </w:rPr>
            </w:pPr>
          </w:p>
          <w:p w14:paraId="17365FC3" w14:textId="77777777" w:rsidR="005B43C1" w:rsidRPr="00103A0B" w:rsidRDefault="005B43C1" w:rsidP="00CD5919">
            <w:pPr>
              <w:jc w:val="both"/>
              <w:rPr>
                <w:rFonts w:ascii="Arial" w:hAnsi="Arial" w:cs="Arial"/>
                <w:sz w:val="16"/>
                <w:szCs w:val="16"/>
              </w:rPr>
            </w:pPr>
          </w:p>
          <w:p w14:paraId="1C047BAE" w14:textId="77777777" w:rsidR="005B43C1" w:rsidRPr="00103A0B" w:rsidRDefault="005B43C1" w:rsidP="00CD5919">
            <w:pPr>
              <w:jc w:val="both"/>
              <w:rPr>
                <w:rFonts w:ascii="Arial" w:hAnsi="Arial" w:cs="Arial"/>
                <w:sz w:val="16"/>
                <w:szCs w:val="16"/>
              </w:rPr>
            </w:pPr>
          </w:p>
          <w:p w14:paraId="730992C2" w14:textId="77777777" w:rsidR="005B43C1" w:rsidRPr="00103A0B" w:rsidRDefault="005B43C1" w:rsidP="00CD5919">
            <w:pPr>
              <w:jc w:val="both"/>
              <w:rPr>
                <w:rFonts w:ascii="Arial" w:hAnsi="Arial" w:cs="Arial"/>
                <w:sz w:val="16"/>
                <w:szCs w:val="16"/>
              </w:rPr>
            </w:pPr>
          </w:p>
        </w:tc>
        <w:tc>
          <w:tcPr>
            <w:tcW w:w="0" w:type="auto"/>
          </w:tcPr>
          <w:p w14:paraId="5150006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Age: Overall mean age is 63 </w:t>
            </w:r>
          </w:p>
          <w:p w14:paraId="052D61CB" w14:textId="77777777" w:rsidR="005B43C1" w:rsidRPr="00103A0B" w:rsidRDefault="005B43C1" w:rsidP="00CD5919">
            <w:pPr>
              <w:jc w:val="both"/>
              <w:rPr>
                <w:rFonts w:ascii="Arial" w:hAnsi="Arial" w:cs="Arial"/>
                <w:sz w:val="16"/>
                <w:szCs w:val="16"/>
              </w:rPr>
            </w:pPr>
          </w:p>
          <w:p w14:paraId="390D567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Gender: 53% Female</w:t>
            </w:r>
          </w:p>
          <w:p w14:paraId="4FBA7256" w14:textId="77777777" w:rsidR="005B43C1" w:rsidRPr="00103A0B" w:rsidRDefault="005B43C1" w:rsidP="00CD5919">
            <w:pPr>
              <w:jc w:val="both"/>
              <w:rPr>
                <w:rFonts w:ascii="Arial" w:hAnsi="Arial" w:cs="Arial"/>
                <w:sz w:val="16"/>
                <w:szCs w:val="16"/>
              </w:rPr>
            </w:pPr>
          </w:p>
          <w:p w14:paraId="3EC1310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not stated </w:t>
            </w:r>
          </w:p>
          <w:p w14:paraId="1483711A" w14:textId="77777777" w:rsidR="005B43C1" w:rsidRPr="00103A0B" w:rsidRDefault="005B43C1" w:rsidP="00CD5919">
            <w:pPr>
              <w:jc w:val="both"/>
              <w:rPr>
                <w:rFonts w:ascii="Arial" w:hAnsi="Arial" w:cs="Arial"/>
                <w:sz w:val="16"/>
                <w:szCs w:val="16"/>
              </w:rPr>
            </w:pPr>
          </w:p>
        </w:tc>
        <w:tc>
          <w:tcPr>
            <w:tcW w:w="1588" w:type="dxa"/>
          </w:tcPr>
          <w:p w14:paraId="1196C0D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n/a</w:t>
            </w:r>
          </w:p>
        </w:tc>
        <w:tc>
          <w:tcPr>
            <w:tcW w:w="1360" w:type="dxa"/>
          </w:tcPr>
          <w:p w14:paraId="5F7011FA" w14:textId="77777777" w:rsidR="005B43C1" w:rsidRPr="00103A0B" w:rsidRDefault="005B43C1" w:rsidP="00CD5919">
            <w:pPr>
              <w:jc w:val="both"/>
              <w:rPr>
                <w:rFonts w:ascii="Arial" w:eastAsia="Calibri" w:hAnsi="Arial" w:cs="Arial"/>
                <w:sz w:val="16"/>
                <w:szCs w:val="16"/>
              </w:rPr>
            </w:pPr>
            <w:r w:rsidRPr="00103A0B">
              <w:rPr>
                <w:rFonts w:ascii="Arial" w:eastAsia="Calibri" w:hAnsi="Arial" w:cs="Arial"/>
                <w:sz w:val="16"/>
                <w:szCs w:val="16"/>
              </w:rPr>
              <w:t xml:space="preserve">1030 attended diabetes </w:t>
            </w:r>
            <w:proofErr w:type="gramStart"/>
            <w:r w:rsidRPr="00103A0B">
              <w:rPr>
                <w:rFonts w:ascii="Arial" w:eastAsia="Calibri" w:hAnsi="Arial" w:cs="Arial"/>
                <w:sz w:val="16"/>
                <w:szCs w:val="16"/>
              </w:rPr>
              <w:t>class</w:t>
            </w:r>
            <w:proofErr w:type="gramEnd"/>
          </w:p>
          <w:p w14:paraId="696E8DEB" w14:textId="77777777" w:rsidR="005B43C1" w:rsidRPr="00103A0B" w:rsidRDefault="005B43C1" w:rsidP="00CD5919">
            <w:pPr>
              <w:jc w:val="both"/>
              <w:rPr>
                <w:rFonts w:ascii="Arial" w:eastAsia="Calibri" w:hAnsi="Arial" w:cs="Arial"/>
                <w:sz w:val="16"/>
                <w:szCs w:val="16"/>
              </w:rPr>
            </w:pPr>
          </w:p>
          <w:p w14:paraId="51475200" w14:textId="77777777" w:rsidR="005B43C1" w:rsidRPr="00103A0B" w:rsidRDefault="005B43C1" w:rsidP="00CD5919">
            <w:pPr>
              <w:jc w:val="both"/>
              <w:rPr>
                <w:rFonts w:ascii="Arial" w:eastAsia="Calibri" w:hAnsi="Arial" w:cs="Arial"/>
                <w:sz w:val="16"/>
                <w:szCs w:val="16"/>
              </w:rPr>
            </w:pPr>
            <w:r w:rsidRPr="00103A0B">
              <w:rPr>
                <w:rFonts w:ascii="Arial" w:eastAsia="Calibri" w:hAnsi="Arial" w:cs="Arial"/>
                <w:sz w:val="16"/>
                <w:szCs w:val="16"/>
              </w:rPr>
              <w:t xml:space="preserve">12,468 were eligible for the </w:t>
            </w:r>
            <w:proofErr w:type="gramStart"/>
            <w:r w:rsidRPr="00103A0B">
              <w:rPr>
                <w:rFonts w:ascii="Arial" w:eastAsia="Calibri" w:hAnsi="Arial" w:cs="Arial"/>
                <w:sz w:val="16"/>
                <w:szCs w:val="16"/>
              </w:rPr>
              <w:t>program</w:t>
            </w:r>
            <w:proofErr w:type="gramEnd"/>
          </w:p>
          <w:p w14:paraId="3821BDD7" w14:textId="77777777" w:rsidR="005B43C1" w:rsidRPr="00103A0B" w:rsidRDefault="005B43C1" w:rsidP="00CD5919">
            <w:pPr>
              <w:jc w:val="both"/>
              <w:rPr>
                <w:rFonts w:ascii="Arial" w:eastAsia="Calibri" w:hAnsi="Arial" w:cs="Arial"/>
                <w:sz w:val="16"/>
                <w:szCs w:val="16"/>
              </w:rPr>
            </w:pPr>
          </w:p>
          <w:p w14:paraId="017CB3E8" w14:textId="77777777" w:rsidR="005B43C1" w:rsidRPr="00103A0B" w:rsidRDefault="005B43C1" w:rsidP="00CD5919">
            <w:pPr>
              <w:jc w:val="both"/>
              <w:rPr>
                <w:rFonts w:ascii="Arial" w:hAnsi="Arial" w:cs="Arial"/>
                <w:sz w:val="16"/>
                <w:szCs w:val="16"/>
              </w:rPr>
            </w:pPr>
            <w:r w:rsidRPr="00103A0B">
              <w:rPr>
                <w:rFonts w:ascii="Arial" w:eastAsia="Calibri" w:hAnsi="Arial" w:cs="Arial"/>
                <w:sz w:val="16"/>
                <w:szCs w:val="16"/>
              </w:rPr>
              <w:t xml:space="preserve">Uptake= </w:t>
            </w:r>
            <w:r w:rsidRPr="00103A0B">
              <w:rPr>
                <w:rFonts w:ascii="Arial" w:hAnsi="Arial" w:cs="Arial"/>
                <w:sz w:val="16"/>
                <w:szCs w:val="16"/>
              </w:rPr>
              <w:t>8.26%</w:t>
            </w:r>
          </w:p>
          <w:p w14:paraId="280E73BF" w14:textId="77777777" w:rsidR="005B43C1" w:rsidRPr="00103A0B" w:rsidRDefault="005B43C1" w:rsidP="00CD5919">
            <w:pPr>
              <w:jc w:val="both"/>
              <w:rPr>
                <w:rFonts w:ascii="Arial" w:hAnsi="Arial" w:cs="Arial"/>
                <w:sz w:val="16"/>
                <w:szCs w:val="16"/>
              </w:rPr>
            </w:pPr>
          </w:p>
          <w:p w14:paraId="4D7B1D29" w14:textId="77777777" w:rsidR="005B43C1" w:rsidRPr="00103A0B" w:rsidRDefault="005B43C1" w:rsidP="00CD5919">
            <w:pPr>
              <w:jc w:val="both"/>
              <w:rPr>
                <w:rFonts w:ascii="Arial" w:hAnsi="Arial" w:cs="Arial"/>
                <w:sz w:val="16"/>
                <w:szCs w:val="16"/>
              </w:rPr>
            </w:pPr>
          </w:p>
        </w:tc>
        <w:tc>
          <w:tcPr>
            <w:tcW w:w="1564" w:type="dxa"/>
          </w:tcPr>
          <w:p w14:paraId="071A8AC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p w14:paraId="204A73B2" w14:textId="77777777" w:rsidR="005B43C1" w:rsidRPr="00103A0B" w:rsidRDefault="005B43C1" w:rsidP="00CD5919">
            <w:pPr>
              <w:jc w:val="both"/>
              <w:rPr>
                <w:rFonts w:ascii="Arial" w:hAnsi="Arial" w:cs="Arial"/>
                <w:sz w:val="16"/>
                <w:szCs w:val="16"/>
              </w:rPr>
            </w:pPr>
          </w:p>
          <w:p w14:paraId="63453C1E" w14:textId="77777777" w:rsidR="005B43C1" w:rsidRPr="00103A0B" w:rsidRDefault="005B43C1" w:rsidP="00CD5919">
            <w:pPr>
              <w:jc w:val="both"/>
              <w:rPr>
                <w:rFonts w:ascii="Arial" w:hAnsi="Arial" w:cs="Arial"/>
                <w:sz w:val="16"/>
                <w:szCs w:val="16"/>
              </w:rPr>
            </w:pPr>
          </w:p>
          <w:p w14:paraId="72203D89" w14:textId="77777777" w:rsidR="005B43C1" w:rsidRPr="00103A0B" w:rsidRDefault="005B43C1" w:rsidP="00CD5919">
            <w:pPr>
              <w:jc w:val="both"/>
              <w:rPr>
                <w:rFonts w:ascii="Arial" w:hAnsi="Arial" w:cs="Arial"/>
                <w:sz w:val="16"/>
                <w:szCs w:val="16"/>
              </w:rPr>
            </w:pPr>
          </w:p>
          <w:p w14:paraId="59E5AD86" w14:textId="77777777" w:rsidR="005B43C1" w:rsidRPr="00103A0B" w:rsidRDefault="005B43C1" w:rsidP="00CD5919">
            <w:pPr>
              <w:jc w:val="both"/>
              <w:rPr>
                <w:rFonts w:ascii="Arial" w:hAnsi="Arial" w:cs="Arial"/>
                <w:sz w:val="16"/>
                <w:szCs w:val="16"/>
              </w:rPr>
            </w:pPr>
          </w:p>
          <w:p w14:paraId="5B3ED827" w14:textId="77777777" w:rsidR="005B43C1" w:rsidRPr="00103A0B" w:rsidRDefault="005B43C1" w:rsidP="00CD5919">
            <w:pPr>
              <w:jc w:val="both"/>
              <w:rPr>
                <w:rFonts w:ascii="Arial" w:hAnsi="Arial" w:cs="Arial"/>
                <w:sz w:val="16"/>
                <w:szCs w:val="16"/>
              </w:rPr>
            </w:pPr>
          </w:p>
          <w:p w14:paraId="14F72E48" w14:textId="77777777" w:rsidR="005B43C1" w:rsidRPr="00103A0B" w:rsidRDefault="005B43C1" w:rsidP="00CD5919">
            <w:pPr>
              <w:jc w:val="both"/>
              <w:rPr>
                <w:rFonts w:ascii="Arial" w:hAnsi="Arial" w:cs="Arial"/>
                <w:sz w:val="16"/>
                <w:szCs w:val="16"/>
              </w:rPr>
            </w:pPr>
          </w:p>
          <w:p w14:paraId="69B73906" w14:textId="77777777" w:rsidR="005B43C1" w:rsidRPr="00103A0B" w:rsidRDefault="005B43C1" w:rsidP="00CD5919">
            <w:pPr>
              <w:jc w:val="both"/>
              <w:rPr>
                <w:rFonts w:ascii="Arial" w:hAnsi="Arial" w:cs="Arial"/>
                <w:sz w:val="16"/>
                <w:szCs w:val="16"/>
              </w:rPr>
            </w:pPr>
          </w:p>
          <w:p w14:paraId="35139637" w14:textId="77777777" w:rsidR="005B43C1" w:rsidRPr="00103A0B" w:rsidRDefault="005B43C1" w:rsidP="00CD5919">
            <w:pPr>
              <w:jc w:val="both"/>
              <w:rPr>
                <w:rFonts w:ascii="Arial" w:hAnsi="Arial" w:cs="Arial"/>
                <w:sz w:val="16"/>
                <w:szCs w:val="16"/>
              </w:rPr>
            </w:pPr>
          </w:p>
          <w:p w14:paraId="4B767932" w14:textId="77777777" w:rsidR="005B43C1" w:rsidRPr="00103A0B" w:rsidRDefault="005B43C1" w:rsidP="00CD5919">
            <w:pPr>
              <w:jc w:val="both"/>
              <w:rPr>
                <w:rFonts w:ascii="Arial" w:hAnsi="Arial" w:cs="Arial"/>
                <w:sz w:val="16"/>
                <w:szCs w:val="16"/>
              </w:rPr>
            </w:pPr>
          </w:p>
          <w:p w14:paraId="1B145C5E" w14:textId="77777777" w:rsidR="005B43C1" w:rsidRPr="00103A0B" w:rsidRDefault="005B43C1" w:rsidP="00CD5919">
            <w:pPr>
              <w:jc w:val="both"/>
              <w:rPr>
                <w:rFonts w:ascii="Arial" w:hAnsi="Arial" w:cs="Arial"/>
                <w:sz w:val="16"/>
                <w:szCs w:val="16"/>
              </w:rPr>
            </w:pPr>
          </w:p>
          <w:p w14:paraId="77283685" w14:textId="77777777" w:rsidR="005B43C1" w:rsidRPr="00103A0B" w:rsidRDefault="005B43C1" w:rsidP="00CD5919">
            <w:pPr>
              <w:jc w:val="both"/>
              <w:rPr>
                <w:rFonts w:ascii="Arial" w:hAnsi="Arial" w:cs="Arial"/>
                <w:sz w:val="16"/>
                <w:szCs w:val="16"/>
              </w:rPr>
            </w:pPr>
          </w:p>
        </w:tc>
      </w:tr>
      <w:tr w:rsidR="005B43C1" w:rsidRPr="00103A0B" w14:paraId="75B3A133" w14:textId="77777777" w:rsidTr="00AF3B17">
        <w:trPr>
          <w:trHeight w:val="2909"/>
        </w:trPr>
        <w:tc>
          <w:tcPr>
            <w:tcW w:w="1232" w:type="dxa"/>
          </w:tcPr>
          <w:p w14:paraId="45D2628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Alva (2019)</w:t>
            </w:r>
          </w:p>
          <w:p w14:paraId="331ADD7D" w14:textId="77777777" w:rsidR="005B43C1" w:rsidRPr="00103A0B" w:rsidRDefault="005B43C1" w:rsidP="00CD5919">
            <w:pPr>
              <w:jc w:val="both"/>
              <w:rPr>
                <w:rFonts w:ascii="Arial" w:hAnsi="Arial" w:cs="Arial"/>
                <w:sz w:val="16"/>
                <w:szCs w:val="16"/>
              </w:rPr>
            </w:pPr>
          </w:p>
          <w:p w14:paraId="28AFD55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(Alva et al, 2017)</w:t>
            </w:r>
          </w:p>
        </w:tc>
        <w:tc>
          <w:tcPr>
            <w:tcW w:w="1284" w:type="dxa"/>
          </w:tcPr>
          <w:p w14:paraId="7C97FE4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USA </w:t>
            </w:r>
          </w:p>
        </w:tc>
        <w:tc>
          <w:tcPr>
            <w:tcW w:w="1316" w:type="dxa"/>
            <w:gridSpan w:val="2"/>
          </w:tcPr>
          <w:p w14:paraId="6E04142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Community-based-17 participating YMCAs across the nation</w:t>
            </w:r>
          </w:p>
        </w:tc>
        <w:tc>
          <w:tcPr>
            <w:tcW w:w="2405" w:type="dxa"/>
          </w:tcPr>
          <w:p w14:paraId="2D854AD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Time &amp; frequency: 24 1-hour sessions over 12 months (16 weekly core sessions, then 8 monthly maintenance sessions). </w:t>
            </w:r>
          </w:p>
          <w:p w14:paraId="6D9623D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Content: core sessions were about healthful eating, physical activity, and motivation, P`s received continued support and focus on maintaining lifestyle changes during maintenance sessions</w:t>
            </w:r>
          </w:p>
          <w:p w14:paraId="33EA500B" w14:textId="77777777" w:rsidR="005B43C1" w:rsidRPr="00103A0B" w:rsidRDefault="005B43C1" w:rsidP="00CD5919">
            <w:pPr>
              <w:jc w:val="both"/>
              <w:rPr>
                <w:rFonts w:ascii="Arial" w:hAnsi="Arial" w:cs="Arial"/>
                <w:sz w:val="16"/>
                <w:szCs w:val="16"/>
              </w:rPr>
            </w:pPr>
          </w:p>
          <w:p w14:paraId="3F0D749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tc>
        <w:tc>
          <w:tcPr>
            <w:tcW w:w="1560" w:type="dxa"/>
          </w:tcPr>
          <w:p w14:paraId="023D85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0D36E9B3"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Centers</w:t>
            </w:r>
            <w:proofErr w:type="spellEnd"/>
            <w:r w:rsidRPr="00103A0B">
              <w:rPr>
                <w:rFonts w:ascii="Arial" w:hAnsi="Arial" w:cs="Arial"/>
                <w:sz w:val="16"/>
                <w:szCs w:val="16"/>
              </w:rPr>
              <w:t xml:space="preserve"> for Medicare and Medicaid Services funded YMCA to provide a DPP to Medicare </w:t>
            </w:r>
            <w:proofErr w:type="gramStart"/>
            <w:r w:rsidRPr="00103A0B">
              <w:rPr>
                <w:rFonts w:ascii="Arial" w:hAnsi="Arial" w:cs="Arial"/>
                <w:sz w:val="16"/>
                <w:szCs w:val="16"/>
              </w:rPr>
              <w:t>beneficiaries</w:t>
            </w:r>
            <w:proofErr w:type="gramEnd"/>
          </w:p>
          <w:p w14:paraId="0EB030FB" w14:textId="77777777" w:rsidR="005B43C1" w:rsidRPr="00103A0B" w:rsidRDefault="005B43C1" w:rsidP="00CD5919">
            <w:pPr>
              <w:jc w:val="both"/>
              <w:rPr>
                <w:rFonts w:ascii="Arial" w:hAnsi="Arial" w:cs="Arial"/>
                <w:sz w:val="16"/>
                <w:szCs w:val="16"/>
              </w:rPr>
            </w:pPr>
          </w:p>
          <w:p w14:paraId="1853B31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Referrals/medical records </w:t>
            </w:r>
          </w:p>
        </w:tc>
        <w:tc>
          <w:tcPr>
            <w:tcW w:w="0" w:type="auto"/>
          </w:tcPr>
          <w:p w14:paraId="5E0A408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age 69 (SD 4) years,</w:t>
            </w:r>
          </w:p>
          <w:p w14:paraId="4A59471A" w14:textId="77777777" w:rsidR="005B43C1" w:rsidRPr="00103A0B" w:rsidRDefault="005B43C1" w:rsidP="00CD5919">
            <w:pPr>
              <w:jc w:val="both"/>
              <w:rPr>
                <w:rFonts w:ascii="Arial" w:hAnsi="Arial" w:cs="Arial"/>
                <w:sz w:val="16"/>
                <w:szCs w:val="16"/>
              </w:rPr>
            </w:pPr>
          </w:p>
          <w:p w14:paraId="5E09957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predominantly female (79%) </w:t>
            </w:r>
          </w:p>
          <w:p w14:paraId="30B730EC" w14:textId="77777777" w:rsidR="005B43C1" w:rsidRPr="00103A0B" w:rsidRDefault="005B43C1" w:rsidP="00CD5919">
            <w:pPr>
              <w:jc w:val="both"/>
              <w:rPr>
                <w:rFonts w:ascii="Arial" w:hAnsi="Arial" w:cs="Arial"/>
                <w:sz w:val="16"/>
                <w:szCs w:val="16"/>
              </w:rPr>
            </w:pPr>
          </w:p>
          <w:p w14:paraId="7EDCA6E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Ethnicity: majority white (82%).</w:t>
            </w:r>
          </w:p>
          <w:p w14:paraId="71FBA53C" w14:textId="77777777" w:rsidR="005B43C1" w:rsidRPr="00103A0B" w:rsidRDefault="005B43C1" w:rsidP="00CD5919">
            <w:pPr>
              <w:jc w:val="both"/>
              <w:rPr>
                <w:rFonts w:ascii="Arial" w:hAnsi="Arial" w:cs="Arial"/>
                <w:sz w:val="16"/>
                <w:szCs w:val="16"/>
              </w:rPr>
            </w:pPr>
          </w:p>
        </w:tc>
        <w:tc>
          <w:tcPr>
            <w:tcW w:w="1588" w:type="dxa"/>
          </w:tcPr>
          <w:p w14:paraId="5DFEED5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tc>
        <w:tc>
          <w:tcPr>
            <w:tcW w:w="1360" w:type="dxa"/>
          </w:tcPr>
          <w:p w14:paraId="17E46798" w14:textId="77777777" w:rsidR="005B43C1" w:rsidRPr="00103A0B" w:rsidRDefault="005B43C1" w:rsidP="00CD5919">
            <w:pPr>
              <w:jc w:val="both"/>
              <w:rPr>
                <w:rFonts w:ascii="Arial" w:eastAsia="Calibri" w:hAnsi="Arial" w:cs="Arial"/>
                <w:sz w:val="16"/>
                <w:szCs w:val="16"/>
              </w:rPr>
            </w:pPr>
            <w:r w:rsidRPr="00103A0B">
              <w:rPr>
                <w:rFonts w:ascii="Arial" w:eastAsia="Calibri" w:hAnsi="Arial" w:cs="Arial"/>
                <w:sz w:val="16"/>
                <w:szCs w:val="16"/>
              </w:rPr>
              <w:t xml:space="preserve">n/a </w:t>
            </w:r>
          </w:p>
        </w:tc>
        <w:tc>
          <w:tcPr>
            <w:tcW w:w="1564" w:type="dxa"/>
          </w:tcPr>
          <w:p w14:paraId="3066FA2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3317 P`s started &amp; 1764 completed (16 or more sessions) </w:t>
            </w:r>
          </w:p>
          <w:p w14:paraId="79976C07" w14:textId="77777777" w:rsidR="005B43C1" w:rsidRPr="00103A0B" w:rsidRDefault="005B43C1" w:rsidP="00CD5919">
            <w:pPr>
              <w:jc w:val="both"/>
              <w:rPr>
                <w:rFonts w:ascii="Arial" w:hAnsi="Arial" w:cs="Arial"/>
                <w:sz w:val="16"/>
                <w:szCs w:val="16"/>
              </w:rPr>
            </w:pPr>
          </w:p>
          <w:p w14:paraId="41183BC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Retention=53.18% </w:t>
            </w:r>
          </w:p>
          <w:p w14:paraId="59BA4F95" w14:textId="77777777" w:rsidR="005B43C1" w:rsidRPr="00103A0B" w:rsidRDefault="005B43C1" w:rsidP="00CD5919">
            <w:pPr>
              <w:jc w:val="both"/>
              <w:rPr>
                <w:rFonts w:ascii="Arial" w:hAnsi="Arial" w:cs="Arial"/>
                <w:sz w:val="16"/>
                <w:szCs w:val="16"/>
              </w:rPr>
            </w:pPr>
          </w:p>
          <w:p w14:paraId="5B8BDE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DO= 46.82%</w:t>
            </w:r>
          </w:p>
        </w:tc>
      </w:tr>
      <w:tr w:rsidR="005B43C1" w:rsidRPr="00103A0B" w14:paraId="2B9D4EF4" w14:textId="77777777" w:rsidTr="00AF3B17">
        <w:trPr>
          <w:trHeight w:val="2533"/>
        </w:trPr>
        <w:tc>
          <w:tcPr>
            <w:tcW w:w="1232" w:type="dxa"/>
          </w:tcPr>
          <w:p w14:paraId="073C09C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Bernstein et al. (2014)  </w:t>
            </w:r>
          </w:p>
          <w:p w14:paraId="254EFE11" w14:textId="77777777" w:rsidR="005B43C1" w:rsidRPr="00103A0B" w:rsidRDefault="005B43C1" w:rsidP="00CD5919">
            <w:pPr>
              <w:jc w:val="both"/>
              <w:rPr>
                <w:rFonts w:ascii="Arial" w:hAnsi="Arial" w:cs="Arial"/>
                <w:sz w:val="16"/>
                <w:szCs w:val="16"/>
              </w:rPr>
            </w:pPr>
          </w:p>
          <w:p w14:paraId="62759A8E" w14:textId="77777777" w:rsidR="005B43C1" w:rsidRPr="00103A0B" w:rsidRDefault="005B43C1" w:rsidP="00CD5919">
            <w:pPr>
              <w:jc w:val="both"/>
              <w:rPr>
                <w:rFonts w:ascii="Arial" w:hAnsi="Arial" w:cs="Arial"/>
                <w:sz w:val="16"/>
                <w:szCs w:val="16"/>
              </w:rPr>
            </w:pPr>
          </w:p>
          <w:p w14:paraId="54B72542" w14:textId="77777777" w:rsidR="005B43C1" w:rsidRPr="00103A0B" w:rsidRDefault="005B43C1" w:rsidP="00CD5919">
            <w:pPr>
              <w:jc w:val="both"/>
              <w:rPr>
                <w:rFonts w:ascii="Arial" w:hAnsi="Arial" w:cs="Arial"/>
                <w:sz w:val="16"/>
                <w:szCs w:val="16"/>
              </w:rPr>
            </w:pPr>
          </w:p>
        </w:tc>
        <w:tc>
          <w:tcPr>
            <w:tcW w:w="1284" w:type="dxa"/>
          </w:tcPr>
          <w:p w14:paraId="111D2F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USA-Cleveland</w:t>
            </w:r>
          </w:p>
        </w:tc>
        <w:tc>
          <w:tcPr>
            <w:tcW w:w="1316" w:type="dxa"/>
            <w:gridSpan w:val="2"/>
          </w:tcPr>
          <w:p w14:paraId="27B3B86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Pilot parallel randomized controlled trial.</w:t>
            </w:r>
          </w:p>
          <w:p w14:paraId="34B754FD" w14:textId="77777777" w:rsidR="005B43C1" w:rsidRPr="00103A0B" w:rsidRDefault="005B43C1" w:rsidP="00CD5919">
            <w:pPr>
              <w:jc w:val="both"/>
              <w:rPr>
                <w:rFonts w:ascii="Arial" w:hAnsi="Arial" w:cs="Arial"/>
                <w:sz w:val="16"/>
                <w:szCs w:val="16"/>
              </w:rPr>
            </w:pPr>
          </w:p>
          <w:p w14:paraId="78443F8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Family health centre </w:t>
            </w:r>
          </w:p>
        </w:tc>
        <w:tc>
          <w:tcPr>
            <w:tcW w:w="2405" w:type="dxa"/>
          </w:tcPr>
          <w:p w14:paraId="6D4530A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Time &amp; Frequency: 6-week program, P`s met for 1.5 hours each week. </w:t>
            </w:r>
          </w:p>
          <w:p w14:paraId="126822A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Content: Every other week, P`s had either nutrition education and cooking, or exercise and behavioural therapy</w:t>
            </w:r>
          </w:p>
          <w:p w14:paraId="40062C1F" w14:textId="77777777" w:rsidR="005B43C1" w:rsidRPr="00103A0B" w:rsidRDefault="005B43C1" w:rsidP="00CD5919">
            <w:pPr>
              <w:jc w:val="both"/>
              <w:rPr>
                <w:rFonts w:ascii="Arial" w:hAnsi="Arial" w:cs="Arial"/>
                <w:sz w:val="16"/>
                <w:szCs w:val="16"/>
              </w:rPr>
            </w:pPr>
          </w:p>
          <w:p w14:paraId="47D777B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tc>
        <w:tc>
          <w:tcPr>
            <w:tcW w:w="1560" w:type="dxa"/>
          </w:tcPr>
          <w:p w14:paraId="30190BF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4BEBC93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0" w:type="auto"/>
          </w:tcPr>
          <w:p w14:paraId="2F92D9F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At baseline (27 P`s): </w:t>
            </w:r>
          </w:p>
          <w:p w14:paraId="2FC16952" w14:textId="77777777" w:rsidR="005B43C1" w:rsidRPr="00103A0B" w:rsidRDefault="005B43C1" w:rsidP="00CD5919">
            <w:pPr>
              <w:jc w:val="both"/>
              <w:rPr>
                <w:rFonts w:ascii="Arial" w:hAnsi="Arial" w:cs="Arial"/>
                <w:sz w:val="16"/>
                <w:szCs w:val="16"/>
              </w:rPr>
            </w:pPr>
          </w:p>
          <w:p w14:paraId="29F2414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56 (10.4) years</w:t>
            </w:r>
          </w:p>
          <w:p w14:paraId="4DBF66D5" w14:textId="77777777" w:rsidR="005B43C1" w:rsidRPr="00103A0B" w:rsidRDefault="005B43C1" w:rsidP="00CD5919">
            <w:pPr>
              <w:jc w:val="both"/>
              <w:rPr>
                <w:rFonts w:ascii="Arial" w:hAnsi="Arial" w:cs="Arial"/>
                <w:sz w:val="16"/>
                <w:szCs w:val="16"/>
              </w:rPr>
            </w:pPr>
          </w:p>
          <w:p w14:paraId="42D8E70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Gender: all female</w:t>
            </w:r>
          </w:p>
          <w:p w14:paraId="1622BAE0" w14:textId="77777777" w:rsidR="005B43C1" w:rsidRPr="00103A0B" w:rsidRDefault="005B43C1" w:rsidP="00CD5919">
            <w:pPr>
              <w:jc w:val="both"/>
              <w:rPr>
                <w:rFonts w:ascii="Arial" w:hAnsi="Arial" w:cs="Arial"/>
                <w:sz w:val="16"/>
                <w:szCs w:val="16"/>
              </w:rPr>
            </w:pPr>
          </w:p>
          <w:p w14:paraId="4D67EEF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100% </w:t>
            </w:r>
            <w:proofErr w:type="gramStart"/>
            <w:r w:rsidRPr="00103A0B">
              <w:rPr>
                <w:rFonts w:ascii="Arial" w:hAnsi="Arial" w:cs="Arial"/>
                <w:sz w:val="16"/>
                <w:szCs w:val="16"/>
              </w:rPr>
              <w:t>African-American</w:t>
            </w:r>
            <w:proofErr w:type="gramEnd"/>
            <w:r w:rsidRPr="00103A0B">
              <w:rPr>
                <w:rFonts w:ascii="Arial" w:hAnsi="Arial" w:cs="Arial"/>
                <w:sz w:val="16"/>
                <w:szCs w:val="16"/>
              </w:rPr>
              <w:t xml:space="preserve"> </w:t>
            </w:r>
          </w:p>
        </w:tc>
        <w:tc>
          <w:tcPr>
            <w:tcW w:w="1588" w:type="dxa"/>
          </w:tcPr>
          <w:p w14:paraId="2747D13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093260D6" w14:textId="77777777" w:rsidR="005B43C1" w:rsidRPr="00103A0B" w:rsidRDefault="005B43C1" w:rsidP="00CD5919">
            <w:pPr>
              <w:jc w:val="both"/>
              <w:rPr>
                <w:rFonts w:ascii="Arial" w:eastAsia="Calibri" w:hAnsi="Arial" w:cs="Arial"/>
                <w:sz w:val="16"/>
                <w:szCs w:val="16"/>
              </w:rPr>
            </w:pPr>
            <w:r w:rsidRPr="00103A0B">
              <w:rPr>
                <w:rFonts w:ascii="Arial" w:hAnsi="Arial" w:cs="Arial"/>
                <w:sz w:val="16"/>
                <w:szCs w:val="16"/>
              </w:rPr>
              <w:t>n/a</w:t>
            </w:r>
          </w:p>
          <w:p w14:paraId="6CB99F25" w14:textId="77777777" w:rsidR="005B43C1" w:rsidRPr="00103A0B" w:rsidRDefault="005B43C1" w:rsidP="00CD5919">
            <w:pPr>
              <w:jc w:val="both"/>
              <w:rPr>
                <w:rFonts w:ascii="Arial" w:eastAsia="Calibri" w:hAnsi="Arial" w:cs="Arial"/>
                <w:sz w:val="16"/>
                <w:szCs w:val="16"/>
              </w:rPr>
            </w:pPr>
          </w:p>
        </w:tc>
        <w:tc>
          <w:tcPr>
            <w:tcW w:w="1564" w:type="dxa"/>
          </w:tcPr>
          <w:p w14:paraId="281B517E" w14:textId="77777777" w:rsidR="005B43C1" w:rsidRPr="00103A0B" w:rsidRDefault="005B43C1" w:rsidP="00CD5919">
            <w:pPr>
              <w:jc w:val="both"/>
              <w:rPr>
                <w:rFonts w:ascii="Arial" w:eastAsia="Calibri" w:hAnsi="Arial" w:cs="Arial"/>
                <w:sz w:val="16"/>
                <w:szCs w:val="16"/>
              </w:rPr>
            </w:pPr>
            <w:r w:rsidRPr="00103A0B">
              <w:rPr>
                <w:rFonts w:ascii="Arial" w:eastAsia="Calibri" w:hAnsi="Arial" w:cs="Arial"/>
                <w:sz w:val="16"/>
                <w:szCs w:val="16"/>
              </w:rPr>
              <w:t xml:space="preserve">27 P`s participated (14 P`s randomly assigned to intervention; 13 P`s to control) </w:t>
            </w:r>
          </w:p>
          <w:p w14:paraId="3B121CC6" w14:textId="77777777" w:rsidR="005B43C1" w:rsidRPr="00103A0B" w:rsidRDefault="005B43C1" w:rsidP="00CD5919">
            <w:pPr>
              <w:jc w:val="both"/>
              <w:rPr>
                <w:rFonts w:ascii="Arial" w:eastAsia="Calibri" w:hAnsi="Arial" w:cs="Arial"/>
                <w:sz w:val="16"/>
                <w:szCs w:val="16"/>
              </w:rPr>
            </w:pPr>
          </w:p>
          <w:p w14:paraId="40E6B524" w14:textId="77777777" w:rsidR="005B43C1" w:rsidRPr="00103A0B" w:rsidRDefault="005B43C1" w:rsidP="00CD5919">
            <w:pPr>
              <w:jc w:val="both"/>
              <w:rPr>
                <w:rFonts w:ascii="Arial" w:eastAsia="Calibri" w:hAnsi="Arial" w:cs="Arial"/>
                <w:sz w:val="16"/>
                <w:szCs w:val="16"/>
              </w:rPr>
            </w:pPr>
            <w:r w:rsidRPr="00103A0B">
              <w:rPr>
                <w:rFonts w:ascii="Arial" w:eastAsia="Calibri" w:hAnsi="Arial" w:cs="Arial"/>
                <w:sz w:val="16"/>
                <w:szCs w:val="16"/>
              </w:rPr>
              <w:t xml:space="preserve">At follow up, 26 P`s (12 usual care; 14 LS) </w:t>
            </w:r>
          </w:p>
          <w:p w14:paraId="6DBFFE6B" w14:textId="77777777" w:rsidR="005B43C1" w:rsidRPr="00103A0B" w:rsidRDefault="005B43C1" w:rsidP="00CD5919">
            <w:pPr>
              <w:jc w:val="both"/>
              <w:rPr>
                <w:rFonts w:ascii="Arial" w:hAnsi="Arial" w:cs="Arial"/>
                <w:sz w:val="16"/>
                <w:szCs w:val="16"/>
              </w:rPr>
            </w:pPr>
          </w:p>
          <w:p w14:paraId="79902EA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 100%</w:t>
            </w:r>
          </w:p>
        </w:tc>
      </w:tr>
      <w:tr w:rsidR="005B43C1" w:rsidRPr="00103A0B" w14:paraId="29151B76" w14:textId="77777777" w:rsidTr="00AF3B17">
        <w:trPr>
          <w:trHeight w:val="4086"/>
        </w:trPr>
        <w:tc>
          <w:tcPr>
            <w:tcW w:w="1232" w:type="dxa"/>
          </w:tcPr>
          <w:p w14:paraId="4CEAAAD3"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Boltri</w:t>
            </w:r>
            <w:proofErr w:type="spellEnd"/>
            <w:r w:rsidRPr="00103A0B">
              <w:rPr>
                <w:rFonts w:ascii="Arial" w:hAnsi="Arial" w:cs="Arial"/>
                <w:sz w:val="16"/>
                <w:szCs w:val="16"/>
              </w:rPr>
              <w:t xml:space="preserve"> et al. (2011) </w:t>
            </w:r>
          </w:p>
          <w:p w14:paraId="61A845BB" w14:textId="77777777" w:rsidR="005B43C1" w:rsidRPr="00103A0B" w:rsidRDefault="005B43C1" w:rsidP="00CD5919">
            <w:pPr>
              <w:jc w:val="both"/>
              <w:rPr>
                <w:rFonts w:ascii="Arial" w:hAnsi="Arial" w:cs="Arial"/>
                <w:sz w:val="16"/>
                <w:szCs w:val="16"/>
              </w:rPr>
            </w:pPr>
          </w:p>
          <w:p w14:paraId="0F87F20D" w14:textId="77777777" w:rsidR="005B43C1" w:rsidRPr="00103A0B" w:rsidRDefault="005B43C1" w:rsidP="00CD5919">
            <w:pPr>
              <w:jc w:val="both"/>
              <w:rPr>
                <w:rFonts w:ascii="Arial" w:hAnsi="Arial" w:cs="Arial"/>
                <w:sz w:val="16"/>
                <w:szCs w:val="16"/>
              </w:rPr>
            </w:pPr>
          </w:p>
        </w:tc>
        <w:tc>
          <w:tcPr>
            <w:tcW w:w="1284" w:type="dxa"/>
          </w:tcPr>
          <w:p w14:paraId="6D5D8B6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USA-Georgia</w:t>
            </w:r>
          </w:p>
        </w:tc>
        <w:tc>
          <w:tcPr>
            <w:tcW w:w="1316" w:type="dxa"/>
            <w:gridSpan w:val="2"/>
          </w:tcPr>
          <w:p w14:paraId="38B9CE7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Pilot study </w:t>
            </w:r>
          </w:p>
          <w:p w14:paraId="4B32F310" w14:textId="77777777" w:rsidR="005B43C1" w:rsidRPr="00103A0B" w:rsidRDefault="005B43C1" w:rsidP="00CD5919">
            <w:pPr>
              <w:jc w:val="both"/>
              <w:rPr>
                <w:rFonts w:ascii="Arial" w:hAnsi="Arial" w:cs="Arial"/>
                <w:sz w:val="16"/>
                <w:szCs w:val="16"/>
              </w:rPr>
            </w:pPr>
          </w:p>
          <w:p w14:paraId="7CA3975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African American Baptist churches</w:t>
            </w:r>
          </w:p>
        </w:tc>
        <w:tc>
          <w:tcPr>
            <w:tcW w:w="2405" w:type="dxa"/>
          </w:tcPr>
          <w:p w14:paraId="2AF2898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Two group-based 6-session and a 16-session program (4 months). Two sessions from each of the 3 core areas of the curriculum were chosen: nutrition, physical activity, and behaviour </w:t>
            </w:r>
            <w:proofErr w:type="gramStart"/>
            <w:r w:rsidRPr="00103A0B">
              <w:rPr>
                <w:rFonts w:ascii="Arial" w:hAnsi="Arial" w:cs="Arial"/>
                <w:sz w:val="16"/>
                <w:szCs w:val="16"/>
              </w:rPr>
              <w:t>change</w:t>
            </w:r>
            <w:proofErr w:type="gramEnd"/>
          </w:p>
          <w:p w14:paraId="3591CEB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Size: Aimed to have group size of 8-15 P`s.</w:t>
            </w:r>
          </w:p>
          <w:p w14:paraId="35B311F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Frequency &amp; time: Intervention sessions occurred on a weekly basis for 1.5 hours except for the first and last sessions, which were for 13 hours.  Group leader facilitated a discussion for 60-90 minutes.</w:t>
            </w:r>
          </w:p>
          <w:p w14:paraId="31C47337" w14:textId="77777777" w:rsidR="005B43C1" w:rsidRPr="00103A0B" w:rsidRDefault="005B43C1" w:rsidP="00CD5919">
            <w:pPr>
              <w:jc w:val="both"/>
              <w:rPr>
                <w:rFonts w:ascii="Arial" w:hAnsi="Arial" w:cs="Arial"/>
                <w:sz w:val="16"/>
                <w:szCs w:val="16"/>
              </w:rPr>
            </w:pPr>
          </w:p>
          <w:p w14:paraId="5884D9F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7BAA185D" w14:textId="3CA49DFD" w:rsidR="00AF3B17" w:rsidRPr="00103A0B" w:rsidRDefault="005B43C1" w:rsidP="00CD5919">
            <w:pPr>
              <w:jc w:val="both"/>
              <w:rPr>
                <w:rFonts w:ascii="Arial" w:hAnsi="Arial" w:cs="Arial"/>
                <w:sz w:val="16"/>
                <w:szCs w:val="16"/>
              </w:rPr>
            </w:pPr>
            <w:r w:rsidRPr="00103A0B">
              <w:rPr>
                <w:rFonts w:ascii="Arial" w:hAnsi="Arial" w:cs="Arial"/>
                <w:sz w:val="16"/>
                <w:szCs w:val="16"/>
              </w:rPr>
              <w:t xml:space="preserve"> </w:t>
            </w:r>
          </w:p>
        </w:tc>
        <w:tc>
          <w:tcPr>
            <w:tcW w:w="1560" w:type="dxa"/>
          </w:tcPr>
          <w:p w14:paraId="4775A6D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post-intervention, 6 months, 12 months  </w:t>
            </w:r>
          </w:p>
        </w:tc>
        <w:tc>
          <w:tcPr>
            <w:tcW w:w="2063" w:type="dxa"/>
          </w:tcPr>
          <w:p w14:paraId="078F488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2 weeks prior to implementing the Diabetes Risk Assessment (DRA), weekly announcements were placed in the Sunday bulletin detailing the dates of the DRA. Those with a score of at least 10 were invited to obtain a fasting glucose at the church.</w:t>
            </w:r>
          </w:p>
          <w:p w14:paraId="1EDE0729" w14:textId="77777777" w:rsidR="005B43C1" w:rsidRPr="00103A0B" w:rsidRDefault="005B43C1" w:rsidP="00CD5919">
            <w:pPr>
              <w:jc w:val="both"/>
              <w:rPr>
                <w:rFonts w:ascii="Arial" w:hAnsi="Arial" w:cs="Arial"/>
                <w:sz w:val="16"/>
                <w:szCs w:val="16"/>
              </w:rPr>
            </w:pPr>
          </w:p>
        </w:tc>
        <w:tc>
          <w:tcPr>
            <w:tcW w:w="0" w:type="auto"/>
          </w:tcPr>
          <w:p w14:paraId="46C5788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57.2 years ± 9.0</w:t>
            </w:r>
          </w:p>
          <w:p w14:paraId="20ACA0B7" w14:textId="77777777" w:rsidR="005B43C1" w:rsidRPr="00103A0B" w:rsidRDefault="005B43C1" w:rsidP="00CD5919">
            <w:pPr>
              <w:jc w:val="both"/>
              <w:rPr>
                <w:rFonts w:ascii="Arial" w:hAnsi="Arial" w:cs="Arial"/>
                <w:sz w:val="16"/>
                <w:szCs w:val="16"/>
              </w:rPr>
            </w:pPr>
          </w:p>
          <w:p w14:paraId="199E5AA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11 (30%) male and 26 (70%) female </w:t>
            </w:r>
          </w:p>
          <w:p w14:paraId="6B07BDA2" w14:textId="77777777" w:rsidR="005B43C1" w:rsidRPr="00103A0B" w:rsidRDefault="005B43C1" w:rsidP="00CD5919">
            <w:pPr>
              <w:jc w:val="both"/>
              <w:rPr>
                <w:rFonts w:ascii="Arial" w:hAnsi="Arial" w:cs="Arial"/>
                <w:sz w:val="16"/>
                <w:szCs w:val="16"/>
              </w:rPr>
            </w:pPr>
          </w:p>
          <w:p w14:paraId="2302E65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African- American </w:t>
            </w:r>
          </w:p>
        </w:tc>
        <w:tc>
          <w:tcPr>
            <w:tcW w:w="1588" w:type="dxa"/>
          </w:tcPr>
          <w:p w14:paraId="414A6BA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p w14:paraId="5F1077F3" w14:textId="77777777" w:rsidR="005B43C1" w:rsidRPr="00103A0B" w:rsidRDefault="005B43C1" w:rsidP="00CD5919">
            <w:pPr>
              <w:jc w:val="both"/>
              <w:rPr>
                <w:rFonts w:ascii="Arial" w:hAnsi="Arial" w:cs="Arial"/>
                <w:sz w:val="16"/>
                <w:szCs w:val="16"/>
              </w:rPr>
            </w:pPr>
          </w:p>
          <w:p w14:paraId="15D68B68" w14:textId="77777777" w:rsidR="005B43C1" w:rsidRPr="00103A0B" w:rsidRDefault="005B43C1" w:rsidP="00CD5919">
            <w:pPr>
              <w:jc w:val="both"/>
              <w:rPr>
                <w:rFonts w:ascii="Arial" w:hAnsi="Arial" w:cs="Arial"/>
                <w:sz w:val="16"/>
                <w:szCs w:val="16"/>
              </w:rPr>
            </w:pPr>
          </w:p>
        </w:tc>
        <w:tc>
          <w:tcPr>
            <w:tcW w:w="1360" w:type="dxa"/>
          </w:tcPr>
          <w:p w14:paraId="62AEDE5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74 P`s had elevated glucose (prediabetes range) </w:t>
            </w:r>
          </w:p>
          <w:p w14:paraId="6995577F" w14:textId="77777777" w:rsidR="005B43C1" w:rsidRPr="00103A0B" w:rsidRDefault="005B43C1" w:rsidP="00CD5919">
            <w:pPr>
              <w:jc w:val="both"/>
              <w:rPr>
                <w:rFonts w:ascii="Arial" w:hAnsi="Arial" w:cs="Arial"/>
                <w:sz w:val="16"/>
                <w:szCs w:val="16"/>
              </w:rPr>
            </w:pPr>
          </w:p>
          <w:p w14:paraId="214A887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37 P`s took part in the 6-session and 16-session church based </w:t>
            </w:r>
            <w:proofErr w:type="gramStart"/>
            <w:r w:rsidRPr="00103A0B">
              <w:rPr>
                <w:rFonts w:ascii="Arial" w:hAnsi="Arial" w:cs="Arial"/>
                <w:sz w:val="16"/>
                <w:szCs w:val="16"/>
              </w:rPr>
              <w:t>DPP</w:t>
            </w:r>
            <w:proofErr w:type="gramEnd"/>
          </w:p>
          <w:p w14:paraId="436120B5" w14:textId="77777777" w:rsidR="005B43C1" w:rsidRPr="00103A0B" w:rsidRDefault="005B43C1" w:rsidP="00CD5919">
            <w:pPr>
              <w:jc w:val="both"/>
              <w:rPr>
                <w:rFonts w:ascii="Arial" w:hAnsi="Arial" w:cs="Arial"/>
                <w:sz w:val="16"/>
                <w:szCs w:val="16"/>
              </w:rPr>
            </w:pPr>
          </w:p>
          <w:p w14:paraId="0030887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Uptake=50.00% </w:t>
            </w:r>
          </w:p>
        </w:tc>
        <w:tc>
          <w:tcPr>
            <w:tcW w:w="1564" w:type="dxa"/>
          </w:tcPr>
          <w:p w14:paraId="60EEEB8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r>
      <w:tr w:rsidR="005B43C1" w:rsidRPr="00103A0B" w14:paraId="78266C75" w14:textId="77777777" w:rsidTr="005B43C1">
        <w:trPr>
          <w:trHeight w:val="144"/>
        </w:trPr>
        <w:tc>
          <w:tcPr>
            <w:tcW w:w="1232" w:type="dxa"/>
          </w:tcPr>
          <w:p w14:paraId="29CB582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Chen et al. (2017)</w:t>
            </w:r>
          </w:p>
          <w:p w14:paraId="7901CBA6" w14:textId="77777777" w:rsidR="005B43C1" w:rsidRPr="00103A0B" w:rsidRDefault="005B43C1" w:rsidP="00CD5919">
            <w:pPr>
              <w:jc w:val="both"/>
              <w:rPr>
                <w:rFonts w:ascii="Arial" w:hAnsi="Arial" w:cs="Arial"/>
                <w:sz w:val="16"/>
                <w:szCs w:val="16"/>
              </w:rPr>
            </w:pPr>
          </w:p>
          <w:p w14:paraId="54EE8655" w14:textId="77777777" w:rsidR="005B43C1" w:rsidRPr="00103A0B" w:rsidRDefault="005B43C1" w:rsidP="00CD5919">
            <w:pPr>
              <w:jc w:val="both"/>
              <w:rPr>
                <w:rFonts w:ascii="Arial" w:hAnsi="Arial" w:cs="Arial"/>
                <w:sz w:val="16"/>
                <w:szCs w:val="16"/>
              </w:rPr>
            </w:pPr>
          </w:p>
        </w:tc>
        <w:tc>
          <w:tcPr>
            <w:tcW w:w="1284" w:type="dxa"/>
          </w:tcPr>
          <w:p w14:paraId="5DA43B6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Taiwan </w:t>
            </w:r>
          </w:p>
        </w:tc>
        <w:tc>
          <w:tcPr>
            <w:tcW w:w="1316" w:type="dxa"/>
            <w:gridSpan w:val="2"/>
          </w:tcPr>
          <w:p w14:paraId="0088A88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Randomized control trial </w:t>
            </w:r>
          </w:p>
          <w:p w14:paraId="15B70EE7" w14:textId="77777777" w:rsidR="005B43C1" w:rsidRPr="00103A0B" w:rsidRDefault="005B43C1" w:rsidP="00CD5919">
            <w:pPr>
              <w:jc w:val="both"/>
              <w:rPr>
                <w:rFonts w:ascii="Arial" w:hAnsi="Arial" w:cs="Arial"/>
                <w:sz w:val="16"/>
                <w:szCs w:val="16"/>
              </w:rPr>
            </w:pPr>
          </w:p>
          <w:p w14:paraId="2AC37A0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Health examination </w:t>
            </w:r>
            <w:proofErr w:type="spellStart"/>
            <w:r w:rsidRPr="00103A0B">
              <w:rPr>
                <w:rFonts w:ascii="Arial" w:hAnsi="Arial" w:cs="Arial"/>
                <w:sz w:val="16"/>
                <w:szCs w:val="16"/>
              </w:rPr>
              <w:t>center</w:t>
            </w:r>
            <w:proofErr w:type="spellEnd"/>
            <w:r w:rsidRPr="00103A0B">
              <w:rPr>
                <w:rFonts w:ascii="Arial" w:hAnsi="Arial" w:cs="Arial"/>
                <w:sz w:val="16"/>
                <w:szCs w:val="16"/>
              </w:rPr>
              <w:t xml:space="preserve"> of a hospital </w:t>
            </w:r>
          </w:p>
        </w:tc>
        <w:tc>
          <w:tcPr>
            <w:tcW w:w="2405" w:type="dxa"/>
          </w:tcPr>
          <w:p w14:paraId="282E2AA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ABC Empowerment education intervention </w:t>
            </w:r>
          </w:p>
          <w:p w14:paraId="0E27871A" w14:textId="77777777" w:rsidR="005B43C1" w:rsidRPr="00103A0B" w:rsidRDefault="005B43C1" w:rsidP="00CD5919">
            <w:pPr>
              <w:jc w:val="both"/>
              <w:rPr>
                <w:rFonts w:ascii="Arial" w:hAnsi="Arial" w:cs="Arial"/>
                <w:sz w:val="16"/>
                <w:szCs w:val="16"/>
              </w:rPr>
            </w:pPr>
          </w:p>
          <w:p w14:paraId="1D76A94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Intervention included: 8 2-hour sessions delivered biweekly over 4 months in groups of 7-8 P`s. Topics covered: nutrition, PA, health responsibility, self-actualization, interpersonal relations and stress </w:t>
            </w:r>
            <w:proofErr w:type="gramStart"/>
            <w:r w:rsidRPr="00103A0B">
              <w:rPr>
                <w:rFonts w:ascii="Arial" w:hAnsi="Arial" w:cs="Arial"/>
                <w:sz w:val="16"/>
                <w:szCs w:val="16"/>
              </w:rPr>
              <w:t>management</w:t>
            </w:r>
            <w:proofErr w:type="gramEnd"/>
            <w:r w:rsidRPr="00103A0B">
              <w:rPr>
                <w:rFonts w:ascii="Arial" w:hAnsi="Arial" w:cs="Arial"/>
                <w:sz w:val="16"/>
                <w:szCs w:val="16"/>
              </w:rPr>
              <w:t xml:space="preserve"> </w:t>
            </w:r>
          </w:p>
          <w:p w14:paraId="6C48ED28" w14:textId="77777777" w:rsidR="005B43C1" w:rsidRPr="00103A0B" w:rsidRDefault="005B43C1" w:rsidP="00CD5919">
            <w:pPr>
              <w:jc w:val="both"/>
              <w:rPr>
                <w:rFonts w:ascii="Arial" w:hAnsi="Arial" w:cs="Arial"/>
                <w:sz w:val="16"/>
                <w:szCs w:val="16"/>
              </w:rPr>
            </w:pPr>
          </w:p>
          <w:p w14:paraId="44BF105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tc>
        <w:tc>
          <w:tcPr>
            <w:tcW w:w="1560" w:type="dxa"/>
          </w:tcPr>
          <w:p w14:paraId="70E335D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1 week and 3 months </w:t>
            </w:r>
          </w:p>
        </w:tc>
        <w:tc>
          <w:tcPr>
            <w:tcW w:w="2063" w:type="dxa"/>
          </w:tcPr>
          <w:p w14:paraId="57948D0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P`s recruited by convenience sampling from health examination </w:t>
            </w:r>
            <w:proofErr w:type="spellStart"/>
            <w:r w:rsidRPr="00103A0B">
              <w:rPr>
                <w:rFonts w:ascii="Arial" w:hAnsi="Arial" w:cs="Arial"/>
                <w:sz w:val="16"/>
                <w:szCs w:val="16"/>
              </w:rPr>
              <w:t>center</w:t>
            </w:r>
            <w:proofErr w:type="spellEnd"/>
            <w:r w:rsidRPr="00103A0B">
              <w:rPr>
                <w:rFonts w:ascii="Arial" w:hAnsi="Arial" w:cs="Arial"/>
                <w:sz w:val="16"/>
                <w:szCs w:val="16"/>
              </w:rPr>
              <w:t xml:space="preserve"> of a hospital and researcher reviewed medical records of those consented to participate so recruitment method is unclear.  </w:t>
            </w:r>
          </w:p>
        </w:tc>
        <w:tc>
          <w:tcPr>
            <w:tcW w:w="0" w:type="auto"/>
          </w:tcPr>
          <w:p w14:paraId="78F4554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Those with prediabetes (experimental group):</w:t>
            </w:r>
          </w:p>
          <w:p w14:paraId="5078AD62" w14:textId="77777777" w:rsidR="005B43C1" w:rsidRPr="00103A0B" w:rsidRDefault="005B43C1" w:rsidP="00CD5919">
            <w:pPr>
              <w:jc w:val="both"/>
              <w:rPr>
                <w:rFonts w:ascii="Arial" w:hAnsi="Arial" w:cs="Arial"/>
                <w:sz w:val="16"/>
                <w:szCs w:val="16"/>
              </w:rPr>
            </w:pPr>
          </w:p>
          <w:p w14:paraId="40A056C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Mean age: 51.47 (8.46) </w:t>
            </w:r>
            <w:proofErr w:type="gramStart"/>
            <w:r w:rsidRPr="00103A0B">
              <w:rPr>
                <w:rFonts w:ascii="Arial" w:hAnsi="Arial" w:cs="Arial"/>
                <w:sz w:val="16"/>
                <w:szCs w:val="16"/>
              </w:rPr>
              <w:t>years</w:t>
            </w:r>
            <w:proofErr w:type="gramEnd"/>
          </w:p>
          <w:p w14:paraId="622CEEE5" w14:textId="77777777" w:rsidR="005B43C1" w:rsidRPr="00103A0B" w:rsidRDefault="005B43C1" w:rsidP="00CD5919">
            <w:pPr>
              <w:jc w:val="both"/>
              <w:rPr>
                <w:rFonts w:ascii="Arial" w:hAnsi="Arial" w:cs="Arial"/>
                <w:sz w:val="16"/>
                <w:szCs w:val="16"/>
              </w:rPr>
            </w:pPr>
          </w:p>
          <w:p w14:paraId="70D5BDA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24 (63.2%) </w:t>
            </w:r>
            <w:proofErr w:type="gramStart"/>
            <w:r w:rsidRPr="00103A0B">
              <w:rPr>
                <w:rFonts w:ascii="Arial" w:hAnsi="Arial" w:cs="Arial"/>
                <w:sz w:val="16"/>
                <w:szCs w:val="16"/>
              </w:rPr>
              <w:t>female</w:t>
            </w:r>
            <w:proofErr w:type="gramEnd"/>
            <w:r w:rsidRPr="00103A0B">
              <w:rPr>
                <w:rFonts w:ascii="Arial" w:hAnsi="Arial" w:cs="Arial"/>
                <w:sz w:val="16"/>
                <w:szCs w:val="16"/>
              </w:rPr>
              <w:t xml:space="preserve">; 14 (36.8%) male </w:t>
            </w:r>
          </w:p>
          <w:p w14:paraId="52D9902D" w14:textId="77777777" w:rsidR="005B43C1" w:rsidRPr="00103A0B" w:rsidRDefault="005B43C1" w:rsidP="00CD5919">
            <w:pPr>
              <w:jc w:val="both"/>
              <w:rPr>
                <w:rFonts w:ascii="Arial" w:hAnsi="Arial" w:cs="Arial"/>
                <w:sz w:val="16"/>
                <w:szCs w:val="16"/>
              </w:rPr>
            </w:pPr>
          </w:p>
          <w:p w14:paraId="7F7CE66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N/A  </w:t>
            </w:r>
          </w:p>
          <w:p w14:paraId="759F4E36" w14:textId="77777777" w:rsidR="005B43C1" w:rsidRPr="00103A0B" w:rsidRDefault="005B43C1" w:rsidP="00CD5919">
            <w:pPr>
              <w:jc w:val="both"/>
              <w:rPr>
                <w:rFonts w:ascii="Arial" w:hAnsi="Arial" w:cs="Arial"/>
                <w:sz w:val="16"/>
                <w:szCs w:val="16"/>
              </w:rPr>
            </w:pPr>
          </w:p>
        </w:tc>
        <w:tc>
          <w:tcPr>
            <w:tcW w:w="1588" w:type="dxa"/>
          </w:tcPr>
          <w:p w14:paraId="7B885D5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39717F7D" w14:textId="77777777" w:rsidR="005B43C1" w:rsidRPr="00103A0B" w:rsidRDefault="005B43C1" w:rsidP="00CD5919">
            <w:pPr>
              <w:jc w:val="both"/>
              <w:rPr>
                <w:rFonts w:ascii="Arial" w:eastAsia="Calibri" w:hAnsi="Arial" w:cs="Arial"/>
                <w:sz w:val="16"/>
                <w:szCs w:val="16"/>
              </w:rPr>
            </w:pPr>
            <w:r w:rsidRPr="00103A0B">
              <w:rPr>
                <w:rFonts w:ascii="Arial" w:eastAsia="Calibri" w:hAnsi="Arial" w:cs="Arial"/>
                <w:sz w:val="16"/>
                <w:szCs w:val="16"/>
              </w:rPr>
              <w:t>n/a</w:t>
            </w:r>
          </w:p>
          <w:p w14:paraId="5234B0C1" w14:textId="77777777" w:rsidR="005B43C1" w:rsidRPr="00103A0B" w:rsidRDefault="005B43C1" w:rsidP="00CD5919">
            <w:pPr>
              <w:jc w:val="both"/>
              <w:rPr>
                <w:rFonts w:ascii="Arial" w:hAnsi="Arial" w:cs="Arial"/>
                <w:sz w:val="16"/>
                <w:szCs w:val="16"/>
              </w:rPr>
            </w:pPr>
          </w:p>
        </w:tc>
        <w:tc>
          <w:tcPr>
            <w:tcW w:w="1564" w:type="dxa"/>
          </w:tcPr>
          <w:p w14:paraId="4A6DCDD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40 P`s started the </w:t>
            </w:r>
            <w:proofErr w:type="gramStart"/>
            <w:r w:rsidRPr="00103A0B">
              <w:rPr>
                <w:rFonts w:ascii="Arial" w:hAnsi="Arial" w:cs="Arial"/>
                <w:sz w:val="16"/>
                <w:szCs w:val="16"/>
              </w:rPr>
              <w:t>intervention</w:t>
            </w:r>
            <w:proofErr w:type="gramEnd"/>
            <w:r w:rsidRPr="00103A0B">
              <w:rPr>
                <w:rFonts w:ascii="Arial" w:hAnsi="Arial" w:cs="Arial"/>
                <w:sz w:val="16"/>
                <w:szCs w:val="16"/>
              </w:rPr>
              <w:t xml:space="preserve"> </w:t>
            </w:r>
          </w:p>
          <w:p w14:paraId="717F1A0E" w14:textId="77777777" w:rsidR="005B43C1" w:rsidRPr="00103A0B" w:rsidRDefault="005B43C1" w:rsidP="00CD5919">
            <w:pPr>
              <w:jc w:val="both"/>
              <w:rPr>
                <w:rFonts w:ascii="Arial" w:hAnsi="Arial" w:cs="Arial"/>
                <w:sz w:val="16"/>
                <w:szCs w:val="16"/>
              </w:rPr>
            </w:pPr>
          </w:p>
          <w:p w14:paraId="3417809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38 P`s completed study at 3 months follow </w:t>
            </w:r>
            <w:proofErr w:type="gramStart"/>
            <w:r w:rsidRPr="00103A0B">
              <w:rPr>
                <w:rFonts w:ascii="Arial" w:hAnsi="Arial" w:cs="Arial"/>
                <w:sz w:val="16"/>
                <w:szCs w:val="16"/>
              </w:rPr>
              <w:t>up</w:t>
            </w:r>
            <w:proofErr w:type="gramEnd"/>
          </w:p>
          <w:p w14:paraId="04AC5A0D" w14:textId="77777777" w:rsidR="005B43C1" w:rsidRPr="00103A0B" w:rsidRDefault="005B43C1" w:rsidP="00CD5919">
            <w:pPr>
              <w:jc w:val="both"/>
              <w:rPr>
                <w:rFonts w:ascii="Arial" w:hAnsi="Arial" w:cs="Arial"/>
                <w:sz w:val="16"/>
                <w:szCs w:val="16"/>
              </w:rPr>
            </w:pPr>
          </w:p>
          <w:p w14:paraId="6307659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Retention=95% </w:t>
            </w:r>
          </w:p>
        </w:tc>
      </w:tr>
      <w:tr w:rsidR="005B43C1" w:rsidRPr="00103A0B" w14:paraId="487E62DC" w14:textId="77777777" w:rsidTr="005B43C1">
        <w:trPr>
          <w:trHeight w:val="144"/>
        </w:trPr>
        <w:tc>
          <w:tcPr>
            <w:tcW w:w="1232" w:type="dxa"/>
          </w:tcPr>
          <w:p w14:paraId="751BB85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Coppell et al. (2017) </w:t>
            </w:r>
          </w:p>
          <w:p w14:paraId="437BDAEA" w14:textId="77777777" w:rsidR="005B43C1" w:rsidRPr="00103A0B" w:rsidRDefault="005B43C1" w:rsidP="00CD5919">
            <w:pPr>
              <w:jc w:val="both"/>
              <w:rPr>
                <w:rFonts w:ascii="Arial" w:hAnsi="Arial" w:cs="Arial"/>
                <w:b/>
                <w:sz w:val="16"/>
                <w:szCs w:val="16"/>
              </w:rPr>
            </w:pPr>
          </w:p>
        </w:tc>
        <w:tc>
          <w:tcPr>
            <w:tcW w:w="1284" w:type="dxa"/>
          </w:tcPr>
          <w:p w14:paraId="018A1FD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New Zealand </w:t>
            </w:r>
          </w:p>
        </w:tc>
        <w:tc>
          <w:tcPr>
            <w:tcW w:w="1316" w:type="dxa"/>
            <w:gridSpan w:val="2"/>
          </w:tcPr>
          <w:p w14:paraId="2AF47D5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Pragmatic non-randomized pilot study </w:t>
            </w:r>
          </w:p>
          <w:p w14:paraId="0078F3E2" w14:textId="77777777" w:rsidR="005B43C1" w:rsidRPr="00103A0B" w:rsidRDefault="005B43C1" w:rsidP="00CD5919">
            <w:pPr>
              <w:jc w:val="both"/>
              <w:rPr>
                <w:rFonts w:ascii="Arial" w:hAnsi="Arial" w:cs="Arial"/>
                <w:sz w:val="16"/>
                <w:szCs w:val="16"/>
              </w:rPr>
            </w:pPr>
          </w:p>
          <w:p w14:paraId="3B30E77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 xml:space="preserve">Primary care- general practices and community settings </w:t>
            </w:r>
          </w:p>
          <w:p w14:paraId="5E2C0DC4" w14:textId="77777777" w:rsidR="005B43C1" w:rsidRPr="00103A0B" w:rsidRDefault="005B43C1" w:rsidP="00CD5919">
            <w:pPr>
              <w:jc w:val="both"/>
              <w:rPr>
                <w:rFonts w:ascii="Arial" w:hAnsi="Arial" w:cs="Arial"/>
                <w:sz w:val="16"/>
                <w:szCs w:val="16"/>
              </w:rPr>
            </w:pPr>
          </w:p>
        </w:tc>
        <w:tc>
          <w:tcPr>
            <w:tcW w:w="2405" w:type="dxa"/>
          </w:tcPr>
          <w:p w14:paraId="5B1903E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 xml:space="preserve">A 6-month community-based group education program. Six weekly sessions of 1-1.5 hours each </w:t>
            </w:r>
          </w:p>
          <w:p w14:paraId="69B682E3" w14:textId="77777777" w:rsidR="005B43C1" w:rsidRPr="00103A0B" w:rsidRDefault="005B43C1" w:rsidP="00CD5919">
            <w:pPr>
              <w:jc w:val="both"/>
              <w:rPr>
                <w:rFonts w:ascii="Arial" w:hAnsi="Arial" w:cs="Arial"/>
                <w:sz w:val="16"/>
                <w:szCs w:val="16"/>
              </w:rPr>
            </w:pPr>
          </w:p>
          <w:p w14:paraId="19C828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D+E </w:t>
            </w:r>
          </w:p>
        </w:tc>
        <w:tc>
          <w:tcPr>
            <w:tcW w:w="1560" w:type="dxa"/>
          </w:tcPr>
          <w:p w14:paraId="2EC61E1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 xml:space="preserve">Baseline; post intervention </w:t>
            </w:r>
          </w:p>
        </w:tc>
        <w:tc>
          <w:tcPr>
            <w:tcW w:w="2063" w:type="dxa"/>
          </w:tcPr>
          <w:p w14:paraId="017C908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Identified eligible P`s from practice patient management systems (medical records) and </w:t>
            </w:r>
            <w:r w:rsidRPr="00103A0B">
              <w:rPr>
                <w:rFonts w:ascii="Arial" w:hAnsi="Arial" w:cs="Arial"/>
                <w:sz w:val="16"/>
                <w:szCs w:val="16"/>
              </w:rPr>
              <w:lastRenderedPageBreak/>
              <w:t xml:space="preserve">then were sent an invitation letter and follow up phone call </w:t>
            </w:r>
          </w:p>
        </w:tc>
        <w:tc>
          <w:tcPr>
            <w:tcW w:w="0" w:type="auto"/>
          </w:tcPr>
          <w:p w14:paraId="22C050E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For 85 intervention P`s at baseline:</w:t>
            </w:r>
          </w:p>
          <w:p w14:paraId="46ED4015" w14:textId="77777777" w:rsidR="005B43C1" w:rsidRPr="00103A0B" w:rsidRDefault="005B43C1" w:rsidP="00CD5919">
            <w:pPr>
              <w:jc w:val="both"/>
              <w:rPr>
                <w:rFonts w:ascii="Arial" w:hAnsi="Arial" w:cs="Arial"/>
                <w:sz w:val="16"/>
                <w:szCs w:val="16"/>
              </w:rPr>
            </w:pPr>
          </w:p>
          <w:p w14:paraId="16C03C8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49% were 50-64 years; 35% ≥ 65 years</w:t>
            </w:r>
          </w:p>
          <w:p w14:paraId="67DE2556" w14:textId="77777777" w:rsidR="005B43C1" w:rsidRPr="00103A0B" w:rsidRDefault="005B43C1" w:rsidP="00CD5919">
            <w:pPr>
              <w:jc w:val="both"/>
              <w:rPr>
                <w:rFonts w:ascii="Arial" w:hAnsi="Arial" w:cs="Arial"/>
                <w:sz w:val="16"/>
                <w:szCs w:val="16"/>
              </w:rPr>
            </w:pPr>
          </w:p>
          <w:p w14:paraId="504B337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46 (54%) </w:t>
            </w:r>
            <w:proofErr w:type="gramStart"/>
            <w:r w:rsidRPr="00103A0B">
              <w:rPr>
                <w:rFonts w:ascii="Arial" w:hAnsi="Arial" w:cs="Arial"/>
                <w:sz w:val="16"/>
                <w:szCs w:val="16"/>
              </w:rPr>
              <w:t>female</w:t>
            </w:r>
            <w:proofErr w:type="gramEnd"/>
            <w:r w:rsidRPr="00103A0B">
              <w:rPr>
                <w:rFonts w:ascii="Arial" w:hAnsi="Arial" w:cs="Arial"/>
                <w:sz w:val="16"/>
                <w:szCs w:val="16"/>
              </w:rPr>
              <w:t xml:space="preserve">; 39 (46%) male </w:t>
            </w:r>
          </w:p>
          <w:p w14:paraId="7002A3FD" w14:textId="77777777" w:rsidR="005B43C1" w:rsidRPr="00103A0B" w:rsidRDefault="005B43C1" w:rsidP="00CD5919">
            <w:pPr>
              <w:jc w:val="both"/>
              <w:rPr>
                <w:rFonts w:ascii="Arial" w:hAnsi="Arial" w:cs="Arial"/>
                <w:sz w:val="16"/>
                <w:szCs w:val="16"/>
              </w:rPr>
            </w:pPr>
          </w:p>
          <w:p w14:paraId="305A04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27 (32%) </w:t>
            </w:r>
            <w:proofErr w:type="spellStart"/>
            <w:r w:rsidRPr="00103A0B">
              <w:rPr>
                <w:rFonts w:ascii="Arial" w:hAnsi="Arial" w:cs="Arial"/>
                <w:sz w:val="16"/>
                <w:szCs w:val="16"/>
              </w:rPr>
              <w:t>Maori</w:t>
            </w:r>
            <w:proofErr w:type="spellEnd"/>
            <w:r w:rsidRPr="00103A0B">
              <w:rPr>
                <w:rFonts w:ascii="Arial" w:hAnsi="Arial" w:cs="Arial"/>
                <w:sz w:val="16"/>
                <w:szCs w:val="16"/>
              </w:rPr>
              <w:t xml:space="preserve">; 52 (61%) NZ European &amp; other; 6 (7%) Pacific </w:t>
            </w:r>
          </w:p>
        </w:tc>
        <w:tc>
          <w:tcPr>
            <w:tcW w:w="1588" w:type="dxa"/>
          </w:tcPr>
          <w:p w14:paraId="086B18B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 xml:space="preserve">n/a </w:t>
            </w:r>
          </w:p>
        </w:tc>
        <w:tc>
          <w:tcPr>
            <w:tcW w:w="1360" w:type="dxa"/>
          </w:tcPr>
          <w:p w14:paraId="0F9ED34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5B1C459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157 eligible P`s enrolled (85 intervention and 72 control) </w:t>
            </w:r>
          </w:p>
          <w:p w14:paraId="66A6F39E" w14:textId="77777777" w:rsidR="005B43C1" w:rsidRPr="00103A0B" w:rsidRDefault="005B43C1" w:rsidP="00CD5919">
            <w:pPr>
              <w:jc w:val="both"/>
              <w:rPr>
                <w:rFonts w:ascii="Arial" w:hAnsi="Arial" w:cs="Arial"/>
                <w:sz w:val="16"/>
                <w:szCs w:val="16"/>
              </w:rPr>
            </w:pPr>
          </w:p>
          <w:p w14:paraId="2DDCE9F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End of 6 months, 67 P`s in intervention </w:t>
            </w:r>
          </w:p>
          <w:p w14:paraId="0F085BFC" w14:textId="77777777" w:rsidR="005B43C1" w:rsidRPr="00103A0B" w:rsidRDefault="005B43C1" w:rsidP="00CD5919">
            <w:pPr>
              <w:jc w:val="both"/>
              <w:rPr>
                <w:rFonts w:ascii="Arial" w:hAnsi="Arial" w:cs="Arial"/>
                <w:sz w:val="16"/>
                <w:szCs w:val="16"/>
              </w:rPr>
            </w:pPr>
          </w:p>
          <w:p w14:paraId="4EBD8F5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Retention=78.82% </w:t>
            </w:r>
          </w:p>
          <w:p w14:paraId="592FD5D0" w14:textId="77777777" w:rsidR="005B43C1" w:rsidRPr="00103A0B" w:rsidRDefault="005B43C1" w:rsidP="00CD5919">
            <w:pPr>
              <w:jc w:val="both"/>
              <w:rPr>
                <w:rFonts w:ascii="Arial" w:hAnsi="Arial" w:cs="Arial"/>
                <w:sz w:val="16"/>
                <w:szCs w:val="16"/>
              </w:rPr>
            </w:pPr>
          </w:p>
        </w:tc>
      </w:tr>
      <w:tr w:rsidR="005B43C1" w:rsidRPr="00103A0B" w14:paraId="3CBF61C3" w14:textId="77777777" w:rsidTr="005B43C1">
        <w:trPr>
          <w:trHeight w:val="144"/>
        </w:trPr>
        <w:tc>
          <w:tcPr>
            <w:tcW w:w="1232" w:type="dxa"/>
          </w:tcPr>
          <w:p w14:paraId="33A3755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 xml:space="preserve">Davies et al. (2016) </w:t>
            </w:r>
          </w:p>
          <w:p w14:paraId="20D9D8F6" w14:textId="77777777" w:rsidR="005B43C1" w:rsidRPr="00103A0B" w:rsidRDefault="005B43C1" w:rsidP="00CD5919">
            <w:pPr>
              <w:jc w:val="both"/>
              <w:rPr>
                <w:rFonts w:ascii="Arial" w:hAnsi="Arial" w:cs="Arial"/>
                <w:sz w:val="16"/>
                <w:szCs w:val="16"/>
              </w:rPr>
            </w:pPr>
          </w:p>
          <w:p w14:paraId="606511FC" w14:textId="77777777" w:rsidR="005B43C1" w:rsidRPr="00103A0B" w:rsidRDefault="005B43C1" w:rsidP="00CD5919">
            <w:pPr>
              <w:jc w:val="both"/>
              <w:rPr>
                <w:rFonts w:ascii="Arial" w:hAnsi="Arial" w:cs="Arial"/>
                <w:sz w:val="16"/>
                <w:szCs w:val="16"/>
              </w:rPr>
            </w:pPr>
          </w:p>
          <w:p w14:paraId="206FC85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(Gray et al, 2012) </w:t>
            </w:r>
          </w:p>
        </w:tc>
        <w:tc>
          <w:tcPr>
            <w:tcW w:w="1284" w:type="dxa"/>
          </w:tcPr>
          <w:p w14:paraId="7B666D2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UK-Leicestershire</w:t>
            </w:r>
          </w:p>
        </w:tc>
        <w:tc>
          <w:tcPr>
            <w:tcW w:w="1316" w:type="dxa"/>
            <w:gridSpan w:val="2"/>
          </w:tcPr>
          <w:p w14:paraId="2375608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Cluster randomised control trial</w:t>
            </w:r>
          </w:p>
          <w:p w14:paraId="69061235" w14:textId="77777777" w:rsidR="005B43C1" w:rsidRPr="00103A0B" w:rsidRDefault="005B43C1" w:rsidP="00CD5919">
            <w:pPr>
              <w:jc w:val="both"/>
              <w:rPr>
                <w:rFonts w:ascii="Arial" w:hAnsi="Arial" w:cs="Arial"/>
                <w:sz w:val="16"/>
                <w:szCs w:val="16"/>
              </w:rPr>
            </w:pPr>
          </w:p>
          <w:p w14:paraId="28F5674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Primary care practices  </w:t>
            </w:r>
          </w:p>
        </w:tc>
        <w:tc>
          <w:tcPr>
            <w:tcW w:w="2405" w:type="dxa"/>
          </w:tcPr>
          <w:p w14:paraId="6988CBF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Let’s Prevent (tailored DESMOND) group structured education programme with an annual refresher course, and regular phone contact. </w:t>
            </w:r>
          </w:p>
          <w:p w14:paraId="4005982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Size, time &amp; frequency: Delivered to groups of ten over 6 hours, either over a full day or two half-days, by two trained educators</w:t>
            </w:r>
          </w:p>
          <w:p w14:paraId="31AAC658" w14:textId="77777777" w:rsidR="005B43C1" w:rsidRPr="00103A0B" w:rsidRDefault="005B43C1" w:rsidP="00CD5919">
            <w:pPr>
              <w:jc w:val="both"/>
              <w:rPr>
                <w:rFonts w:ascii="Arial" w:hAnsi="Arial" w:cs="Arial"/>
                <w:sz w:val="16"/>
                <w:szCs w:val="16"/>
              </w:rPr>
            </w:pPr>
          </w:p>
          <w:p w14:paraId="7F87DDF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tc>
        <w:tc>
          <w:tcPr>
            <w:tcW w:w="1560" w:type="dxa"/>
          </w:tcPr>
          <w:p w14:paraId="1A5ADE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6 months, 12 months, 24 </w:t>
            </w:r>
            <w:proofErr w:type="gramStart"/>
            <w:r w:rsidRPr="00103A0B">
              <w:rPr>
                <w:rFonts w:ascii="Arial" w:hAnsi="Arial" w:cs="Arial"/>
                <w:sz w:val="16"/>
                <w:szCs w:val="16"/>
              </w:rPr>
              <w:t>months</w:t>
            </w:r>
            <w:proofErr w:type="gramEnd"/>
            <w:r w:rsidRPr="00103A0B">
              <w:rPr>
                <w:rFonts w:ascii="Arial" w:hAnsi="Arial" w:cs="Arial"/>
                <w:sz w:val="16"/>
                <w:szCs w:val="16"/>
              </w:rPr>
              <w:t xml:space="preserve"> and 36 months</w:t>
            </w:r>
          </w:p>
        </w:tc>
        <w:tc>
          <w:tcPr>
            <w:tcW w:w="2063" w:type="dxa"/>
          </w:tcPr>
          <w:p w14:paraId="2B163D3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Mailing of invitations  </w:t>
            </w:r>
          </w:p>
        </w:tc>
        <w:tc>
          <w:tcPr>
            <w:tcW w:w="0" w:type="auto"/>
          </w:tcPr>
          <w:p w14:paraId="0F36949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Mean age: 63.9 years (7.8) </w:t>
            </w:r>
          </w:p>
          <w:p w14:paraId="3BEE1348" w14:textId="77777777" w:rsidR="005B43C1" w:rsidRPr="00103A0B" w:rsidRDefault="005B43C1" w:rsidP="00CD5919">
            <w:pPr>
              <w:jc w:val="both"/>
              <w:rPr>
                <w:rFonts w:ascii="Arial" w:hAnsi="Arial" w:cs="Arial"/>
                <w:sz w:val="16"/>
                <w:szCs w:val="16"/>
              </w:rPr>
            </w:pPr>
          </w:p>
          <w:p w14:paraId="3766891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560 (64%) </w:t>
            </w:r>
            <w:proofErr w:type="gramStart"/>
            <w:r w:rsidRPr="00103A0B">
              <w:rPr>
                <w:rFonts w:ascii="Arial" w:hAnsi="Arial" w:cs="Arial"/>
                <w:sz w:val="16"/>
                <w:szCs w:val="16"/>
              </w:rPr>
              <w:t>male</w:t>
            </w:r>
            <w:proofErr w:type="gramEnd"/>
            <w:r w:rsidRPr="00103A0B">
              <w:rPr>
                <w:rFonts w:ascii="Arial" w:hAnsi="Arial" w:cs="Arial"/>
                <w:sz w:val="16"/>
                <w:szCs w:val="16"/>
              </w:rPr>
              <w:t xml:space="preserve"> </w:t>
            </w:r>
          </w:p>
          <w:p w14:paraId="73A74D8A" w14:textId="77777777" w:rsidR="005B43C1" w:rsidRPr="00103A0B" w:rsidRDefault="005B43C1" w:rsidP="00CD5919">
            <w:pPr>
              <w:jc w:val="both"/>
              <w:rPr>
                <w:rFonts w:ascii="Arial" w:hAnsi="Arial" w:cs="Arial"/>
                <w:sz w:val="16"/>
                <w:szCs w:val="16"/>
              </w:rPr>
            </w:pPr>
          </w:p>
          <w:p w14:paraId="74569AD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84% White European; 16% south Asian </w:t>
            </w:r>
          </w:p>
          <w:p w14:paraId="397E5583" w14:textId="77777777" w:rsidR="005B43C1" w:rsidRPr="00103A0B" w:rsidRDefault="005B43C1" w:rsidP="00CD5919">
            <w:pPr>
              <w:jc w:val="both"/>
              <w:rPr>
                <w:rFonts w:ascii="Arial" w:hAnsi="Arial" w:cs="Arial"/>
                <w:sz w:val="16"/>
                <w:szCs w:val="16"/>
              </w:rPr>
            </w:pPr>
          </w:p>
        </w:tc>
        <w:tc>
          <w:tcPr>
            <w:tcW w:w="1588" w:type="dxa"/>
          </w:tcPr>
          <w:p w14:paraId="3EA359B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1BB63E4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3980712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880 P`s recruited (433 standard care, 447 intervention)</w:t>
            </w:r>
          </w:p>
          <w:p w14:paraId="0F82B274" w14:textId="77777777" w:rsidR="005B43C1" w:rsidRPr="00103A0B" w:rsidRDefault="005B43C1" w:rsidP="00CD5919">
            <w:pPr>
              <w:jc w:val="both"/>
              <w:rPr>
                <w:rFonts w:ascii="Arial" w:hAnsi="Arial" w:cs="Arial"/>
                <w:sz w:val="16"/>
                <w:szCs w:val="16"/>
              </w:rPr>
            </w:pPr>
          </w:p>
          <w:p w14:paraId="2404BD3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Retention=76% </w:t>
            </w:r>
          </w:p>
          <w:p w14:paraId="64DBE635" w14:textId="77777777" w:rsidR="005B43C1" w:rsidRPr="00103A0B" w:rsidRDefault="005B43C1" w:rsidP="00CD5919">
            <w:pPr>
              <w:jc w:val="both"/>
              <w:rPr>
                <w:rFonts w:ascii="Arial" w:hAnsi="Arial" w:cs="Arial"/>
                <w:sz w:val="16"/>
                <w:szCs w:val="16"/>
              </w:rPr>
            </w:pPr>
          </w:p>
          <w:p w14:paraId="631B696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 23.94% </w:t>
            </w:r>
          </w:p>
          <w:p w14:paraId="2DA86333" w14:textId="77777777" w:rsidR="005B43C1" w:rsidRPr="00103A0B" w:rsidRDefault="005B43C1" w:rsidP="00CD5919">
            <w:pPr>
              <w:jc w:val="both"/>
              <w:rPr>
                <w:rFonts w:ascii="Arial" w:hAnsi="Arial" w:cs="Arial"/>
                <w:sz w:val="16"/>
                <w:szCs w:val="16"/>
              </w:rPr>
            </w:pPr>
          </w:p>
          <w:p w14:paraId="2FF264E2" w14:textId="77777777" w:rsidR="005B43C1" w:rsidRPr="00103A0B" w:rsidRDefault="005B43C1" w:rsidP="00CD5919">
            <w:pPr>
              <w:jc w:val="both"/>
              <w:rPr>
                <w:rFonts w:ascii="Arial" w:hAnsi="Arial" w:cs="Arial"/>
                <w:sz w:val="16"/>
                <w:szCs w:val="16"/>
              </w:rPr>
            </w:pPr>
          </w:p>
          <w:p w14:paraId="01150547" w14:textId="77777777" w:rsidR="005B43C1" w:rsidRPr="00103A0B" w:rsidRDefault="005B43C1" w:rsidP="00CD5919">
            <w:pPr>
              <w:jc w:val="both"/>
              <w:rPr>
                <w:rFonts w:ascii="Arial" w:hAnsi="Arial" w:cs="Arial"/>
                <w:sz w:val="16"/>
                <w:szCs w:val="16"/>
              </w:rPr>
            </w:pPr>
          </w:p>
          <w:p w14:paraId="1E7819BC" w14:textId="77777777" w:rsidR="005B43C1" w:rsidRPr="00103A0B" w:rsidRDefault="005B43C1" w:rsidP="00CD5919">
            <w:pPr>
              <w:jc w:val="both"/>
              <w:rPr>
                <w:rFonts w:ascii="Arial" w:hAnsi="Arial" w:cs="Arial"/>
                <w:sz w:val="16"/>
                <w:szCs w:val="16"/>
              </w:rPr>
            </w:pPr>
          </w:p>
        </w:tc>
      </w:tr>
      <w:tr w:rsidR="005B43C1" w:rsidRPr="00103A0B" w14:paraId="2AFBA6C8" w14:textId="77777777" w:rsidTr="005B43C1">
        <w:trPr>
          <w:trHeight w:val="144"/>
        </w:trPr>
        <w:tc>
          <w:tcPr>
            <w:tcW w:w="1232" w:type="dxa"/>
          </w:tcPr>
          <w:p w14:paraId="1516462A" w14:textId="77777777" w:rsidR="005B43C1" w:rsidRPr="00103A0B" w:rsidRDefault="005B43C1" w:rsidP="00CD5919">
            <w:pPr>
              <w:jc w:val="both"/>
              <w:rPr>
                <w:rFonts w:ascii="Arial" w:hAnsi="Arial" w:cs="Arial"/>
                <w:sz w:val="16"/>
                <w:szCs w:val="16"/>
              </w:rPr>
            </w:pPr>
            <w:proofErr w:type="gramStart"/>
            <w:r w:rsidRPr="00103A0B">
              <w:rPr>
                <w:rFonts w:ascii="Arial" w:hAnsi="Arial" w:cs="Arial"/>
                <w:sz w:val="16"/>
                <w:szCs w:val="16"/>
              </w:rPr>
              <w:t>Davis-Smith</w:t>
            </w:r>
            <w:proofErr w:type="gramEnd"/>
            <w:r w:rsidRPr="00103A0B">
              <w:rPr>
                <w:rFonts w:ascii="Arial" w:hAnsi="Arial" w:cs="Arial"/>
                <w:sz w:val="16"/>
                <w:szCs w:val="16"/>
              </w:rPr>
              <w:t xml:space="preserve"> (2007) </w:t>
            </w:r>
          </w:p>
          <w:p w14:paraId="128E884F" w14:textId="77777777" w:rsidR="005B43C1" w:rsidRPr="00103A0B" w:rsidRDefault="005B43C1" w:rsidP="00CD5919">
            <w:pPr>
              <w:jc w:val="both"/>
              <w:rPr>
                <w:rFonts w:ascii="Arial" w:hAnsi="Arial" w:cs="Arial"/>
                <w:sz w:val="16"/>
                <w:szCs w:val="16"/>
              </w:rPr>
            </w:pPr>
          </w:p>
          <w:p w14:paraId="01100A62" w14:textId="77777777" w:rsidR="005B43C1" w:rsidRPr="00103A0B" w:rsidRDefault="005B43C1" w:rsidP="00CD5919">
            <w:pPr>
              <w:jc w:val="both"/>
              <w:rPr>
                <w:rFonts w:ascii="Arial" w:hAnsi="Arial" w:cs="Arial"/>
                <w:sz w:val="16"/>
                <w:szCs w:val="16"/>
              </w:rPr>
            </w:pPr>
          </w:p>
        </w:tc>
        <w:tc>
          <w:tcPr>
            <w:tcW w:w="1284" w:type="dxa"/>
          </w:tcPr>
          <w:p w14:paraId="5F6AF03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USA-Georgia</w:t>
            </w:r>
          </w:p>
        </w:tc>
        <w:tc>
          <w:tcPr>
            <w:tcW w:w="1316" w:type="dxa"/>
            <w:gridSpan w:val="2"/>
          </w:tcPr>
          <w:p w14:paraId="248F85E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Pilot project</w:t>
            </w:r>
          </w:p>
          <w:p w14:paraId="31105B70" w14:textId="77777777" w:rsidR="005B43C1" w:rsidRPr="00103A0B" w:rsidRDefault="005B43C1" w:rsidP="00CD5919">
            <w:pPr>
              <w:jc w:val="both"/>
              <w:rPr>
                <w:rFonts w:ascii="Arial" w:hAnsi="Arial" w:cs="Arial"/>
                <w:sz w:val="16"/>
                <w:szCs w:val="16"/>
              </w:rPr>
            </w:pPr>
          </w:p>
          <w:p w14:paraId="5B90A8D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African American church </w:t>
            </w:r>
          </w:p>
          <w:p w14:paraId="57A9E8B7" w14:textId="77777777" w:rsidR="005B43C1" w:rsidRPr="00103A0B" w:rsidRDefault="005B43C1" w:rsidP="00CD5919">
            <w:pPr>
              <w:jc w:val="both"/>
              <w:rPr>
                <w:rFonts w:ascii="Arial" w:hAnsi="Arial" w:cs="Arial"/>
                <w:sz w:val="16"/>
                <w:szCs w:val="16"/>
              </w:rPr>
            </w:pPr>
          </w:p>
          <w:p w14:paraId="2C519F8E" w14:textId="77777777" w:rsidR="005B43C1" w:rsidRPr="00103A0B" w:rsidRDefault="005B43C1" w:rsidP="00CD5919">
            <w:pPr>
              <w:jc w:val="both"/>
              <w:rPr>
                <w:rFonts w:ascii="Arial" w:hAnsi="Arial" w:cs="Arial"/>
                <w:sz w:val="16"/>
                <w:szCs w:val="16"/>
              </w:rPr>
            </w:pPr>
          </w:p>
        </w:tc>
        <w:tc>
          <w:tcPr>
            <w:tcW w:w="2405" w:type="dxa"/>
          </w:tcPr>
          <w:p w14:paraId="5262D3B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Six-session program was designed from the 16-session intensive lifestyle arm of the DPP. Themes of these sessions included: nutrition, physical </w:t>
            </w:r>
            <w:proofErr w:type="gramStart"/>
            <w:r w:rsidRPr="00103A0B">
              <w:rPr>
                <w:rFonts w:ascii="Arial" w:hAnsi="Arial" w:cs="Arial"/>
                <w:sz w:val="16"/>
                <w:szCs w:val="16"/>
              </w:rPr>
              <w:t>activity</w:t>
            </w:r>
            <w:proofErr w:type="gramEnd"/>
            <w:r w:rsidRPr="00103A0B">
              <w:rPr>
                <w:rFonts w:ascii="Arial" w:hAnsi="Arial" w:cs="Arial"/>
                <w:sz w:val="16"/>
                <w:szCs w:val="16"/>
              </w:rPr>
              <w:t xml:space="preserve"> and behaviour change.</w:t>
            </w:r>
          </w:p>
          <w:p w14:paraId="3460F81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Size, frequency: 1 group consisted of 10 P`s, 6 group sessions over 7 </w:t>
            </w:r>
            <w:proofErr w:type="gramStart"/>
            <w:r w:rsidRPr="00103A0B">
              <w:rPr>
                <w:rFonts w:ascii="Arial" w:hAnsi="Arial" w:cs="Arial"/>
                <w:sz w:val="16"/>
                <w:szCs w:val="16"/>
              </w:rPr>
              <w:t>weeks</w:t>
            </w:r>
            <w:proofErr w:type="gramEnd"/>
            <w:r w:rsidRPr="00103A0B">
              <w:rPr>
                <w:rFonts w:ascii="Arial" w:hAnsi="Arial" w:cs="Arial"/>
                <w:sz w:val="16"/>
                <w:szCs w:val="16"/>
              </w:rPr>
              <w:t xml:space="preserve"> </w:t>
            </w:r>
          </w:p>
          <w:p w14:paraId="071B21D7" w14:textId="77777777" w:rsidR="005B43C1" w:rsidRPr="00103A0B" w:rsidRDefault="005B43C1" w:rsidP="00CD5919">
            <w:pPr>
              <w:jc w:val="both"/>
              <w:rPr>
                <w:rFonts w:ascii="Arial" w:hAnsi="Arial" w:cs="Arial"/>
                <w:sz w:val="16"/>
                <w:szCs w:val="16"/>
              </w:rPr>
            </w:pPr>
          </w:p>
          <w:p w14:paraId="36EDFC8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62FD0B66" w14:textId="77777777" w:rsidR="005B43C1" w:rsidRPr="00103A0B" w:rsidRDefault="005B43C1" w:rsidP="00CD5919">
            <w:pPr>
              <w:jc w:val="both"/>
              <w:rPr>
                <w:rFonts w:ascii="Arial" w:hAnsi="Arial" w:cs="Arial"/>
                <w:sz w:val="16"/>
                <w:szCs w:val="16"/>
              </w:rPr>
            </w:pPr>
          </w:p>
        </w:tc>
        <w:tc>
          <w:tcPr>
            <w:tcW w:w="1560" w:type="dxa"/>
          </w:tcPr>
          <w:p w14:paraId="20AB31C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post-intervention, 6 months, 12 months </w:t>
            </w:r>
          </w:p>
        </w:tc>
        <w:tc>
          <w:tcPr>
            <w:tcW w:w="2063" w:type="dxa"/>
          </w:tcPr>
          <w:p w14:paraId="62A1847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Announcement made in the church bulletin &amp; pastor made an announcement. During service, member of research team explained the project. Letters were mailed to remind P`s of study (those eligible to take part) </w:t>
            </w:r>
          </w:p>
        </w:tc>
        <w:tc>
          <w:tcPr>
            <w:tcW w:w="0" w:type="auto"/>
          </w:tcPr>
          <w:p w14:paraId="6962EB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Age: 18 years and over </w:t>
            </w:r>
          </w:p>
          <w:p w14:paraId="12F13810" w14:textId="77777777" w:rsidR="005B43C1" w:rsidRPr="00103A0B" w:rsidRDefault="005B43C1" w:rsidP="00CD5919">
            <w:pPr>
              <w:jc w:val="both"/>
              <w:rPr>
                <w:rFonts w:ascii="Arial" w:hAnsi="Arial" w:cs="Arial"/>
                <w:sz w:val="16"/>
                <w:szCs w:val="16"/>
              </w:rPr>
            </w:pPr>
          </w:p>
          <w:p w14:paraId="4B0077E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Gender: 7 (70%) women; 3 (30%) men</w:t>
            </w:r>
          </w:p>
          <w:p w14:paraId="6C03EA2C" w14:textId="77777777" w:rsidR="005B43C1" w:rsidRPr="00103A0B" w:rsidRDefault="005B43C1" w:rsidP="00CD5919">
            <w:pPr>
              <w:jc w:val="both"/>
              <w:rPr>
                <w:rFonts w:ascii="Arial" w:hAnsi="Arial" w:cs="Arial"/>
                <w:sz w:val="16"/>
                <w:szCs w:val="16"/>
              </w:rPr>
            </w:pPr>
          </w:p>
          <w:p w14:paraId="6D3B885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can assume African American </w:t>
            </w:r>
          </w:p>
        </w:tc>
        <w:tc>
          <w:tcPr>
            <w:tcW w:w="1588" w:type="dxa"/>
          </w:tcPr>
          <w:p w14:paraId="1FEAD3F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0ED27A8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29 received FBG </w:t>
            </w:r>
            <w:proofErr w:type="gramStart"/>
            <w:r w:rsidRPr="00103A0B">
              <w:rPr>
                <w:rFonts w:ascii="Arial" w:hAnsi="Arial" w:cs="Arial"/>
                <w:sz w:val="16"/>
                <w:szCs w:val="16"/>
              </w:rPr>
              <w:t>test</w:t>
            </w:r>
            <w:proofErr w:type="gramEnd"/>
          </w:p>
          <w:p w14:paraId="3BB3780B" w14:textId="77777777" w:rsidR="005B43C1" w:rsidRPr="00103A0B" w:rsidRDefault="005B43C1" w:rsidP="00CD5919">
            <w:pPr>
              <w:jc w:val="both"/>
              <w:rPr>
                <w:rFonts w:ascii="Arial" w:hAnsi="Arial" w:cs="Arial"/>
                <w:sz w:val="16"/>
                <w:szCs w:val="16"/>
              </w:rPr>
            </w:pPr>
          </w:p>
          <w:p w14:paraId="6F11002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11 in the prediabetes range </w:t>
            </w:r>
          </w:p>
          <w:p w14:paraId="7A3FE747" w14:textId="77777777" w:rsidR="005B43C1" w:rsidRPr="00103A0B" w:rsidRDefault="005B43C1" w:rsidP="00CD5919">
            <w:pPr>
              <w:jc w:val="both"/>
              <w:rPr>
                <w:rFonts w:ascii="Arial" w:hAnsi="Arial" w:cs="Arial"/>
                <w:sz w:val="16"/>
                <w:szCs w:val="16"/>
              </w:rPr>
            </w:pPr>
          </w:p>
          <w:p w14:paraId="00988C9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10 agreed to participate in </w:t>
            </w:r>
            <w:proofErr w:type="gramStart"/>
            <w:r w:rsidRPr="00103A0B">
              <w:rPr>
                <w:rFonts w:ascii="Arial" w:hAnsi="Arial" w:cs="Arial"/>
                <w:sz w:val="16"/>
                <w:szCs w:val="16"/>
              </w:rPr>
              <w:t>program</w:t>
            </w:r>
            <w:proofErr w:type="gramEnd"/>
          </w:p>
          <w:p w14:paraId="7756A285" w14:textId="77777777" w:rsidR="005B43C1" w:rsidRPr="00103A0B" w:rsidRDefault="005B43C1" w:rsidP="00CD5919">
            <w:pPr>
              <w:jc w:val="both"/>
              <w:rPr>
                <w:rFonts w:ascii="Arial" w:hAnsi="Arial" w:cs="Arial"/>
                <w:sz w:val="16"/>
                <w:szCs w:val="16"/>
              </w:rPr>
            </w:pPr>
          </w:p>
          <w:p w14:paraId="51A5B97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Uptake=90.00% </w:t>
            </w:r>
          </w:p>
          <w:p w14:paraId="5DC8AD85" w14:textId="77777777" w:rsidR="005B43C1" w:rsidRPr="00103A0B" w:rsidRDefault="005B43C1" w:rsidP="00CD5919">
            <w:pPr>
              <w:jc w:val="both"/>
              <w:rPr>
                <w:rFonts w:ascii="Arial" w:hAnsi="Arial" w:cs="Arial"/>
                <w:sz w:val="16"/>
                <w:szCs w:val="16"/>
              </w:rPr>
            </w:pPr>
          </w:p>
          <w:p w14:paraId="76B5B65B" w14:textId="77777777" w:rsidR="005B43C1" w:rsidRPr="00103A0B" w:rsidRDefault="005B43C1" w:rsidP="00CD5919">
            <w:pPr>
              <w:jc w:val="both"/>
              <w:rPr>
                <w:rFonts w:ascii="Arial" w:hAnsi="Arial" w:cs="Arial"/>
                <w:sz w:val="16"/>
                <w:szCs w:val="16"/>
              </w:rPr>
            </w:pPr>
          </w:p>
          <w:p w14:paraId="3421C89B" w14:textId="77777777" w:rsidR="005B43C1" w:rsidRPr="00103A0B" w:rsidRDefault="005B43C1" w:rsidP="00CD5919">
            <w:pPr>
              <w:jc w:val="both"/>
              <w:rPr>
                <w:rFonts w:ascii="Arial" w:hAnsi="Arial" w:cs="Arial"/>
                <w:sz w:val="16"/>
                <w:szCs w:val="16"/>
              </w:rPr>
            </w:pPr>
          </w:p>
          <w:p w14:paraId="0F19AC6A" w14:textId="77777777" w:rsidR="005B43C1" w:rsidRPr="00103A0B" w:rsidRDefault="005B43C1" w:rsidP="00CD5919">
            <w:pPr>
              <w:jc w:val="both"/>
              <w:rPr>
                <w:rFonts w:ascii="Arial" w:hAnsi="Arial" w:cs="Arial"/>
                <w:sz w:val="16"/>
                <w:szCs w:val="16"/>
              </w:rPr>
            </w:pPr>
          </w:p>
        </w:tc>
        <w:tc>
          <w:tcPr>
            <w:tcW w:w="1564" w:type="dxa"/>
          </w:tcPr>
          <w:p w14:paraId="66F82AA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Data collected on 9 P`s at both </w:t>
            </w:r>
            <w:proofErr w:type="gramStart"/>
            <w:r w:rsidRPr="00103A0B">
              <w:rPr>
                <w:rFonts w:ascii="Arial" w:hAnsi="Arial" w:cs="Arial"/>
                <w:sz w:val="16"/>
                <w:szCs w:val="16"/>
              </w:rPr>
              <w:t>follow-ups</w:t>
            </w:r>
            <w:proofErr w:type="gramEnd"/>
            <w:r w:rsidRPr="00103A0B">
              <w:rPr>
                <w:rFonts w:ascii="Arial" w:hAnsi="Arial" w:cs="Arial"/>
                <w:sz w:val="16"/>
                <w:szCs w:val="16"/>
              </w:rPr>
              <w:t xml:space="preserve"> </w:t>
            </w:r>
          </w:p>
          <w:p w14:paraId="598877AB" w14:textId="77777777" w:rsidR="005B43C1" w:rsidRPr="00103A0B" w:rsidRDefault="005B43C1" w:rsidP="00CD5919">
            <w:pPr>
              <w:jc w:val="both"/>
              <w:rPr>
                <w:rFonts w:ascii="Arial" w:hAnsi="Arial" w:cs="Arial"/>
                <w:sz w:val="16"/>
                <w:szCs w:val="16"/>
              </w:rPr>
            </w:pPr>
          </w:p>
          <w:p w14:paraId="6363CDC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DO=10% </w:t>
            </w:r>
          </w:p>
          <w:p w14:paraId="06D9883C" w14:textId="77777777" w:rsidR="005B43C1" w:rsidRPr="00103A0B" w:rsidRDefault="005B43C1" w:rsidP="00CD5919">
            <w:pPr>
              <w:jc w:val="both"/>
              <w:rPr>
                <w:rFonts w:ascii="Arial" w:hAnsi="Arial" w:cs="Arial"/>
                <w:sz w:val="16"/>
                <w:szCs w:val="16"/>
              </w:rPr>
            </w:pPr>
          </w:p>
          <w:p w14:paraId="624C29D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90% </w:t>
            </w:r>
          </w:p>
        </w:tc>
      </w:tr>
      <w:tr w:rsidR="005B43C1" w:rsidRPr="00103A0B" w14:paraId="3678EDB3" w14:textId="77777777" w:rsidTr="005B43C1">
        <w:trPr>
          <w:trHeight w:val="144"/>
        </w:trPr>
        <w:tc>
          <w:tcPr>
            <w:tcW w:w="1232" w:type="dxa"/>
          </w:tcPr>
          <w:p w14:paraId="133A0766"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Duijzer</w:t>
            </w:r>
            <w:proofErr w:type="spellEnd"/>
            <w:r w:rsidRPr="00103A0B">
              <w:rPr>
                <w:rFonts w:ascii="Arial" w:hAnsi="Arial" w:cs="Arial"/>
                <w:sz w:val="16"/>
                <w:szCs w:val="16"/>
              </w:rPr>
              <w:t xml:space="preserve"> et al. (2017)</w:t>
            </w:r>
          </w:p>
          <w:p w14:paraId="343A8522" w14:textId="77777777" w:rsidR="005B43C1" w:rsidRPr="00103A0B" w:rsidRDefault="005B43C1" w:rsidP="00CD5919">
            <w:pPr>
              <w:jc w:val="both"/>
              <w:rPr>
                <w:rFonts w:ascii="Arial" w:hAnsi="Arial" w:cs="Arial"/>
                <w:sz w:val="16"/>
                <w:szCs w:val="16"/>
              </w:rPr>
            </w:pPr>
          </w:p>
          <w:p w14:paraId="4412423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w:t>
            </w:r>
            <w:proofErr w:type="spellStart"/>
            <w:r w:rsidRPr="00103A0B">
              <w:rPr>
                <w:rFonts w:ascii="Arial" w:hAnsi="Arial" w:cs="Arial"/>
                <w:sz w:val="16"/>
                <w:szCs w:val="16"/>
              </w:rPr>
              <w:t>Duijzer</w:t>
            </w:r>
            <w:proofErr w:type="spellEnd"/>
            <w:r w:rsidRPr="00103A0B">
              <w:rPr>
                <w:rFonts w:ascii="Arial" w:hAnsi="Arial" w:cs="Arial"/>
                <w:sz w:val="16"/>
                <w:szCs w:val="16"/>
              </w:rPr>
              <w:t xml:space="preserve"> et al, 2014) </w:t>
            </w:r>
          </w:p>
          <w:p w14:paraId="0B832228" w14:textId="77777777" w:rsidR="005B43C1" w:rsidRPr="00103A0B" w:rsidRDefault="005B43C1" w:rsidP="00CD5919">
            <w:pPr>
              <w:jc w:val="both"/>
              <w:rPr>
                <w:rFonts w:ascii="Arial" w:hAnsi="Arial" w:cs="Arial"/>
                <w:sz w:val="16"/>
                <w:szCs w:val="16"/>
              </w:rPr>
            </w:pPr>
          </w:p>
        </w:tc>
        <w:tc>
          <w:tcPr>
            <w:tcW w:w="1284" w:type="dxa"/>
          </w:tcPr>
          <w:p w14:paraId="40C21AC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Netherlands </w:t>
            </w:r>
          </w:p>
        </w:tc>
        <w:tc>
          <w:tcPr>
            <w:tcW w:w="1316" w:type="dxa"/>
            <w:gridSpan w:val="2"/>
          </w:tcPr>
          <w:p w14:paraId="7189C0E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Randomized control study</w:t>
            </w:r>
          </w:p>
          <w:p w14:paraId="4CBAF0E8" w14:textId="77777777" w:rsidR="005B43C1" w:rsidRPr="00103A0B" w:rsidRDefault="005B43C1" w:rsidP="00CD5919">
            <w:pPr>
              <w:jc w:val="both"/>
              <w:rPr>
                <w:rFonts w:ascii="Arial" w:hAnsi="Arial" w:cs="Arial"/>
                <w:sz w:val="16"/>
                <w:szCs w:val="16"/>
              </w:rPr>
            </w:pPr>
          </w:p>
          <w:p w14:paraId="3AB8BFB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Dutch public health and primary healthcare, GP </w:t>
            </w:r>
            <w:proofErr w:type="gramStart"/>
            <w:r w:rsidRPr="00103A0B">
              <w:rPr>
                <w:rFonts w:ascii="Arial" w:hAnsi="Arial" w:cs="Arial"/>
                <w:sz w:val="16"/>
                <w:szCs w:val="16"/>
              </w:rPr>
              <w:t>Practices</w:t>
            </w:r>
            <w:proofErr w:type="gramEnd"/>
            <w:r w:rsidRPr="00103A0B">
              <w:rPr>
                <w:rFonts w:ascii="Arial" w:hAnsi="Arial" w:cs="Arial"/>
                <w:sz w:val="16"/>
                <w:szCs w:val="16"/>
              </w:rPr>
              <w:t xml:space="preserve"> and sports clubs </w:t>
            </w:r>
          </w:p>
          <w:p w14:paraId="5CA065C3" w14:textId="77777777" w:rsidR="005B43C1" w:rsidRPr="00103A0B" w:rsidRDefault="005B43C1" w:rsidP="00CD5919">
            <w:pPr>
              <w:jc w:val="both"/>
              <w:rPr>
                <w:rFonts w:ascii="Arial" w:hAnsi="Arial" w:cs="Arial"/>
                <w:sz w:val="16"/>
                <w:szCs w:val="16"/>
              </w:rPr>
            </w:pPr>
          </w:p>
        </w:tc>
        <w:tc>
          <w:tcPr>
            <w:tcW w:w="2405" w:type="dxa"/>
          </w:tcPr>
          <w:p w14:paraId="106CDB3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SLIMMER combined lifestyle 10-month intervention. Dietary intervention: 5-8 individual sessions and 1 group session. PA intervention: weekly group based combined aerobic and resistance training sessions (average 38 sports lessons per P). Three months maintenance phase: sports clinics, meetings and return session with PA </w:t>
            </w:r>
            <w:proofErr w:type="gramStart"/>
            <w:r w:rsidRPr="00103A0B">
              <w:rPr>
                <w:rFonts w:ascii="Arial" w:hAnsi="Arial" w:cs="Arial"/>
                <w:sz w:val="16"/>
                <w:szCs w:val="16"/>
              </w:rPr>
              <w:t>group</w:t>
            </w:r>
            <w:proofErr w:type="gramEnd"/>
            <w:r w:rsidRPr="00103A0B">
              <w:rPr>
                <w:rFonts w:ascii="Arial" w:hAnsi="Arial" w:cs="Arial"/>
                <w:sz w:val="16"/>
                <w:szCs w:val="16"/>
              </w:rPr>
              <w:t xml:space="preserve"> </w:t>
            </w:r>
          </w:p>
          <w:p w14:paraId="3B225346" w14:textId="77777777" w:rsidR="005B43C1" w:rsidRPr="00103A0B" w:rsidRDefault="005B43C1" w:rsidP="00CD5919">
            <w:pPr>
              <w:jc w:val="both"/>
              <w:rPr>
                <w:rFonts w:ascii="Arial" w:hAnsi="Arial" w:cs="Arial"/>
                <w:sz w:val="16"/>
                <w:szCs w:val="16"/>
              </w:rPr>
            </w:pPr>
          </w:p>
          <w:p w14:paraId="2EE1882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1D315DAB" w14:textId="77777777" w:rsidR="005B43C1" w:rsidRPr="00103A0B" w:rsidRDefault="005B43C1" w:rsidP="00CD5919">
            <w:pPr>
              <w:jc w:val="both"/>
              <w:rPr>
                <w:rFonts w:ascii="Arial" w:hAnsi="Arial" w:cs="Arial"/>
                <w:sz w:val="16"/>
                <w:szCs w:val="16"/>
              </w:rPr>
            </w:pPr>
          </w:p>
        </w:tc>
        <w:tc>
          <w:tcPr>
            <w:tcW w:w="1560" w:type="dxa"/>
          </w:tcPr>
          <w:p w14:paraId="09E33B9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 intervention; 6 months  </w:t>
            </w:r>
          </w:p>
        </w:tc>
        <w:tc>
          <w:tcPr>
            <w:tcW w:w="2063" w:type="dxa"/>
          </w:tcPr>
          <w:p w14:paraId="6D72F5B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Identified from patient registration database- electronic medical </w:t>
            </w:r>
            <w:proofErr w:type="gramStart"/>
            <w:r w:rsidRPr="00103A0B">
              <w:rPr>
                <w:rFonts w:ascii="Arial" w:hAnsi="Arial" w:cs="Arial"/>
                <w:sz w:val="16"/>
                <w:szCs w:val="16"/>
              </w:rPr>
              <w:t>records</w:t>
            </w:r>
            <w:proofErr w:type="gramEnd"/>
            <w:r w:rsidRPr="00103A0B">
              <w:rPr>
                <w:rFonts w:ascii="Arial" w:hAnsi="Arial" w:cs="Arial"/>
                <w:sz w:val="16"/>
                <w:szCs w:val="16"/>
              </w:rPr>
              <w:t xml:space="preserve"> </w:t>
            </w:r>
          </w:p>
          <w:p w14:paraId="6E4934BC" w14:textId="77777777" w:rsidR="005B43C1" w:rsidRPr="00103A0B" w:rsidRDefault="005B43C1" w:rsidP="00CD5919">
            <w:pPr>
              <w:jc w:val="both"/>
              <w:rPr>
                <w:rFonts w:ascii="Arial" w:hAnsi="Arial" w:cs="Arial"/>
                <w:sz w:val="16"/>
                <w:szCs w:val="16"/>
              </w:rPr>
            </w:pPr>
          </w:p>
          <w:p w14:paraId="0979069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w:t>
            </w:r>
          </w:p>
        </w:tc>
        <w:tc>
          <w:tcPr>
            <w:tcW w:w="0" w:type="auto"/>
          </w:tcPr>
          <w:p w14:paraId="02FF615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Adults aged 40-70 years without diabetes </w:t>
            </w:r>
            <w:proofErr w:type="gramStart"/>
            <w:r w:rsidRPr="00103A0B">
              <w:rPr>
                <w:rFonts w:ascii="Arial" w:hAnsi="Arial" w:cs="Arial"/>
                <w:sz w:val="16"/>
                <w:szCs w:val="16"/>
              </w:rPr>
              <w:t>mellitus</w:t>
            </w:r>
            <w:proofErr w:type="gramEnd"/>
            <w:r w:rsidRPr="00103A0B">
              <w:rPr>
                <w:rFonts w:ascii="Arial" w:hAnsi="Arial" w:cs="Arial"/>
                <w:sz w:val="16"/>
                <w:szCs w:val="16"/>
              </w:rPr>
              <w:t xml:space="preserve"> </w:t>
            </w:r>
          </w:p>
          <w:p w14:paraId="1A4547AE" w14:textId="77777777" w:rsidR="005B43C1" w:rsidRPr="00103A0B" w:rsidRDefault="005B43C1" w:rsidP="00CD5919">
            <w:pPr>
              <w:jc w:val="both"/>
              <w:rPr>
                <w:rFonts w:ascii="Arial" w:hAnsi="Arial" w:cs="Arial"/>
                <w:sz w:val="16"/>
                <w:szCs w:val="16"/>
              </w:rPr>
            </w:pPr>
          </w:p>
          <w:p w14:paraId="6EDB9D3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For 139 intervention P`s: </w:t>
            </w:r>
          </w:p>
          <w:p w14:paraId="7A2BA1B1" w14:textId="77777777" w:rsidR="005B43C1" w:rsidRPr="00103A0B" w:rsidRDefault="005B43C1" w:rsidP="00CD5919">
            <w:pPr>
              <w:jc w:val="both"/>
              <w:rPr>
                <w:rFonts w:ascii="Arial" w:hAnsi="Arial" w:cs="Arial"/>
                <w:sz w:val="16"/>
                <w:szCs w:val="16"/>
              </w:rPr>
            </w:pPr>
          </w:p>
          <w:p w14:paraId="76E70B9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Mean age: 61.1 (6.1) </w:t>
            </w:r>
            <w:proofErr w:type="gramStart"/>
            <w:r w:rsidRPr="00103A0B">
              <w:rPr>
                <w:rFonts w:ascii="Arial" w:hAnsi="Arial" w:cs="Arial"/>
                <w:sz w:val="16"/>
                <w:szCs w:val="16"/>
              </w:rPr>
              <w:t>years</w:t>
            </w:r>
            <w:proofErr w:type="gramEnd"/>
            <w:r w:rsidRPr="00103A0B">
              <w:rPr>
                <w:rFonts w:ascii="Arial" w:hAnsi="Arial" w:cs="Arial"/>
                <w:sz w:val="16"/>
                <w:szCs w:val="16"/>
              </w:rPr>
              <w:t xml:space="preserve"> </w:t>
            </w:r>
          </w:p>
          <w:p w14:paraId="18B4AFA5" w14:textId="77777777" w:rsidR="005B43C1" w:rsidRPr="00103A0B" w:rsidRDefault="005B43C1" w:rsidP="00CD5919">
            <w:pPr>
              <w:jc w:val="both"/>
              <w:rPr>
                <w:rFonts w:ascii="Arial" w:hAnsi="Arial" w:cs="Arial"/>
                <w:sz w:val="16"/>
                <w:szCs w:val="16"/>
              </w:rPr>
            </w:pPr>
          </w:p>
          <w:p w14:paraId="66C3164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54% male, 46% female </w:t>
            </w:r>
          </w:p>
          <w:p w14:paraId="653B34C7" w14:textId="77777777" w:rsidR="005B43C1" w:rsidRPr="00103A0B" w:rsidRDefault="005B43C1" w:rsidP="00CD5919">
            <w:pPr>
              <w:jc w:val="both"/>
              <w:rPr>
                <w:rFonts w:ascii="Arial" w:hAnsi="Arial" w:cs="Arial"/>
                <w:sz w:val="16"/>
                <w:szCs w:val="16"/>
              </w:rPr>
            </w:pPr>
          </w:p>
          <w:p w14:paraId="2B64A7F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88% Dutch, 9% western non-Dutch, 3% non-western non-Dutch </w:t>
            </w:r>
          </w:p>
        </w:tc>
        <w:tc>
          <w:tcPr>
            <w:tcW w:w="1588" w:type="dxa"/>
          </w:tcPr>
          <w:p w14:paraId="4F8C50E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1009 P`s initially identified from patient registration database, 590 fulfilled criteria and invited to </w:t>
            </w:r>
            <w:proofErr w:type="gramStart"/>
            <w:r w:rsidRPr="00103A0B">
              <w:rPr>
                <w:rFonts w:ascii="Arial" w:hAnsi="Arial" w:cs="Arial"/>
                <w:sz w:val="16"/>
                <w:szCs w:val="16"/>
              </w:rPr>
              <w:t>participate</w:t>
            </w:r>
            <w:proofErr w:type="gramEnd"/>
          </w:p>
          <w:p w14:paraId="55085ACD" w14:textId="77777777" w:rsidR="005B43C1" w:rsidRPr="00103A0B" w:rsidRDefault="005B43C1" w:rsidP="00CD5919">
            <w:pPr>
              <w:jc w:val="both"/>
              <w:rPr>
                <w:rFonts w:ascii="Arial" w:hAnsi="Arial" w:cs="Arial"/>
                <w:sz w:val="16"/>
                <w:szCs w:val="16"/>
              </w:rPr>
            </w:pPr>
          </w:p>
          <w:p w14:paraId="3C903CB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316 P`s randomised after baseline </w:t>
            </w:r>
            <w:proofErr w:type="gramStart"/>
            <w:r w:rsidRPr="00103A0B">
              <w:rPr>
                <w:rFonts w:ascii="Arial" w:hAnsi="Arial" w:cs="Arial"/>
                <w:sz w:val="16"/>
                <w:szCs w:val="16"/>
              </w:rPr>
              <w:t>measurement</w:t>
            </w:r>
            <w:proofErr w:type="gramEnd"/>
            <w:r w:rsidRPr="00103A0B">
              <w:rPr>
                <w:rFonts w:ascii="Arial" w:hAnsi="Arial" w:cs="Arial"/>
                <w:sz w:val="16"/>
                <w:szCs w:val="16"/>
              </w:rPr>
              <w:t xml:space="preserve"> </w:t>
            </w:r>
          </w:p>
          <w:p w14:paraId="04772FCD" w14:textId="77777777" w:rsidR="005B43C1" w:rsidRPr="00103A0B" w:rsidRDefault="005B43C1" w:rsidP="00CD5919">
            <w:pPr>
              <w:jc w:val="both"/>
              <w:rPr>
                <w:rFonts w:ascii="Arial" w:hAnsi="Arial" w:cs="Arial"/>
                <w:sz w:val="16"/>
                <w:szCs w:val="16"/>
              </w:rPr>
            </w:pPr>
          </w:p>
          <w:p w14:paraId="6B7178B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RR= 53.56%  </w:t>
            </w:r>
          </w:p>
          <w:p w14:paraId="7B316CAE" w14:textId="77777777" w:rsidR="005B43C1" w:rsidRPr="00103A0B" w:rsidRDefault="005B43C1" w:rsidP="00CD5919">
            <w:pPr>
              <w:jc w:val="both"/>
              <w:rPr>
                <w:rFonts w:ascii="Arial" w:hAnsi="Arial" w:cs="Arial"/>
                <w:sz w:val="16"/>
                <w:szCs w:val="16"/>
              </w:rPr>
            </w:pPr>
          </w:p>
          <w:p w14:paraId="32234BD1" w14:textId="77777777" w:rsidR="005B43C1" w:rsidRPr="00103A0B" w:rsidRDefault="005B43C1" w:rsidP="00CD5919">
            <w:pPr>
              <w:jc w:val="both"/>
              <w:rPr>
                <w:rFonts w:ascii="Arial" w:hAnsi="Arial" w:cs="Arial"/>
                <w:sz w:val="16"/>
                <w:szCs w:val="16"/>
              </w:rPr>
            </w:pPr>
          </w:p>
        </w:tc>
        <w:tc>
          <w:tcPr>
            <w:tcW w:w="1360" w:type="dxa"/>
          </w:tcPr>
          <w:p w14:paraId="0F206D7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155 P`s started the intervention group at baseline (but in the baseline table n=139-actually started) </w:t>
            </w:r>
          </w:p>
          <w:p w14:paraId="6A142E38" w14:textId="77777777" w:rsidR="005B43C1" w:rsidRPr="00103A0B" w:rsidRDefault="005B43C1" w:rsidP="00CD5919">
            <w:pPr>
              <w:jc w:val="both"/>
              <w:rPr>
                <w:rFonts w:ascii="Arial" w:hAnsi="Arial" w:cs="Arial"/>
                <w:sz w:val="16"/>
                <w:szCs w:val="16"/>
              </w:rPr>
            </w:pPr>
          </w:p>
          <w:p w14:paraId="233DF8D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Uptake= 89.68% </w:t>
            </w:r>
          </w:p>
        </w:tc>
        <w:tc>
          <w:tcPr>
            <w:tcW w:w="1564" w:type="dxa"/>
          </w:tcPr>
          <w:p w14:paraId="1B7FB8B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 the table, 118 P`s from baseline-18 months </w:t>
            </w:r>
          </w:p>
          <w:p w14:paraId="0DDE9E00" w14:textId="77777777" w:rsidR="005B43C1" w:rsidRPr="00103A0B" w:rsidRDefault="005B43C1" w:rsidP="00CD5919">
            <w:pPr>
              <w:jc w:val="both"/>
              <w:rPr>
                <w:rFonts w:ascii="Arial" w:hAnsi="Arial" w:cs="Arial"/>
                <w:sz w:val="16"/>
                <w:szCs w:val="16"/>
              </w:rPr>
            </w:pPr>
          </w:p>
          <w:p w14:paraId="3060251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Retention=84.89% </w:t>
            </w:r>
          </w:p>
        </w:tc>
      </w:tr>
      <w:tr w:rsidR="005B43C1" w:rsidRPr="00103A0B" w14:paraId="4A6B9282" w14:textId="77777777" w:rsidTr="005B43C1">
        <w:trPr>
          <w:trHeight w:val="144"/>
        </w:trPr>
        <w:tc>
          <w:tcPr>
            <w:tcW w:w="1232" w:type="dxa"/>
          </w:tcPr>
          <w:p w14:paraId="5843B42F"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Fianu</w:t>
            </w:r>
            <w:proofErr w:type="spellEnd"/>
            <w:r w:rsidRPr="00103A0B">
              <w:rPr>
                <w:rFonts w:ascii="Arial" w:hAnsi="Arial" w:cs="Arial"/>
                <w:sz w:val="16"/>
                <w:szCs w:val="16"/>
              </w:rPr>
              <w:t xml:space="preserve"> et al. (2016)</w:t>
            </w:r>
          </w:p>
          <w:p w14:paraId="386445D8" w14:textId="77777777" w:rsidR="005B43C1" w:rsidRPr="00103A0B" w:rsidRDefault="005B43C1" w:rsidP="00CD5919">
            <w:pPr>
              <w:jc w:val="both"/>
              <w:rPr>
                <w:rFonts w:ascii="Arial" w:hAnsi="Arial" w:cs="Arial"/>
                <w:sz w:val="16"/>
                <w:szCs w:val="16"/>
              </w:rPr>
            </w:pPr>
          </w:p>
          <w:p w14:paraId="79D82FF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(Favier et al, 2005)</w:t>
            </w:r>
          </w:p>
          <w:p w14:paraId="75B59915" w14:textId="77777777" w:rsidR="005B43C1" w:rsidRPr="00103A0B" w:rsidRDefault="005B43C1" w:rsidP="00CD5919">
            <w:pPr>
              <w:jc w:val="both"/>
              <w:rPr>
                <w:rFonts w:ascii="Arial" w:hAnsi="Arial" w:cs="Arial"/>
                <w:sz w:val="16"/>
                <w:szCs w:val="16"/>
              </w:rPr>
            </w:pPr>
          </w:p>
        </w:tc>
        <w:tc>
          <w:tcPr>
            <w:tcW w:w="1284" w:type="dxa"/>
          </w:tcPr>
          <w:p w14:paraId="52BE9FD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Reunion Island (French territory) </w:t>
            </w:r>
            <w:proofErr w:type="gramStart"/>
            <w:r w:rsidRPr="00103A0B">
              <w:rPr>
                <w:rFonts w:ascii="Arial" w:hAnsi="Arial" w:cs="Arial"/>
                <w:sz w:val="16"/>
                <w:szCs w:val="16"/>
              </w:rPr>
              <w:t>south west</w:t>
            </w:r>
            <w:proofErr w:type="gramEnd"/>
            <w:r w:rsidRPr="00103A0B">
              <w:rPr>
                <w:rFonts w:ascii="Arial" w:hAnsi="Arial" w:cs="Arial"/>
                <w:sz w:val="16"/>
                <w:szCs w:val="16"/>
              </w:rPr>
              <w:t xml:space="preserve"> Indian ocean) </w:t>
            </w:r>
          </w:p>
        </w:tc>
        <w:tc>
          <w:tcPr>
            <w:tcW w:w="1316" w:type="dxa"/>
            <w:gridSpan w:val="2"/>
          </w:tcPr>
          <w:p w14:paraId="76077DA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Follow up study of REDIA-prev1 cohort study- quasi-experimental design </w:t>
            </w:r>
          </w:p>
        </w:tc>
        <w:tc>
          <w:tcPr>
            <w:tcW w:w="2405" w:type="dxa"/>
          </w:tcPr>
          <w:p w14:paraId="186D765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Time &amp; frequency: Group walks around the neighbourhood (2 hours long on average, 3 times a week, 68 sessions in total) and hikes (9 of them, 4-6 hours long, occurring roughly once a month), over 1 year. Support groups that allow P`s to express their questions on nutrition, physical activity, the </w:t>
            </w:r>
            <w:proofErr w:type="gramStart"/>
            <w:r w:rsidRPr="00103A0B">
              <w:rPr>
                <w:rFonts w:ascii="Arial" w:hAnsi="Arial" w:cs="Arial"/>
                <w:sz w:val="16"/>
                <w:szCs w:val="16"/>
              </w:rPr>
              <w:t>body</w:t>
            </w:r>
            <w:proofErr w:type="gramEnd"/>
            <w:r w:rsidRPr="00103A0B">
              <w:rPr>
                <w:rFonts w:ascii="Arial" w:hAnsi="Arial" w:cs="Arial"/>
                <w:sz w:val="16"/>
                <w:szCs w:val="16"/>
              </w:rPr>
              <w:t xml:space="preserve"> and health (6 in total).</w:t>
            </w:r>
          </w:p>
          <w:p w14:paraId="3A61EACE" w14:textId="77777777" w:rsidR="005B43C1" w:rsidRPr="00103A0B" w:rsidRDefault="005B43C1" w:rsidP="00CD5919">
            <w:pPr>
              <w:jc w:val="both"/>
              <w:rPr>
                <w:rFonts w:ascii="Arial" w:hAnsi="Arial" w:cs="Arial"/>
                <w:sz w:val="16"/>
                <w:szCs w:val="16"/>
              </w:rPr>
            </w:pPr>
          </w:p>
          <w:p w14:paraId="5979BCB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2E48ED07" w14:textId="77777777" w:rsidR="005B43C1" w:rsidRPr="00103A0B" w:rsidRDefault="005B43C1" w:rsidP="00CD5919">
            <w:pPr>
              <w:jc w:val="both"/>
              <w:rPr>
                <w:rFonts w:ascii="Arial" w:hAnsi="Arial" w:cs="Arial"/>
                <w:sz w:val="16"/>
                <w:szCs w:val="16"/>
              </w:rPr>
            </w:pPr>
          </w:p>
        </w:tc>
        <w:tc>
          <w:tcPr>
            <w:tcW w:w="1560" w:type="dxa"/>
          </w:tcPr>
          <w:p w14:paraId="3EBA02C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7 years </w:t>
            </w:r>
          </w:p>
        </w:tc>
        <w:tc>
          <w:tcPr>
            <w:tcW w:w="2063" w:type="dxa"/>
          </w:tcPr>
          <w:p w14:paraId="01087E7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Informed of workshops during screening, with reminders sent by mail or telephone </w:t>
            </w:r>
          </w:p>
        </w:tc>
        <w:tc>
          <w:tcPr>
            <w:tcW w:w="0" w:type="auto"/>
          </w:tcPr>
          <w:p w14:paraId="3DE807E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Men and</w:t>
            </w:r>
          </w:p>
          <w:p w14:paraId="0983E1A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women, aged 18–40,</w:t>
            </w:r>
          </w:p>
          <w:p w14:paraId="237422C7" w14:textId="77777777" w:rsidR="005B43C1" w:rsidRPr="00103A0B" w:rsidRDefault="005B43C1" w:rsidP="00CD5919">
            <w:pPr>
              <w:jc w:val="both"/>
              <w:rPr>
                <w:rFonts w:ascii="Arial" w:hAnsi="Arial" w:cs="Arial"/>
                <w:sz w:val="16"/>
                <w:szCs w:val="16"/>
              </w:rPr>
            </w:pPr>
          </w:p>
          <w:p w14:paraId="3966E9B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Median age: 33 years</w:t>
            </w:r>
          </w:p>
          <w:p w14:paraId="3C21A90A" w14:textId="77777777" w:rsidR="005B43C1" w:rsidRPr="00103A0B" w:rsidRDefault="005B43C1" w:rsidP="00CD5919">
            <w:pPr>
              <w:jc w:val="both"/>
              <w:rPr>
                <w:rFonts w:ascii="Arial" w:hAnsi="Arial" w:cs="Arial"/>
                <w:sz w:val="16"/>
                <w:szCs w:val="16"/>
              </w:rPr>
            </w:pPr>
          </w:p>
          <w:p w14:paraId="725EB30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Gender: 74% women, 26% men</w:t>
            </w:r>
          </w:p>
          <w:p w14:paraId="36062D6B" w14:textId="77777777" w:rsidR="005B43C1" w:rsidRPr="00103A0B" w:rsidRDefault="005B43C1" w:rsidP="00CD5919">
            <w:pPr>
              <w:jc w:val="both"/>
              <w:rPr>
                <w:rFonts w:ascii="Arial" w:hAnsi="Arial" w:cs="Arial"/>
                <w:sz w:val="16"/>
                <w:szCs w:val="16"/>
              </w:rPr>
            </w:pPr>
          </w:p>
          <w:p w14:paraId="260925A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NS  </w:t>
            </w:r>
          </w:p>
        </w:tc>
        <w:tc>
          <w:tcPr>
            <w:tcW w:w="1588" w:type="dxa"/>
          </w:tcPr>
          <w:p w14:paraId="47F76CD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7A1630E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212 in the intervention group and 227 in the control group.</w:t>
            </w:r>
          </w:p>
          <w:p w14:paraId="405F7A8B" w14:textId="77777777" w:rsidR="005B43C1" w:rsidRPr="00103A0B" w:rsidRDefault="005B43C1" w:rsidP="00CD5919">
            <w:pPr>
              <w:jc w:val="both"/>
              <w:rPr>
                <w:rFonts w:ascii="Arial" w:hAnsi="Arial" w:cs="Arial"/>
                <w:sz w:val="16"/>
                <w:szCs w:val="16"/>
              </w:rPr>
            </w:pPr>
          </w:p>
          <w:p w14:paraId="29ECF1F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In the intervention group, 12 secondary exclusions = 200 P`s. Also, 14 refusals (did not start the intervention).</w:t>
            </w:r>
          </w:p>
          <w:p w14:paraId="020ACDC0" w14:textId="77777777" w:rsidR="005B43C1" w:rsidRPr="00103A0B" w:rsidRDefault="005B43C1" w:rsidP="00CD5919">
            <w:pPr>
              <w:jc w:val="both"/>
              <w:rPr>
                <w:rFonts w:ascii="Arial" w:hAnsi="Arial" w:cs="Arial"/>
                <w:sz w:val="16"/>
                <w:szCs w:val="16"/>
              </w:rPr>
            </w:pPr>
          </w:p>
          <w:p w14:paraId="7383E36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Uptake=93.00%</w:t>
            </w:r>
          </w:p>
          <w:p w14:paraId="25B7465A" w14:textId="77777777" w:rsidR="005B43C1" w:rsidRPr="00103A0B" w:rsidRDefault="005B43C1" w:rsidP="00CD5919">
            <w:pPr>
              <w:jc w:val="both"/>
              <w:rPr>
                <w:rFonts w:ascii="Arial" w:hAnsi="Arial" w:cs="Arial"/>
                <w:sz w:val="16"/>
                <w:szCs w:val="16"/>
              </w:rPr>
            </w:pPr>
          </w:p>
        </w:tc>
        <w:tc>
          <w:tcPr>
            <w:tcW w:w="1564" w:type="dxa"/>
          </w:tcPr>
          <w:p w14:paraId="0312BF2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At the end of the intervention, 175 in the intervention group and 176 in the control group. </w:t>
            </w:r>
          </w:p>
          <w:p w14:paraId="013B96C2" w14:textId="77777777" w:rsidR="005B43C1" w:rsidRPr="00103A0B" w:rsidRDefault="005B43C1" w:rsidP="00CD5919">
            <w:pPr>
              <w:jc w:val="both"/>
              <w:rPr>
                <w:rFonts w:ascii="Arial" w:hAnsi="Arial" w:cs="Arial"/>
                <w:sz w:val="16"/>
                <w:szCs w:val="16"/>
              </w:rPr>
            </w:pPr>
          </w:p>
          <w:p w14:paraId="6613395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The 37 subjects not seen in the intervention group were divided into 14 refusals, 11 lost to follow-up and 12 secondary </w:t>
            </w:r>
            <w:proofErr w:type="gramStart"/>
            <w:r w:rsidRPr="00103A0B">
              <w:rPr>
                <w:rFonts w:ascii="Arial" w:hAnsi="Arial" w:cs="Arial"/>
                <w:sz w:val="16"/>
                <w:szCs w:val="16"/>
              </w:rPr>
              <w:t>exclusions</w:t>
            </w:r>
            <w:proofErr w:type="gramEnd"/>
          </w:p>
          <w:p w14:paraId="0A8AA2AD" w14:textId="77777777" w:rsidR="005B43C1" w:rsidRPr="00103A0B" w:rsidRDefault="005B43C1" w:rsidP="00CD5919">
            <w:pPr>
              <w:jc w:val="both"/>
              <w:rPr>
                <w:rFonts w:ascii="Arial" w:hAnsi="Arial" w:cs="Arial"/>
                <w:sz w:val="16"/>
                <w:szCs w:val="16"/>
              </w:rPr>
            </w:pPr>
          </w:p>
          <w:p w14:paraId="038F8DC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 94.09%</w:t>
            </w:r>
          </w:p>
          <w:p w14:paraId="353FF233" w14:textId="77777777" w:rsidR="005B43C1" w:rsidRPr="00103A0B" w:rsidRDefault="005B43C1" w:rsidP="00CD5919">
            <w:pPr>
              <w:jc w:val="both"/>
              <w:rPr>
                <w:rFonts w:ascii="Arial" w:hAnsi="Arial" w:cs="Arial"/>
                <w:sz w:val="16"/>
                <w:szCs w:val="16"/>
              </w:rPr>
            </w:pPr>
          </w:p>
        </w:tc>
      </w:tr>
      <w:tr w:rsidR="005B43C1" w:rsidRPr="00103A0B" w14:paraId="1DFF337E" w14:textId="77777777" w:rsidTr="005B43C1">
        <w:trPr>
          <w:trHeight w:val="144"/>
        </w:trPr>
        <w:tc>
          <w:tcPr>
            <w:tcW w:w="1232" w:type="dxa"/>
          </w:tcPr>
          <w:p w14:paraId="1BE0733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Gagnon et al. (2011) </w:t>
            </w:r>
          </w:p>
          <w:p w14:paraId="0CB11E10" w14:textId="77777777" w:rsidR="005B43C1" w:rsidRPr="00103A0B" w:rsidRDefault="005B43C1" w:rsidP="00CD5919">
            <w:pPr>
              <w:jc w:val="both"/>
              <w:rPr>
                <w:rFonts w:ascii="Arial" w:hAnsi="Arial" w:cs="Arial"/>
                <w:sz w:val="16"/>
                <w:szCs w:val="16"/>
              </w:rPr>
            </w:pPr>
          </w:p>
        </w:tc>
        <w:tc>
          <w:tcPr>
            <w:tcW w:w="1284" w:type="dxa"/>
          </w:tcPr>
          <w:p w14:paraId="01DB02D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Canada</w:t>
            </w:r>
          </w:p>
        </w:tc>
        <w:tc>
          <w:tcPr>
            <w:tcW w:w="1316" w:type="dxa"/>
            <w:gridSpan w:val="2"/>
          </w:tcPr>
          <w:p w14:paraId="4A07A57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Weight management programmes, P`s randomly </w:t>
            </w:r>
            <w:proofErr w:type="gramStart"/>
            <w:r w:rsidRPr="00103A0B">
              <w:rPr>
                <w:rFonts w:ascii="Arial" w:hAnsi="Arial" w:cs="Arial"/>
                <w:sz w:val="16"/>
                <w:szCs w:val="16"/>
              </w:rPr>
              <w:t>assigned</w:t>
            </w:r>
            <w:proofErr w:type="gramEnd"/>
          </w:p>
          <w:p w14:paraId="226410D7" w14:textId="77777777" w:rsidR="005B43C1" w:rsidRPr="00103A0B" w:rsidRDefault="005B43C1" w:rsidP="00CD5919">
            <w:pPr>
              <w:jc w:val="both"/>
              <w:rPr>
                <w:rFonts w:ascii="Arial" w:hAnsi="Arial" w:cs="Arial"/>
                <w:sz w:val="16"/>
                <w:szCs w:val="16"/>
              </w:rPr>
            </w:pPr>
          </w:p>
          <w:p w14:paraId="73E6D893" w14:textId="77777777" w:rsidR="005B43C1" w:rsidRPr="00103A0B" w:rsidRDefault="005B43C1" w:rsidP="00CD5919">
            <w:pPr>
              <w:jc w:val="both"/>
              <w:rPr>
                <w:rFonts w:ascii="Arial" w:hAnsi="Arial" w:cs="Arial"/>
                <w:sz w:val="16"/>
                <w:szCs w:val="16"/>
              </w:rPr>
            </w:pPr>
          </w:p>
          <w:p w14:paraId="7A0F82C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The Centre </w:t>
            </w:r>
            <w:proofErr w:type="spellStart"/>
            <w:r w:rsidRPr="00103A0B">
              <w:rPr>
                <w:rFonts w:ascii="Arial" w:hAnsi="Arial" w:cs="Arial"/>
                <w:sz w:val="16"/>
                <w:szCs w:val="16"/>
              </w:rPr>
              <w:t>hospitalier</w:t>
            </w:r>
            <w:proofErr w:type="spellEnd"/>
            <w:r w:rsidRPr="00103A0B">
              <w:rPr>
                <w:rFonts w:ascii="Arial" w:hAnsi="Arial" w:cs="Arial"/>
                <w:sz w:val="16"/>
                <w:szCs w:val="16"/>
              </w:rPr>
              <w:t xml:space="preserve"> </w:t>
            </w:r>
            <w:proofErr w:type="spellStart"/>
            <w:r w:rsidRPr="00103A0B">
              <w:rPr>
                <w:rFonts w:ascii="Arial" w:hAnsi="Arial" w:cs="Arial"/>
                <w:sz w:val="16"/>
                <w:szCs w:val="16"/>
              </w:rPr>
              <w:t>universitaire</w:t>
            </w:r>
            <w:proofErr w:type="spellEnd"/>
            <w:r w:rsidRPr="00103A0B">
              <w:rPr>
                <w:rFonts w:ascii="Arial" w:hAnsi="Arial" w:cs="Arial"/>
                <w:sz w:val="16"/>
                <w:szCs w:val="16"/>
              </w:rPr>
              <w:t xml:space="preserve"> de Sherbrooke</w:t>
            </w:r>
          </w:p>
          <w:p w14:paraId="4017E9A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(CHUS)</w:t>
            </w:r>
          </w:p>
          <w:p w14:paraId="706A6BED" w14:textId="77777777" w:rsidR="005B43C1" w:rsidRPr="00103A0B" w:rsidRDefault="005B43C1" w:rsidP="00CD5919">
            <w:pPr>
              <w:jc w:val="both"/>
              <w:rPr>
                <w:rFonts w:ascii="Arial" w:hAnsi="Arial" w:cs="Arial"/>
                <w:sz w:val="16"/>
                <w:szCs w:val="16"/>
              </w:rPr>
            </w:pPr>
          </w:p>
        </w:tc>
        <w:tc>
          <w:tcPr>
            <w:tcW w:w="2405" w:type="dxa"/>
          </w:tcPr>
          <w:p w14:paraId="3DBB43E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Time, content: Invited to attend a series of 25 group seminars of 45 minutes’ duration over 1 year covering diet, exercise, behavioural modification, and general information about obesity and lifestyle modification. </w:t>
            </w:r>
          </w:p>
          <w:p w14:paraId="5428E8D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Frequency: P`s enrolled in the group approach were only invited to participate in group seminars every 2 weeks for 1 year</w:t>
            </w:r>
          </w:p>
          <w:p w14:paraId="40790D25" w14:textId="77777777" w:rsidR="005B43C1" w:rsidRPr="00103A0B" w:rsidRDefault="005B43C1" w:rsidP="00CD5919">
            <w:pPr>
              <w:jc w:val="both"/>
              <w:rPr>
                <w:rFonts w:ascii="Arial" w:hAnsi="Arial" w:cs="Arial"/>
                <w:sz w:val="16"/>
                <w:szCs w:val="16"/>
              </w:rPr>
            </w:pPr>
          </w:p>
          <w:p w14:paraId="7EFA0F2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tc>
        <w:tc>
          <w:tcPr>
            <w:tcW w:w="1560" w:type="dxa"/>
          </w:tcPr>
          <w:p w14:paraId="5A23DBF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2CB9ED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Recruited through advertisements or by physicians’ referrals. </w:t>
            </w:r>
          </w:p>
        </w:tc>
        <w:tc>
          <w:tcPr>
            <w:tcW w:w="0" w:type="auto"/>
          </w:tcPr>
          <w:p w14:paraId="73D8CA0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Men and women with prediabetes</w:t>
            </w:r>
          </w:p>
          <w:p w14:paraId="5ECC0EF1" w14:textId="77777777" w:rsidR="005B43C1" w:rsidRPr="00103A0B" w:rsidRDefault="005B43C1" w:rsidP="00CD5919">
            <w:pPr>
              <w:jc w:val="both"/>
              <w:rPr>
                <w:rFonts w:ascii="Arial" w:hAnsi="Arial" w:cs="Arial"/>
                <w:sz w:val="16"/>
                <w:szCs w:val="16"/>
              </w:rPr>
            </w:pPr>
          </w:p>
          <w:p w14:paraId="556612A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Mean age: 56.6 (11.2) </w:t>
            </w:r>
            <w:proofErr w:type="gramStart"/>
            <w:r w:rsidRPr="00103A0B">
              <w:rPr>
                <w:rFonts w:ascii="Arial" w:hAnsi="Arial" w:cs="Arial"/>
                <w:sz w:val="16"/>
                <w:szCs w:val="16"/>
              </w:rPr>
              <w:t>years</w:t>
            </w:r>
            <w:proofErr w:type="gramEnd"/>
          </w:p>
          <w:p w14:paraId="47E5BDF2" w14:textId="77777777" w:rsidR="005B43C1" w:rsidRPr="00103A0B" w:rsidRDefault="005B43C1" w:rsidP="00CD5919">
            <w:pPr>
              <w:jc w:val="both"/>
              <w:rPr>
                <w:rFonts w:ascii="Arial" w:hAnsi="Arial" w:cs="Arial"/>
                <w:sz w:val="16"/>
                <w:szCs w:val="16"/>
              </w:rPr>
            </w:pPr>
          </w:p>
          <w:p w14:paraId="53B4D8B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26 (54%) females; 22 (46%) males </w:t>
            </w:r>
          </w:p>
          <w:p w14:paraId="5BEB8CBF" w14:textId="77777777" w:rsidR="005B43C1" w:rsidRPr="00103A0B" w:rsidRDefault="005B43C1" w:rsidP="00CD5919">
            <w:pPr>
              <w:jc w:val="both"/>
              <w:rPr>
                <w:rFonts w:ascii="Arial" w:hAnsi="Arial" w:cs="Arial"/>
                <w:sz w:val="16"/>
                <w:szCs w:val="16"/>
              </w:rPr>
            </w:pPr>
          </w:p>
          <w:p w14:paraId="16EDA45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100% Caucasian  </w:t>
            </w:r>
          </w:p>
          <w:p w14:paraId="7868439A" w14:textId="77777777" w:rsidR="00F07686" w:rsidRPr="00103A0B" w:rsidRDefault="00F07686" w:rsidP="00CD5919">
            <w:pPr>
              <w:jc w:val="both"/>
              <w:rPr>
                <w:rFonts w:ascii="Arial" w:hAnsi="Arial" w:cs="Arial"/>
                <w:sz w:val="16"/>
                <w:szCs w:val="16"/>
              </w:rPr>
            </w:pPr>
          </w:p>
          <w:p w14:paraId="53B2B461" w14:textId="77777777" w:rsidR="00F07686" w:rsidRPr="00103A0B" w:rsidRDefault="00F07686" w:rsidP="00CD5919">
            <w:pPr>
              <w:jc w:val="both"/>
              <w:rPr>
                <w:rFonts w:ascii="Arial" w:hAnsi="Arial" w:cs="Arial"/>
                <w:sz w:val="16"/>
                <w:szCs w:val="16"/>
              </w:rPr>
            </w:pPr>
          </w:p>
          <w:p w14:paraId="76835D2A" w14:textId="52F67350" w:rsidR="00F07686" w:rsidRPr="00103A0B" w:rsidRDefault="00F07686" w:rsidP="00CD5919">
            <w:pPr>
              <w:jc w:val="both"/>
              <w:rPr>
                <w:rFonts w:ascii="Arial" w:hAnsi="Arial" w:cs="Arial"/>
                <w:sz w:val="16"/>
                <w:szCs w:val="16"/>
              </w:rPr>
            </w:pPr>
          </w:p>
        </w:tc>
        <w:tc>
          <w:tcPr>
            <w:tcW w:w="1588" w:type="dxa"/>
          </w:tcPr>
          <w:p w14:paraId="289A160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3A4C21D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15BA6B3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48 P`s participated (22 individual group and 26 group approach) and 41 completed study (17 in group I and 24 in group G)</w:t>
            </w:r>
          </w:p>
          <w:p w14:paraId="2BB0662A" w14:textId="77777777" w:rsidR="005B43C1" w:rsidRPr="00103A0B" w:rsidRDefault="005B43C1" w:rsidP="00CD5919">
            <w:pPr>
              <w:jc w:val="both"/>
              <w:rPr>
                <w:rFonts w:ascii="Arial" w:hAnsi="Arial" w:cs="Arial"/>
                <w:sz w:val="16"/>
                <w:szCs w:val="16"/>
              </w:rPr>
            </w:pPr>
          </w:p>
          <w:p w14:paraId="294C27C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 92.31%</w:t>
            </w:r>
          </w:p>
          <w:p w14:paraId="699F0B48" w14:textId="77777777" w:rsidR="005B43C1" w:rsidRPr="00103A0B" w:rsidRDefault="005B43C1" w:rsidP="00CD5919">
            <w:pPr>
              <w:jc w:val="both"/>
              <w:rPr>
                <w:rFonts w:ascii="Arial" w:hAnsi="Arial" w:cs="Arial"/>
                <w:sz w:val="16"/>
                <w:szCs w:val="16"/>
              </w:rPr>
            </w:pPr>
          </w:p>
          <w:p w14:paraId="1580AB0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 7.69% (2 P`s) </w:t>
            </w:r>
          </w:p>
          <w:p w14:paraId="042D747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w:t>
            </w:r>
          </w:p>
          <w:p w14:paraId="5EDA0C63" w14:textId="77777777" w:rsidR="005B43C1" w:rsidRPr="00103A0B" w:rsidRDefault="005B43C1" w:rsidP="00CD5919">
            <w:pPr>
              <w:jc w:val="both"/>
              <w:rPr>
                <w:rFonts w:ascii="Arial" w:hAnsi="Arial" w:cs="Arial"/>
                <w:sz w:val="16"/>
                <w:szCs w:val="16"/>
              </w:rPr>
            </w:pPr>
          </w:p>
          <w:p w14:paraId="6E1A2846" w14:textId="77777777" w:rsidR="005B43C1" w:rsidRPr="00103A0B" w:rsidRDefault="005B43C1" w:rsidP="00CD5919">
            <w:pPr>
              <w:jc w:val="both"/>
              <w:rPr>
                <w:rFonts w:ascii="Arial" w:hAnsi="Arial" w:cs="Arial"/>
                <w:sz w:val="16"/>
                <w:szCs w:val="16"/>
              </w:rPr>
            </w:pPr>
          </w:p>
        </w:tc>
      </w:tr>
      <w:tr w:rsidR="005B43C1" w:rsidRPr="00103A0B" w14:paraId="3ABA0388" w14:textId="77777777" w:rsidTr="00F07686">
        <w:trPr>
          <w:trHeight w:val="3148"/>
        </w:trPr>
        <w:tc>
          <w:tcPr>
            <w:tcW w:w="1232" w:type="dxa"/>
          </w:tcPr>
          <w:p w14:paraId="626737BF"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lastRenderedPageBreak/>
              <w:t>Gilis-Januszewska</w:t>
            </w:r>
            <w:proofErr w:type="spellEnd"/>
            <w:r w:rsidRPr="00103A0B">
              <w:rPr>
                <w:rFonts w:ascii="Arial" w:hAnsi="Arial" w:cs="Arial"/>
                <w:sz w:val="16"/>
                <w:szCs w:val="16"/>
              </w:rPr>
              <w:t xml:space="preserve"> et al. (2018) </w:t>
            </w:r>
          </w:p>
          <w:p w14:paraId="2CD28576" w14:textId="77777777" w:rsidR="005B43C1" w:rsidRPr="00103A0B" w:rsidRDefault="005B43C1" w:rsidP="00CD5919">
            <w:pPr>
              <w:jc w:val="both"/>
              <w:rPr>
                <w:rFonts w:ascii="Arial" w:hAnsi="Arial" w:cs="Arial"/>
                <w:b/>
                <w:sz w:val="16"/>
                <w:szCs w:val="16"/>
              </w:rPr>
            </w:pPr>
          </w:p>
          <w:p w14:paraId="2356C90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w:t>
            </w:r>
            <w:proofErr w:type="spellStart"/>
            <w:r w:rsidRPr="00103A0B">
              <w:rPr>
                <w:rFonts w:ascii="Arial" w:hAnsi="Arial" w:cs="Arial"/>
                <w:sz w:val="16"/>
                <w:szCs w:val="16"/>
              </w:rPr>
              <w:t>Gilis-Januszewska</w:t>
            </w:r>
            <w:proofErr w:type="spellEnd"/>
            <w:r w:rsidRPr="00103A0B">
              <w:rPr>
                <w:rFonts w:ascii="Arial" w:hAnsi="Arial" w:cs="Arial"/>
                <w:sz w:val="16"/>
                <w:szCs w:val="16"/>
              </w:rPr>
              <w:t xml:space="preserve"> et al, 2017; </w:t>
            </w:r>
            <w:proofErr w:type="spellStart"/>
            <w:r w:rsidRPr="00103A0B">
              <w:rPr>
                <w:rFonts w:ascii="Arial" w:hAnsi="Arial" w:cs="Arial"/>
                <w:sz w:val="16"/>
                <w:szCs w:val="16"/>
              </w:rPr>
              <w:t>Gilis-Januszewska</w:t>
            </w:r>
            <w:proofErr w:type="spellEnd"/>
            <w:r w:rsidRPr="00103A0B">
              <w:rPr>
                <w:rFonts w:ascii="Arial" w:hAnsi="Arial" w:cs="Arial"/>
                <w:sz w:val="16"/>
                <w:szCs w:val="16"/>
              </w:rPr>
              <w:t xml:space="preserve"> et al, 2011)</w:t>
            </w:r>
          </w:p>
        </w:tc>
        <w:tc>
          <w:tcPr>
            <w:tcW w:w="1284" w:type="dxa"/>
          </w:tcPr>
          <w:p w14:paraId="5369C34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Poland </w:t>
            </w:r>
          </w:p>
        </w:tc>
        <w:tc>
          <w:tcPr>
            <w:tcW w:w="1316" w:type="dxa"/>
            <w:gridSpan w:val="2"/>
          </w:tcPr>
          <w:p w14:paraId="1B74DF5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DPP lifestyle intervention</w:t>
            </w:r>
          </w:p>
          <w:p w14:paraId="6DAA06EA" w14:textId="77777777" w:rsidR="005B43C1" w:rsidRPr="00103A0B" w:rsidRDefault="005B43C1" w:rsidP="00CD5919">
            <w:pPr>
              <w:jc w:val="both"/>
              <w:rPr>
                <w:rFonts w:ascii="Arial" w:hAnsi="Arial" w:cs="Arial"/>
                <w:sz w:val="16"/>
                <w:szCs w:val="16"/>
              </w:rPr>
            </w:pPr>
          </w:p>
          <w:p w14:paraId="2ED8432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Local primary healthcare </w:t>
            </w:r>
          </w:p>
          <w:p w14:paraId="3996256F" w14:textId="77777777" w:rsidR="005B43C1" w:rsidRPr="00103A0B" w:rsidRDefault="005B43C1" w:rsidP="00CD5919">
            <w:pPr>
              <w:jc w:val="both"/>
              <w:rPr>
                <w:rFonts w:ascii="Arial" w:hAnsi="Arial" w:cs="Arial"/>
                <w:sz w:val="16"/>
                <w:szCs w:val="16"/>
              </w:rPr>
            </w:pPr>
          </w:p>
        </w:tc>
        <w:tc>
          <w:tcPr>
            <w:tcW w:w="2405" w:type="dxa"/>
          </w:tcPr>
          <w:p w14:paraId="5026F87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Intervention followed Diabetes Prevention Study (DPS) modified. 10-month intervention involved initial intensive phase (4 months) which involved 10 group sessions (10-14 P`s) on diet and PA. From week 4, P`s offered PA sessions (aqua aerobics and gymnastics / football) twice </w:t>
            </w:r>
            <w:proofErr w:type="gramStart"/>
            <w:r w:rsidRPr="00103A0B">
              <w:rPr>
                <w:rFonts w:ascii="Arial" w:hAnsi="Arial" w:cs="Arial"/>
                <w:sz w:val="16"/>
                <w:szCs w:val="16"/>
              </w:rPr>
              <w:t>weekly</w:t>
            </w:r>
            <w:proofErr w:type="gramEnd"/>
            <w:r w:rsidRPr="00103A0B">
              <w:rPr>
                <w:rFonts w:ascii="Arial" w:hAnsi="Arial" w:cs="Arial"/>
                <w:sz w:val="16"/>
                <w:szCs w:val="16"/>
              </w:rPr>
              <w:t xml:space="preserve"> </w:t>
            </w:r>
          </w:p>
          <w:p w14:paraId="02174268" w14:textId="77777777" w:rsidR="005B43C1" w:rsidRPr="00103A0B" w:rsidRDefault="005B43C1" w:rsidP="00CD5919">
            <w:pPr>
              <w:jc w:val="both"/>
              <w:rPr>
                <w:rFonts w:ascii="Arial" w:hAnsi="Arial" w:cs="Arial"/>
                <w:sz w:val="16"/>
                <w:szCs w:val="16"/>
              </w:rPr>
            </w:pPr>
          </w:p>
          <w:p w14:paraId="515B3A5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D+E </w:t>
            </w:r>
          </w:p>
        </w:tc>
        <w:tc>
          <w:tcPr>
            <w:tcW w:w="1560" w:type="dxa"/>
          </w:tcPr>
          <w:p w14:paraId="33D9FC0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2 months </w:t>
            </w:r>
          </w:p>
          <w:p w14:paraId="4CA6F3B5" w14:textId="77777777" w:rsidR="005B43C1" w:rsidRPr="00103A0B" w:rsidRDefault="005B43C1" w:rsidP="00CD5919">
            <w:pPr>
              <w:jc w:val="both"/>
              <w:rPr>
                <w:rFonts w:ascii="Arial" w:hAnsi="Arial" w:cs="Arial"/>
                <w:sz w:val="16"/>
                <w:szCs w:val="16"/>
              </w:rPr>
            </w:pPr>
          </w:p>
          <w:p w14:paraId="3BE04C0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 2017 paper: baseline; 2 months; 2 years and 2 months </w:t>
            </w:r>
          </w:p>
        </w:tc>
        <w:tc>
          <w:tcPr>
            <w:tcW w:w="2063" w:type="dxa"/>
          </w:tcPr>
          <w:p w14:paraId="26D2A51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Study information and leaflets with the FINDRISC questionnaire distributed in co-operating </w:t>
            </w:r>
            <w:proofErr w:type="gramStart"/>
            <w:r w:rsidRPr="00103A0B">
              <w:rPr>
                <w:rFonts w:ascii="Arial" w:hAnsi="Arial" w:cs="Arial"/>
                <w:sz w:val="16"/>
                <w:szCs w:val="16"/>
              </w:rPr>
              <w:t>practices</w:t>
            </w:r>
            <w:proofErr w:type="gramEnd"/>
          </w:p>
          <w:p w14:paraId="7A14C57C" w14:textId="77777777" w:rsidR="005B43C1" w:rsidRPr="00103A0B" w:rsidRDefault="005B43C1" w:rsidP="00CD5919">
            <w:pPr>
              <w:jc w:val="both"/>
              <w:rPr>
                <w:rFonts w:ascii="Arial" w:hAnsi="Arial" w:cs="Arial"/>
                <w:sz w:val="16"/>
                <w:szCs w:val="16"/>
              </w:rPr>
            </w:pPr>
          </w:p>
          <w:p w14:paraId="09E92D9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In 2017 &amp; 2011 papers:</w:t>
            </w:r>
          </w:p>
          <w:p w14:paraId="5186EA5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Advertisements were placed alongside self-screening questionnaires in the GPs waiting </w:t>
            </w:r>
            <w:proofErr w:type="gramStart"/>
            <w:r w:rsidRPr="00103A0B">
              <w:rPr>
                <w:rFonts w:ascii="Arial" w:hAnsi="Arial" w:cs="Arial"/>
                <w:sz w:val="16"/>
                <w:szCs w:val="16"/>
              </w:rPr>
              <w:t>rooms</w:t>
            </w:r>
            <w:proofErr w:type="gramEnd"/>
            <w:r w:rsidRPr="00103A0B">
              <w:rPr>
                <w:rFonts w:ascii="Arial" w:hAnsi="Arial" w:cs="Arial"/>
                <w:sz w:val="16"/>
                <w:szCs w:val="16"/>
              </w:rPr>
              <w:t xml:space="preserve"> </w:t>
            </w:r>
          </w:p>
          <w:p w14:paraId="3FD83E48" w14:textId="77777777" w:rsidR="005B43C1" w:rsidRPr="00103A0B" w:rsidRDefault="005B43C1" w:rsidP="00CD5919">
            <w:pPr>
              <w:jc w:val="both"/>
              <w:rPr>
                <w:rFonts w:ascii="Arial" w:hAnsi="Arial" w:cs="Arial"/>
                <w:sz w:val="16"/>
                <w:szCs w:val="16"/>
              </w:rPr>
            </w:pPr>
          </w:p>
          <w:p w14:paraId="65DA189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 2011 paper: patients with known risk factors were approached by nursing and medical staff </w:t>
            </w:r>
          </w:p>
        </w:tc>
        <w:tc>
          <w:tcPr>
            <w:tcW w:w="0" w:type="auto"/>
          </w:tcPr>
          <w:p w14:paraId="7AEF0B4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Men and women over the age of 25 years </w:t>
            </w:r>
          </w:p>
          <w:p w14:paraId="3F91D275" w14:textId="77777777" w:rsidR="005B43C1" w:rsidRPr="00103A0B" w:rsidRDefault="005B43C1" w:rsidP="00CD5919">
            <w:pPr>
              <w:jc w:val="both"/>
              <w:rPr>
                <w:rFonts w:ascii="Arial" w:hAnsi="Arial" w:cs="Arial"/>
                <w:sz w:val="16"/>
                <w:szCs w:val="16"/>
              </w:rPr>
            </w:pPr>
          </w:p>
          <w:p w14:paraId="5843969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For 175 P`s: </w:t>
            </w:r>
          </w:p>
          <w:p w14:paraId="33F5E325" w14:textId="77777777" w:rsidR="005B43C1" w:rsidRPr="00103A0B" w:rsidRDefault="005B43C1" w:rsidP="00CD5919">
            <w:pPr>
              <w:jc w:val="both"/>
              <w:rPr>
                <w:rFonts w:ascii="Arial" w:hAnsi="Arial" w:cs="Arial"/>
                <w:sz w:val="16"/>
                <w:szCs w:val="16"/>
              </w:rPr>
            </w:pPr>
          </w:p>
          <w:p w14:paraId="7B17E1A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Mean age: 56.1 (10.9) </w:t>
            </w:r>
            <w:proofErr w:type="gramStart"/>
            <w:r w:rsidRPr="00103A0B">
              <w:rPr>
                <w:rFonts w:ascii="Arial" w:hAnsi="Arial" w:cs="Arial"/>
                <w:sz w:val="16"/>
                <w:szCs w:val="16"/>
              </w:rPr>
              <w:t>years</w:t>
            </w:r>
            <w:proofErr w:type="gramEnd"/>
            <w:r w:rsidRPr="00103A0B">
              <w:rPr>
                <w:rFonts w:ascii="Arial" w:hAnsi="Arial" w:cs="Arial"/>
                <w:sz w:val="16"/>
                <w:szCs w:val="16"/>
              </w:rPr>
              <w:t xml:space="preserve"> </w:t>
            </w:r>
          </w:p>
          <w:p w14:paraId="5E397E84" w14:textId="77777777" w:rsidR="005B43C1" w:rsidRPr="00103A0B" w:rsidRDefault="005B43C1" w:rsidP="00CD5919">
            <w:pPr>
              <w:jc w:val="both"/>
              <w:rPr>
                <w:rFonts w:ascii="Arial" w:hAnsi="Arial" w:cs="Arial"/>
                <w:sz w:val="16"/>
                <w:szCs w:val="16"/>
              </w:rPr>
            </w:pPr>
          </w:p>
          <w:p w14:paraId="5EB771A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22% male </w:t>
            </w:r>
          </w:p>
          <w:p w14:paraId="3E911759" w14:textId="77777777" w:rsidR="005B43C1" w:rsidRPr="00103A0B" w:rsidRDefault="005B43C1" w:rsidP="00CD5919">
            <w:pPr>
              <w:jc w:val="both"/>
              <w:rPr>
                <w:rFonts w:ascii="Arial" w:hAnsi="Arial" w:cs="Arial"/>
                <w:sz w:val="16"/>
                <w:szCs w:val="16"/>
              </w:rPr>
            </w:pPr>
          </w:p>
          <w:p w14:paraId="5F3983D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NS </w:t>
            </w:r>
          </w:p>
          <w:p w14:paraId="3C833555" w14:textId="77777777" w:rsidR="005B43C1" w:rsidRPr="00103A0B" w:rsidRDefault="005B43C1" w:rsidP="00CD5919">
            <w:pPr>
              <w:jc w:val="both"/>
              <w:rPr>
                <w:rFonts w:ascii="Arial" w:hAnsi="Arial" w:cs="Arial"/>
                <w:sz w:val="16"/>
                <w:szCs w:val="16"/>
              </w:rPr>
            </w:pPr>
          </w:p>
          <w:p w14:paraId="10A1C524" w14:textId="77777777" w:rsidR="005B43C1" w:rsidRPr="00103A0B" w:rsidRDefault="005B43C1" w:rsidP="00CD5919">
            <w:pPr>
              <w:jc w:val="both"/>
              <w:rPr>
                <w:rFonts w:ascii="Arial" w:hAnsi="Arial" w:cs="Arial"/>
                <w:sz w:val="16"/>
                <w:szCs w:val="16"/>
              </w:rPr>
            </w:pPr>
          </w:p>
          <w:p w14:paraId="29149F97" w14:textId="77777777" w:rsidR="005B43C1" w:rsidRPr="00103A0B" w:rsidRDefault="005B43C1" w:rsidP="00CD5919">
            <w:pPr>
              <w:jc w:val="both"/>
              <w:rPr>
                <w:rFonts w:ascii="Arial" w:hAnsi="Arial" w:cs="Arial"/>
                <w:sz w:val="16"/>
                <w:szCs w:val="16"/>
              </w:rPr>
            </w:pPr>
          </w:p>
          <w:p w14:paraId="173B2F76" w14:textId="77777777" w:rsidR="005B43C1" w:rsidRPr="00103A0B" w:rsidRDefault="005B43C1" w:rsidP="00CD5919">
            <w:pPr>
              <w:jc w:val="both"/>
              <w:rPr>
                <w:rFonts w:ascii="Arial" w:hAnsi="Arial" w:cs="Arial"/>
                <w:sz w:val="16"/>
                <w:szCs w:val="16"/>
              </w:rPr>
            </w:pPr>
          </w:p>
          <w:p w14:paraId="54987FE8" w14:textId="77777777" w:rsidR="005B43C1" w:rsidRPr="00103A0B" w:rsidRDefault="005B43C1" w:rsidP="00CD5919">
            <w:pPr>
              <w:jc w:val="both"/>
              <w:rPr>
                <w:rFonts w:ascii="Arial" w:hAnsi="Arial" w:cs="Arial"/>
                <w:sz w:val="16"/>
                <w:szCs w:val="16"/>
              </w:rPr>
            </w:pPr>
          </w:p>
        </w:tc>
        <w:tc>
          <w:tcPr>
            <w:tcW w:w="1588" w:type="dxa"/>
          </w:tcPr>
          <w:p w14:paraId="796FD06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800 FINDRISC questionnaires distributed, 566 were </w:t>
            </w:r>
            <w:proofErr w:type="gramStart"/>
            <w:r w:rsidRPr="00103A0B">
              <w:rPr>
                <w:rFonts w:ascii="Arial" w:hAnsi="Arial" w:cs="Arial"/>
                <w:sz w:val="16"/>
                <w:szCs w:val="16"/>
              </w:rPr>
              <w:t>completed</w:t>
            </w:r>
            <w:proofErr w:type="gramEnd"/>
            <w:r w:rsidRPr="00103A0B">
              <w:rPr>
                <w:rFonts w:ascii="Arial" w:hAnsi="Arial" w:cs="Arial"/>
                <w:sz w:val="16"/>
                <w:szCs w:val="16"/>
              </w:rPr>
              <w:t xml:space="preserve"> </w:t>
            </w:r>
          </w:p>
          <w:p w14:paraId="519AF98D" w14:textId="77777777" w:rsidR="005B43C1" w:rsidRPr="00103A0B" w:rsidRDefault="005B43C1" w:rsidP="00CD5919">
            <w:pPr>
              <w:jc w:val="both"/>
              <w:rPr>
                <w:rFonts w:ascii="Arial" w:hAnsi="Arial" w:cs="Arial"/>
                <w:sz w:val="16"/>
                <w:szCs w:val="16"/>
              </w:rPr>
            </w:pPr>
          </w:p>
          <w:p w14:paraId="4164730F" w14:textId="77777777" w:rsidR="005B43C1" w:rsidRPr="00103A0B" w:rsidRDefault="005B43C1" w:rsidP="00CD5919">
            <w:pPr>
              <w:jc w:val="both"/>
              <w:rPr>
                <w:rFonts w:ascii="Arial" w:hAnsi="Arial" w:cs="Arial"/>
                <w:sz w:val="16"/>
                <w:szCs w:val="16"/>
              </w:rPr>
            </w:pPr>
            <w:r w:rsidRPr="00103A0B">
              <w:rPr>
                <w:rFonts w:ascii="Arial" w:hAnsi="Arial" w:cs="Arial"/>
                <w:bCs/>
                <w:sz w:val="16"/>
                <w:szCs w:val="16"/>
              </w:rPr>
              <w:t>RR cannot be calculated as advertisements used in waiting rooms</w:t>
            </w:r>
          </w:p>
        </w:tc>
        <w:tc>
          <w:tcPr>
            <w:tcW w:w="1360" w:type="dxa"/>
          </w:tcPr>
          <w:p w14:paraId="459EE25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tc>
        <w:tc>
          <w:tcPr>
            <w:tcW w:w="1564" w:type="dxa"/>
          </w:tcPr>
          <w:p w14:paraId="7B5CE50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184 participants completed the </w:t>
            </w:r>
            <w:proofErr w:type="gramStart"/>
            <w:r w:rsidRPr="00103A0B">
              <w:rPr>
                <w:rFonts w:ascii="Arial" w:hAnsi="Arial" w:cs="Arial"/>
                <w:sz w:val="16"/>
                <w:szCs w:val="16"/>
              </w:rPr>
              <w:t>intervention</w:t>
            </w:r>
            <w:proofErr w:type="gramEnd"/>
          </w:p>
          <w:p w14:paraId="35CC7406" w14:textId="77777777" w:rsidR="005B43C1" w:rsidRPr="00103A0B" w:rsidRDefault="005B43C1" w:rsidP="00CD5919">
            <w:pPr>
              <w:jc w:val="both"/>
              <w:rPr>
                <w:rFonts w:ascii="Arial" w:hAnsi="Arial" w:cs="Arial"/>
                <w:sz w:val="16"/>
                <w:szCs w:val="16"/>
              </w:rPr>
            </w:pPr>
          </w:p>
          <w:p w14:paraId="7F8BE28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70.23% </w:t>
            </w:r>
          </w:p>
          <w:p w14:paraId="347DE813" w14:textId="77777777" w:rsidR="005B43C1" w:rsidRPr="00103A0B" w:rsidRDefault="005B43C1" w:rsidP="00CD5919">
            <w:pPr>
              <w:jc w:val="both"/>
              <w:rPr>
                <w:rFonts w:ascii="Arial" w:hAnsi="Arial" w:cs="Arial"/>
                <w:sz w:val="16"/>
                <w:szCs w:val="16"/>
              </w:rPr>
            </w:pPr>
          </w:p>
          <w:p w14:paraId="5D3D0022" w14:textId="77777777" w:rsidR="005B43C1" w:rsidRPr="00103A0B" w:rsidRDefault="005B43C1" w:rsidP="00CD5919">
            <w:pPr>
              <w:jc w:val="both"/>
              <w:rPr>
                <w:rFonts w:ascii="Arial" w:hAnsi="Arial" w:cs="Arial"/>
                <w:sz w:val="16"/>
                <w:szCs w:val="16"/>
              </w:rPr>
            </w:pPr>
          </w:p>
          <w:p w14:paraId="61B718DF" w14:textId="77777777" w:rsidR="005B43C1" w:rsidRPr="00103A0B" w:rsidRDefault="005B43C1" w:rsidP="00CD5919">
            <w:pPr>
              <w:jc w:val="both"/>
              <w:rPr>
                <w:rFonts w:ascii="Arial" w:hAnsi="Arial" w:cs="Arial"/>
                <w:bCs/>
                <w:color w:val="FF0000"/>
                <w:sz w:val="16"/>
                <w:szCs w:val="16"/>
              </w:rPr>
            </w:pPr>
          </w:p>
          <w:p w14:paraId="28D86E7D" w14:textId="77777777" w:rsidR="00F07686" w:rsidRPr="00103A0B" w:rsidRDefault="00F07686" w:rsidP="00F07686">
            <w:pPr>
              <w:rPr>
                <w:rFonts w:ascii="Arial" w:hAnsi="Arial" w:cs="Arial"/>
                <w:sz w:val="16"/>
                <w:szCs w:val="16"/>
              </w:rPr>
            </w:pPr>
          </w:p>
          <w:p w14:paraId="0D7F653A" w14:textId="77777777" w:rsidR="00F07686" w:rsidRPr="00103A0B" w:rsidRDefault="00F07686" w:rsidP="00F07686">
            <w:pPr>
              <w:rPr>
                <w:rFonts w:ascii="Arial" w:hAnsi="Arial" w:cs="Arial"/>
                <w:sz w:val="16"/>
                <w:szCs w:val="16"/>
              </w:rPr>
            </w:pPr>
          </w:p>
          <w:p w14:paraId="1FCC73BE" w14:textId="77777777" w:rsidR="00F07686" w:rsidRPr="00103A0B" w:rsidRDefault="00F07686" w:rsidP="00F07686">
            <w:pPr>
              <w:rPr>
                <w:rFonts w:ascii="Arial" w:hAnsi="Arial" w:cs="Arial"/>
                <w:sz w:val="16"/>
                <w:szCs w:val="16"/>
              </w:rPr>
            </w:pPr>
          </w:p>
          <w:p w14:paraId="4BE4BD58" w14:textId="77777777" w:rsidR="00F07686" w:rsidRPr="00103A0B" w:rsidRDefault="00F07686" w:rsidP="00F07686">
            <w:pPr>
              <w:rPr>
                <w:rFonts w:ascii="Arial" w:hAnsi="Arial" w:cs="Arial"/>
                <w:bCs/>
                <w:color w:val="FF0000"/>
                <w:sz w:val="16"/>
                <w:szCs w:val="16"/>
              </w:rPr>
            </w:pPr>
          </w:p>
          <w:p w14:paraId="4915D7F9" w14:textId="77777777" w:rsidR="00F07686" w:rsidRPr="00103A0B" w:rsidRDefault="00F07686" w:rsidP="00F07686">
            <w:pPr>
              <w:rPr>
                <w:rFonts w:ascii="Arial" w:hAnsi="Arial" w:cs="Arial"/>
                <w:sz w:val="16"/>
                <w:szCs w:val="16"/>
              </w:rPr>
            </w:pPr>
          </w:p>
          <w:p w14:paraId="5C0088AA" w14:textId="77777777" w:rsidR="00F07686" w:rsidRPr="00103A0B" w:rsidRDefault="00F07686" w:rsidP="00F07686">
            <w:pPr>
              <w:rPr>
                <w:rFonts w:ascii="Arial" w:hAnsi="Arial" w:cs="Arial"/>
                <w:bCs/>
                <w:color w:val="FF0000"/>
                <w:sz w:val="16"/>
                <w:szCs w:val="16"/>
              </w:rPr>
            </w:pPr>
          </w:p>
          <w:p w14:paraId="4370B485" w14:textId="77777777" w:rsidR="00F07686" w:rsidRPr="00103A0B" w:rsidRDefault="00F07686" w:rsidP="00F07686">
            <w:pPr>
              <w:rPr>
                <w:rFonts w:ascii="Arial" w:hAnsi="Arial" w:cs="Arial"/>
                <w:bCs/>
                <w:color w:val="FF0000"/>
                <w:sz w:val="16"/>
                <w:szCs w:val="16"/>
              </w:rPr>
            </w:pPr>
          </w:p>
          <w:p w14:paraId="45D0C5F0" w14:textId="77777777" w:rsidR="00F07686" w:rsidRPr="00103A0B" w:rsidRDefault="00F07686" w:rsidP="00F07686">
            <w:pPr>
              <w:rPr>
                <w:rFonts w:ascii="Arial" w:hAnsi="Arial" w:cs="Arial"/>
                <w:bCs/>
                <w:color w:val="FF0000"/>
                <w:sz w:val="16"/>
                <w:szCs w:val="16"/>
              </w:rPr>
            </w:pPr>
          </w:p>
          <w:p w14:paraId="083B1363" w14:textId="55CA1D3E" w:rsidR="00F07686" w:rsidRPr="00103A0B" w:rsidRDefault="00F07686" w:rsidP="00F07686">
            <w:pPr>
              <w:rPr>
                <w:rFonts w:ascii="Arial" w:hAnsi="Arial" w:cs="Arial"/>
                <w:sz w:val="16"/>
                <w:szCs w:val="16"/>
              </w:rPr>
            </w:pPr>
          </w:p>
        </w:tc>
      </w:tr>
      <w:tr w:rsidR="005B43C1" w:rsidRPr="00103A0B" w14:paraId="7C0600D2" w14:textId="77777777" w:rsidTr="005B43C1">
        <w:trPr>
          <w:trHeight w:val="144"/>
        </w:trPr>
        <w:tc>
          <w:tcPr>
            <w:tcW w:w="1232" w:type="dxa"/>
          </w:tcPr>
          <w:p w14:paraId="0D26473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Jiang et al. (2013) </w:t>
            </w:r>
          </w:p>
          <w:p w14:paraId="10877F93" w14:textId="77777777" w:rsidR="005B43C1" w:rsidRPr="00103A0B" w:rsidRDefault="005B43C1" w:rsidP="00CD5919">
            <w:pPr>
              <w:jc w:val="both"/>
              <w:rPr>
                <w:rFonts w:ascii="Arial" w:hAnsi="Arial" w:cs="Arial"/>
                <w:sz w:val="16"/>
                <w:szCs w:val="16"/>
              </w:rPr>
            </w:pPr>
          </w:p>
          <w:p w14:paraId="3935D569" w14:textId="77777777" w:rsidR="005B43C1" w:rsidRPr="00103A0B" w:rsidRDefault="005B43C1" w:rsidP="00CD5919">
            <w:pPr>
              <w:jc w:val="both"/>
              <w:rPr>
                <w:rFonts w:ascii="Arial" w:hAnsi="Arial" w:cs="Arial"/>
                <w:sz w:val="16"/>
                <w:szCs w:val="16"/>
              </w:rPr>
            </w:pPr>
          </w:p>
          <w:p w14:paraId="61490106" w14:textId="77777777" w:rsidR="005B43C1" w:rsidRPr="00103A0B" w:rsidRDefault="005B43C1" w:rsidP="00CD5919">
            <w:pPr>
              <w:jc w:val="both"/>
              <w:rPr>
                <w:rFonts w:ascii="Arial" w:hAnsi="Arial" w:cs="Arial"/>
                <w:sz w:val="16"/>
                <w:szCs w:val="16"/>
              </w:rPr>
            </w:pPr>
          </w:p>
        </w:tc>
        <w:tc>
          <w:tcPr>
            <w:tcW w:w="1284" w:type="dxa"/>
          </w:tcPr>
          <w:p w14:paraId="48B921E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USA-Alaska </w:t>
            </w:r>
          </w:p>
        </w:tc>
        <w:tc>
          <w:tcPr>
            <w:tcW w:w="1316" w:type="dxa"/>
            <w:gridSpan w:val="2"/>
          </w:tcPr>
          <w:p w14:paraId="0155F21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DPP lifestyle intervention</w:t>
            </w:r>
          </w:p>
          <w:p w14:paraId="5934E9B1" w14:textId="77777777" w:rsidR="005B43C1" w:rsidRPr="00103A0B" w:rsidRDefault="005B43C1" w:rsidP="00CD5919">
            <w:pPr>
              <w:jc w:val="both"/>
              <w:rPr>
                <w:rFonts w:ascii="Arial" w:hAnsi="Arial" w:cs="Arial"/>
                <w:sz w:val="16"/>
                <w:szCs w:val="16"/>
              </w:rPr>
            </w:pPr>
          </w:p>
          <w:p w14:paraId="5DF611E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Health care programs </w:t>
            </w:r>
          </w:p>
        </w:tc>
        <w:tc>
          <w:tcPr>
            <w:tcW w:w="2405" w:type="dxa"/>
          </w:tcPr>
          <w:p w14:paraId="4418BD3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They were offered the 16-session Lifestyle Balance Curriculum. Curriculum was delivered in group settings within 16–24 weeks (6 months) after baseline assessment and typically was taught by the program dietitian and/or health educator. </w:t>
            </w:r>
          </w:p>
          <w:p w14:paraId="042047C5" w14:textId="77777777" w:rsidR="005B43C1" w:rsidRPr="00103A0B" w:rsidRDefault="005B43C1" w:rsidP="00CD5919">
            <w:pPr>
              <w:jc w:val="both"/>
              <w:rPr>
                <w:rFonts w:ascii="Arial" w:hAnsi="Arial" w:cs="Arial"/>
                <w:sz w:val="16"/>
                <w:szCs w:val="16"/>
              </w:rPr>
            </w:pPr>
          </w:p>
          <w:p w14:paraId="656E010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482AF0D7" w14:textId="77777777" w:rsidR="005B43C1" w:rsidRPr="00103A0B" w:rsidRDefault="005B43C1" w:rsidP="00CD5919">
            <w:pPr>
              <w:jc w:val="both"/>
              <w:rPr>
                <w:rFonts w:ascii="Arial" w:hAnsi="Arial" w:cs="Arial"/>
                <w:sz w:val="16"/>
                <w:szCs w:val="16"/>
              </w:rPr>
            </w:pPr>
          </w:p>
        </w:tc>
        <w:tc>
          <w:tcPr>
            <w:tcW w:w="1560" w:type="dxa"/>
          </w:tcPr>
          <w:p w14:paraId="32664CE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post-intervention, 1 year; 2 years; 3 years </w:t>
            </w:r>
          </w:p>
        </w:tc>
        <w:tc>
          <w:tcPr>
            <w:tcW w:w="2063" w:type="dxa"/>
          </w:tcPr>
          <w:p w14:paraId="19A05FB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P`s identified mainly </w:t>
            </w:r>
            <w:proofErr w:type="gramStart"/>
            <w:r w:rsidRPr="00103A0B">
              <w:rPr>
                <w:rFonts w:ascii="Arial" w:hAnsi="Arial" w:cs="Arial"/>
                <w:sz w:val="16"/>
                <w:szCs w:val="16"/>
              </w:rPr>
              <w:t>through</w:t>
            </w:r>
            <w:proofErr w:type="gramEnd"/>
          </w:p>
          <w:p w14:paraId="388461E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community events such as health fairs and from local</w:t>
            </w:r>
          </w:p>
          <w:p w14:paraId="49AD52E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clinics or by provider referral</w:t>
            </w:r>
          </w:p>
        </w:tc>
        <w:tc>
          <w:tcPr>
            <w:tcW w:w="0" w:type="auto"/>
          </w:tcPr>
          <w:p w14:paraId="1953572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for 2553 P`s: </w:t>
            </w:r>
          </w:p>
          <w:p w14:paraId="2D42E263" w14:textId="77777777" w:rsidR="005B43C1" w:rsidRPr="00103A0B" w:rsidRDefault="005B43C1" w:rsidP="00CD5919">
            <w:pPr>
              <w:jc w:val="both"/>
              <w:rPr>
                <w:rFonts w:ascii="Arial" w:hAnsi="Arial" w:cs="Arial"/>
                <w:sz w:val="16"/>
                <w:szCs w:val="16"/>
              </w:rPr>
            </w:pPr>
          </w:p>
          <w:p w14:paraId="79F3AF6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Age: 29% 18-39 years; 30% 40-49 years; 25% 50-59 years; 16% 60 years and above </w:t>
            </w:r>
          </w:p>
          <w:p w14:paraId="149DE309" w14:textId="77777777" w:rsidR="005B43C1" w:rsidRPr="00103A0B" w:rsidRDefault="005B43C1" w:rsidP="00CD5919">
            <w:pPr>
              <w:jc w:val="both"/>
              <w:rPr>
                <w:rFonts w:ascii="Arial" w:hAnsi="Arial" w:cs="Arial"/>
                <w:sz w:val="16"/>
                <w:szCs w:val="16"/>
              </w:rPr>
            </w:pPr>
          </w:p>
          <w:p w14:paraId="081B7C4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1901 (75%) female; 652 (26%) male </w:t>
            </w:r>
          </w:p>
          <w:p w14:paraId="217A94FE" w14:textId="77777777" w:rsidR="005B43C1" w:rsidRPr="00103A0B" w:rsidRDefault="005B43C1" w:rsidP="00CD5919">
            <w:pPr>
              <w:jc w:val="both"/>
              <w:rPr>
                <w:rFonts w:ascii="Arial" w:hAnsi="Arial" w:cs="Arial"/>
                <w:sz w:val="16"/>
                <w:szCs w:val="16"/>
              </w:rPr>
            </w:pPr>
          </w:p>
          <w:p w14:paraId="76B2A3C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American Indians and Alaska natives  </w:t>
            </w:r>
          </w:p>
        </w:tc>
        <w:tc>
          <w:tcPr>
            <w:tcW w:w="1588" w:type="dxa"/>
          </w:tcPr>
          <w:p w14:paraId="3E41B20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795895B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18,134 P`s identified for screening and </w:t>
            </w:r>
            <w:proofErr w:type="gramStart"/>
            <w:r w:rsidRPr="00103A0B">
              <w:rPr>
                <w:rFonts w:ascii="Arial" w:hAnsi="Arial" w:cs="Arial"/>
                <w:sz w:val="16"/>
                <w:szCs w:val="16"/>
              </w:rPr>
              <w:t>recruitment</w:t>
            </w:r>
            <w:proofErr w:type="gramEnd"/>
          </w:p>
          <w:p w14:paraId="56750E2F" w14:textId="77777777" w:rsidR="005B43C1" w:rsidRPr="00103A0B" w:rsidRDefault="005B43C1" w:rsidP="00CD5919">
            <w:pPr>
              <w:jc w:val="both"/>
              <w:rPr>
                <w:rFonts w:ascii="Arial" w:hAnsi="Arial" w:cs="Arial"/>
                <w:sz w:val="16"/>
                <w:szCs w:val="16"/>
              </w:rPr>
            </w:pPr>
          </w:p>
          <w:p w14:paraId="63AE069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3142 signed consent forms</w:t>
            </w:r>
          </w:p>
          <w:p w14:paraId="26402082" w14:textId="77777777" w:rsidR="005B43C1" w:rsidRPr="00103A0B" w:rsidRDefault="005B43C1" w:rsidP="00CD5919">
            <w:pPr>
              <w:jc w:val="both"/>
              <w:rPr>
                <w:rFonts w:ascii="Arial" w:hAnsi="Arial" w:cs="Arial"/>
                <w:sz w:val="16"/>
                <w:szCs w:val="16"/>
              </w:rPr>
            </w:pPr>
          </w:p>
          <w:p w14:paraId="052BD78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2615 met inclusion criteria, enrolled and completed baseline </w:t>
            </w:r>
            <w:proofErr w:type="gramStart"/>
            <w:r w:rsidRPr="00103A0B">
              <w:rPr>
                <w:rFonts w:ascii="Arial" w:hAnsi="Arial" w:cs="Arial"/>
                <w:sz w:val="16"/>
                <w:szCs w:val="16"/>
              </w:rPr>
              <w:t>assessments</w:t>
            </w:r>
            <w:proofErr w:type="gramEnd"/>
          </w:p>
          <w:p w14:paraId="7DF8D1CC" w14:textId="77777777" w:rsidR="005B43C1" w:rsidRPr="00103A0B" w:rsidRDefault="005B43C1" w:rsidP="00CD5919">
            <w:pPr>
              <w:jc w:val="both"/>
              <w:rPr>
                <w:rFonts w:ascii="Arial" w:hAnsi="Arial" w:cs="Arial"/>
                <w:sz w:val="16"/>
                <w:szCs w:val="16"/>
              </w:rPr>
            </w:pPr>
          </w:p>
          <w:p w14:paraId="4D958B4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2553 started </w:t>
            </w:r>
            <w:proofErr w:type="gramStart"/>
            <w:r w:rsidRPr="00103A0B">
              <w:rPr>
                <w:rFonts w:ascii="Arial" w:hAnsi="Arial" w:cs="Arial"/>
                <w:sz w:val="16"/>
                <w:szCs w:val="16"/>
              </w:rPr>
              <w:t>intervention</w:t>
            </w:r>
            <w:proofErr w:type="gramEnd"/>
            <w:r w:rsidRPr="00103A0B">
              <w:rPr>
                <w:rFonts w:ascii="Arial" w:hAnsi="Arial" w:cs="Arial"/>
                <w:sz w:val="16"/>
                <w:szCs w:val="16"/>
              </w:rPr>
              <w:t xml:space="preserve"> </w:t>
            </w:r>
          </w:p>
          <w:p w14:paraId="7D0DDD1D" w14:textId="77777777" w:rsidR="005B43C1" w:rsidRPr="00103A0B" w:rsidRDefault="005B43C1" w:rsidP="00CD5919">
            <w:pPr>
              <w:jc w:val="both"/>
              <w:rPr>
                <w:rFonts w:ascii="Arial" w:hAnsi="Arial" w:cs="Arial"/>
                <w:sz w:val="16"/>
                <w:szCs w:val="16"/>
              </w:rPr>
            </w:pPr>
          </w:p>
          <w:p w14:paraId="17E8A111" w14:textId="77777777" w:rsidR="005B43C1" w:rsidRPr="00103A0B" w:rsidRDefault="005B43C1" w:rsidP="00CD5919">
            <w:pPr>
              <w:jc w:val="both"/>
              <w:rPr>
                <w:rFonts w:ascii="Arial" w:hAnsi="Arial" w:cs="Arial"/>
                <w:color w:val="FF0000"/>
                <w:sz w:val="16"/>
                <w:szCs w:val="16"/>
              </w:rPr>
            </w:pPr>
            <w:r w:rsidRPr="00103A0B">
              <w:rPr>
                <w:rFonts w:ascii="Arial" w:hAnsi="Arial" w:cs="Arial"/>
                <w:sz w:val="16"/>
                <w:szCs w:val="16"/>
              </w:rPr>
              <w:t xml:space="preserve">Author clarified uptake is: 31% </w:t>
            </w:r>
          </w:p>
        </w:tc>
        <w:tc>
          <w:tcPr>
            <w:tcW w:w="1564" w:type="dxa"/>
          </w:tcPr>
          <w:p w14:paraId="5277C2A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2553 started </w:t>
            </w:r>
            <w:proofErr w:type="gramStart"/>
            <w:r w:rsidRPr="00103A0B">
              <w:rPr>
                <w:rFonts w:ascii="Arial" w:hAnsi="Arial" w:cs="Arial"/>
                <w:sz w:val="16"/>
                <w:szCs w:val="16"/>
              </w:rPr>
              <w:t>intervention</w:t>
            </w:r>
            <w:proofErr w:type="gramEnd"/>
          </w:p>
          <w:p w14:paraId="577319F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1891 completed post curriculum </w:t>
            </w:r>
            <w:proofErr w:type="gramStart"/>
            <w:r w:rsidRPr="00103A0B">
              <w:rPr>
                <w:rFonts w:ascii="Arial" w:hAnsi="Arial" w:cs="Arial"/>
                <w:sz w:val="16"/>
                <w:szCs w:val="16"/>
              </w:rPr>
              <w:t>assessment</w:t>
            </w:r>
            <w:proofErr w:type="gramEnd"/>
          </w:p>
          <w:p w14:paraId="75B90E3F" w14:textId="77777777" w:rsidR="005B43C1" w:rsidRPr="00103A0B" w:rsidRDefault="005B43C1" w:rsidP="00CD5919">
            <w:pPr>
              <w:jc w:val="both"/>
              <w:rPr>
                <w:rFonts w:ascii="Arial" w:hAnsi="Arial" w:cs="Arial"/>
                <w:sz w:val="16"/>
                <w:szCs w:val="16"/>
              </w:rPr>
            </w:pPr>
          </w:p>
          <w:p w14:paraId="5764731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 74.07%</w:t>
            </w:r>
          </w:p>
          <w:p w14:paraId="439FD18F" w14:textId="77777777" w:rsidR="005B43C1" w:rsidRPr="00103A0B" w:rsidRDefault="005B43C1" w:rsidP="00CD5919">
            <w:pPr>
              <w:jc w:val="both"/>
              <w:rPr>
                <w:rFonts w:ascii="Arial" w:hAnsi="Arial" w:cs="Arial"/>
                <w:sz w:val="16"/>
                <w:szCs w:val="16"/>
              </w:rPr>
            </w:pPr>
          </w:p>
          <w:p w14:paraId="65372820" w14:textId="77777777" w:rsidR="005B43C1" w:rsidRPr="00103A0B" w:rsidRDefault="005B43C1" w:rsidP="00CD5919">
            <w:pPr>
              <w:jc w:val="both"/>
              <w:rPr>
                <w:rFonts w:ascii="Arial" w:hAnsi="Arial" w:cs="Arial"/>
                <w:sz w:val="16"/>
                <w:szCs w:val="16"/>
              </w:rPr>
            </w:pPr>
          </w:p>
        </w:tc>
      </w:tr>
      <w:tr w:rsidR="005B43C1" w:rsidRPr="00103A0B" w14:paraId="4FC7228F" w14:textId="77777777" w:rsidTr="005B43C1">
        <w:trPr>
          <w:trHeight w:val="144"/>
        </w:trPr>
        <w:tc>
          <w:tcPr>
            <w:tcW w:w="1232" w:type="dxa"/>
          </w:tcPr>
          <w:p w14:paraId="0D5A75DF"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Katula</w:t>
            </w:r>
            <w:proofErr w:type="spellEnd"/>
            <w:r w:rsidRPr="00103A0B">
              <w:rPr>
                <w:rFonts w:ascii="Arial" w:hAnsi="Arial" w:cs="Arial"/>
                <w:sz w:val="16"/>
                <w:szCs w:val="16"/>
              </w:rPr>
              <w:t xml:space="preserve"> et al. (2013) </w:t>
            </w:r>
          </w:p>
          <w:p w14:paraId="6268AFF8" w14:textId="77777777" w:rsidR="005B43C1" w:rsidRPr="00103A0B" w:rsidRDefault="005B43C1" w:rsidP="00CD5919">
            <w:pPr>
              <w:jc w:val="both"/>
              <w:rPr>
                <w:rFonts w:ascii="Arial" w:hAnsi="Arial" w:cs="Arial"/>
                <w:sz w:val="16"/>
                <w:szCs w:val="16"/>
              </w:rPr>
            </w:pPr>
          </w:p>
          <w:p w14:paraId="6533B3A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w:t>
            </w:r>
            <w:proofErr w:type="spellStart"/>
            <w:r w:rsidRPr="00103A0B">
              <w:rPr>
                <w:rFonts w:ascii="Arial" w:hAnsi="Arial" w:cs="Arial"/>
                <w:sz w:val="16"/>
                <w:szCs w:val="16"/>
              </w:rPr>
              <w:t>Katula</w:t>
            </w:r>
            <w:proofErr w:type="spellEnd"/>
            <w:r w:rsidRPr="00103A0B">
              <w:rPr>
                <w:rFonts w:ascii="Arial" w:hAnsi="Arial" w:cs="Arial"/>
                <w:sz w:val="16"/>
                <w:szCs w:val="16"/>
              </w:rPr>
              <w:t xml:space="preserve"> et al, 2011; </w:t>
            </w:r>
            <w:proofErr w:type="spellStart"/>
            <w:r w:rsidRPr="00103A0B">
              <w:rPr>
                <w:rFonts w:ascii="Arial" w:hAnsi="Arial" w:cs="Arial"/>
                <w:sz w:val="16"/>
                <w:szCs w:val="16"/>
              </w:rPr>
              <w:t>Katula</w:t>
            </w:r>
            <w:proofErr w:type="spellEnd"/>
            <w:r w:rsidRPr="00103A0B">
              <w:rPr>
                <w:rFonts w:ascii="Arial" w:hAnsi="Arial" w:cs="Arial"/>
                <w:sz w:val="16"/>
                <w:szCs w:val="16"/>
              </w:rPr>
              <w:t xml:space="preserve"> et al, 2010; Blackwell et al, 2011)</w:t>
            </w:r>
          </w:p>
          <w:p w14:paraId="0B7F0EF8" w14:textId="77777777" w:rsidR="005B43C1" w:rsidRPr="00103A0B" w:rsidRDefault="005B43C1" w:rsidP="00CD5919">
            <w:pPr>
              <w:jc w:val="both"/>
              <w:rPr>
                <w:rFonts w:ascii="Arial" w:hAnsi="Arial" w:cs="Arial"/>
                <w:sz w:val="16"/>
                <w:szCs w:val="16"/>
              </w:rPr>
            </w:pPr>
          </w:p>
          <w:p w14:paraId="246DEDA7" w14:textId="77777777" w:rsidR="005B43C1" w:rsidRPr="00103A0B" w:rsidRDefault="005B43C1" w:rsidP="00CD5919">
            <w:pPr>
              <w:jc w:val="both"/>
              <w:rPr>
                <w:rFonts w:ascii="Arial" w:hAnsi="Arial" w:cs="Arial"/>
                <w:sz w:val="16"/>
                <w:szCs w:val="16"/>
              </w:rPr>
            </w:pPr>
          </w:p>
          <w:p w14:paraId="2842E3EE" w14:textId="77777777" w:rsidR="005B43C1" w:rsidRPr="00103A0B" w:rsidRDefault="005B43C1" w:rsidP="00CD5919">
            <w:pPr>
              <w:jc w:val="both"/>
              <w:rPr>
                <w:rFonts w:ascii="Arial" w:hAnsi="Arial" w:cs="Arial"/>
                <w:sz w:val="16"/>
                <w:szCs w:val="16"/>
              </w:rPr>
            </w:pPr>
          </w:p>
        </w:tc>
        <w:tc>
          <w:tcPr>
            <w:tcW w:w="1284" w:type="dxa"/>
          </w:tcPr>
          <w:p w14:paraId="292EE72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USA-North Carolina</w:t>
            </w:r>
          </w:p>
        </w:tc>
        <w:tc>
          <w:tcPr>
            <w:tcW w:w="1316" w:type="dxa"/>
            <w:gridSpan w:val="2"/>
          </w:tcPr>
          <w:p w14:paraId="07664D7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Randomised control trial</w:t>
            </w:r>
          </w:p>
          <w:p w14:paraId="7AB570BD" w14:textId="77777777" w:rsidR="005B43C1" w:rsidRPr="00103A0B" w:rsidRDefault="005B43C1" w:rsidP="00CD5919">
            <w:pPr>
              <w:jc w:val="both"/>
              <w:rPr>
                <w:rFonts w:ascii="Arial" w:hAnsi="Arial" w:cs="Arial"/>
                <w:sz w:val="16"/>
                <w:szCs w:val="16"/>
              </w:rPr>
            </w:pPr>
          </w:p>
          <w:p w14:paraId="1DB3059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Lifestyle weight-loss intervention conducted in community-based sites (</w:t>
            </w:r>
            <w:proofErr w:type="gramStart"/>
            <w:r w:rsidRPr="00103A0B">
              <w:rPr>
                <w:rFonts w:ascii="Arial" w:hAnsi="Arial" w:cs="Arial"/>
                <w:sz w:val="16"/>
                <w:szCs w:val="16"/>
              </w:rPr>
              <w:t>e.g.</w:t>
            </w:r>
            <w:proofErr w:type="gramEnd"/>
            <w:r w:rsidRPr="00103A0B">
              <w:rPr>
                <w:rFonts w:ascii="Arial" w:hAnsi="Arial" w:cs="Arial"/>
                <w:sz w:val="16"/>
                <w:szCs w:val="16"/>
              </w:rPr>
              <w:t xml:space="preserve"> parks and recreation centres)  </w:t>
            </w:r>
          </w:p>
        </w:tc>
        <w:tc>
          <w:tcPr>
            <w:tcW w:w="2405" w:type="dxa"/>
          </w:tcPr>
          <w:p w14:paraId="77E9256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P`s randomized to either a CHW led lifestyle intervention or an enhanced usual care intervention. A 13 DVD series was developed covering core content such as a) nutrition and physical activity basics, b) energy balance, c) healthy eating, d) goal setting, and e) problem solving. Frequency: P`s met weekly for group sessions during Phase 1</w:t>
            </w:r>
          </w:p>
          <w:p w14:paraId="464BB95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(Months 1-6), and all sessions were coordinated and facilitated by the CHW. </w:t>
            </w:r>
          </w:p>
          <w:p w14:paraId="6211A34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Size: 14 different groups of 8-12 p`s were conducted at various community sites. P`s also received 3 personalized consultations with a registered dietician (during months 1, 3, and 6). During Phase 2 (Months 7-24)-2 years, P`s received 2 scheduled contacts with CHW each month, 1 group session and 1 phone contact.</w:t>
            </w:r>
          </w:p>
          <w:p w14:paraId="59B0E95A" w14:textId="77777777" w:rsidR="005B43C1" w:rsidRPr="00103A0B" w:rsidRDefault="005B43C1" w:rsidP="00CD5919">
            <w:pPr>
              <w:jc w:val="both"/>
              <w:rPr>
                <w:rFonts w:ascii="Arial" w:hAnsi="Arial" w:cs="Arial"/>
                <w:sz w:val="16"/>
                <w:szCs w:val="16"/>
              </w:rPr>
            </w:pPr>
          </w:p>
          <w:p w14:paraId="72F4FB6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D+E </w:t>
            </w:r>
          </w:p>
          <w:p w14:paraId="3B5CC8B3" w14:textId="77777777" w:rsidR="005B43C1" w:rsidRPr="00103A0B" w:rsidRDefault="005B43C1" w:rsidP="00CD5919">
            <w:pPr>
              <w:jc w:val="both"/>
              <w:rPr>
                <w:rFonts w:ascii="Arial" w:hAnsi="Arial" w:cs="Arial"/>
                <w:sz w:val="16"/>
                <w:szCs w:val="16"/>
              </w:rPr>
            </w:pPr>
          </w:p>
        </w:tc>
        <w:tc>
          <w:tcPr>
            <w:tcW w:w="1560" w:type="dxa"/>
          </w:tcPr>
          <w:p w14:paraId="718C5CA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30CB8CD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Primary recruitment method involved mass mailings to local ZIP codes to target a sample representative of the local population. Other methods included: in-person presentations to </w:t>
            </w:r>
            <w:proofErr w:type="gramStart"/>
            <w:r w:rsidRPr="00103A0B">
              <w:rPr>
                <w:rFonts w:ascii="Arial" w:hAnsi="Arial" w:cs="Arial"/>
                <w:sz w:val="16"/>
                <w:szCs w:val="16"/>
              </w:rPr>
              <w:t>community</w:t>
            </w:r>
            <w:proofErr w:type="gramEnd"/>
          </w:p>
          <w:p w14:paraId="0BE819F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organizations, community health fairs and workplace</w:t>
            </w:r>
          </w:p>
          <w:p w14:paraId="6238A8C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screenings and participant and provider referrals; brochures, posters, and fliers also used  </w:t>
            </w:r>
          </w:p>
        </w:tc>
        <w:tc>
          <w:tcPr>
            <w:tcW w:w="0" w:type="auto"/>
          </w:tcPr>
          <w:p w14:paraId="32AF3C1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P`s with prediabetes and overweight/ obese  </w:t>
            </w:r>
          </w:p>
          <w:p w14:paraId="07A15D35" w14:textId="77777777" w:rsidR="005B43C1" w:rsidRPr="00103A0B" w:rsidRDefault="005B43C1" w:rsidP="00CD5919">
            <w:pPr>
              <w:jc w:val="both"/>
              <w:rPr>
                <w:rFonts w:ascii="Arial" w:hAnsi="Arial" w:cs="Arial"/>
                <w:sz w:val="16"/>
                <w:szCs w:val="16"/>
              </w:rPr>
            </w:pPr>
          </w:p>
          <w:p w14:paraId="548170B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Age: mean= 57.9 (9.5) years </w:t>
            </w:r>
          </w:p>
          <w:p w14:paraId="04CE6B70" w14:textId="77777777" w:rsidR="005B43C1" w:rsidRPr="00103A0B" w:rsidRDefault="005B43C1" w:rsidP="00CD5919">
            <w:pPr>
              <w:jc w:val="both"/>
              <w:rPr>
                <w:rFonts w:ascii="Arial" w:hAnsi="Arial" w:cs="Arial"/>
                <w:sz w:val="16"/>
                <w:szCs w:val="16"/>
              </w:rPr>
            </w:pPr>
          </w:p>
          <w:p w14:paraId="7DFC4F5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128 (43%) </w:t>
            </w:r>
            <w:proofErr w:type="gramStart"/>
            <w:r w:rsidRPr="00103A0B">
              <w:rPr>
                <w:rFonts w:ascii="Arial" w:hAnsi="Arial" w:cs="Arial"/>
                <w:sz w:val="16"/>
                <w:szCs w:val="16"/>
              </w:rPr>
              <w:t>male</w:t>
            </w:r>
            <w:proofErr w:type="gramEnd"/>
            <w:r w:rsidRPr="00103A0B">
              <w:rPr>
                <w:rFonts w:ascii="Arial" w:hAnsi="Arial" w:cs="Arial"/>
                <w:sz w:val="16"/>
                <w:szCs w:val="16"/>
              </w:rPr>
              <w:t>; 173 (58%) female</w:t>
            </w:r>
          </w:p>
          <w:p w14:paraId="537C005D" w14:textId="77777777" w:rsidR="005B43C1" w:rsidRPr="00103A0B" w:rsidRDefault="005B43C1" w:rsidP="00CD5919">
            <w:pPr>
              <w:jc w:val="both"/>
              <w:rPr>
                <w:rFonts w:ascii="Arial" w:hAnsi="Arial" w:cs="Arial"/>
                <w:sz w:val="16"/>
                <w:szCs w:val="16"/>
              </w:rPr>
            </w:pPr>
          </w:p>
          <w:p w14:paraId="5726C82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74 (25%) African American; 222 (74%) White; 5 (2%) other/refused </w:t>
            </w:r>
          </w:p>
        </w:tc>
        <w:tc>
          <w:tcPr>
            <w:tcW w:w="1588" w:type="dxa"/>
          </w:tcPr>
          <w:p w14:paraId="05D8536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5703B5A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p w14:paraId="445DE7AB" w14:textId="77777777" w:rsidR="005B43C1" w:rsidRPr="00103A0B" w:rsidRDefault="005B43C1" w:rsidP="00CD5919">
            <w:pPr>
              <w:jc w:val="both"/>
              <w:rPr>
                <w:rFonts w:ascii="Arial" w:hAnsi="Arial" w:cs="Arial"/>
                <w:sz w:val="16"/>
                <w:szCs w:val="16"/>
              </w:rPr>
            </w:pPr>
          </w:p>
          <w:p w14:paraId="618D76F1" w14:textId="77777777" w:rsidR="005B43C1" w:rsidRPr="00103A0B" w:rsidRDefault="005B43C1" w:rsidP="00CD5919">
            <w:pPr>
              <w:jc w:val="both"/>
              <w:rPr>
                <w:rFonts w:ascii="Arial" w:hAnsi="Arial" w:cs="Arial"/>
                <w:sz w:val="16"/>
                <w:szCs w:val="16"/>
              </w:rPr>
            </w:pPr>
          </w:p>
        </w:tc>
        <w:tc>
          <w:tcPr>
            <w:tcW w:w="1564" w:type="dxa"/>
          </w:tcPr>
          <w:p w14:paraId="0B18E40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301 P`s randomised (150 enhanced usual care; 151 lifestyle weight loss)</w:t>
            </w:r>
          </w:p>
          <w:p w14:paraId="54EFB5C8" w14:textId="77777777" w:rsidR="005B43C1" w:rsidRPr="00103A0B" w:rsidRDefault="005B43C1" w:rsidP="00CD5919">
            <w:pPr>
              <w:jc w:val="both"/>
              <w:rPr>
                <w:rFonts w:ascii="Arial" w:hAnsi="Arial" w:cs="Arial"/>
                <w:sz w:val="16"/>
                <w:szCs w:val="16"/>
              </w:rPr>
            </w:pPr>
          </w:p>
          <w:p w14:paraId="0B1D951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127 P`s in lifestyle weight loss group attended 24-month assessment </w:t>
            </w:r>
            <w:proofErr w:type="gramStart"/>
            <w:r w:rsidRPr="00103A0B">
              <w:rPr>
                <w:rFonts w:ascii="Arial" w:hAnsi="Arial" w:cs="Arial"/>
                <w:sz w:val="16"/>
                <w:szCs w:val="16"/>
              </w:rPr>
              <w:t>visit</w:t>
            </w:r>
            <w:proofErr w:type="gramEnd"/>
            <w:r w:rsidRPr="00103A0B">
              <w:rPr>
                <w:rFonts w:ascii="Arial" w:hAnsi="Arial" w:cs="Arial"/>
                <w:sz w:val="16"/>
                <w:szCs w:val="16"/>
              </w:rPr>
              <w:t xml:space="preserve"> </w:t>
            </w:r>
          </w:p>
          <w:p w14:paraId="08EC9E19" w14:textId="77777777" w:rsidR="005B43C1" w:rsidRPr="00103A0B" w:rsidRDefault="005B43C1" w:rsidP="00CD5919">
            <w:pPr>
              <w:jc w:val="both"/>
              <w:rPr>
                <w:rFonts w:ascii="Arial" w:hAnsi="Arial" w:cs="Arial"/>
                <w:sz w:val="16"/>
                <w:szCs w:val="16"/>
              </w:rPr>
            </w:pPr>
          </w:p>
          <w:p w14:paraId="7879CE4A" w14:textId="77777777" w:rsidR="005B43C1" w:rsidRPr="00103A0B" w:rsidRDefault="005B43C1" w:rsidP="00CD5919">
            <w:pPr>
              <w:spacing w:line="360" w:lineRule="auto"/>
              <w:jc w:val="both"/>
              <w:rPr>
                <w:rFonts w:ascii="Arial" w:hAnsi="Arial" w:cs="Arial"/>
                <w:sz w:val="16"/>
                <w:szCs w:val="16"/>
              </w:rPr>
            </w:pPr>
            <w:r w:rsidRPr="00103A0B">
              <w:rPr>
                <w:rFonts w:ascii="Arial" w:hAnsi="Arial" w:cs="Arial"/>
                <w:sz w:val="16"/>
                <w:szCs w:val="16"/>
              </w:rPr>
              <w:t xml:space="preserve">Retention= 84.11%  </w:t>
            </w:r>
          </w:p>
        </w:tc>
      </w:tr>
      <w:tr w:rsidR="005B43C1" w:rsidRPr="00103A0B" w14:paraId="0700BFF0" w14:textId="77777777" w:rsidTr="005B43C1">
        <w:trPr>
          <w:trHeight w:val="144"/>
        </w:trPr>
        <w:tc>
          <w:tcPr>
            <w:tcW w:w="1232" w:type="dxa"/>
          </w:tcPr>
          <w:p w14:paraId="2585ACA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Kulzer et al. (2009) </w:t>
            </w:r>
          </w:p>
          <w:p w14:paraId="143D614E" w14:textId="77777777" w:rsidR="005B43C1" w:rsidRPr="00103A0B" w:rsidRDefault="005B43C1" w:rsidP="00CD5919">
            <w:pPr>
              <w:jc w:val="both"/>
              <w:rPr>
                <w:rFonts w:ascii="Arial" w:hAnsi="Arial" w:cs="Arial"/>
                <w:sz w:val="16"/>
                <w:szCs w:val="16"/>
              </w:rPr>
            </w:pPr>
          </w:p>
        </w:tc>
        <w:tc>
          <w:tcPr>
            <w:tcW w:w="1284" w:type="dxa"/>
          </w:tcPr>
          <w:p w14:paraId="11CAB0A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Germany </w:t>
            </w:r>
          </w:p>
        </w:tc>
        <w:tc>
          <w:tcPr>
            <w:tcW w:w="1316" w:type="dxa"/>
            <w:gridSpan w:val="2"/>
          </w:tcPr>
          <w:p w14:paraId="27E6A1F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Randomized control trial </w:t>
            </w:r>
          </w:p>
          <w:p w14:paraId="55DFA71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w:t>
            </w:r>
          </w:p>
        </w:tc>
        <w:tc>
          <w:tcPr>
            <w:tcW w:w="2405" w:type="dxa"/>
          </w:tcPr>
          <w:p w14:paraId="001AFA7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Programme aims at lifestyle modification. Frequency: Consisted of 12 lessons lasting approx. 90 mins each. During first 8 weeks, 8 core lessons given with 1 per week; last 4 lessons were bi-monthly booster lessons. Size: programme conducted in small groups (median size 7 people). 4 months intervention</w:t>
            </w:r>
          </w:p>
          <w:p w14:paraId="2606CB5F" w14:textId="77777777" w:rsidR="005B43C1" w:rsidRPr="00103A0B" w:rsidRDefault="005B43C1" w:rsidP="00CD5919">
            <w:pPr>
              <w:jc w:val="both"/>
              <w:rPr>
                <w:rFonts w:ascii="Arial" w:hAnsi="Arial" w:cs="Arial"/>
                <w:sz w:val="16"/>
                <w:szCs w:val="16"/>
              </w:rPr>
            </w:pPr>
          </w:p>
          <w:p w14:paraId="6DB4BAD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49702B89" w14:textId="77777777" w:rsidR="005B43C1" w:rsidRPr="00103A0B" w:rsidRDefault="005B43C1" w:rsidP="00CD5919">
            <w:pPr>
              <w:jc w:val="both"/>
              <w:rPr>
                <w:rFonts w:ascii="Arial" w:hAnsi="Arial" w:cs="Arial"/>
                <w:sz w:val="16"/>
                <w:szCs w:val="16"/>
              </w:rPr>
            </w:pPr>
          </w:p>
        </w:tc>
        <w:tc>
          <w:tcPr>
            <w:tcW w:w="1560" w:type="dxa"/>
          </w:tcPr>
          <w:p w14:paraId="6F42FC6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12 months </w:t>
            </w:r>
          </w:p>
        </w:tc>
        <w:tc>
          <w:tcPr>
            <w:tcW w:w="2063" w:type="dxa"/>
          </w:tcPr>
          <w:p w14:paraId="77DA399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Not stated/not clear  </w:t>
            </w:r>
          </w:p>
        </w:tc>
        <w:tc>
          <w:tcPr>
            <w:tcW w:w="0" w:type="auto"/>
          </w:tcPr>
          <w:p w14:paraId="09E009A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From 182 P`s:</w:t>
            </w:r>
          </w:p>
          <w:p w14:paraId="72DE531B" w14:textId="77777777" w:rsidR="005B43C1" w:rsidRPr="00103A0B" w:rsidRDefault="005B43C1" w:rsidP="00CD5919">
            <w:pPr>
              <w:jc w:val="both"/>
              <w:rPr>
                <w:rFonts w:ascii="Arial" w:hAnsi="Arial" w:cs="Arial"/>
                <w:sz w:val="16"/>
                <w:szCs w:val="16"/>
              </w:rPr>
            </w:pPr>
          </w:p>
          <w:p w14:paraId="5627290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56.3 (10.1) years</w:t>
            </w:r>
          </w:p>
          <w:p w14:paraId="375E7D1D" w14:textId="77777777" w:rsidR="005B43C1" w:rsidRPr="00103A0B" w:rsidRDefault="005B43C1" w:rsidP="00CD5919">
            <w:pPr>
              <w:jc w:val="both"/>
              <w:rPr>
                <w:rFonts w:ascii="Arial" w:hAnsi="Arial" w:cs="Arial"/>
                <w:sz w:val="16"/>
                <w:szCs w:val="16"/>
              </w:rPr>
            </w:pPr>
          </w:p>
          <w:p w14:paraId="3EF28D8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Gender: 43% female; 57% male</w:t>
            </w:r>
          </w:p>
          <w:p w14:paraId="7A2BBB78" w14:textId="77777777" w:rsidR="005B43C1" w:rsidRPr="00103A0B" w:rsidRDefault="005B43C1" w:rsidP="00CD5919">
            <w:pPr>
              <w:jc w:val="both"/>
              <w:rPr>
                <w:rFonts w:ascii="Arial" w:hAnsi="Arial" w:cs="Arial"/>
                <w:sz w:val="16"/>
                <w:szCs w:val="16"/>
              </w:rPr>
            </w:pPr>
          </w:p>
          <w:p w14:paraId="7AC3E57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not stated </w:t>
            </w:r>
          </w:p>
        </w:tc>
        <w:tc>
          <w:tcPr>
            <w:tcW w:w="1588" w:type="dxa"/>
          </w:tcPr>
          <w:p w14:paraId="48474EF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72AD24E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776CD30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Author clarified: at baseline- 93 P`s in intervention group; 89 P`s in control. At follow up- 85 P`s in intervention and 81 in control</w:t>
            </w:r>
          </w:p>
          <w:p w14:paraId="24E9C217" w14:textId="77777777" w:rsidR="005B43C1" w:rsidRPr="00103A0B" w:rsidRDefault="005B43C1" w:rsidP="00CD5919">
            <w:pPr>
              <w:jc w:val="both"/>
              <w:rPr>
                <w:rFonts w:ascii="Arial" w:hAnsi="Arial" w:cs="Arial"/>
                <w:sz w:val="16"/>
                <w:szCs w:val="16"/>
              </w:rPr>
            </w:pPr>
          </w:p>
          <w:p w14:paraId="36C7A58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 91.40%</w:t>
            </w:r>
          </w:p>
          <w:p w14:paraId="2425F639" w14:textId="77777777" w:rsidR="005B43C1" w:rsidRPr="00103A0B" w:rsidRDefault="005B43C1" w:rsidP="00CD5919">
            <w:pPr>
              <w:jc w:val="both"/>
              <w:rPr>
                <w:rFonts w:ascii="Arial" w:hAnsi="Arial" w:cs="Arial"/>
                <w:sz w:val="16"/>
                <w:szCs w:val="16"/>
              </w:rPr>
            </w:pPr>
          </w:p>
          <w:p w14:paraId="5F63BBC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DO= 8.60%</w:t>
            </w:r>
          </w:p>
          <w:p w14:paraId="1028922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w:t>
            </w:r>
          </w:p>
        </w:tc>
      </w:tr>
      <w:tr w:rsidR="005B43C1" w:rsidRPr="00103A0B" w14:paraId="7E453AC0" w14:textId="77777777" w:rsidTr="005B43C1">
        <w:trPr>
          <w:trHeight w:val="144"/>
        </w:trPr>
        <w:tc>
          <w:tcPr>
            <w:tcW w:w="1232" w:type="dxa"/>
          </w:tcPr>
          <w:p w14:paraId="42D01AC7"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Laatikainen</w:t>
            </w:r>
            <w:proofErr w:type="spellEnd"/>
            <w:r w:rsidRPr="00103A0B">
              <w:rPr>
                <w:rFonts w:ascii="Arial" w:hAnsi="Arial" w:cs="Arial"/>
                <w:sz w:val="16"/>
                <w:szCs w:val="16"/>
              </w:rPr>
              <w:t xml:space="preserve"> et al. (2007)</w:t>
            </w:r>
          </w:p>
          <w:p w14:paraId="44A00DCC" w14:textId="77777777" w:rsidR="005B43C1" w:rsidRPr="00103A0B" w:rsidRDefault="005B43C1" w:rsidP="00CD5919">
            <w:pPr>
              <w:jc w:val="both"/>
              <w:rPr>
                <w:rFonts w:ascii="Arial" w:hAnsi="Arial" w:cs="Arial"/>
                <w:sz w:val="16"/>
                <w:szCs w:val="16"/>
              </w:rPr>
            </w:pPr>
          </w:p>
          <w:p w14:paraId="4B3E2C37" w14:textId="77777777" w:rsidR="005B43C1" w:rsidRPr="00103A0B" w:rsidRDefault="005B43C1" w:rsidP="00CD5919">
            <w:pPr>
              <w:jc w:val="both"/>
              <w:rPr>
                <w:rFonts w:ascii="Arial" w:hAnsi="Arial" w:cs="Arial"/>
                <w:sz w:val="16"/>
                <w:szCs w:val="16"/>
              </w:rPr>
            </w:pPr>
          </w:p>
        </w:tc>
        <w:tc>
          <w:tcPr>
            <w:tcW w:w="1284" w:type="dxa"/>
          </w:tcPr>
          <w:p w14:paraId="2B33236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Australia- Victoria</w:t>
            </w:r>
          </w:p>
        </w:tc>
        <w:tc>
          <w:tcPr>
            <w:tcW w:w="1316" w:type="dxa"/>
            <w:gridSpan w:val="2"/>
          </w:tcPr>
          <w:p w14:paraId="63E2160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Intervention study- implementation trial in a practical setting; longitudinal pre-test and post-test study design </w:t>
            </w:r>
          </w:p>
          <w:p w14:paraId="73753003" w14:textId="77777777" w:rsidR="005B43C1" w:rsidRPr="00103A0B" w:rsidRDefault="005B43C1" w:rsidP="00CD5919">
            <w:pPr>
              <w:jc w:val="both"/>
              <w:rPr>
                <w:rFonts w:ascii="Arial" w:hAnsi="Arial" w:cs="Arial"/>
                <w:sz w:val="16"/>
                <w:szCs w:val="16"/>
              </w:rPr>
            </w:pPr>
          </w:p>
          <w:p w14:paraId="71BFD8E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General Practices </w:t>
            </w:r>
          </w:p>
          <w:p w14:paraId="67EFF7E4" w14:textId="77777777" w:rsidR="005B43C1" w:rsidRPr="00103A0B" w:rsidRDefault="005B43C1" w:rsidP="00CD5919">
            <w:pPr>
              <w:jc w:val="both"/>
              <w:rPr>
                <w:rFonts w:ascii="Arial" w:hAnsi="Arial" w:cs="Arial"/>
                <w:sz w:val="16"/>
                <w:szCs w:val="16"/>
              </w:rPr>
            </w:pPr>
          </w:p>
        </w:tc>
        <w:tc>
          <w:tcPr>
            <w:tcW w:w="2405" w:type="dxa"/>
          </w:tcPr>
          <w:p w14:paraId="7C05E30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Intervention model based on the diabetes prevention project in the Finnish GOAL study. Frequency: Intervention consists of 6 structured 90-minute group sessions over 8 months using the Health Action Process Approach. First 5 sessions occurred within first 3 months, with 2-week intervals between sessions. The last session took place at 8 months.</w:t>
            </w:r>
          </w:p>
          <w:p w14:paraId="08E397C1" w14:textId="77777777" w:rsidR="005B43C1" w:rsidRPr="00103A0B" w:rsidRDefault="005B43C1" w:rsidP="00CD5919">
            <w:pPr>
              <w:jc w:val="both"/>
              <w:rPr>
                <w:rFonts w:ascii="Arial" w:hAnsi="Arial" w:cs="Arial"/>
                <w:sz w:val="16"/>
                <w:szCs w:val="16"/>
              </w:rPr>
            </w:pPr>
          </w:p>
          <w:p w14:paraId="1E4185A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52B23163" w14:textId="77777777" w:rsidR="005B43C1" w:rsidRPr="00103A0B" w:rsidRDefault="005B43C1" w:rsidP="00CD5919">
            <w:pPr>
              <w:jc w:val="both"/>
              <w:rPr>
                <w:rFonts w:ascii="Arial" w:hAnsi="Arial" w:cs="Arial"/>
                <w:sz w:val="16"/>
                <w:szCs w:val="16"/>
              </w:rPr>
            </w:pPr>
          </w:p>
        </w:tc>
        <w:tc>
          <w:tcPr>
            <w:tcW w:w="1560" w:type="dxa"/>
          </w:tcPr>
          <w:p w14:paraId="191D804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12 months </w:t>
            </w:r>
          </w:p>
        </w:tc>
        <w:tc>
          <w:tcPr>
            <w:tcW w:w="2063" w:type="dxa"/>
          </w:tcPr>
          <w:p w14:paraId="1BCDF69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Participants were recruited by specially trained study nurses mainly in local GP clinics reception and waiting areas using the Diabetes Risk Score Tool- screened opportunistically</w:t>
            </w:r>
          </w:p>
        </w:tc>
        <w:tc>
          <w:tcPr>
            <w:tcW w:w="0" w:type="auto"/>
          </w:tcPr>
          <w:p w14:paraId="4778A79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311 P`s at baseline:</w:t>
            </w:r>
          </w:p>
          <w:p w14:paraId="7AC204F3" w14:textId="77777777" w:rsidR="005B43C1" w:rsidRPr="00103A0B" w:rsidRDefault="005B43C1" w:rsidP="00CD5919">
            <w:pPr>
              <w:jc w:val="both"/>
              <w:rPr>
                <w:rFonts w:ascii="Arial" w:hAnsi="Arial" w:cs="Arial"/>
                <w:sz w:val="16"/>
                <w:szCs w:val="16"/>
              </w:rPr>
            </w:pPr>
          </w:p>
          <w:p w14:paraId="0044C7D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56.95 (9.1) years</w:t>
            </w:r>
          </w:p>
          <w:p w14:paraId="69B3CD7C" w14:textId="77777777" w:rsidR="005B43C1" w:rsidRPr="00103A0B" w:rsidRDefault="005B43C1" w:rsidP="00CD5919">
            <w:pPr>
              <w:jc w:val="both"/>
              <w:rPr>
                <w:rFonts w:ascii="Arial" w:hAnsi="Arial" w:cs="Arial"/>
                <w:sz w:val="16"/>
                <w:szCs w:val="16"/>
              </w:rPr>
            </w:pPr>
          </w:p>
          <w:p w14:paraId="31DEFF5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88 (28%) males); 223 (72%) females </w:t>
            </w:r>
          </w:p>
          <w:p w14:paraId="52F6870B" w14:textId="77777777" w:rsidR="005B43C1" w:rsidRPr="00103A0B" w:rsidRDefault="005B43C1" w:rsidP="00CD5919">
            <w:pPr>
              <w:jc w:val="both"/>
              <w:rPr>
                <w:rFonts w:ascii="Arial" w:hAnsi="Arial" w:cs="Arial"/>
                <w:sz w:val="16"/>
                <w:szCs w:val="16"/>
              </w:rPr>
            </w:pPr>
          </w:p>
          <w:p w14:paraId="56A7940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not stated </w:t>
            </w:r>
          </w:p>
        </w:tc>
        <w:tc>
          <w:tcPr>
            <w:tcW w:w="1588" w:type="dxa"/>
          </w:tcPr>
          <w:p w14:paraId="75E7958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505F6D7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Of 523 P`s who have a score above 12 (on The Diabetes Risk Score tool), 343 P`s willing to participate (32 excluded due to being diagnosed with T2DM at baseline); 311 P`s eligible to take part and </w:t>
            </w:r>
            <w:proofErr w:type="gramStart"/>
            <w:r w:rsidRPr="00103A0B">
              <w:rPr>
                <w:rFonts w:ascii="Arial" w:hAnsi="Arial" w:cs="Arial"/>
                <w:sz w:val="16"/>
                <w:szCs w:val="16"/>
              </w:rPr>
              <w:t>started</w:t>
            </w:r>
            <w:proofErr w:type="gramEnd"/>
            <w:r w:rsidRPr="00103A0B">
              <w:rPr>
                <w:rFonts w:ascii="Arial" w:hAnsi="Arial" w:cs="Arial"/>
                <w:sz w:val="16"/>
                <w:szCs w:val="16"/>
              </w:rPr>
              <w:t xml:space="preserve">  </w:t>
            </w:r>
          </w:p>
          <w:p w14:paraId="77F6AAB8" w14:textId="77777777" w:rsidR="005B43C1" w:rsidRPr="00103A0B" w:rsidRDefault="005B43C1" w:rsidP="00CD5919">
            <w:pPr>
              <w:jc w:val="both"/>
              <w:rPr>
                <w:rFonts w:ascii="Arial" w:hAnsi="Arial" w:cs="Arial"/>
                <w:sz w:val="16"/>
                <w:szCs w:val="16"/>
              </w:rPr>
            </w:pPr>
          </w:p>
          <w:p w14:paraId="4D003BC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Uptake=63.34% </w:t>
            </w:r>
          </w:p>
          <w:p w14:paraId="1D02CAC4" w14:textId="77777777" w:rsidR="005B43C1" w:rsidRPr="00103A0B" w:rsidRDefault="005B43C1" w:rsidP="00CD5919">
            <w:pPr>
              <w:jc w:val="both"/>
              <w:rPr>
                <w:rFonts w:ascii="Arial" w:hAnsi="Arial" w:cs="Arial"/>
                <w:sz w:val="16"/>
                <w:szCs w:val="16"/>
              </w:rPr>
            </w:pPr>
          </w:p>
          <w:p w14:paraId="0F2989E3" w14:textId="77777777" w:rsidR="005B43C1" w:rsidRPr="00103A0B" w:rsidRDefault="005B43C1" w:rsidP="00CD5919">
            <w:pPr>
              <w:jc w:val="both"/>
              <w:rPr>
                <w:rFonts w:ascii="Arial" w:hAnsi="Arial" w:cs="Arial"/>
                <w:sz w:val="16"/>
                <w:szCs w:val="16"/>
              </w:rPr>
            </w:pPr>
          </w:p>
        </w:tc>
        <w:tc>
          <w:tcPr>
            <w:tcW w:w="1564" w:type="dxa"/>
          </w:tcPr>
          <w:p w14:paraId="479B844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311 P`s </w:t>
            </w:r>
            <w:proofErr w:type="gramStart"/>
            <w:r w:rsidRPr="00103A0B">
              <w:rPr>
                <w:rFonts w:ascii="Arial" w:hAnsi="Arial" w:cs="Arial"/>
                <w:sz w:val="16"/>
                <w:szCs w:val="16"/>
              </w:rPr>
              <w:t>started</w:t>
            </w:r>
            <w:proofErr w:type="gramEnd"/>
            <w:r w:rsidRPr="00103A0B">
              <w:rPr>
                <w:rFonts w:ascii="Arial" w:hAnsi="Arial" w:cs="Arial"/>
                <w:sz w:val="16"/>
                <w:szCs w:val="16"/>
              </w:rPr>
              <w:t xml:space="preserve"> </w:t>
            </w:r>
          </w:p>
          <w:p w14:paraId="342EAE8D" w14:textId="77777777" w:rsidR="005B43C1" w:rsidRPr="00103A0B" w:rsidRDefault="005B43C1" w:rsidP="00CD5919">
            <w:pPr>
              <w:jc w:val="both"/>
              <w:rPr>
                <w:rFonts w:ascii="Arial" w:hAnsi="Arial" w:cs="Arial"/>
                <w:sz w:val="16"/>
                <w:szCs w:val="16"/>
              </w:rPr>
            </w:pPr>
          </w:p>
          <w:p w14:paraId="7DEB1C6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237 attended both baseline and 12-month clinical tests and at least one group session. This was the definition of completion.</w:t>
            </w:r>
          </w:p>
          <w:p w14:paraId="3FACA82E" w14:textId="77777777" w:rsidR="005B43C1" w:rsidRPr="00103A0B" w:rsidRDefault="005B43C1" w:rsidP="00CD5919">
            <w:pPr>
              <w:jc w:val="both"/>
              <w:rPr>
                <w:rFonts w:ascii="Arial" w:hAnsi="Arial" w:cs="Arial"/>
                <w:sz w:val="16"/>
                <w:szCs w:val="16"/>
              </w:rPr>
            </w:pPr>
          </w:p>
          <w:p w14:paraId="5DBCB8C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Retention=76.21% </w:t>
            </w:r>
          </w:p>
          <w:p w14:paraId="2C08F8B1" w14:textId="77777777" w:rsidR="005B43C1" w:rsidRPr="00103A0B" w:rsidRDefault="005B43C1" w:rsidP="00CD5919">
            <w:pPr>
              <w:jc w:val="both"/>
              <w:rPr>
                <w:rFonts w:ascii="Arial" w:hAnsi="Arial" w:cs="Arial"/>
                <w:sz w:val="16"/>
                <w:szCs w:val="16"/>
              </w:rPr>
            </w:pPr>
          </w:p>
          <w:p w14:paraId="6F396EB2" w14:textId="77777777" w:rsidR="005B43C1" w:rsidRPr="00103A0B" w:rsidRDefault="005B43C1" w:rsidP="00CD5919">
            <w:pPr>
              <w:jc w:val="both"/>
              <w:rPr>
                <w:rFonts w:ascii="Arial" w:hAnsi="Arial" w:cs="Arial"/>
                <w:sz w:val="16"/>
                <w:szCs w:val="16"/>
              </w:rPr>
            </w:pPr>
          </w:p>
        </w:tc>
      </w:tr>
      <w:tr w:rsidR="005B43C1" w:rsidRPr="00103A0B" w14:paraId="71B43F39" w14:textId="77777777" w:rsidTr="005B43C1">
        <w:trPr>
          <w:trHeight w:val="144"/>
        </w:trPr>
        <w:tc>
          <w:tcPr>
            <w:tcW w:w="1232" w:type="dxa"/>
          </w:tcPr>
          <w:p w14:paraId="40EBDF98"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lastRenderedPageBreak/>
              <w:t>Makrilakis</w:t>
            </w:r>
            <w:proofErr w:type="spellEnd"/>
            <w:r w:rsidRPr="00103A0B">
              <w:rPr>
                <w:rFonts w:ascii="Arial" w:hAnsi="Arial" w:cs="Arial"/>
                <w:sz w:val="16"/>
                <w:szCs w:val="16"/>
              </w:rPr>
              <w:t xml:space="preserve"> et al. (2010)</w:t>
            </w:r>
          </w:p>
          <w:p w14:paraId="33EDB032" w14:textId="77777777" w:rsidR="005B43C1" w:rsidRPr="00103A0B" w:rsidRDefault="005B43C1" w:rsidP="00CD5919">
            <w:pPr>
              <w:jc w:val="both"/>
              <w:rPr>
                <w:rFonts w:ascii="Arial" w:hAnsi="Arial" w:cs="Arial"/>
                <w:sz w:val="16"/>
                <w:szCs w:val="16"/>
              </w:rPr>
            </w:pPr>
          </w:p>
          <w:p w14:paraId="408D502C" w14:textId="77777777" w:rsidR="005B43C1" w:rsidRPr="00103A0B" w:rsidRDefault="005B43C1" w:rsidP="00CD5919">
            <w:pPr>
              <w:jc w:val="both"/>
              <w:rPr>
                <w:rFonts w:ascii="Arial" w:hAnsi="Arial" w:cs="Arial"/>
                <w:sz w:val="16"/>
                <w:szCs w:val="16"/>
              </w:rPr>
            </w:pPr>
          </w:p>
        </w:tc>
        <w:tc>
          <w:tcPr>
            <w:tcW w:w="1284" w:type="dxa"/>
          </w:tcPr>
          <w:p w14:paraId="084971F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Greece-Athens</w:t>
            </w:r>
          </w:p>
        </w:tc>
        <w:tc>
          <w:tcPr>
            <w:tcW w:w="1316" w:type="dxa"/>
            <w:gridSpan w:val="2"/>
          </w:tcPr>
          <w:p w14:paraId="04A4E8B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Community-based lifestyle intervention</w:t>
            </w:r>
          </w:p>
          <w:p w14:paraId="458191B9" w14:textId="77777777" w:rsidR="005B43C1" w:rsidRPr="00103A0B" w:rsidRDefault="005B43C1" w:rsidP="00CD5919">
            <w:pPr>
              <w:jc w:val="both"/>
              <w:rPr>
                <w:rFonts w:ascii="Arial" w:hAnsi="Arial" w:cs="Arial"/>
                <w:sz w:val="16"/>
                <w:szCs w:val="16"/>
              </w:rPr>
            </w:pPr>
          </w:p>
          <w:p w14:paraId="16C031B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Primary care and occupational settings </w:t>
            </w:r>
          </w:p>
        </w:tc>
        <w:tc>
          <w:tcPr>
            <w:tcW w:w="2405" w:type="dxa"/>
          </w:tcPr>
          <w:p w14:paraId="6640D6B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Frequency: The 1-year intervention programme consisted of six sessions (1 h each) held by a registered dietitian at the area of the participants’ residence or work. Size: Groups of 6–10 persons were constructed. Content: In every session, information on healthy lifestyle, personal </w:t>
            </w:r>
            <w:proofErr w:type="gramStart"/>
            <w:r w:rsidRPr="00103A0B">
              <w:rPr>
                <w:rFonts w:ascii="Arial" w:hAnsi="Arial" w:cs="Arial"/>
                <w:sz w:val="16"/>
                <w:szCs w:val="16"/>
              </w:rPr>
              <w:t>discussion</w:t>
            </w:r>
            <w:proofErr w:type="gramEnd"/>
            <w:r w:rsidRPr="00103A0B">
              <w:rPr>
                <w:rFonts w:ascii="Arial" w:hAnsi="Arial" w:cs="Arial"/>
                <w:sz w:val="16"/>
                <w:szCs w:val="16"/>
              </w:rPr>
              <w:t xml:space="preserve"> and written material (leaflets, etc.) were provided, analysing concept of the disease risk in general and the individual risk in particular </w:t>
            </w:r>
          </w:p>
          <w:p w14:paraId="607AB12D" w14:textId="77777777" w:rsidR="005B43C1" w:rsidRPr="00103A0B" w:rsidRDefault="005B43C1" w:rsidP="00CD5919">
            <w:pPr>
              <w:jc w:val="both"/>
              <w:rPr>
                <w:rFonts w:ascii="Arial" w:hAnsi="Arial" w:cs="Arial"/>
                <w:sz w:val="16"/>
                <w:szCs w:val="16"/>
              </w:rPr>
            </w:pPr>
          </w:p>
          <w:p w14:paraId="5DEC051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D+E </w:t>
            </w:r>
          </w:p>
          <w:p w14:paraId="428CBD04" w14:textId="77777777" w:rsidR="005B43C1" w:rsidRPr="00103A0B" w:rsidRDefault="005B43C1" w:rsidP="00CD5919">
            <w:pPr>
              <w:jc w:val="both"/>
              <w:rPr>
                <w:rFonts w:ascii="Arial" w:hAnsi="Arial" w:cs="Arial"/>
                <w:sz w:val="16"/>
                <w:szCs w:val="16"/>
              </w:rPr>
            </w:pPr>
          </w:p>
        </w:tc>
        <w:tc>
          <w:tcPr>
            <w:tcW w:w="1560" w:type="dxa"/>
          </w:tcPr>
          <w:p w14:paraId="2C3C24F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1A63ABE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Not clear/ not </w:t>
            </w:r>
            <w:proofErr w:type="gramStart"/>
            <w:r w:rsidRPr="00103A0B">
              <w:rPr>
                <w:rFonts w:ascii="Arial" w:hAnsi="Arial" w:cs="Arial"/>
                <w:sz w:val="16"/>
                <w:szCs w:val="16"/>
              </w:rPr>
              <w:t>stated</w:t>
            </w:r>
            <w:proofErr w:type="gramEnd"/>
          </w:p>
          <w:p w14:paraId="7CC71E13" w14:textId="77777777" w:rsidR="005B43C1" w:rsidRPr="00103A0B" w:rsidRDefault="005B43C1" w:rsidP="00CD5919">
            <w:pPr>
              <w:jc w:val="both"/>
              <w:rPr>
                <w:rFonts w:ascii="Arial" w:hAnsi="Arial" w:cs="Arial"/>
                <w:sz w:val="16"/>
                <w:szCs w:val="16"/>
              </w:rPr>
            </w:pPr>
          </w:p>
          <w:p w14:paraId="7DD9B89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For primary care settings: staff were asked to distribute FINDRISC questionnaires to potential P`s. for occupational settings, a particular day was organised where the FINDRISC was given. Those eligible were told about DE-PLAN project by investigators </w:t>
            </w:r>
            <w:proofErr w:type="gramStart"/>
            <w:r w:rsidRPr="00103A0B">
              <w:rPr>
                <w:rFonts w:ascii="Arial" w:hAnsi="Arial" w:cs="Arial"/>
                <w:sz w:val="16"/>
                <w:szCs w:val="16"/>
              </w:rPr>
              <w:t>themselves</w:t>
            </w:r>
            <w:proofErr w:type="gramEnd"/>
            <w:r w:rsidRPr="00103A0B">
              <w:rPr>
                <w:rFonts w:ascii="Arial" w:hAnsi="Arial" w:cs="Arial"/>
                <w:sz w:val="16"/>
                <w:szCs w:val="16"/>
              </w:rPr>
              <w:t xml:space="preserve"> </w:t>
            </w:r>
          </w:p>
          <w:p w14:paraId="248B2BBC" w14:textId="77777777" w:rsidR="005B43C1" w:rsidRPr="00103A0B" w:rsidRDefault="005B43C1" w:rsidP="00CD5919">
            <w:pPr>
              <w:jc w:val="both"/>
              <w:rPr>
                <w:rFonts w:ascii="Arial" w:hAnsi="Arial" w:cs="Arial"/>
                <w:sz w:val="16"/>
                <w:szCs w:val="16"/>
              </w:rPr>
            </w:pPr>
          </w:p>
          <w:p w14:paraId="0A198BA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All high-risk P`s were informed of project via telephone and personalized mail </w:t>
            </w:r>
          </w:p>
        </w:tc>
        <w:tc>
          <w:tcPr>
            <w:tcW w:w="0" w:type="auto"/>
          </w:tcPr>
          <w:p w14:paraId="110FAD5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191 P`s at baseline:</w:t>
            </w:r>
          </w:p>
          <w:p w14:paraId="217A6988" w14:textId="77777777" w:rsidR="005B43C1" w:rsidRPr="00103A0B" w:rsidRDefault="005B43C1" w:rsidP="00CD5919">
            <w:pPr>
              <w:jc w:val="both"/>
              <w:rPr>
                <w:rFonts w:ascii="Arial" w:hAnsi="Arial" w:cs="Arial"/>
                <w:sz w:val="16"/>
                <w:szCs w:val="16"/>
              </w:rPr>
            </w:pPr>
          </w:p>
          <w:p w14:paraId="702F485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56.3 (10.8) years</w:t>
            </w:r>
          </w:p>
          <w:p w14:paraId="60F72BD0" w14:textId="77777777" w:rsidR="005B43C1" w:rsidRPr="00103A0B" w:rsidRDefault="005B43C1" w:rsidP="00CD5919">
            <w:pPr>
              <w:jc w:val="both"/>
              <w:rPr>
                <w:rFonts w:ascii="Arial" w:hAnsi="Arial" w:cs="Arial"/>
                <w:sz w:val="16"/>
                <w:szCs w:val="16"/>
              </w:rPr>
            </w:pPr>
          </w:p>
          <w:p w14:paraId="0558AE4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77 (40%) </w:t>
            </w:r>
            <w:proofErr w:type="gramStart"/>
            <w:r w:rsidRPr="00103A0B">
              <w:rPr>
                <w:rFonts w:ascii="Arial" w:hAnsi="Arial" w:cs="Arial"/>
                <w:sz w:val="16"/>
                <w:szCs w:val="16"/>
              </w:rPr>
              <w:t>male</w:t>
            </w:r>
            <w:proofErr w:type="gramEnd"/>
            <w:r w:rsidRPr="00103A0B">
              <w:rPr>
                <w:rFonts w:ascii="Arial" w:hAnsi="Arial" w:cs="Arial"/>
                <w:sz w:val="16"/>
                <w:szCs w:val="16"/>
              </w:rPr>
              <w:t xml:space="preserve">; 114 (60%) female </w:t>
            </w:r>
          </w:p>
          <w:p w14:paraId="36234405" w14:textId="77777777" w:rsidR="005B43C1" w:rsidRPr="00103A0B" w:rsidRDefault="005B43C1" w:rsidP="00CD5919">
            <w:pPr>
              <w:jc w:val="both"/>
              <w:rPr>
                <w:rFonts w:ascii="Arial" w:hAnsi="Arial" w:cs="Arial"/>
                <w:sz w:val="16"/>
                <w:szCs w:val="16"/>
              </w:rPr>
            </w:pPr>
          </w:p>
          <w:p w14:paraId="01F5465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not stated </w:t>
            </w:r>
          </w:p>
        </w:tc>
        <w:tc>
          <w:tcPr>
            <w:tcW w:w="1588" w:type="dxa"/>
          </w:tcPr>
          <w:p w14:paraId="3997446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7900 FINDRISC distributed (1500 in occupational settings; 6400 in primary care settings)</w:t>
            </w:r>
          </w:p>
          <w:p w14:paraId="7B27047F" w14:textId="77777777" w:rsidR="005B43C1" w:rsidRPr="00103A0B" w:rsidRDefault="005B43C1" w:rsidP="00CD5919">
            <w:pPr>
              <w:jc w:val="both"/>
              <w:rPr>
                <w:rFonts w:ascii="Arial" w:hAnsi="Arial" w:cs="Arial"/>
                <w:sz w:val="16"/>
                <w:szCs w:val="16"/>
              </w:rPr>
            </w:pPr>
          </w:p>
          <w:p w14:paraId="22E4630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3240 completed questionnaires</w:t>
            </w:r>
          </w:p>
          <w:p w14:paraId="2EB75311" w14:textId="77777777" w:rsidR="005B43C1" w:rsidRPr="00103A0B" w:rsidRDefault="005B43C1" w:rsidP="00CD5919">
            <w:pPr>
              <w:jc w:val="both"/>
              <w:rPr>
                <w:rFonts w:ascii="Arial" w:hAnsi="Arial" w:cs="Arial"/>
                <w:sz w:val="16"/>
                <w:szCs w:val="16"/>
              </w:rPr>
            </w:pPr>
          </w:p>
          <w:p w14:paraId="49FA7902" w14:textId="77777777" w:rsidR="005B43C1" w:rsidRPr="00103A0B" w:rsidRDefault="005B43C1" w:rsidP="00CD5919">
            <w:pPr>
              <w:jc w:val="both"/>
              <w:rPr>
                <w:rFonts w:ascii="Arial" w:hAnsi="Arial" w:cs="Arial"/>
                <w:sz w:val="16"/>
                <w:szCs w:val="16"/>
              </w:rPr>
            </w:pPr>
          </w:p>
          <w:p w14:paraId="290126A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Response rate= 41.01%*</w:t>
            </w:r>
          </w:p>
          <w:p w14:paraId="2C34C835" w14:textId="77777777" w:rsidR="005B43C1" w:rsidRPr="00103A0B" w:rsidRDefault="005B43C1" w:rsidP="00CD5919">
            <w:pPr>
              <w:jc w:val="both"/>
              <w:rPr>
                <w:rFonts w:ascii="Arial" w:hAnsi="Arial" w:cs="Arial"/>
                <w:sz w:val="16"/>
                <w:szCs w:val="16"/>
              </w:rPr>
            </w:pPr>
          </w:p>
          <w:p w14:paraId="7FF1768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*Note: this figure might be questionable as in recruitment strategy, for occupational settings, a day was organised when the questionnaires were given which means some people may have been informed about study but then did not have the questionnaire to complete  </w:t>
            </w:r>
          </w:p>
        </w:tc>
        <w:tc>
          <w:tcPr>
            <w:tcW w:w="1360" w:type="dxa"/>
          </w:tcPr>
          <w:p w14:paraId="6D5D6B7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251 identified as non-diabetic (high risk) </w:t>
            </w:r>
          </w:p>
          <w:p w14:paraId="33EFA9B0" w14:textId="77777777" w:rsidR="005B43C1" w:rsidRPr="00103A0B" w:rsidRDefault="005B43C1" w:rsidP="00CD5919">
            <w:pPr>
              <w:jc w:val="both"/>
              <w:rPr>
                <w:rFonts w:ascii="Arial" w:hAnsi="Arial" w:cs="Arial"/>
                <w:sz w:val="16"/>
                <w:szCs w:val="16"/>
              </w:rPr>
            </w:pPr>
          </w:p>
          <w:p w14:paraId="0C4DA47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191 P`s entered </w:t>
            </w:r>
            <w:proofErr w:type="gramStart"/>
            <w:r w:rsidRPr="00103A0B">
              <w:rPr>
                <w:rFonts w:ascii="Arial" w:hAnsi="Arial" w:cs="Arial"/>
                <w:sz w:val="16"/>
                <w:szCs w:val="16"/>
              </w:rPr>
              <w:t>intervention</w:t>
            </w:r>
            <w:proofErr w:type="gramEnd"/>
          </w:p>
          <w:p w14:paraId="19AB8024" w14:textId="77777777" w:rsidR="005B43C1" w:rsidRPr="00103A0B" w:rsidRDefault="005B43C1" w:rsidP="00CD5919">
            <w:pPr>
              <w:jc w:val="both"/>
              <w:rPr>
                <w:rFonts w:ascii="Arial" w:hAnsi="Arial" w:cs="Arial"/>
                <w:sz w:val="16"/>
                <w:szCs w:val="16"/>
              </w:rPr>
            </w:pPr>
          </w:p>
          <w:p w14:paraId="635F91CF" w14:textId="77777777" w:rsidR="005B43C1" w:rsidRPr="00103A0B" w:rsidRDefault="005B43C1" w:rsidP="00CD5919">
            <w:pPr>
              <w:jc w:val="both"/>
              <w:rPr>
                <w:rFonts w:ascii="Arial" w:hAnsi="Arial" w:cs="Arial"/>
                <w:sz w:val="16"/>
                <w:szCs w:val="16"/>
              </w:rPr>
            </w:pPr>
          </w:p>
          <w:p w14:paraId="64699CE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Uptake= 76.10% </w:t>
            </w:r>
          </w:p>
        </w:tc>
        <w:tc>
          <w:tcPr>
            <w:tcW w:w="1564" w:type="dxa"/>
          </w:tcPr>
          <w:p w14:paraId="42B4F03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191 P`s entered </w:t>
            </w:r>
            <w:proofErr w:type="gramStart"/>
            <w:r w:rsidRPr="00103A0B">
              <w:rPr>
                <w:rFonts w:ascii="Arial" w:hAnsi="Arial" w:cs="Arial"/>
                <w:sz w:val="16"/>
                <w:szCs w:val="16"/>
              </w:rPr>
              <w:t>intervention</w:t>
            </w:r>
            <w:proofErr w:type="gramEnd"/>
          </w:p>
          <w:p w14:paraId="326FF420" w14:textId="77777777" w:rsidR="005B43C1" w:rsidRPr="00103A0B" w:rsidRDefault="005B43C1" w:rsidP="00CD5919">
            <w:pPr>
              <w:jc w:val="both"/>
              <w:rPr>
                <w:rFonts w:ascii="Arial" w:hAnsi="Arial" w:cs="Arial"/>
                <w:sz w:val="16"/>
                <w:szCs w:val="16"/>
              </w:rPr>
            </w:pPr>
          </w:p>
          <w:p w14:paraId="0BF5456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125 P`s completed </w:t>
            </w:r>
            <w:proofErr w:type="gramStart"/>
            <w:r w:rsidRPr="00103A0B">
              <w:rPr>
                <w:rFonts w:ascii="Arial" w:hAnsi="Arial" w:cs="Arial"/>
                <w:sz w:val="16"/>
                <w:szCs w:val="16"/>
              </w:rPr>
              <w:t>program</w:t>
            </w:r>
            <w:proofErr w:type="gramEnd"/>
          </w:p>
          <w:p w14:paraId="5B74F2E2" w14:textId="77777777" w:rsidR="005B43C1" w:rsidRPr="00103A0B" w:rsidRDefault="005B43C1" w:rsidP="00CD5919">
            <w:pPr>
              <w:jc w:val="both"/>
              <w:rPr>
                <w:rFonts w:ascii="Arial" w:hAnsi="Arial" w:cs="Arial"/>
                <w:sz w:val="16"/>
                <w:szCs w:val="16"/>
              </w:rPr>
            </w:pPr>
          </w:p>
          <w:p w14:paraId="3096C03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65.45% </w:t>
            </w:r>
          </w:p>
          <w:p w14:paraId="2258B7FA" w14:textId="77777777" w:rsidR="005B43C1" w:rsidRPr="00103A0B" w:rsidRDefault="005B43C1" w:rsidP="00CD5919">
            <w:pPr>
              <w:jc w:val="both"/>
              <w:rPr>
                <w:rFonts w:ascii="Arial" w:hAnsi="Arial" w:cs="Arial"/>
                <w:sz w:val="16"/>
                <w:szCs w:val="16"/>
              </w:rPr>
            </w:pPr>
          </w:p>
        </w:tc>
      </w:tr>
      <w:tr w:rsidR="005B43C1" w:rsidRPr="00103A0B" w14:paraId="18D03838" w14:textId="77777777" w:rsidTr="005B43C1">
        <w:trPr>
          <w:trHeight w:val="144"/>
        </w:trPr>
        <w:tc>
          <w:tcPr>
            <w:tcW w:w="1232" w:type="dxa"/>
          </w:tcPr>
          <w:p w14:paraId="2AEA5C8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Marrero et al. (2016) </w:t>
            </w:r>
          </w:p>
          <w:p w14:paraId="7BEC7364" w14:textId="77777777" w:rsidR="005B43C1" w:rsidRPr="00103A0B" w:rsidRDefault="005B43C1" w:rsidP="00CD5919">
            <w:pPr>
              <w:jc w:val="both"/>
              <w:rPr>
                <w:rFonts w:ascii="Arial" w:hAnsi="Arial" w:cs="Arial"/>
                <w:sz w:val="16"/>
                <w:szCs w:val="16"/>
              </w:rPr>
            </w:pPr>
          </w:p>
          <w:p w14:paraId="3913C70E" w14:textId="77777777" w:rsidR="005B43C1" w:rsidRPr="00103A0B" w:rsidRDefault="005B43C1" w:rsidP="00CD5919">
            <w:pPr>
              <w:jc w:val="both"/>
              <w:rPr>
                <w:rFonts w:ascii="Arial" w:hAnsi="Arial" w:cs="Arial"/>
                <w:sz w:val="16"/>
                <w:szCs w:val="16"/>
              </w:rPr>
            </w:pPr>
          </w:p>
        </w:tc>
        <w:tc>
          <w:tcPr>
            <w:tcW w:w="1284" w:type="dxa"/>
          </w:tcPr>
          <w:p w14:paraId="46C8242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USA-Indianapolis-Indiana </w:t>
            </w:r>
          </w:p>
        </w:tc>
        <w:tc>
          <w:tcPr>
            <w:tcW w:w="1316" w:type="dxa"/>
            <w:gridSpan w:val="2"/>
          </w:tcPr>
          <w:p w14:paraId="071FAB4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Individual randomized intervention trial compared with Weight Watchers Program </w:t>
            </w:r>
          </w:p>
          <w:p w14:paraId="64F9DA91" w14:textId="77777777" w:rsidR="005B43C1" w:rsidRPr="00103A0B" w:rsidRDefault="005B43C1" w:rsidP="00CD5919">
            <w:pPr>
              <w:jc w:val="both"/>
              <w:rPr>
                <w:rFonts w:ascii="Arial" w:hAnsi="Arial" w:cs="Arial"/>
                <w:sz w:val="16"/>
                <w:szCs w:val="16"/>
              </w:rPr>
            </w:pPr>
          </w:p>
          <w:p w14:paraId="6042D37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P`s screened in community settings including recreation centres, churches and community </w:t>
            </w:r>
            <w:proofErr w:type="gramStart"/>
            <w:r w:rsidRPr="00103A0B">
              <w:rPr>
                <w:rFonts w:ascii="Arial" w:hAnsi="Arial" w:cs="Arial"/>
                <w:sz w:val="16"/>
                <w:szCs w:val="16"/>
              </w:rPr>
              <w:t>clubhouses</w:t>
            </w:r>
            <w:proofErr w:type="gramEnd"/>
            <w:r w:rsidRPr="00103A0B">
              <w:rPr>
                <w:rFonts w:ascii="Arial" w:hAnsi="Arial" w:cs="Arial"/>
                <w:sz w:val="16"/>
                <w:szCs w:val="16"/>
              </w:rPr>
              <w:t xml:space="preserve"> </w:t>
            </w:r>
          </w:p>
          <w:p w14:paraId="7EB7D140" w14:textId="77777777" w:rsidR="005B43C1" w:rsidRPr="00103A0B" w:rsidRDefault="005B43C1" w:rsidP="00CD5919">
            <w:pPr>
              <w:jc w:val="both"/>
              <w:rPr>
                <w:rFonts w:ascii="Arial" w:hAnsi="Arial" w:cs="Arial"/>
                <w:sz w:val="16"/>
                <w:szCs w:val="16"/>
              </w:rPr>
            </w:pPr>
          </w:p>
        </w:tc>
        <w:tc>
          <w:tcPr>
            <w:tcW w:w="2405" w:type="dxa"/>
          </w:tcPr>
          <w:p w14:paraId="6CE36D9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The Weight Watchers core curriculum is evidence-based and covers same behavioural topics used in DPP </w:t>
            </w:r>
            <w:proofErr w:type="gramStart"/>
            <w:r w:rsidRPr="00103A0B">
              <w:rPr>
                <w:rFonts w:ascii="Arial" w:hAnsi="Arial" w:cs="Arial"/>
                <w:sz w:val="16"/>
                <w:szCs w:val="16"/>
              </w:rPr>
              <w:t>including:</w:t>
            </w:r>
            <w:proofErr w:type="gramEnd"/>
            <w:r w:rsidRPr="00103A0B">
              <w:rPr>
                <w:rFonts w:ascii="Arial" w:hAnsi="Arial" w:cs="Arial"/>
                <w:sz w:val="16"/>
                <w:szCs w:val="16"/>
              </w:rPr>
              <w:t xml:space="preserve"> self-monitoring of weight, intake &amp; activity; dietary modification; physical activity; stimulus control &amp; relapse prevention. The curriculum is delivered in a supportive, weekly group environment by appropriately trained group leaders. 1-year intervention </w:t>
            </w:r>
          </w:p>
          <w:p w14:paraId="6BF06F68" w14:textId="77777777" w:rsidR="005B43C1" w:rsidRPr="00103A0B" w:rsidRDefault="005B43C1" w:rsidP="00CD5919">
            <w:pPr>
              <w:jc w:val="both"/>
              <w:rPr>
                <w:rFonts w:ascii="Arial" w:hAnsi="Arial" w:cs="Arial"/>
                <w:sz w:val="16"/>
                <w:szCs w:val="16"/>
              </w:rPr>
            </w:pPr>
          </w:p>
          <w:p w14:paraId="01EEC71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405997C0" w14:textId="77777777" w:rsidR="005B43C1" w:rsidRPr="00103A0B" w:rsidRDefault="005B43C1" w:rsidP="00CD5919">
            <w:pPr>
              <w:jc w:val="both"/>
              <w:rPr>
                <w:rFonts w:ascii="Arial" w:hAnsi="Arial" w:cs="Arial"/>
                <w:sz w:val="16"/>
                <w:szCs w:val="16"/>
              </w:rPr>
            </w:pPr>
          </w:p>
        </w:tc>
        <w:tc>
          <w:tcPr>
            <w:tcW w:w="1560" w:type="dxa"/>
          </w:tcPr>
          <w:p w14:paraId="481F700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79198DC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Not stated- just screened in community settings </w:t>
            </w:r>
          </w:p>
        </w:tc>
        <w:tc>
          <w:tcPr>
            <w:tcW w:w="0" w:type="auto"/>
          </w:tcPr>
          <w:p w14:paraId="64606E2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Age: average= 52 (SD = 11) years </w:t>
            </w:r>
          </w:p>
          <w:p w14:paraId="626E6877" w14:textId="77777777" w:rsidR="005B43C1" w:rsidRPr="00103A0B" w:rsidRDefault="005B43C1" w:rsidP="00CD5919">
            <w:pPr>
              <w:jc w:val="both"/>
              <w:rPr>
                <w:rFonts w:ascii="Arial" w:hAnsi="Arial" w:cs="Arial"/>
                <w:sz w:val="16"/>
                <w:szCs w:val="16"/>
              </w:rPr>
            </w:pPr>
          </w:p>
          <w:p w14:paraId="40AA941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Gender: primarily female</w:t>
            </w:r>
          </w:p>
          <w:p w14:paraId="6AFF2D2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(85%)</w:t>
            </w:r>
          </w:p>
          <w:p w14:paraId="5A7467B1" w14:textId="77777777" w:rsidR="005B43C1" w:rsidRPr="00103A0B" w:rsidRDefault="005B43C1" w:rsidP="00CD5919">
            <w:pPr>
              <w:jc w:val="both"/>
              <w:rPr>
                <w:rFonts w:ascii="Arial" w:hAnsi="Arial" w:cs="Arial"/>
                <w:sz w:val="16"/>
                <w:szCs w:val="16"/>
              </w:rPr>
            </w:pPr>
          </w:p>
          <w:p w14:paraId="3EBADD6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Ethnicity: non-Hispanic (94%), and White (64%)</w:t>
            </w:r>
          </w:p>
          <w:p w14:paraId="21CD5632" w14:textId="77777777" w:rsidR="005B43C1" w:rsidRPr="00103A0B" w:rsidRDefault="005B43C1" w:rsidP="00CD5919">
            <w:pPr>
              <w:jc w:val="both"/>
              <w:rPr>
                <w:rFonts w:ascii="Arial" w:hAnsi="Arial" w:cs="Arial"/>
                <w:sz w:val="16"/>
                <w:szCs w:val="16"/>
              </w:rPr>
            </w:pPr>
          </w:p>
        </w:tc>
        <w:tc>
          <w:tcPr>
            <w:tcW w:w="1588" w:type="dxa"/>
          </w:tcPr>
          <w:p w14:paraId="5D708D7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41EFC4C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265CE92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225 randomized (112 intervention, 113 control)</w:t>
            </w:r>
          </w:p>
          <w:p w14:paraId="55683A81" w14:textId="77777777" w:rsidR="005B43C1" w:rsidRPr="00103A0B" w:rsidRDefault="005B43C1" w:rsidP="00CD5919">
            <w:pPr>
              <w:jc w:val="both"/>
              <w:rPr>
                <w:rFonts w:ascii="Arial" w:hAnsi="Arial" w:cs="Arial"/>
                <w:sz w:val="16"/>
                <w:szCs w:val="16"/>
              </w:rPr>
            </w:pPr>
          </w:p>
          <w:p w14:paraId="1A99447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175 at 12 months follow up (94 intervention, 81 control) </w:t>
            </w:r>
          </w:p>
          <w:p w14:paraId="04E3C49A" w14:textId="77777777" w:rsidR="005B43C1" w:rsidRPr="00103A0B" w:rsidRDefault="005B43C1" w:rsidP="00CD5919">
            <w:pPr>
              <w:jc w:val="both"/>
              <w:rPr>
                <w:rFonts w:ascii="Arial" w:hAnsi="Arial" w:cs="Arial"/>
                <w:sz w:val="16"/>
                <w:szCs w:val="16"/>
              </w:rPr>
            </w:pPr>
          </w:p>
          <w:p w14:paraId="30F9ECB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 83.93% </w:t>
            </w:r>
          </w:p>
          <w:p w14:paraId="7EFBC940" w14:textId="77777777" w:rsidR="005B43C1" w:rsidRPr="00103A0B" w:rsidRDefault="005B43C1" w:rsidP="00CD5919">
            <w:pPr>
              <w:jc w:val="both"/>
              <w:rPr>
                <w:rFonts w:ascii="Arial" w:hAnsi="Arial" w:cs="Arial"/>
                <w:sz w:val="16"/>
                <w:szCs w:val="16"/>
              </w:rPr>
            </w:pPr>
          </w:p>
          <w:p w14:paraId="1C649E1A" w14:textId="77777777" w:rsidR="005B43C1" w:rsidRPr="00103A0B" w:rsidRDefault="005B43C1" w:rsidP="00CD5919">
            <w:pPr>
              <w:jc w:val="both"/>
              <w:rPr>
                <w:rFonts w:ascii="Arial" w:hAnsi="Arial" w:cs="Arial"/>
                <w:sz w:val="16"/>
                <w:szCs w:val="16"/>
              </w:rPr>
            </w:pPr>
          </w:p>
        </w:tc>
      </w:tr>
      <w:tr w:rsidR="005B43C1" w:rsidRPr="00103A0B" w14:paraId="008DA6D5" w14:textId="77777777" w:rsidTr="005B43C1">
        <w:trPr>
          <w:trHeight w:val="144"/>
        </w:trPr>
        <w:tc>
          <w:tcPr>
            <w:tcW w:w="1232" w:type="dxa"/>
          </w:tcPr>
          <w:p w14:paraId="070987B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McDermott et al. (2014) </w:t>
            </w:r>
          </w:p>
          <w:p w14:paraId="13A893B5" w14:textId="77777777" w:rsidR="005B43C1" w:rsidRPr="00103A0B" w:rsidRDefault="005B43C1" w:rsidP="00CD5919">
            <w:pPr>
              <w:jc w:val="both"/>
              <w:rPr>
                <w:rFonts w:ascii="Arial" w:hAnsi="Arial" w:cs="Arial"/>
                <w:sz w:val="16"/>
                <w:szCs w:val="16"/>
              </w:rPr>
            </w:pPr>
          </w:p>
        </w:tc>
        <w:tc>
          <w:tcPr>
            <w:tcW w:w="1284" w:type="dxa"/>
          </w:tcPr>
          <w:p w14:paraId="453755E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India-Bangalore </w:t>
            </w:r>
          </w:p>
        </w:tc>
        <w:tc>
          <w:tcPr>
            <w:tcW w:w="1316" w:type="dxa"/>
            <w:gridSpan w:val="2"/>
          </w:tcPr>
          <w:p w14:paraId="76E66B6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Parallel randomized controlled pilot study </w:t>
            </w:r>
          </w:p>
        </w:tc>
        <w:tc>
          <w:tcPr>
            <w:tcW w:w="2405" w:type="dxa"/>
          </w:tcPr>
          <w:p w14:paraId="00B275D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Content: Session on healthy lifestyle changes with topics on healthy diet, increasing physical activity and smoking cessation. Spouses were invited to attend this group counselling session as well. Attended a day long (8 hour) group counselling session. P`s then asked to attend at least 3, and up to 6, yoga classes per week over the 8 weeks of the study and each class lasted 75 minutes in total.</w:t>
            </w:r>
          </w:p>
          <w:p w14:paraId="596011B9" w14:textId="77777777" w:rsidR="005B43C1" w:rsidRPr="00103A0B" w:rsidRDefault="005B43C1" w:rsidP="00CD5919">
            <w:pPr>
              <w:jc w:val="both"/>
              <w:rPr>
                <w:rFonts w:ascii="Arial" w:hAnsi="Arial" w:cs="Arial"/>
                <w:sz w:val="16"/>
                <w:szCs w:val="16"/>
              </w:rPr>
            </w:pPr>
          </w:p>
          <w:p w14:paraId="5594C4C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474D8159" w14:textId="77777777" w:rsidR="005B43C1" w:rsidRPr="00103A0B" w:rsidRDefault="005B43C1" w:rsidP="00CD5919">
            <w:pPr>
              <w:jc w:val="both"/>
              <w:rPr>
                <w:rFonts w:ascii="Arial" w:hAnsi="Arial" w:cs="Arial"/>
                <w:sz w:val="16"/>
                <w:szCs w:val="16"/>
              </w:rPr>
            </w:pPr>
          </w:p>
        </w:tc>
        <w:tc>
          <w:tcPr>
            <w:tcW w:w="1560" w:type="dxa"/>
          </w:tcPr>
          <w:p w14:paraId="03680DA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49DF61E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P`s recruited using advertisements placed in primary care and diabetes clinics, as well as strategic locations throughout the city. </w:t>
            </w:r>
          </w:p>
          <w:p w14:paraId="19BADBC4" w14:textId="77777777" w:rsidR="005B43C1" w:rsidRPr="00103A0B" w:rsidRDefault="005B43C1" w:rsidP="00CD5919">
            <w:pPr>
              <w:jc w:val="both"/>
              <w:rPr>
                <w:rFonts w:ascii="Arial" w:hAnsi="Arial" w:cs="Arial"/>
                <w:sz w:val="16"/>
                <w:szCs w:val="16"/>
              </w:rPr>
            </w:pPr>
          </w:p>
        </w:tc>
        <w:tc>
          <w:tcPr>
            <w:tcW w:w="0" w:type="auto"/>
          </w:tcPr>
          <w:p w14:paraId="308DBEA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41 P1s at baseline</w:t>
            </w:r>
          </w:p>
          <w:p w14:paraId="48D8CFD5" w14:textId="77777777" w:rsidR="005B43C1" w:rsidRPr="00103A0B" w:rsidRDefault="005B43C1" w:rsidP="00CD5919">
            <w:pPr>
              <w:jc w:val="both"/>
              <w:rPr>
                <w:rFonts w:ascii="Arial" w:hAnsi="Arial" w:cs="Arial"/>
                <w:sz w:val="16"/>
                <w:szCs w:val="16"/>
              </w:rPr>
            </w:pPr>
          </w:p>
          <w:p w14:paraId="40AA082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47 years (9)</w:t>
            </w:r>
          </w:p>
          <w:p w14:paraId="56089278" w14:textId="77777777" w:rsidR="005B43C1" w:rsidRPr="00103A0B" w:rsidRDefault="005B43C1" w:rsidP="00CD5919">
            <w:pPr>
              <w:jc w:val="both"/>
              <w:rPr>
                <w:rFonts w:ascii="Arial" w:hAnsi="Arial" w:cs="Arial"/>
                <w:sz w:val="16"/>
                <w:szCs w:val="16"/>
              </w:rPr>
            </w:pPr>
          </w:p>
          <w:p w14:paraId="21E7E38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16 (39%) </w:t>
            </w:r>
            <w:proofErr w:type="gramStart"/>
            <w:r w:rsidRPr="00103A0B">
              <w:rPr>
                <w:rFonts w:ascii="Arial" w:hAnsi="Arial" w:cs="Arial"/>
                <w:sz w:val="16"/>
                <w:szCs w:val="16"/>
              </w:rPr>
              <w:t>male</w:t>
            </w:r>
            <w:proofErr w:type="gramEnd"/>
            <w:r w:rsidRPr="00103A0B">
              <w:rPr>
                <w:rFonts w:ascii="Arial" w:hAnsi="Arial" w:cs="Arial"/>
                <w:sz w:val="16"/>
                <w:szCs w:val="16"/>
              </w:rPr>
              <w:t xml:space="preserve"> </w:t>
            </w:r>
          </w:p>
          <w:p w14:paraId="58118FE2" w14:textId="77777777" w:rsidR="005B43C1" w:rsidRPr="00103A0B" w:rsidRDefault="005B43C1" w:rsidP="00CD5919">
            <w:pPr>
              <w:jc w:val="both"/>
              <w:rPr>
                <w:rFonts w:ascii="Arial" w:hAnsi="Arial" w:cs="Arial"/>
                <w:sz w:val="16"/>
                <w:szCs w:val="16"/>
              </w:rPr>
            </w:pPr>
          </w:p>
          <w:p w14:paraId="34C9AE0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not stated </w:t>
            </w:r>
          </w:p>
        </w:tc>
        <w:tc>
          <w:tcPr>
            <w:tcW w:w="1588" w:type="dxa"/>
          </w:tcPr>
          <w:p w14:paraId="38258BE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tc>
        <w:tc>
          <w:tcPr>
            <w:tcW w:w="1360" w:type="dxa"/>
          </w:tcPr>
          <w:p w14:paraId="1375A69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p w14:paraId="2385B29F" w14:textId="77777777" w:rsidR="005B43C1" w:rsidRPr="00103A0B" w:rsidRDefault="005B43C1" w:rsidP="00CD5919">
            <w:pPr>
              <w:jc w:val="both"/>
              <w:rPr>
                <w:rFonts w:ascii="Arial" w:hAnsi="Arial" w:cs="Arial"/>
                <w:sz w:val="16"/>
                <w:szCs w:val="16"/>
              </w:rPr>
            </w:pPr>
          </w:p>
        </w:tc>
        <w:tc>
          <w:tcPr>
            <w:tcW w:w="1564" w:type="dxa"/>
          </w:tcPr>
          <w:p w14:paraId="5B22529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41 P`s randomized (21 yoga intervention; 20 walking control) </w:t>
            </w:r>
          </w:p>
          <w:p w14:paraId="4EC6E948" w14:textId="77777777" w:rsidR="005B43C1" w:rsidRPr="00103A0B" w:rsidRDefault="005B43C1" w:rsidP="00CD5919">
            <w:pPr>
              <w:jc w:val="both"/>
              <w:rPr>
                <w:rFonts w:ascii="Arial" w:hAnsi="Arial" w:cs="Arial"/>
                <w:sz w:val="16"/>
                <w:szCs w:val="16"/>
              </w:rPr>
            </w:pPr>
          </w:p>
          <w:p w14:paraId="3FF0501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38 P`s completed (20 P`s in intervention, 18 P`s in control) </w:t>
            </w:r>
          </w:p>
          <w:p w14:paraId="013E4407" w14:textId="77777777" w:rsidR="005B43C1" w:rsidRPr="00103A0B" w:rsidRDefault="005B43C1" w:rsidP="00CD5919">
            <w:pPr>
              <w:jc w:val="both"/>
              <w:rPr>
                <w:rFonts w:ascii="Arial" w:hAnsi="Arial" w:cs="Arial"/>
                <w:sz w:val="16"/>
                <w:szCs w:val="16"/>
              </w:rPr>
            </w:pPr>
          </w:p>
          <w:p w14:paraId="4CC46BB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 95.24%</w:t>
            </w:r>
          </w:p>
          <w:p w14:paraId="2664A3D9" w14:textId="77777777" w:rsidR="005B43C1" w:rsidRPr="00103A0B" w:rsidRDefault="005B43C1" w:rsidP="00CD5919">
            <w:pPr>
              <w:jc w:val="both"/>
              <w:rPr>
                <w:rFonts w:ascii="Arial" w:hAnsi="Arial" w:cs="Arial"/>
                <w:sz w:val="16"/>
                <w:szCs w:val="16"/>
              </w:rPr>
            </w:pPr>
          </w:p>
          <w:p w14:paraId="7DEE776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DO=4.76%  </w:t>
            </w:r>
          </w:p>
          <w:p w14:paraId="40676D67" w14:textId="77777777" w:rsidR="005B43C1" w:rsidRPr="00103A0B" w:rsidRDefault="005B43C1" w:rsidP="00CD5919">
            <w:pPr>
              <w:jc w:val="both"/>
              <w:rPr>
                <w:rFonts w:ascii="Arial" w:hAnsi="Arial" w:cs="Arial"/>
                <w:sz w:val="16"/>
                <w:szCs w:val="16"/>
              </w:rPr>
            </w:pPr>
          </w:p>
          <w:p w14:paraId="5ADCF13E" w14:textId="77777777" w:rsidR="005B43C1" w:rsidRPr="00103A0B" w:rsidRDefault="005B43C1" w:rsidP="00CD5919">
            <w:pPr>
              <w:jc w:val="both"/>
              <w:rPr>
                <w:rFonts w:ascii="Arial" w:hAnsi="Arial" w:cs="Arial"/>
                <w:sz w:val="16"/>
                <w:szCs w:val="16"/>
              </w:rPr>
            </w:pPr>
          </w:p>
        </w:tc>
      </w:tr>
      <w:tr w:rsidR="005B43C1" w:rsidRPr="00103A0B" w14:paraId="6086D7BB" w14:textId="77777777" w:rsidTr="005B43C1">
        <w:trPr>
          <w:trHeight w:val="144"/>
        </w:trPr>
        <w:tc>
          <w:tcPr>
            <w:tcW w:w="1232" w:type="dxa"/>
          </w:tcPr>
          <w:p w14:paraId="5545DF7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Miller et al. (2016)</w:t>
            </w:r>
          </w:p>
          <w:p w14:paraId="7499D661" w14:textId="77777777" w:rsidR="005B43C1" w:rsidRPr="00103A0B" w:rsidRDefault="005B43C1" w:rsidP="00CD5919">
            <w:pPr>
              <w:jc w:val="both"/>
              <w:rPr>
                <w:rFonts w:ascii="Arial" w:hAnsi="Arial" w:cs="Arial"/>
                <w:sz w:val="16"/>
                <w:szCs w:val="16"/>
              </w:rPr>
            </w:pPr>
          </w:p>
          <w:p w14:paraId="4CC234D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w:t>
            </w:r>
            <w:proofErr w:type="spellStart"/>
            <w:r w:rsidRPr="00103A0B">
              <w:rPr>
                <w:rFonts w:ascii="Arial" w:hAnsi="Arial" w:cs="Arial"/>
                <w:sz w:val="16"/>
                <w:szCs w:val="16"/>
              </w:rPr>
              <w:t>Weinhold</w:t>
            </w:r>
            <w:proofErr w:type="spellEnd"/>
            <w:r w:rsidRPr="00103A0B">
              <w:rPr>
                <w:rFonts w:ascii="Arial" w:hAnsi="Arial" w:cs="Arial"/>
                <w:sz w:val="16"/>
                <w:szCs w:val="16"/>
              </w:rPr>
              <w:t xml:space="preserve"> et al, 2015)</w:t>
            </w:r>
          </w:p>
          <w:p w14:paraId="5172ABDF" w14:textId="77777777" w:rsidR="005B43C1" w:rsidRPr="00103A0B" w:rsidRDefault="005B43C1" w:rsidP="00CD5919">
            <w:pPr>
              <w:jc w:val="both"/>
              <w:rPr>
                <w:rFonts w:ascii="Arial" w:hAnsi="Arial" w:cs="Arial"/>
                <w:sz w:val="16"/>
                <w:szCs w:val="16"/>
              </w:rPr>
            </w:pPr>
          </w:p>
          <w:p w14:paraId="37385C95" w14:textId="77777777" w:rsidR="005B43C1" w:rsidRPr="00103A0B" w:rsidRDefault="005B43C1" w:rsidP="00CD5919">
            <w:pPr>
              <w:jc w:val="both"/>
              <w:rPr>
                <w:rFonts w:ascii="Arial" w:hAnsi="Arial" w:cs="Arial"/>
                <w:sz w:val="16"/>
                <w:szCs w:val="16"/>
              </w:rPr>
            </w:pPr>
          </w:p>
        </w:tc>
        <w:tc>
          <w:tcPr>
            <w:tcW w:w="1284" w:type="dxa"/>
          </w:tcPr>
          <w:p w14:paraId="0844A06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USA-Ohio</w:t>
            </w:r>
          </w:p>
        </w:tc>
        <w:tc>
          <w:tcPr>
            <w:tcW w:w="1316" w:type="dxa"/>
            <w:gridSpan w:val="2"/>
          </w:tcPr>
          <w:p w14:paraId="4BCAC5A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Randomised control trial </w:t>
            </w:r>
          </w:p>
          <w:p w14:paraId="3D0D1B31" w14:textId="77777777" w:rsidR="005B43C1" w:rsidRPr="00103A0B" w:rsidRDefault="005B43C1" w:rsidP="00CD5919">
            <w:pPr>
              <w:jc w:val="both"/>
              <w:rPr>
                <w:rFonts w:ascii="Arial" w:hAnsi="Arial" w:cs="Arial"/>
                <w:sz w:val="16"/>
                <w:szCs w:val="16"/>
              </w:rPr>
            </w:pPr>
          </w:p>
          <w:p w14:paraId="3AD8EEE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Pre-test-post-test control group design</w:t>
            </w:r>
          </w:p>
          <w:p w14:paraId="2F5123E7" w14:textId="77777777" w:rsidR="005B43C1" w:rsidRPr="00103A0B" w:rsidRDefault="005B43C1" w:rsidP="00CD5919">
            <w:pPr>
              <w:jc w:val="both"/>
              <w:rPr>
                <w:rFonts w:ascii="Arial" w:hAnsi="Arial" w:cs="Arial"/>
                <w:sz w:val="16"/>
                <w:szCs w:val="16"/>
              </w:rPr>
            </w:pPr>
          </w:p>
          <w:p w14:paraId="56DB198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University worksite </w:t>
            </w:r>
          </w:p>
        </w:tc>
        <w:tc>
          <w:tcPr>
            <w:tcW w:w="2405" w:type="dxa"/>
          </w:tcPr>
          <w:p w14:paraId="2E701EC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Experimental group received the 16-week Group Lifestyle Balance Intervention. Size, frequency: Groups of 10-15</w:t>
            </w:r>
          </w:p>
          <w:p w14:paraId="1E586E2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P`s met for 60 minutes weekly during the lunch hour or after work and facilitated by a lifestyle coach using the program manual. Content: First 8 sessions presented intervention goals, taught fundamental information about modifying energy and fat intake and increasing energy expenditure, and helped P`s self-monitor. Latter 8 sessions focused on problem solving to achieving lifestyle goals, preventing relapse, and motivating sustained behavioural change. Four months intervention. </w:t>
            </w:r>
          </w:p>
          <w:p w14:paraId="41860C02" w14:textId="77777777" w:rsidR="005B43C1" w:rsidRPr="00103A0B" w:rsidRDefault="005B43C1" w:rsidP="00CD5919">
            <w:pPr>
              <w:jc w:val="both"/>
              <w:rPr>
                <w:rFonts w:ascii="Arial" w:hAnsi="Arial" w:cs="Arial"/>
                <w:sz w:val="16"/>
                <w:szCs w:val="16"/>
              </w:rPr>
            </w:pPr>
          </w:p>
          <w:p w14:paraId="4E8773A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3D6CC01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w:t>
            </w:r>
          </w:p>
        </w:tc>
        <w:tc>
          <w:tcPr>
            <w:tcW w:w="1560" w:type="dxa"/>
          </w:tcPr>
          <w:p w14:paraId="1011CD7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post-intervention; 3 months </w:t>
            </w:r>
          </w:p>
        </w:tc>
        <w:tc>
          <w:tcPr>
            <w:tcW w:w="2063" w:type="dxa"/>
          </w:tcPr>
          <w:p w14:paraId="1604B81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P`s were recruited through electronic advertisements on the university newswire, campus flyers, and a news story in the employee newspaper, electronic advertisements in digital newsletters, employee email notifications, notices in ResearchMatch.com (recruitment website) and through direct mailings to employees with health insurance who completed the university health risk assessment, and university health screening; health fair; and word of mouth</w:t>
            </w:r>
          </w:p>
        </w:tc>
        <w:tc>
          <w:tcPr>
            <w:tcW w:w="0" w:type="auto"/>
          </w:tcPr>
          <w:p w14:paraId="4E16D3A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University employees with prediabetes </w:t>
            </w:r>
          </w:p>
          <w:p w14:paraId="5CC24EDC" w14:textId="77777777" w:rsidR="005B43C1" w:rsidRPr="00103A0B" w:rsidRDefault="005B43C1" w:rsidP="00CD5919">
            <w:pPr>
              <w:jc w:val="both"/>
              <w:rPr>
                <w:rFonts w:ascii="Arial" w:hAnsi="Arial" w:cs="Arial"/>
                <w:sz w:val="16"/>
                <w:szCs w:val="16"/>
              </w:rPr>
            </w:pPr>
          </w:p>
          <w:p w14:paraId="255839A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of 68 P`s:</w:t>
            </w:r>
          </w:p>
          <w:p w14:paraId="44A9369A" w14:textId="77777777" w:rsidR="005B43C1" w:rsidRPr="00103A0B" w:rsidRDefault="005B43C1" w:rsidP="00CD5919">
            <w:pPr>
              <w:jc w:val="both"/>
              <w:rPr>
                <w:rFonts w:ascii="Arial" w:hAnsi="Arial" w:cs="Arial"/>
                <w:sz w:val="16"/>
                <w:szCs w:val="16"/>
              </w:rPr>
            </w:pPr>
          </w:p>
          <w:p w14:paraId="2AA097D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age= 51.2 (8.8) years</w:t>
            </w:r>
          </w:p>
          <w:p w14:paraId="6DEE3ADE" w14:textId="77777777" w:rsidR="005B43C1" w:rsidRPr="00103A0B" w:rsidRDefault="005B43C1" w:rsidP="00CD5919">
            <w:pPr>
              <w:jc w:val="both"/>
              <w:rPr>
                <w:rFonts w:ascii="Arial" w:hAnsi="Arial" w:cs="Arial"/>
                <w:sz w:val="16"/>
                <w:szCs w:val="16"/>
              </w:rPr>
            </w:pPr>
          </w:p>
          <w:p w14:paraId="67554B1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14 (21%) </w:t>
            </w:r>
            <w:proofErr w:type="gramStart"/>
            <w:r w:rsidRPr="00103A0B">
              <w:rPr>
                <w:rFonts w:ascii="Arial" w:hAnsi="Arial" w:cs="Arial"/>
                <w:sz w:val="16"/>
                <w:szCs w:val="16"/>
              </w:rPr>
              <w:t>male</w:t>
            </w:r>
            <w:proofErr w:type="gramEnd"/>
            <w:r w:rsidRPr="00103A0B">
              <w:rPr>
                <w:rFonts w:ascii="Arial" w:hAnsi="Arial" w:cs="Arial"/>
                <w:sz w:val="16"/>
                <w:szCs w:val="16"/>
              </w:rPr>
              <w:t>; 54 (79%) female</w:t>
            </w:r>
          </w:p>
          <w:p w14:paraId="4E2E6F52" w14:textId="77777777" w:rsidR="005B43C1" w:rsidRPr="00103A0B" w:rsidRDefault="005B43C1" w:rsidP="00CD5919">
            <w:pPr>
              <w:jc w:val="both"/>
              <w:rPr>
                <w:rFonts w:ascii="Arial" w:hAnsi="Arial" w:cs="Arial"/>
                <w:sz w:val="16"/>
                <w:szCs w:val="16"/>
              </w:rPr>
            </w:pPr>
          </w:p>
          <w:p w14:paraId="66717EF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56 (82%) White; 12 (18%) Black or Asian </w:t>
            </w:r>
          </w:p>
        </w:tc>
        <w:tc>
          <w:tcPr>
            <w:tcW w:w="1588" w:type="dxa"/>
          </w:tcPr>
          <w:p w14:paraId="2B1FE1C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0126782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3BDC1B4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78 P`s (40 in experimental group; 38 in control) allocated, randomized and </w:t>
            </w:r>
            <w:proofErr w:type="gramStart"/>
            <w:r w:rsidRPr="00103A0B">
              <w:rPr>
                <w:rFonts w:ascii="Arial" w:hAnsi="Arial" w:cs="Arial"/>
                <w:sz w:val="16"/>
                <w:szCs w:val="16"/>
              </w:rPr>
              <w:t>started</w:t>
            </w:r>
            <w:proofErr w:type="gramEnd"/>
            <w:r w:rsidRPr="00103A0B">
              <w:rPr>
                <w:rFonts w:ascii="Arial" w:hAnsi="Arial" w:cs="Arial"/>
                <w:sz w:val="16"/>
                <w:szCs w:val="16"/>
              </w:rPr>
              <w:t xml:space="preserve">  </w:t>
            </w:r>
          </w:p>
          <w:p w14:paraId="060E511A" w14:textId="77777777" w:rsidR="005B43C1" w:rsidRPr="00103A0B" w:rsidRDefault="005B43C1" w:rsidP="00CD5919">
            <w:pPr>
              <w:jc w:val="both"/>
              <w:rPr>
                <w:rFonts w:ascii="Arial" w:hAnsi="Arial" w:cs="Arial"/>
                <w:sz w:val="16"/>
                <w:szCs w:val="16"/>
              </w:rPr>
            </w:pPr>
          </w:p>
          <w:p w14:paraId="6E4A122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68 P`s completed post intervention (34 intervention; 34 control) and final visit 3 month follow up after intervention (35 experimental and 33 control)</w:t>
            </w:r>
          </w:p>
          <w:p w14:paraId="2AA68B54" w14:textId="77777777" w:rsidR="005B43C1" w:rsidRPr="00103A0B" w:rsidRDefault="005B43C1" w:rsidP="00CD5919">
            <w:pPr>
              <w:jc w:val="both"/>
              <w:rPr>
                <w:rFonts w:ascii="Arial" w:hAnsi="Arial" w:cs="Arial"/>
                <w:sz w:val="16"/>
                <w:szCs w:val="16"/>
              </w:rPr>
            </w:pPr>
          </w:p>
          <w:p w14:paraId="523BDB6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DO=15% </w:t>
            </w:r>
          </w:p>
          <w:p w14:paraId="5D5DAA21" w14:textId="77777777" w:rsidR="005B43C1" w:rsidRPr="00103A0B" w:rsidRDefault="005B43C1" w:rsidP="00CD5919">
            <w:pPr>
              <w:jc w:val="both"/>
              <w:rPr>
                <w:rFonts w:ascii="Arial" w:hAnsi="Arial" w:cs="Arial"/>
                <w:sz w:val="16"/>
                <w:szCs w:val="16"/>
              </w:rPr>
            </w:pPr>
          </w:p>
          <w:p w14:paraId="6D54A36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85% </w:t>
            </w:r>
          </w:p>
          <w:p w14:paraId="630DAA71" w14:textId="77777777" w:rsidR="005B43C1" w:rsidRPr="00103A0B" w:rsidRDefault="005B43C1" w:rsidP="00CD5919">
            <w:pPr>
              <w:jc w:val="both"/>
              <w:rPr>
                <w:rFonts w:ascii="Arial" w:hAnsi="Arial" w:cs="Arial"/>
                <w:sz w:val="16"/>
                <w:szCs w:val="16"/>
              </w:rPr>
            </w:pPr>
          </w:p>
          <w:p w14:paraId="1E508CFD" w14:textId="77777777" w:rsidR="005B43C1" w:rsidRPr="00103A0B" w:rsidRDefault="005B43C1" w:rsidP="00CD5919">
            <w:pPr>
              <w:jc w:val="both"/>
              <w:rPr>
                <w:rFonts w:ascii="Arial" w:hAnsi="Arial" w:cs="Arial"/>
                <w:sz w:val="16"/>
                <w:szCs w:val="16"/>
              </w:rPr>
            </w:pPr>
          </w:p>
        </w:tc>
      </w:tr>
      <w:tr w:rsidR="005B43C1" w:rsidRPr="00103A0B" w14:paraId="6D9AB1B5" w14:textId="77777777" w:rsidTr="005B43C1">
        <w:trPr>
          <w:trHeight w:val="144"/>
        </w:trPr>
        <w:tc>
          <w:tcPr>
            <w:tcW w:w="1232" w:type="dxa"/>
          </w:tcPr>
          <w:p w14:paraId="300EFD2C"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Moin</w:t>
            </w:r>
            <w:proofErr w:type="spellEnd"/>
            <w:r w:rsidRPr="00103A0B">
              <w:rPr>
                <w:rFonts w:ascii="Arial" w:hAnsi="Arial" w:cs="Arial"/>
                <w:sz w:val="16"/>
                <w:szCs w:val="16"/>
              </w:rPr>
              <w:t xml:space="preserve"> et al. (2017) </w:t>
            </w:r>
          </w:p>
          <w:p w14:paraId="4A134B76" w14:textId="77777777" w:rsidR="005B43C1" w:rsidRPr="00103A0B" w:rsidRDefault="005B43C1" w:rsidP="00CD5919">
            <w:pPr>
              <w:jc w:val="both"/>
              <w:rPr>
                <w:rFonts w:ascii="Arial" w:hAnsi="Arial" w:cs="Arial"/>
                <w:sz w:val="16"/>
                <w:szCs w:val="16"/>
              </w:rPr>
            </w:pPr>
          </w:p>
          <w:p w14:paraId="6142DCD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(Damschroder et al, 2015) </w:t>
            </w:r>
          </w:p>
          <w:p w14:paraId="5D1ED7F4" w14:textId="77777777" w:rsidR="005B43C1" w:rsidRPr="00103A0B" w:rsidRDefault="005B43C1" w:rsidP="00CD5919">
            <w:pPr>
              <w:jc w:val="both"/>
              <w:rPr>
                <w:rFonts w:ascii="Arial" w:hAnsi="Arial" w:cs="Arial"/>
                <w:sz w:val="16"/>
                <w:szCs w:val="16"/>
              </w:rPr>
            </w:pPr>
          </w:p>
        </w:tc>
        <w:tc>
          <w:tcPr>
            <w:tcW w:w="1284" w:type="dxa"/>
          </w:tcPr>
          <w:p w14:paraId="034FA02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USA- Los Angeles </w:t>
            </w:r>
          </w:p>
        </w:tc>
        <w:tc>
          <w:tcPr>
            <w:tcW w:w="1316" w:type="dxa"/>
            <w:gridSpan w:val="2"/>
          </w:tcPr>
          <w:p w14:paraId="20BFE35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Prospective, pragmatic, non-randomized comparative effectiveness trial</w:t>
            </w:r>
          </w:p>
          <w:p w14:paraId="7C806A86" w14:textId="77777777" w:rsidR="005B43C1" w:rsidRPr="00103A0B" w:rsidRDefault="005B43C1" w:rsidP="00CD5919">
            <w:pPr>
              <w:jc w:val="both"/>
              <w:rPr>
                <w:rFonts w:ascii="Arial" w:hAnsi="Arial" w:cs="Arial"/>
                <w:sz w:val="16"/>
                <w:szCs w:val="16"/>
              </w:rPr>
            </w:pPr>
          </w:p>
          <w:p w14:paraId="65838E3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VA (Veterans Affair) medical centres  </w:t>
            </w:r>
          </w:p>
          <w:p w14:paraId="02F2BCDB" w14:textId="77777777" w:rsidR="005B43C1" w:rsidRPr="00103A0B" w:rsidRDefault="005B43C1" w:rsidP="00CD5919">
            <w:pPr>
              <w:jc w:val="both"/>
              <w:rPr>
                <w:rFonts w:ascii="Arial" w:hAnsi="Arial" w:cs="Arial"/>
                <w:sz w:val="16"/>
                <w:szCs w:val="16"/>
              </w:rPr>
            </w:pPr>
          </w:p>
        </w:tc>
        <w:tc>
          <w:tcPr>
            <w:tcW w:w="2405" w:type="dxa"/>
          </w:tcPr>
          <w:p w14:paraId="3543C2E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Compared the VA-DPP and MOVE! VA-DPP used Group Lifestyle Balance Curriculum which included: 22 sessions over 12 months (16 core sessions (weekly then biweekly) in first 6 months </w:t>
            </w:r>
            <w:proofErr w:type="spellStart"/>
            <w:r w:rsidRPr="00103A0B">
              <w:rPr>
                <w:rFonts w:ascii="Arial" w:hAnsi="Arial" w:cs="Arial"/>
                <w:sz w:val="16"/>
                <w:szCs w:val="16"/>
              </w:rPr>
              <w:t>then</w:t>
            </w:r>
            <w:proofErr w:type="spellEnd"/>
            <w:r w:rsidRPr="00103A0B">
              <w:rPr>
                <w:rFonts w:ascii="Arial" w:hAnsi="Arial" w:cs="Arial"/>
                <w:sz w:val="16"/>
                <w:szCs w:val="16"/>
              </w:rPr>
              <w:t xml:space="preserve"> 6 monthly maintenance sessions in next 6 months). </w:t>
            </w:r>
          </w:p>
          <w:p w14:paraId="0397D064" w14:textId="77777777" w:rsidR="005B43C1" w:rsidRPr="00103A0B" w:rsidRDefault="005B43C1" w:rsidP="00CD5919">
            <w:pPr>
              <w:jc w:val="both"/>
              <w:rPr>
                <w:rFonts w:ascii="Arial" w:hAnsi="Arial" w:cs="Arial"/>
                <w:sz w:val="16"/>
                <w:szCs w:val="16"/>
              </w:rPr>
            </w:pPr>
          </w:p>
          <w:p w14:paraId="72223B9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D+E </w:t>
            </w:r>
          </w:p>
        </w:tc>
        <w:tc>
          <w:tcPr>
            <w:tcW w:w="1560" w:type="dxa"/>
          </w:tcPr>
          <w:p w14:paraId="26559AC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 intervention; 3 months </w:t>
            </w:r>
          </w:p>
        </w:tc>
        <w:tc>
          <w:tcPr>
            <w:tcW w:w="2063" w:type="dxa"/>
          </w:tcPr>
          <w:p w14:paraId="3D1E91E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Referrals; electronic medical records (from 2015 paper) </w:t>
            </w:r>
          </w:p>
        </w:tc>
        <w:tc>
          <w:tcPr>
            <w:tcW w:w="0" w:type="auto"/>
          </w:tcPr>
          <w:p w14:paraId="58CF9F0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For VA-DPP:</w:t>
            </w:r>
          </w:p>
          <w:p w14:paraId="3013FEFF" w14:textId="77777777" w:rsidR="005B43C1" w:rsidRPr="00103A0B" w:rsidRDefault="005B43C1" w:rsidP="00CD5919">
            <w:pPr>
              <w:jc w:val="both"/>
              <w:rPr>
                <w:rFonts w:ascii="Arial" w:hAnsi="Arial" w:cs="Arial"/>
                <w:sz w:val="16"/>
                <w:szCs w:val="16"/>
              </w:rPr>
            </w:pPr>
          </w:p>
          <w:p w14:paraId="0A2A4C5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Mean age: 57.7 (10.0) </w:t>
            </w:r>
            <w:proofErr w:type="gramStart"/>
            <w:r w:rsidRPr="00103A0B">
              <w:rPr>
                <w:rFonts w:ascii="Arial" w:hAnsi="Arial" w:cs="Arial"/>
                <w:sz w:val="16"/>
                <w:szCs w:val="16"/>
              </w:rPr>
              <w:t>years</w:t>
            </w:r>
            <w:proofErr w:type="gramEnd"/>
            <w:r w:rsidRPr="00103A0B">
              <w:rPr>
                <w:rFonts w:ascii="Arial" w:hAnsi="Arial" w:cs="Arial"/>
                <w:sz w:val="16"/>
                <w:szCs w:val="16"/>
              </w:rPr>
              <w:t xml:space="preserve"> </w:t>
            </w:r>
          </w:p>
          <w:p w14:paraId="13C04974" w14:textId="77777777" w:rsidR="005B43C1" w:rsidRPr="00103A0B" w:rsidRDefault="005B43C1" w:rsidP="00CD5919">
            <w:pPr>
              <w:jc w:val="both"/>
              <w:rPr>
                <w:rFonts w:ascii="Arial" w:hAnsi="Arial" w:cs="Arial"/>
                <w:sz w:val="16"/>
                <w:szCs w:val="16"/>
              </w:rPr>
            </w:pPr>
          </w:p>
          <w:p w14:paraId="52CEAD6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32 (11.7%) </w:t>
            </w:r>
            <w:proofErr w:type="gramStart"/>
            <w:r w:rsidRPr="00103A0B">
              <w:rPr>
                <w:rFonts w:ascii="Arial" w:hAnsi="Arial" w:cs="Arial"/>
                <w:sz w:val="16"/>
                <w:szCs w:val="16"/>
              </w:rPr>
              <w:t>female</w:t>
            </w:r>
            <w:proofErr w:type="gramEnd"/>
            <w:r w:rsidRPr="00103A0B">
              <w:rPr>
                <w:rFonts w:ascii="Arial" w:hAnsi="Arial" w:cs="Arial"/>
                <w:sz w:val="16"/>
                <w:szCs w:val="16"/>
              </w:rPr>
              <w:t xml:space="preserve">; majority men (88.3%) </w:t>
            </w:r>
          </w:p>
          <w:p w14:paraId="5DDFF09C" w14:textId="77777777" w:rsidR="005B43C1" w:rsidRPr="00103A0B" w:rsidRDefault="005B43C1" w:rsidP="00CD5919">
            <w:pPr>
              <w:jc w:val="both"/>
              <w:rPr>
                <w:rFonts w:ascii="Arial" w:hAnsi="Arial" w:cs="Arial"/>
                <w:sz w:val="16"/>
                <w:szCs w:val="16"/>
              </w:rPr>
            </w:pPr>
          </w:p>
          <w:p w14:paraId="731E6B7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Ethnicity: 44.7% non-</w:t>
            </w:r>
            <w:r w:rsidRPr="00103A0B">
              <w:rPr>
                <w:rFonts w:ascii="Arial" w:hAnsi="Arial" w:cs="Arial"/>
                <w:sz w:val="16"/>
                <w:szCs w:val="16"/>
              </w:rPr>
              <w:lastRenderedPageBreak/>
              <w:t xml:space="preserve">Hispanic white; 43.6% non-Hispanic black; 6.2% n/a; 3.3% Hispanic; 2.2% non-Hispanic other </w:t>
            </w:r>
          </w:p>
        </w:tc>
        <w:tc>
          <w:tcPr>
            <w:tcW w:w="1588" w:type="dxa"/>
          </w:tcPr>
          <w:p w14:paraId="710E539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n/a</w:t>
            </w:r>
          </w:p>
        </w:tc>
        <w:tc>
          <w:tcPr>
            <w:tcW w:w="1360" w:type="dxa"/>
          </w:tcPr>
          <w:p w14:paraId="4DA9456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1850 P`s were assessed for eligibility (screened and attended VA MOVE! Orientation)</w:t>
            </w:r>
          </w:p>
          <w:p w14:paraId="71D79ABD" w14:textId="77777777" w:rsidR="005B43C1" w:rsidRPr="00103A0B" w:rsidRDefault="005B43C1" w:rsidP="00CD5919">
            <w:pPr>
              <w:jc w:val="both"/>
              <w:rPr>
                <w:rFonts w:ascii="Arial" w:hAnsi="Arial" w:cs="Arial"/>
                <w:sz w:val="16"/>
                <w:szCs w:val="16"/>
              </w:rPr>
            </w:pPr>
          </w:p>
          <w:p w14:paraId="7758323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387 eligible P`s assigned (273 to VA-DPP; 114 to MOVE!) </w:t>
            </w:r>
          </w:p>
          <w:p w14:paraId="0D8AE450" w14:textId="77777777" w:rsidR="005B43C1" w:rsidRPr="00103A0B" w:rsidRDefault="005B43C1" w:rsidP="00CD5919">
            <w:pPr>
              <w:jc w:val="both"/>
              <w:rPr>
                <w:rFonts w:ascii="Arial" w:hAnsi="Arial" w:cs="Arial"/>
                <w:sz w:val="16"/>
                <w:szCs w:val="16"/>
              </w:rPr>
            </w:pPr>
          </w:p>
          <w:p w14:paraId="2465887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Of the 273 participants assigned to VA-DPP, 36%</w:t>
            </w:r>
          </w:p>
          <w:p w14:paraId="662FED1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(n=98) explicitly declined to participate</w:t>
            </w:r>
          </w:p>
          <w:p w14:paraId="57A7018A" w14:textId="77777777" w:rsidR="005B43C1" w:rsidRPr="00103A0B" w:rsidRDefault="005B43C1" w:rsidP="00CD5919">
            <w:pPr>
              <w:jc w:val="both"/>
              <w:rPr>
                <w:rFonts w:ascii="Arial" w:hAnsi="Arial" w:cs="Arial"/>
                <w:b/>
                <w:sz w:val="16"/>
                <w:szCs w:val="16"/>
              </w:rPr>
            </w:pPr>
          </w:p>
          <w:p w14:paraId="3CF2ECD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Uptake= 64.10%</w:t>
            </w:r>
          </w:p>
        </w:tc>
        <w:tc>
          <w:tcPr>
            <w:tcW w:w="1564" w:type="dxa"/>
          </w:tcPr>
          <w:p w14:paraId="4E74C88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More VA-DPP participants</w:t>
            </w:r>
          </w:p>
          <w:p w14:paraId="713E97E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completed </w:t>
            </w:r>
          </w:p>
          <w:p w14:paraId="095621C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eight or more</w:t>
            </w:r>
          </w:p>
          <w:p w14:paraId="4859C2C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sessions (42.5% VA-DPP vs 31% MOVE!) </w:t>
            </w:r>
          </w:p>
          <w:p w14:paraId="36931C92" w14:textId="77777777" w:rsidR="005B43C1" w:rsidRPr="00103A0B" w:rsidRDefault="005B43C1" w:rsidP="00CD5919">
            <w:pPr>
              <w:jc w:val="both"/>
              <w:rPr>
                <w:rFonts w:ascii="Arial" w:hAnsi="Arial" w:cs="Arial"/>
                <w:sz w:val="16"/>
                <w:szCs w:val="16"/>
              </w:rPr>
            </w:pPr>
          </w:p>
          <w:p w14:paraId="44BBEEA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(273/100) X42.5= 116 P`s completed</w:t>
            </w:r>
          </w:p>
          <w:p w14:paraId="78C009F5" w14:textId="77777777" w:rsidR="005B43C1" w:rsidRPr="00103A0B" w:rsidRDefault="005B43C1" w:rsidP="00CD5919">
            <w:pPr>
              <w:jc w:val="both"/>
              <w:rPr>
                <w:rFonts w:ascii="Arial" w:hAnsi="Arial" w:cs="Arial"/>
                <w:sz w:val="16"/>
                <w:szCs w:val="16"/>
              </w:rPr>
            </w:pPr>
          </w:p>
          <w:p w14:paraId="7A4AF529" w14:textId="77777777" w:rsidR="005B43C1" w:rsidRPr="00103A0B" w:rsidRDefault="005B43C1" w:rsidP="00CD5919">
            <w:pPr>
              <w:jc w:val="both"/>
              <w:rPr>
                <w:rFonts w:ascii="Arial" w:hAnsi="Arial" w:cs="Arial"/>
                <w:b/>
                <w:sz w:val="16"/>
                <w:szCs w:val="16"/>
              </w:rPr>
            </w:pPr>
            <w:r w:rsidRPr="00103A0B">
              <w:rPr>
                <w:rFonts w:ascii="Arial" w:hAnsi="Arial" w:cs="Arial"/>
                <w:sz w:val="16"/>
                <w:szCs w:val="16"/>
              </w:rPr>
              <w:t>Retention= 66.29%</w:t>
            </w:r>
            <w:r w:rsidRPr="00103A0B">
              <w:rPr>
                <w:rFonts w:ascii="Arial" w:hAnsi="Arial" w:cs="Arial"/>
                <w:b/>
                <w:sz w:val="16"/>
                <w:szCs w:val="16"/>
              </w:rPr>
              <w:t xml:space="preserve"> </w:t>
            </w:r>
          </w:p>
        </w:tc>
      </w:tr>
      <w:tr w:rsidR="005B43C1" w:rsidRPr="00103A0B" w14:paraId="193642BC" w14:textId="77777777" w:rsidTr="005B43C1">
        <w:trPr>
          <w:trHeight w:val="144"/>
        </w:trPr>
        <w:tc>
          <w:tcPr>
            <w:tcW w:w="1232" w:type="dxa"/>
          </w:tcPr>
          <w:p w14:paraId="62A0675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Moore et al. (2011) </w:t>
            </w:r>
          </w:p>
          <w:p w14:paraId="3EA92E60" w14:textId="77777777" w:rsidR="005B43C1" w:rsidRPr="00103A0B" w:rsidRDefault="005B43C1" w:rsidP="00CD5919">
            <w:pPr>
              <w:tabs>
                <w:tab w:val="center" w:pos="824"/>
              </w:tabs>
              <w:jc w:val="both"/>
              <w:rPr>
                <w:rFonts w:ascii="Arial" w:hAnsi="Arial" w:cs="Arial"/>
                <w:sz w:val="16"/>
                <w:szCs w:val="16"/>
              </w:rPr>
            </w:pPr>
          </w:p>
          <w:p w14:paraId="7B64F46F" w14:textId="77777777" w:rsidR="005B43C1" w:rsidRPr="00103A0B" w:rsidRDefault="005B43C1" w:rsidP="00CD5919">
            <w:pPr>
              <w:tabs>
                <w:tab w:val="center" w:pos="824"/>
              </w:tabs>
              <w:jc w:val="both"/>
              <w:rPr>
                <w:rFonts w:ascii="Arial" w:hAnsi="Arial" w:cs="Arial"/>
                <w:sz w:val="16"/>
                <w:szCs w:val="16"/>
              </w:rPr>
            </w:pPr>
          </w:p>
          <w:p w14:paraId="6B02452D" w14:textId="77777777" w:rsidR="005B43C1" w:rsidRPr="00103A0B" w:rsidRDefault="005B43C1" w:rsidP="00CD5919">
            <w:pPr>
              <w:tabs>
                <w:tab w:val="center" w:pos="824"/>
              </w:tabs>
              <w:jc w:val="both"/>
              <w:rPr>
                <w:rFonts w:ascii="Arial" w:hAnsi="Arial" w:cs="Arial"/>
                <w:sz w:val="16"/>
                <w:szCs w:val="16"/>
              </w:rPr>
            </w:pPr>
            <w:r w:rsidRPr="00103A0B">
              <w:rPr>
                <w:rFonts w:ascii="Arial" w:hAnsi="Arial" w:cs="Arial"/>
                <w:sz w:val="16"/>
                <w:szCs w:val="16"/>
              </w:rPr>
              <w:tab/>
            </w:r>
          </w:p>
        </w:tc>
        <w:tc>
          <w:tcPr>
            <w:tcW w:w="1284" w:type="dxa"/>
          </w:tcPr>
          <w:p w14:paraId="5124BD1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Australia-Victoria</w:t>
            </w:r>
          </w:p>
        </w:tc>
        <w:tc>
          <w:tcPr>
            <w:tcW w:w="1316" w:type="dxa"/>
            <w:gridSpan w:val="2"/>
          </w:tcPr>
          <w:p w14:paraId="097805C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Randomized control trial</w:t>
            </w:r>
          </w:p>
          <w:p w14:paraId="5C82BA59" w14:textId="77777777" w:rsidR="005B43C1" w:rsidRPr="00103A0B" w:rsidRDefault="005B43C1" w:rsidP="00CD5919">
            <w:pPr>
              <w:jc w:val="both"/>
              <w:rPr>
                <w:rFonts w:ascii="Arial" w:hAnsi="Arial" w:cs="Arial"/>
                <w:sz w:val="16"/>
                <w:szCs w:val="16"/>
              </w:rPr>
            </w:pPr>
          </w:p>
          <w:p w14:paraId="1E33C95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GP practices</w:t>
            </w:r>
          </w:p>
          <w:p w14:paraId="43C0D73E" w14:textId="77777777" w:rsidR="005B43C1" w:rsidRPr="00103A0B" w:rsidRDefault="005B43C1" w:rsidP="00CD5919">
            <w:pPr>
              <w:jc w:val="both"/>
              <w:rPr>
                <w:rFonts w:ascii="Arial" w:hAnsi="Arial" w:cs="Arial"/>
                <w:sz w:val="16"/>
                <w:szCs w:val="16"/>
              </w:rPr>
            </w:pPr>
          </w:p>
          <w:p w14:paraId="580E32E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w:t>
            </w:r>
          </w:p>
          <w:p w14:paraId="33C479ED" w14:textId="77777777" w:rsidR="005B43C1" w:rsidRPr="00103A0B" w:rsidRDefault="005B43C1" w:rsidP="00CD5919">
            <w:pPr>
              <w:jc w:val="both"/>
              <w:rPr>
                <w:rFonts w:ascii="Arial" w:hAnsi="Arial" w:cs="Arial"/>
                <w:sz w:val="16"/>
                <w:szCs w:val="16"/>
              </w:rPr>
            </w:pPr>
          </w:p>
          <w:p w14:paraId="13864C0C" w14:textId="77777777" w:rsidR="005B43C1" w:rsidRPr="00103A0B" w:rsidRDefault="005B43C1" w:rsidP="00CD5919">
            <w:pPr>
              <w:jc w:val="both"/>
              <w:rPr>
                <w:rFonts w:ascii="Arial" w:hAnsi="Arial" w:cs="Arial"/>
                <w:sz w:val="16"/>
                <w:szCs w:val="16"/>
              </w:rPr>
            </w:pPr>
          </w:p>
        </w:tc>
        <w:tc>
          <w:tcPr>
            <w:tcW w:w="2405" w:type="dxa"/>
          </w:tcPr>
          <w:p w14:paraId="22201EC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Content: Sessions are psycho educational, providing information on diet, exercise, motivation, goal setting and stress, plus support for participants to adopt healthier lifestyle choices. Size: The programme comprises a series of learning sessions conducted in groups of six to ten people with prediabetes over 6 months. </w:t>
            </w:r>
          </w:p>
          <w:p w14:paraId="4548CD5F" w14:textId="77777777" w:rsidR="005B43C1" w:rsidRPr="00103A0B" w:rsidRDefault="005B43C1" w:rsidP="00CD5919">
            <w:pPr>
              <w:jc w:val="both"/>
              <w:rPr>
                <w:rFonts w:ascii="Arial" w:hAnsi="Arial" w:cs="Arial"/>
                <w:sz w:val="16"/>
                <w:szCs w:val="16"/>
              </w:rPr>
            </w:pPr>
          </w:p>
          <w:p w14:paraId="14FB87A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108F2EB1" w14:textId="77777777" w:rsidR="005B43C1" w:rsidRPr="00103A0B" w:rsidRDefault="005B43C1" w:rsidP="00CD5919">
            <w:pPr>
              <w:jc w:val="both"/>
              <w:rPr>
                <w:rFonts w:ascii="Arial" w:hAnsi="Arial" w:cs="Arial"/>
                <w:sz w:val="16"/>
                <w:szCs w:val="16"/>
              </w:rPr>
            </w:pPr>
          </w:p>
        </w:tc>
        <w:tc>
          <w:tcPr>
            <w:tcW w:w="1560" w:type="dxa"/>
          </w:tcPr>
          <w:p w14:paraId="5FFEF1C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528F137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P`s recruited across 2 metropolitan and 1 rural region in Victoria, mostly through GP referral, other P`s recruited through opportunistic community screening and self-referral. </w:t>
            </w:r>
          </w:p>
          <w:p w14:paraId="55EAE62B" w14:textId="77777777" w:rsidR="005B43C1" w:rsidRPr="00103A0B" w:rsidRDefault="005B43C1" w:rsidP="00CD5919">
            <w:pPr>
              <w:jc w:val="both"/>
              <w:rPr>
                <w:rFonts w:ascii="Arial" w:hAnsi="Arial" w:cs="Arial"/>
                <w:sz w:val="16"/>
                <w:szCs w:val="16"/>
              </w:rPr>
            </w:pPr>
          </w:p>
          <w:p w14:paraId="2F8CD7F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Recruitment managed by Primary Health Care Partnerships </w:t>
            </w:r>
          </w:p>
        </w:tc>
        <w:tc>
          <w:tcPr>
            <w:tcW w:w="0" w:type="auto"/>
          </w:tcPr>
          <w:p w14:paraId="4945D82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Age: 28-86 years (mean= 62.5 (10.1) years) </w:t>
            </w:r>
          </w:p>
          <w:p w14:paraId="178122B6" w14:textId="77777777" w:rsidR="005B43C1" w:rsidRPr="00103A0B" w:rsidRDefault="005B43C1" w:rsidP="00CD5919">
            <w:pPr>
              <w:jc w:val="both"/>
              <w:rPr>
                <w:rFonts w:ascii="Arial" w:hAnsi="Arial" w:cs="Arial"/>
                <w:sz w:val="16"/>
                <w:szCs w:val="16"/>
              </w:rPr>
            </w:pPr>
          </w:p>
          <w:p w14:paraId="501D66D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126 (41%) males; 181 (59%) females </w:t>
            </w:r>
          </w:p>
          <w:p w14:paraId="12FF7EA8" w14:textId="77777777" w:rsidR="005B43C1" w:rsidRPr="00103A0B" w:rsidRDefault="005B43C1" w:rsidP="00CD5919">
            <w:pPr>
              <w:jc w:val="both"/>
              <w:rPr>
                <w:rFonts w:ascii="Arial" w:hAnsi="Arial" w:cs="Arial"/>
                <w:sz w:val="16"/>
                <w:szCs w:val="16"/>
              </w:rPr>
            </w:pPr>
          </w:p>
          <w:p w14:paraId="6EAAB51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Ethnicity: NS</w:t>
            </w:r>
          </w:p>
        </w:tc>
        <w:tc>
          <w:tcPr>
            <w:tcW w:w="1588" w:type="dxa"/>
          </w:tcPr>
          <w:p w14:paraId="25F321A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tc>
        <w:tc>
          <w:tcPr>
            <w:tcW w:w="1360" w:type="dxa"/>
          </w:tcPr>
          <w:p w14:paraId="7B5FEBB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p w14:paraId="29E2038D" w14:textId="77777777" w:rsidR="005B43C1" w:rsidRPr="00103A0B" w:rsidRDefault="005B43C1" w:rsidP="00CD5919">
            <w:pPr>
              <w:jc w:val="both"/>
              <w:rPr>
                <w:rFonts w:ascii="Arial" w:hAnsi="Arial" w:cs="Arial"/>
                <w:sz w:val="16"/>
                <w:szCs w:val="16"/>
              </w:rPr>
            </w:pPr>
          </w:p>
        </w:tc>
        <w:tc>
          <w:tcPr>
            <w:tcW w:w="1564" w:type="dxa"/>
          </w:tcPr>
          <w:p w14:paraId="5EAF03A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307 P`s randomized (208 group intervention; 99 control group) </w:t>
            </w:r>
          </w:p>
          <w:p w14:paraId="7B2CDA50" w14:textId="77777777" w:rsidR="005B43C1" w:rsidRPr="00103A0B" w:rsidRDefault="005B43C1" w:rsidP="00CD5919">
            <w:pPr>
              <w:jc w:val="both"/>
              <w:rPr>
                <w:rFonts w:ascii="Arial" w:hAnsi="Arial" w:cs="Arial"/>
                <w:sz w:val="16"/>
                <w:szCs w:val="16"/>
              </w:rPr>
            </w:pPr>
          </w:p>
          <w:p w14:paraId="02C0206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274 P`s completed follow up (183 group; 91 control)</w:t>
            </w:r>
          </w:p>
          <w:p w14:paraId="1FA8EF0F" w14:textId="77777777" w:rsidR="005B43C1" w:rsidRPr="00103A0B" w:rsidRDefault="005B43C1" w:rsidP="00CD5919">
            <w:pPr>
              <w:jc w:val="both"/>
              <w:rPr>
                <w:rFonts w:ascii="Arial" w:hAnsi="Arial" w:cs="Arial"/>
                <w:sz w:val="16"/>
                <w:szCs w:val="16"/>
              </w:rPr>
            </w:pPr>
          </w:p>
          <w:p w14:paraId="2EE7D6C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DO=12.10%</w:t>
            </w:r>
          </w:p>
          <w:p w14:paraId="0F27C0AD" w14:textId="77777777" w:rsidR="005B43C1" w:rsidRPr="00103A0B" w:rsidRDefault="005B43C1" w:rsidP="00CD5919">
            <w:pPr>
              <w:jc w:val="both"/>
              <w:rPr>
                <w:rFonts w:ascii="Arial" w:hAnsi="Arial" w:cs="Arial"/>
                <w:sz w:val="16"/>
                <w:szCs w:val="16"/>
              </w:rPr>
            </w:pPr>
          </w:p>
          <w:p w14:paraId="031776A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87.90%  </w:t>
            </w:r>
          </w:p>
          <w:p w14:paraId="362FBB49" w14:textId="77777777" w:rsidR="005B43C1" w:rsidRPr="00103A0B" w:rsidRDefault="005B43C1" w:rsidP="00CD5919">
            <w:pPr>
              <w:jc w:val="both"/>
              <w:rPr>
                <w:rFonts w:ascii="Arial" w:hAnsi="Arial" w:cs="Arial"/>
                <w:sz w:val="16"/>
                <w:szCs w:val="16"/>
              </w:rPr>
            </w:pPr>
          </w:p>
          <w:p w14:paraId="6030B876" w14:textId="77777777" w:rsidR="005B43C1" w:rsidRPr="00103A0B" w:rsidRDefault="005B43C1" w:rsidP="00CD5919">
            <w:pPr>
              <w:jc w:val="both"/>
              <w:rPr>
                <w:rFonts w:ascii="Arial" w:hAnsi="Arial" w:cs="Arial"/>
                <w:sz w:val="16"/>
                <w:szCs w:val="16"/>
              </w:rPr>
            </w:pPr>
          </w:p>
        </w:tc>
      </w:tr>
      <w:tr w:rsidR="005B43C1" w:rsidRPr="00103A0B" w14:paraId="19EEF77C" w14:textId="77777777" w:rsidTr="005B43C1">
        <w:trPr>
          <w:trHeight w:val="144"/>
        </w:trPr>
        <w:tc>
          <w:tcPr>
            <w:tcW w:w="1232" w:type="dxa"/>
          </w:tcPr>
          <w:p w14:paraId="51AADC65"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Ockene</w:t>
            </w:r>
            <w:proofErr w:type="spellEnd"/>
            <w:r w:rsidRPr="00103A0B">
              <w:rPr>
                <w:rFonts w:ascii="Arial" w:hAnsi="Arial" w:cs="Arial"/>
                <w:sz w:val="16"/>
                <w:szCs w:val="16"/>
              </w:rPr>
              <w:t xml:space="preserve"> et al. (2012)</w:t>
            </w:r>
          </w:p>
          <w:p w14:paraId="22D5EE14" w14:textId="77777777" w:rsidR="005B43C1" w:rsidRPr="00103A0B" w:rsidRDefault="005B43C1" w:rsidP="00CD5919">
            <w:pPr>
              <w:jc w:val="both"/>
              <w:rPr>
                <w:rFonts w:ascii="Arial" w:hAnsi="Arial" w:cs="Arial"/>
                <w:sz w:val="16"/>
                <w:szCs w:val="16"/>
              </w:rPr>
            </w:pPr>
          </w:p>
          <w:p w14:paraId="041B318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(Merriam et al, 2009)</w:t>
            </w:r>
          </w:p>
          <w:p w14:paraId="22472391" w14:textId="77777777" w:rsidR="005B43C1" w:rsidRPr="00103A0B" w:rsidRDefault="005B43C1" w:rsidP="00CD5919">
            <w:pPr>
              <w:jc w:val="both"/>
              <w:rPr>
                <w:rFonts w:ascii="Arial" w:hAnsi="Arial" w:cs="Arial"/>
                <w:sz w:val="16"/>
                <w:szCs w:val="16"/>
              </w:rPr>
            </w:pPr>
          </w:p>
          <w:p w14:paraId="1E2C3543" w14:textId="77777777" w:rsidR="005B43C1" w:rsidRPr="00103A0B" w:rsidRDefault="005B43C1" w:rsidP="00CD5919">
            <w:pPr>
              <w:jc w:val="both"/>
              <w:rPr>
                <w:rFonts w:ascii="Arial" w:hAnsi="Arial" w:cs="Arial"/>
                <w:sz w:val="16"/>
                <w:szCs w:val="16"/>
              </w:rPr>
            </w:pPr>
          </w:p>
        </w:tc>
        <w:tc>
          <w:tcPr>
            <w:tcW w:w="1284" w:type="dxa"/>
          </w:tcPr>
          <w:p w14:paraId="21041F0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USA-Massachusetts  </w:t>
            </w:r>
          </w:p>
        </w:tc>
        <w:tc>
          <w:tcPr>
            <w:tcW w:w="1316" w:type="dxa"/>
            <w:gridSpan w:val="2"/>
          </w:tcPr>
          <w:p w14:paraId="362771F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Community-based translational research study </w:t>
            </w:r>
          </w:p>
          <w:p w14:paraId="224CC8F5" w14:textId="77777777" w:rsidR="005B43C1" w:rsidRPr="00103A0B" w:rsidRDefault="005B43C1" w:rsidP="00CD5919">
            <w:pPr>
              <w:jc w:val="both"/>
              <w:rPr>
                <w:rFonts w:ascii="Arial" w:hAnsi="Arial" w:cs="Arial"/>
                <w:sz w:val="16"/>
                <w:szCs w:val="16"/>
              </w:rPr>
            </w:pPr>
          </w:p>
          <w:p w14:paraId="76C634D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Lawrence Senior </w:t>
            </w:r>
            <w:proofErr w:type="spellStart"/>
            <w:r w:rsidRPr="00103A0B">
              <w:rPr>
                <w:rFonts w:ascii="Arial" w:hAnsi="Arial" w:cs="Arial"/>
                <w:sz w:val="16"/>
                <w:szCs w:val="16"/>
              </w:rPr>
              <w:t>Center</w:t>
            </w:r>
            <w:proofErr w:type="spellEnd"/>
            <w:r w:rsidRPr="00103A0B">
              <w:rPr>
                <w:rFonts w:ascii="Arial" w:hAnsi="Arial" w:cs="Arial"/>
                <w:sz w:val="16"/>
                <w:szCs w:val="16"/>
              </w:rPr>
              <w:t xml:space="preserve"> (centrally located social service facility) </w:t>
            </w:r>
          </w:p>
          <w:p w14:paraId="2CE72EFF" w14:textId="77777777" w:rsidR="005B43C1" w:rsidRPr="00103A0B" w:rsidRDefault="005B43C1" w:rsidP="00CD5919">
            <w:pPr>
              <w:jc w:val="both"/>
              <w:rPr>
                <w:rFonts w:ascii="Arial" w:hAnsi="Arial" w:cs="Arial"/>
                <w:sz w:val="16"/>
                <w:szCs w:val="16"/>
              </w:rPr>
            </w:pPr>
          </w:p>
          <w:p w14:paraId="3C02BA5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Randomised control trial </w:t>
            </w:r>
          </w:p>
        </w:tc>
        <w:tc>
          <w:tcPr>
            <w:tcW w:w="2405" w:type="dxa"/>
          </w:tcPr>
          <w:p w14:paraId="4FB35CF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Frequency: 3 individual and 13 group sessions over a 12-month period. Duration of first group session was 1.5 hours and the remaining group sessions were 1 hour.</w:t>
            </w:r>
          </w:p>
          <w:p w14:paraId="2F017260" w14:textId="77777777" w:rsidR="005B43C1" w:rsidRPr="00103A0B" w:rsidRDefault="005B43C1" w:rsidP="00CD5919">
            <w:pPr>
              <w:jc w:val="both"/>
              <w:rPr>
                <w:rFonts w:ascii="Arial" w:hAnsi="Arial" w:cs="Arial"/>
                <w:sz w:val="16"/>
                <w:szCs w:val="16"/>
              </w:rPr>
            </w:pPr>
          </w:p>
          <w:p w14:paraId="658DAB2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06EB2487" w14:textId="77777777" w:rsidR="005B43C1" w:rsidRPr="00103A0B" w:rsidRDefault="005B43C1" w:rsidP="00CD5919">
            <w:pPr>
              <w:jc w:val="both"/>
              <w:rPr>
                <w:rFonts w:ascii="Arial" w:hAnsi="Arial" w:cs="Arial"/>
                <w:sz w:val="16"/>
                <w:szCs w:val="16"/>
              </w:rPr>
            </w:pPr>
          </w:p>
        </w:tc>
        <w:tc>
          <w:tcPr>
            <w:tcW w:w="1560" w:type="dxa"/>
          </w:tcPr>
          <w:p w14:paraId="05E4F51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3B9BF12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Majority of P`s recruited from family health centre patient panel through mailed letter of invitation and telephone recruitment calls from study community </w:t>
            </w:r>
            <w:proofErr w:type="gramStart"/>
            <w:r w:rsidRPr="00103A0B">
              <w:rPr>
                <w:rFonts w:ascii="Arial" w:hAnsi="Arial" w:cs="Arial"/>
                <w:sz w:val="16"/>
                <w:szCs w:val="16"/>
              </w:rPr>
              <w:t>coordinators</w:t>
            </w:r>
            <w:proofErr w:type="gramEnd"/>
            <w:r w:rsidRPr="00103A0B">
              <w:rPr>
                <w:rFonts w:ascii="Arial" w:hAnsi="Arial" w:cs="Arial"/>
                <w:sz w:val="16"/>
                <w:szCs w:val="16"/>
              </w:rPr>
              <w:t xml:space="preserve"> </w:t>
            </w:r>
          </w:p>
          <w:p w14:paraId="687EADDE" w14:textId="77777777" w:rsidR="005B43C1" w:rsidRPr="00103A0B" w:rsidRDefault="005B43C1" w:rsidP="00CD5919">
            <w:pPr>
              <w:jc w:val="both"/>
              <w:rPr>
                <w:rFonts w:ascii="Arial" w:hAnsi="Arial" w:cs="Arial"/>
                <w:sz w:val="16"/>
                <w:szCs w:val="16"/>
              </w:rPr>
            </w:pPr>
          </w:p>
          <w:p w14:paraId="5EE11BE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Other methods included: public service announcements on local radio and television stations, newspaper advertisements, flier inserts in the Senior </w:t>
            </w:r>
            <w:proofErr w:type="spellStart"/>
            <w:r w:rsidRPr="00103A0B">
              <w:rPr>
                <w:rFonts w:ascii="Arial" w:hAnsi="Arial" w:cs="Arial"/>
                <w:sz w:val="16"/>
                <w:szCs w:val="16"/>
              </w:rPr>
              <w:t>Center</w:t>
            </w:r>
            <w:proofErr w:type="spellEnd"/>
            <w:r w:rsidRPr="00103A0B">
              <w:rPr>
                <w:rFonts w:ascii="Arial" w:hAnsi="Arial" w:cs="Arial"/>
                <w:sz w:val="16"/>
                <w:szCs w:val="16"/>
              </w:rPr>
              <w:t xml:space="preserve"> newsletter and mailings to physicians.  </w:t>
            </w:r>
          </w:p>
        </w:tc>
        <w:tc>
          <w:tcPr>
            <w:tcW w:w="0" w:type="auto"/>
          </w:tcPr>
          <w:p w14:paraId="7CF8493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312 P`s at baseline</w:t>
            </w:r>
          </w:p>
          <w:p w14:paraId="5C1E2DE1" w14:textId="77777777" w:rsidR="005B43C1" w:rsidRPr="00103A0B" w:rsidRDefault="005B43C1" w:rsidP="00CD5919">
            <w:pPr>
              <w:jc w:val="both"/>
              <w:rPr>
                <w:rFonts w:ascii="Arial" w:hAnsi="Arial" w:cs="Arial"/>
                <w:sz w:val="16"/>
                <w:szCs w:val="16"/>
              </w:rPr>
            </w:pPr>
          </w:p>
          <w:p w14:paraId="0CD2FBA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age= 52 years (11.6) (25-79 years)</w:t>
            </w:r>
          </w:p>
          <w:p w14:paraId="150D63F4" w14:textId="77777777" w:rsidR="005B43C1" w:rsidRPr="00103A0B" w:rsidRDefault="005B43C1" w:rsidP="00CD5919">
            <w:pPr>
              <w:jc w:val="both"/>
              <w:rPr>
                <w:rFonts w:ascii="Arial" w:hAnsi="Arial" w:cs="Arial"/>
                <w:sz w:val="16"/>
                <w:szCs w:val="16"/>
              </w:rPr>
            </w:pPr>
          </w:p>
          <w:p w14:paraId="3DC04E2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232 (74%) </w:t>
            </w:r>
            <w:proofErr w:type="gramStart"/>
            <w:r w:rsidRPr="00103A0B">
              <w:rPr>
                <w:rFonts w:ascii="Arial" w:hAnsi="Arial" w:cs="Arial"/>
                <w:sz w:val="16"/>
                <w:szCs w:val="16"/>
              </w:rPr>
              <w:t>female</w:t>
            </w:r>
            <w:proofErr w:type="gramEnd"/>
            <w:r w:rsidRPr="00103A0B">
              <w:rPr>
                <w:rFonts w:ascii="Arial" w:hAnsi="Arial" w:cs="Arial"/>
                <w:sz w:val="16"/>
                <w:szCs w:val="16"/>
              </w:rPr>
              <w:t xml:space="preserve">; 80 (26%) male </w:t>
            </w:r>
          </w:p>
          <w:p w14:paraId="1582DEB9" w14:textId="77777777" w:rsidR="005B43C1" w:rsidRPr="00103A0B" w:rsidRDefault="005B43C1" w:rsidP="00CD5919">
            <w:pPr>
              <w:jc w:val="both"/>
              <w:rPr>
                <w:rFonts w:ascii="Arial" w:hAnsi="Arial" w:cs="Arial"/>
                <w:sz w:val="16"/>
                <w:szCs w:val="16"/>
              </w:rPr>
            </w:pPr>
          </w:p>
          <w:p w14:paraId="58A72DA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Ethnicity: Latino P`s (60% Dominican origin; 40% Puerto Rican)</w:t>
            </w:r>
          </w:p>
          <w:p w14:paraId="208F66B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w:t>
            </w:r>
          </w:p>
        </w:tc>
        <w:tc>
          <w:tcPr>
            <w:tcW w:w="1588" w:type="dxa"/>
          </w:tcPr>
          <w:p w14:paraId="386353EA" w14:textId="77777777" w:rsidR="005B43C1" w:rsidRPr="00103A0B" w:rsidRDefault="005B43C1" w:rsidP="00CD5919">
            <w:pPr>
              <w:jc w:val="both"/>
              <w:rPr>
                <w:rFonts w:ascii="Arial" w:hAnsi="Arial" w:cs="Arial"/>
                <w:sz w:val="16"/>
                <w:szCs w:val="16"/>
              </w:rPr>
            </w:pPr>
          </w:p>
        </w:tc>
        <w:tc>
          <w:tcPr>
            <w:tcW w:w="1360" w:type="dxa"/>
          </w:tcPr>
          <w:p w14:paraId="55971A0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312 P`s enrolled (23 did not receive intervention so =289) </w:t>
            </w:r>
          </w:p>
          <w:p w14:paraId="20CDD569" w14:textId="77777777" w:rsidR="005B43C1" w:rsidRPr="00103A0B" w:rsidRDefault="005B43C1" w:rsidP="00CD5919">
            <w:pPr>
              <w:jc w:val="both"/>
              <w:rPr>
                <w:rFonts w:ascii="Arial" w:hAnsi="Arial" w:cs="Arial"/>
                <w:sz w:val="16"/>
                <w:szCs w:val="16"/>
              </w:rPr>
            </w:pPr>
          </w:p>
          <w:p w14:paraId="1380DB5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162 allocated to the intervention (139 received the intervention; 23 did not) </w:t>
            </w:r>
          </w:p>
          <w:p w14:paraId="516B42F0" w14:textId="77777777" w:rsidR="005B43C1" w:rsidRPr="00103A0B" w:rsidRDefault="005B43C1" w:rsidP="00CD5919">
            <w:pPr>
              <w:jc w:val="both"/>
              <w:rPr>
                <w:rFonts w:ascii="Arial" w:hAnsi="Arial" w:cs="Arial"/>
                <w:sz w:val="16"/>
                <w:szCs w:val="16"/>
              </w:rPr>
            </w:pPr>
          </w:p>
          <w:p w14:paraId="1AF3E31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Uptake= 85.80%</w:t>
            </w:r>
          </w:p>
          <w:p w14:paraId="195B53B4" w14:textId="77777777" w:rsidR="005B43C1" w:rsidRPr="00103A0B" w:rsidRDefault="005B43C1" w:rsidP="00CD5919">
            <w:pPr>
              <w:jc w:val="both"/>
              <w:rPr>
                <w:rFonts w:ascii="Arial" w:hAnsi="Arial" w:cs="Arial"/>
                <w:sz w:val="16"/>
                <w:szCs w:val="16"/>
              </w:rPr>
            </w:pPr>
          </w:p>
        </w:tc>
        <w:tc>
          <w:tcPr>
            <w:tcW w:w="1564" w:type="dxa"/>
          </w:tcPr>
          <w:p w14:paraId="5FA6E74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271 P`s at the end of follow up (143 usual care; 128 intervention) </w:t>
            </w:r>
          </w:p>
          <w:p w14:paraId="21033BD4" w14:textId="77777777" w:rsidR="005B43C1" w:rsidRPr="00103A0B" w:rsidRDefault="005B43C1" w:rsidP="00CD5919">
            <w:pPr>
              <w:jc w:val="both"/>
              <w:rPr>
                <w:rFonts w:ascii="Arial" w:hAnsi="Arial" w:cs="Arial"/>
                <w:sz w:val="16"/>
                <w:szCs w:val="16"/>
              </w:rPr>
            </w:pPr>
          </w:p>
          <w:p w14:paraId="141AEDD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 7.91% </w:t>
            </w:r>
          </w:p>
          <w:p w14:paraId="6823F373" w14:textId="77777777" w:rsidR="005B43C1" w:rsidRPr="00103A0B" w:rsidRDefault="005B43C1" w:rsidP="00CD5919">
            <w:pPr>
              <w:jc w:val="both"/>
              <w:rPr>
                <w:rFonts w:ascii="Arial" w:hAnsi="Arial" w:cs="Arial"/>
                <w:sz w:val="16"/>
                <w:szCs w:val="16"/>
              </w:rPr>
            </w:pPr>
          </w:p>
          <w:p w14:paraId="463F7D8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92.09% </w:t>
            </w:r>
          </w:p>
          <w:p w14:paraId="0CBED24D" w14:textId="77777777" w:rsidR="005B43C1" w:rsidRPr="00103A0B" w:rsidRDefault="005B43C1" w:rsidP="00CD5919">
            <w:pPr>
              <w:jc w:val="both"/>
              <w:rPr>
                <w:rFonts w:ascii="Arial" w:hAnsi="Arial" w:cs="Arial"/>
                <w:sz w:val="16"/>
                <w:szCs w:val="16"/>
              </w:rPr>
            </w:pPr>
          </w:p>
          <w:p w14:paraId="0F9680EF" w14:textId="77777777" w:rsidR="005B43C1" w:rsidRPr="00103A0B" w:rsidRDefault="005B43C1" w:rsidP="00CD5919">
            <w:pPr>
              <w:jc w:val="both"/>
              <w:rPr>
                <w:rFonts w:ascii="Arial" w:hAnsi="Arial" w:cs="Arial"/>
                <w:sz w:val="16"/>
                <w:szCs w:val="16"/>
              </w:rPr>
            </w:pPr>
          </w:p>
        </w:tc>
      </w:tr>
      <w:tr w:rsidR="005B43C1" w:rsidRPr="00103A0B" w14:paraId="5CAD676B" w14:textId="77777777" w:rsidTr="005B43C1">
        <w:trPr>
          <w:trHeight w:val="144"/>
        </w:trPr>
        <w:tc>
          <w:tcPr>
            <w:tcW w:w="1232" w:type="dxa"/>
          </w:tcPr>
          <w:p w14:paraId="7F99119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Parikh et al. (2010)</w:t>
            </w:r>
          </w:p>
        </w:tc>
        <w:tc>
          <w:tcPr>
            <w:tcW w:w="1284" w:type="dxa"/>
          </w:tcPr>
          <w:p w14:paraId="2E45650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USA- New York </w:t>
            </w:r>
          </w:p>
        </w:tc>
        <w:tc>
          <w:tcPr>
            <w:tcW w:w="1316" w:type="dxa"/>
            <w:gridSpan w:val="2"/>
          </w:tcPr>
          <w:p w14:paraId="374202A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Peer-led intervention </w:t>
            </w:r>
          </w:p>
          <w:p w14:paraId="7A6DA31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Where workshops took place at community sites </w:t>
            </w:r>
          </w:p>
        </w:tc>
        <w:tc>
          <w:tcPr>
            <w:tcW w:w="2405" w:type="dxa"/>
          </w:tcPr>
          <w:p w14:paraId="5B16163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The programme consisted of eight 1.5-hour sessions over 10 weeks. Content: Topics included diabetes prevention, </w:t>
            </w:r>
            <w:proofErr w:type="gramStart"/>
            <w:r w:rsidRPr="00103A0B">
              <w:rPr>
                <w:rFonts w:ascii="Arial" w:hAnsi="Arial" w:cs="Arial"/>
                <w:sz w:val="16"/>
                <w:szCs w:val="16"/>
              </w:rPr>
              <w:t>finding</w:t>
            </w:r>
            <w:proofErr w:type="gramEnd"/>
            <w:r w:rsidRPr="00103A0B">
              <w:rPr>
                <w:rFonts w:ascii="Arial" w:hAnsi="Arial" w:cs="Arial"/>
                <w:sz w:val="16"/>
                <w:szCs w:val="16"/>
              </w:rPr>
              <w:t xml:space="preserve"> and affording healthy foods, label reading, fun physical activity, planning a healthy plate, making traditional foods healthy, and portion control. </w:t>
            </w:r>
          </w:p>
          <w:p w14:paraId="796062F3" w14:textId="77777777" w:rsidR="005B43C1" w:rsidRPr="00103A0B" w:rsidRDefault="005B43C1" w:rsidP="00CD5919">
            <w:pPr>
              <w:jc w:val="both"/>
              <w:rPr>
                <w:rFonts w:ascii="Arial" w:hAnsi="Arial" w:cs="Arial"/>
                <w:sz w:val="16"/>
                <w:szCs w:val="16"/>
              </w:rPr>
            </w:pPr>
          </w:p>
          <w:p w14:paraId="01C0EBF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D+E </w:t>
            </w:r>
          </w:p>
        </w:tc>
        <w:tc>
          <w:tcPr>
            <w:tcW w:w="1560" w:type="dxa"/>
          </w:tcPr>
          <w:p w14:paraId="6129BEA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2 weeks, 3 </w:t>
            </w:r>
            <w:proofErr w:type="gramStart"/>
            <w:r w:rsidRPr="00103A0B">
              <w:rPr>
                <w:rFonts w:ascii="Arial" w:hAnsi="Arial" w:cs="Arial"/>
                <w:sz w:val="16"/>
                <w:szCs w:val="16"/>
              </w:rPr>
              <w:t>months</w:t>
            </w:r>
            <w:proofErr w:type="gramEnd"/>
            <w:r w:rsidRPr="00103A0B">
              <w:rPr>
                <w:rFonts w:ascii="Arial" w:hAnsi="Arial" w:cs="Arial"/>
                <w:sz w:val="16"/>
                <w:szCs w:val="16"/>
              </w:rPr>
              <w:t xml:space="preserve"> and 9 months </w:t>
            </w:r>
          </w:p>
        </w:tc>
        <w:tc>
          <w:tcPr>
            <w:tcW w:w="2063" w:type="dxa"/>
          </w:tcPr>
          <w:p w14:paraId="19839E3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Several recruitment strategies involved at community sites and events, such as churches, social service agencies, senior </w:t>
            </w:r>
            <w:proofErr w:type="spellStart"/>
            <w:r w:rsidRPr="00103A0B">
              <w:rPr>
                <w:rFonts w:ascii="Arial" w:hAnsi="Arial" w:cs="Arial"/>
                <w:sz w:val="16"/>
                <w:szCs w:val="16"/>
              </w:rPr>
              <w:t>centers</w:t>
            </w:r>
            <w:proofErr w:type="spellEnd"/>
            <w:r w:rsidRPr="00103A0B">
              <w:rPr>
                <w:rFonts w:ascii="Arial" w:hAnsi="Arial" w:cs="Arial"/>
                <w:sz w:val="16"/>
                <w:szCs w:val="16"/>
              </w:rPr>
              <w:t xml:space="preserve">, and health fairs. Most successful recruitment took place when community leaders advertised and </w:t>
            </w:r>
            <w:proofErr w:type="gramStart"/>
            <w:r w:rsidRPr="00103A0B">
              <w:rPr>
                <w:rFonts w:ascii="Arial" w:hAnsi="Arial" w:cs="Arial"/>
                <w:sz w:val="16"/>
                <w:szCs w:val="16"/>
              </w:rPr>
              <w:t>were in charge of</w:t>
            </w:r>
            <w:proofErr w:type="gramEnd"/>
            <w:r w:rsidRPr="00103A0B">
              <w:rPr>
                <w:rFonts w:ascii="Arial" w:hAnsi="Arial" w:cs="Arial"/>
                <w:sz w:val="16"/>
                <w:szCs w:val="16"/>
              </w:rPr>
              <w:t xml:space="preserve"> recruitment at their organizations.</w:t>
            </w:r>
          </w:p>
        </w:tc>
        <w:tc>
          <w:tcPr>
            <w:tcW w:w="0" w:type="auto"/>
          </w:tcPr>
          <w:p w14:paraId="69590EB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99 P`s at baseline </w:t>
            </w:r>
          </w:p>
          <w:p w14:paraId="1895D2C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age of 48 years (ranging from 25-84 years)</w:t>
            </w:r>
          </w:p>
          <w:p w14:paraId="46C2F4E7" w14:textId="77777777" w:rsidR="005B43C1" w:rsidRPr="00103A0B" w:rsidRDefault="005B43C1" w:rsidP="00CD5919">
            <w:pPr>
              <w:jc w:val="both"/>
              <w:rPr>
                <w:rFonts w:ascii="Arial" w:hAnsi="Arial" w:cs="Arial"/>
                <w:sz w:val="16"/>
                <w:szCs w:val="16"/>
              </w:rPr>
            </w:pPr>
          </w:p>
          <w:p w14:paraId="403A240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mainly female (85%) </w:t>
            </w:r>
          </w:p>
          <w:p w14:paraId="1183E4ED" w14:textId="77777777" w:rsidR="005B43C1" w:rsidRPr="00103A0B" w:rsidRDefault="005B43C1" w:rsidP="00CD5919">
            <w:pPr>
              <w:jc w:val="both"/>
              <w:rPr>
                <w:rFonts w:ascii="Arial" w:hAnsi="Arial" w:cs="Arial"/>
                <w:sz w:val="16"/>
                <w:szCs w:val="16"/>
              </w:rPr>
            </w:pPr>
          </w:p>
          <w:p w14:paraId="0BF2122C" w14:textId="34AD3C61" w:rsidR="00AF3B17" w:rsidRPr="00103A0B" w:rsidRDefault="005B43C1" w:rsidP="00CD5919">
            <w:pPr>
              <w:jc w:val="both"/>
              <w:rPr>
                <w:rFonts w:ascii="Arial" w:hAnsi="Arial" w:cs="Arial"/>
                <w:sz w:val="16"/>
                <w:szCs w:val="16"/>
              </w:rPr>
            </w:pPr>
            <w:r w:rsidRPr="00103A0B">
              <w:rPr>
                <w:rFonts w:ascii="Arial" w:hAnsi="Arial" w:cs="Arial"/>
                <w:sz w:val="16"/>
                <w:szCs w:val="16"/>
              </w:rPr>
              <w:t xml:space="preserve">Ethnicity: 9% black; 89% Hispanic </w:t>
            </w:r>
          </w:p>
        </w:tc>
        <w:tc>
          <w:tcPr>
            <w:tcW w:w="1588" w:type="dxa"/>
          </w:tcPr>
          <w:p w14:paraId="60AFCCB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534C90A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3B56DF5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99 P`s started the intervention (50 intervention and 49 control)</w:t>
            </w:r>
          </w:p>
          <w:p w14:paraId="0EC1EF2F" w14:textId="77777777" w:rsidR="005B43C1" w:rsidRPr="00103A0B" w:rsidRDefault="005B43C1" w:rsidP="00CD5919">
            <w:pPr>
              <w:jc w:val="both"/>
              <w:rPr>
                <w:rFonts w:ascii="Arial" w:hAnsi="Arial" w:cs="Arial"/>
                <w:sz w:val="16"/>
                <w:szCs w:val="16"/>
              </w:rPr>
            </w:pPr>
          </w:p>
          <w:p w14:paraId="41019FD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At 12 months, 72 P`s (37 control and 35 intervention)</w:t>
            </w:r>
          </w:p>
          <w:p w14:paraId="765EA731" w14:textId="77777777" w:rsidR="005B43C1" w:rsidRPr="00103A0B" w:rsidRDefault="005B43C1" w:rsidP="00CD5919">
            <w:pPr>
              <w:jc w:val="both"/>
              <w:rPr>
                <w:rFonts w:ascii="Arial" w:hAnsi="Arial" w:cs="Arial"/>
                <w:sz w:val="16"/>
                <w:szCs w:val="16"/>
              </w:rPr>
            </w:pPr>
          </w:p>
          <w:p w14:paraId="2840EEB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DO=30% </w:t>
            </w:r>
          </w:p>
          <w:p w14:paraId="5E121215" w14:textId="77777777" w:rsidR="005B43C1" w:rsidRPr="00103A0B" w:rsidRDefault="005B43C1" w:rsidP="00CD5919">
            <w:pPr>
              <w:jc w:val="both"/>
              <w:rPr>
                <w:rFonts w:ascii="Arial" w:hAnsi="Arial" w:cs="Arial"/>
                <w:sz w:val="16"/>
                <w:szCs w:val="16"/>
              </w:rPr>
            </w:pPr>
          </w:p>
          <w:p w14:paraId="764C8D49" w14:textId="77777777" w:rsidR="005B43C1" w:rsidRPr="00103A0B" w:rsidRDefault="005B43C1" w:rsidP="00CD5919">
            <w:pPr>
              <w:spacing w:line="360" w:lineRule="auto"/>
              <w:jc w:val="both"/>
              <w:rPr>
                <w:rFonts w:ascii="Arial" w:hAnsi="Arial" w:cs="Arial"/>
                <w:sz w:val="16"/>
                <w:szCs w:val="16"/>
              </w:rPr>
            </w:pPr>
            <w:r w:rsidRPr="00103A0B">
              <w:rPr>
                <w:rFonts w:ascii="Arial" w:hAnsi="Arial" w:cs="Arial"/>
                <w:sz w:val="16"/>
                <w:szCs w:val="16"/>
              </w:rPr>
              <w:t xml:space="preserve">Retention= 70% </w:t>
            </w:r>
          </w:p>
          <w:p w14:paraId="71D52BAB" w14:textId="77777777" w:rsidR="005B43C1" w:rsidRPr="00103A0B" w:rsidRDefault="005B43C1" w:rsidP="00CD5919">
            <w:pPr>
              <w:jc w:val="both"/>
              <w:rPr>
                <w:rFonts w:ascii="Arial" w:hAnsi="Arial" w:cs="Arial"/>
                <w:sz w:val="16"/>
                <w:szCs w:val="16"/>
              </w:rPr>
            </w:pPr>
          </w:p>
        </w:tc>
      </w:tr>
      <w:tr w:rsidR="005B43C1" w:rsidRPr="00103A0B" w14:paraId="542B50F3" w14:textId="77777777" w:rsidTr="00AF3B17">
        <w:trPr>
          <w:trHeight w:val="4216"/>
        </w:trPr>
        <w:tc>
          <w:tcPr>
            <w:tcW w:w="1232" w:type="dxa"/>
          </w:tcPr>
          <w:p w14:paraId="036564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Payne et al. (2008)</w:t>
            </w:r>
          </w:p>
          <w:p w14:paraId="63CCE979" w14:textId="77777777" w:rsidR="005B43C1" w:rsidRPr="00103A0B" w:rsidRDefault="005B43C1" w:rsidP="00CD5919">
            <w:pPr>
              <w:jc w:val="both"/>
              <w:rPr>
                <w:rFonts w:ascii="Arial" w:hAnsi="Arial" w:cs="Arial"/>
                <w:sz w:val="16"/>
                <w:szCs w:val="16"/>
              </w:rPr>
            </w:pPr>
          </w:p>
        </w:tc>
        <w:tc>
          <w:tcPr>
            <w:tcW w:w="1284" w:type="dxa"/>
          </w:tcPr>
          <w:p w14:paraId="4725AD8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Australia-Victoria</w:t>
            </w:r>
          </w:p>
        </w:tc>
        <w:tc>
          <w:tcPr>
            <w:tcW w:w="1316" w:type="dxa"/>
            <w:gridSpan w:val="2"/>
          </w:tcPr>
          <w:p w14:paraId="0B7F2DC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Quasi-experimental two-group repeated measures </w:t>
            </w:r>
            <w:proofErr w:type="gramStart"/>
            <w:r w:rsidRPr="00103A0B">
              <w:rPr>
                <w:rFonts w:ascii="Arial" w:hAnsi="Arial" w:cs="Arial"/>
                <w:sz w:val="16"/>
                <w:szCs w:val="16"/>
              </w:rPr>
              <w:t>design</w:t>
            </w:r>
            <w:proofErr w:type="gramEnd"/>
            <w:r w:rsidRPr="00103A0B">
              <w:rPr>
                <w:rFonts w:ascii="Arial" w:hAnsi="Arial" w:cs="Arial"/>
                <w:sz w:val="16"/>
                <w:szCs w:val="16"/>
              </w:rPr>
              <w:t xml:space="preserve"> </w:t>
            </w:r>
          </w:p>
          <w:p w14:paraId="290CBA76" w14:textId="77777777" w:rsidR="005B43C1" w:rsidRPr="00103A0B" w:rsidRDefault="005B43C1" w:rsidP="00CD5919">
            <w:pPr>
              <w:jc w:val="both"/>
              <w:rPr>
                <w:rFonts w:ascii="Arial" w:hAnsi="Arial" w:cs="Arial"/>
                <w:sz w:val="16"/>
                <w:szCs w:val="16"/>
              </w:rPr>
            </w:pPr>
          </w:p>
          <w:p w14:paraId="685A020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Recruited from regional city of Ballarat</w:t>
            </w:r>
          </w:p>
        </w:tc>
        <w:tc>
          <w:tcPr>
            <w:tcW w:w="2405" w:type="dxa"/>
          </w:tcPr>
          <w:p w14:paraId="600DADF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Intervention included 6-week group self-management education program, a gymnasium-based or home-based 12-week resistance training program, and a 34-week maintenance program. In total 52 weeks (13 months intervention). Self-management education program started with six 1.5-h group education sessions. Size: Sessions included PA &amp; dietary components with groups of 15–20. Maintenance program- attended three 2-hour group reinforcement </w:t>
            </w:r>
            <w:proofErr w:type="gramStart"/>
            <w:r w:rsidRPr="00103A0B">
              <w:rPr>
                <w:rFonts w:ascii="Arial" w:hAnsi="Arial" w:cs="Arial"/>
                <w:sz w:val="16"/>
                <w:szCs w:val="16"/>
              </w:rPr>
              <w:t>sessions</w:t>
            </w:r>
            <w:proofErr w:type="gramEnd"/>
            <w:r w:rsidRPr="00103A0B">
              <w:rPr>
                <w:rFonts w:ascii="Arial" w:hAnsi="Arial" w:cs="Arial"/>
                <w:sz w:val="16"/>
                <w:szCs w:val="16"/>
              </w:rPr>
              <w:t xml:space="preserve"> </w:t>
            </w:r>
          </w:p>
          <w:p w14:paraId="07D80FF6" w14:textId="77777777" w:rsidR="005B43C1" w:rsidRPr="00103A0B" w:rsidRDefault="005B43C1" w:rsidP="00CD5919">
            <w:pPr>
              <w:jc w:val="both"/>
              <w:rPr>
                <w:rFonts w:ascii="Arial" w:hAnsi="Arial" w:cs="Arial"/>
                <w:sz w:val="16"/>
                <w:szCs w:val="16"/>
              </w:rPr>
            </w:pPr>
          </w:p>
          <w:p w14:paraId="06E9166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370E2712" w14:textId="77777777" w:rsidR="005B43C1" w:rsidRPr="00103A0B" w:rsidRDefault="005B43C1" w:rsidP="00CD5919">
            <w:pPr>
              <w:jc w:val="both"/>
              <w:rPr>
                <w:rFonts w:ascii="Arial" w:hAnsi="Arial" w:cs="Arial"/>
                <w:sz w:val="16"/>
                <w:szCs w:val="16"/>
              </w:rPr>
            </w:pPr>
          </w:p>
        </w:tc>
        <w:tc>
          <w:tcPr>
            <w:tcW w:w="1560" w:type="dxa"/>
          </w:tcPr>
          <w:p w14:paraId="34FD9E5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00B0C11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P`s recruited through media campaign &amp; promotional materials distributed in socioeconomically disadvantaged localities. Primary health care</w:t>
            </w:r>
          </w:p>
          <w:p w14:paraId="17ECFD8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professionals encouraged to refer eligible P`s</w:t>
            </w:r>
          </w:p>
        </w:tc>
        <w:tc>
          <w:tcPr>
            <w:tcW w:w="0" w:type="auto"/>
          </w:tcPr>
          <w:p w14:paraId="79C7F4C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122 P`s started </w:t>
            </w:r>
            <w:proofErr w:type="gramStart"/>
            <w:r w:rsidRPr="00103A0B">
              <w:rPr>
                <w:rFonts w:ascii="Arial" w:hAnsi="Arial" w:cs="Arial"/>
                <w:sz w:val="16"/>
                <w:szCs w:val="16"/>
              </w:rPr>
              <w:t>programme</w:t>
            </w:r>
            <w:proofErr w:type="gramEnd"/>
          </w:p>
          <w:p w14:paraId="07061A26" w14:textId="77777777" w:rsidR="005B43C1" w:rsidRPr="00103A0B" w:rsidRDefault="005B43C1" w:rsidP="00CD5919">
            <w:pPr>
              <w:jc w:val="both"/>
              <w:rPr>
                <w:rFonts w:ascii="Arial" w:hAnsi="Arial" w:cs="Arial"/>
                <w:sz w:val="16"/>
                <w:szCs w:val="16"/>
              </w:rPr>
            </w:pPr>
          </w:p>
          <w:p w14:paraId="1025E75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52.6 (8.6)</w:t>
            </w:r>
          </w:p>
          <w:p w14:paraId="1927DB28" w14:textId="77777777" w:rsidR="005B43C1" w:rsidRPr="00103A0B" w:rsidRDefault="005B43C1" w:rsidP="00CD5919">
            <w:pPr>
              <w:jc w:val="both"/>
              <w:rPr>
                <w:rFonts w:ascii="Arial" w:hAnsi="Arial" w:cs="Arial"/>
                <w:sz w:val="16"/>
                <w:szCs w:val="16"/>
              </w:rPr>
            </w:pPr>
          </w:p>
          <w:p w14:paraId="290F410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78% women </w:t>
            </w:r>
          </w:p>
          <w:p w14:paraId="493DBB66" w14:textId="77777777" w:rsidR="005B43C1" w:rsidRPr="00103A0B" w:rsidRDefault="005B43C1" w:rsidP="00CD5919">
            <w:pPr>
              <w:jc w:val="both"/>
              <w:rPr>
                <w:rFonts w:ascii="Arial" w:hAnsi="Arial" w:cs="Arial"/>
                <w:sz w:val="16"/>
                <w:szCs w:val="16"/>
              </w:rPr>
            </w:pPr>
          </w:p>
          <w:p w14:paraId="604B117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Ethnicity: NS</w:t>
            </w:r>
          </w:p>
        </w:tc>
        <w:tc>
          <w:tcPr>
            <w:tcW w:w="1588" w:type="dxa"/>
          </w:tcPr>
          <w:p w14:paraId="3AE910A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n/a</w:t>
            </w:r>
          </w:p>
        </w:tc>
        <w:tc>
          <w:tcPr>
            <w:tcW w:w="1360" w:type="dxa"/>
          </w:tcPr>
          <w:p w14:paraId="1A302F5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45949BD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122 P`s started </w:t>
            </w:r>
            <w:proofErr w:type="gramStart"/>
            <w:r w:rsidRPr="00103A0B">
              <w:rPr>
                <w:rFonts w:ascii="Arial" w:hAnsi="Arial" w:cs="Arial"/>
                <w:sz w:val="16"/>
                <w:szCs w:val="16"/>
              </w:rPr>
              <w:t>programme</w:t>
            </w:r>
            <w:proofErr w:type="gramEnd"/>
          </w:p>
          <w:p w14:paraId="712C0170" w14:textId="77777777" w:rsidR="005B43C1" w:rsidRPr="00103A0B" w:rsidRDefault="005B43C1" w:rsidP="00CD5919">
            <w:pPr>
              <w:jc w:val="both"/>
              <w:rPr>
                <w:rFonts w:ascii="Arial" w:hAnsi="Arial" w:cs="Arial"/>
                <w:sz w:val="16"/>
                <w:szCs w:val="16"/>
              </w:rPr>
            </w:pPr>
          </w:p>
          <w:p w14:paraId="4040209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98 completed clinical assessments at weeks 52 and </w:t>
            </w:r>
            <w:proofErr w:type="gramStart"/>
            <w:r w:rsidRPr="00103A0B">
              <w:rPr>
                <w:rFonts w:ascii="Arial" w:hAnsi="Arial" w:cs="Arial"/>
                <w:sz w:val="16"/>
                <w:szCs w:val="16"/>
              </w:rPr>
              <w:t>84</w:t>
            </w:r>
            <w:proofErr w:type="gramEnd"/>
            <w:r w:rsidRPr="00103A0B">
              <w:rPr>
                <w:rFonts w:ascii="Arial" w:hAnsi="Arial" w:cs="Arial"/>
                <w:sz w:val="16"/>
                <w:szCs w:val="16"/>
              </w:rPr>
              <w:t xml:space="preserve"> </w:t>
            </w:r>
          </w:p>
          <w:p w14:paraId="772E56AE" w14:textId="77777777" w:rsidR="005B43C1" w:rsidRPr="00103A0B" w:rsidRDefault="005B43C1" w:rsidP="00CD5919">
            <w:pPr>
              <w:jc w:val="both"/>
              <w:rPr>
                <w:rFonts w:ascii="Arial" w:hAnsi="Arial" w:cs="Arial"/>
                <w:sz w:val="16"/>
                <w:szCs w:val="16"/>
              </w:rPr>
            </w:pPr>
          </w:p>
          <w:p w14:paraId="47C042A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DO= 19.67%</w:t>
            </w:r>
          </w:p>
          <w:p w14:paraId="35C9DACF" w14:textId="77777777" w:rsidR="005B43C1" w:rsidRPr="00103A0B" w:rsidRDefault="005B43C1" w:rsidP="00CD5919">
            <w:pPr>
              <w:jc w:val="both"/>
              <w:rPr>
                <w:rFonts w:ascii="Arial" w:hAnsi="Arial" w:cs="Arial"/>
                <w:sz w:val="16"/>
                <w:szCs w:val="16"/>
              </w:rPr>
            </w:pPr>
          </w:p>
          <w:p w14:paraId="1BDBFE6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80.33% </w:t>
            </w:r>
          </w:p>
        </w:tc>
      </w:tr>
      <w:tr w:rsidR="005B43C1" w:rsidRPr="00103A0B" w14:paraId="39D18BC8" w14:textId="77777777" w:rsidTr="005B43C1">
        <w:trPr>
          <w:trHeight w:val="810"/>
        </w:trPr>
        <w:tc>
          <w:tcPr>
            <w:tcW w:w="1232" w:type="dxa"/>
          </w:tcPr>
          <w:p w14:paraId="1CCD5E4F"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Pimental</w:t>
            </w:r>
            <w:proofErr w:type="spellEnd"/>
            <w:r w:rsidRPr="00103A0B">
              <w:rPr>
                <w:rFonts w:ascii="Arial" w:hAnsi="Arial" w:cs="Arial"/>
                <w:sz w:val="16"/>
                <w:szCs w:val="16"/>
              </w:rPr>
              <w:t xml:space="preserve"> et al. (2010)</w:t>
            </w:r>
          </w:p>
          <w:p w14:paraId="0DA7C2FC" w14:textId="77777777" w:rsidR="005B43C1" w:rsidRPr="00103A0B" w:rsidRDefault="005B43C1" w:rsidP="00CD5919">
            <w:pPr>
              <w:jc w:val="both"/>
              <w:rPr>
                <w:rFonts w:ascii="Arial" w:hAnsi="Arial" w:cs="Arial"/>
                <w:sz w:val="16"/>
                <w:szCs w:val="16"/>
              </w:rPr>
            </w:pPr>
          </w:p>
          <w:p w14:paraId="77EFFF8E" w14:textId="77777777" w:rsidR="005B43C1" w:rsidRPr="00103A0B" w:rsidRDefault="005B43C1" w:rsidP="00CD5919">
            <w:pPr>
              <w:jc w:val="both"/>
              <w:rPr>
                <w:rFonts w:ascii="Arial" w:hAnsi="Arial" w:cs="Arial"/>
                <w:sz w:val="16"/>
                <w:szCs w:val="16"/>
              </w:rPr>
            </w:pPr>
          </w:p>
        </w:tc>
        <w:tc>
          <w:tcPr>
            <w:tcW w:w="1284" w:type="dxa"/>
          </w:tcPr>
          <w:p w14:paraId="4D2BEBC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Brazil</w:t>
            </w:r>
          </w:p>
        </w:tc>
        <w:tc>
          <w:tcPr>
            <w:tcW w:w="1316" w:type="dxa"/>
            <w:gridSpan w:val="2"/>
          </w:tcPr>
          <w:p w14:paraId="29007760" w14:textId="77777777" w:rsidR="005B43C1" w:rsidRPr="00103A0B" w:rsidRDefault="005B43C1" w:rsidP="00CD5919">
            <w:pPr>
              <w:jc w:val="both"/>
              <w:rPr>
                <w:rFonts w:ascii="Arial" w:hAnsi="Arial" w:cs="Arial"/>
                <w:sz w:val="16"/>
                <w:szCs w:val="16"/>
              </w:rPr>
            </w:pPr>
          </w:p>
        </w:tc>
        <w:tc>
          <w:tcPr>
            <w:tcW w:w="2405" w:type="dxa"/>
          </w:tcPr>
          <w:p w14:paraId="11F0680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Intervention group received individual and group counselling with a team of nutritionists. Consisted of discussion-format group sessions that took place twice per month and individual sessions that took place once per month. Intervention</w:t>
            </w:r>
          </w:p>
          <w:p w14:paraId="4ED4B42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included written and oral didactic instructions to improve diet quality. One-year intervention. </w:t>
            </w:r>
          </w:p>
          <w:p w14:paraId="51113368" w14:textId="77777777" w:rsidR="005B43C1" w:rsidRPr="00103A0B" w:rsidRDefault="005B43C1" w:rsidP="00CD5919">
            <w:pPr>
              <w:jc w:val="both"/>
              <w:rPr>
                <w:rFonts w:ascii="Arial" w:hAnsi="Arial" w:cs="Arial"/>
                <w:sz w:val="16"/>
                <w:szCs w:val="16"/>
              </w:rPr>
            </w:pPr>
          </w:p>
          <w:p w14:paraId="1BEE0FC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w:t>
            </w:r>
          </w:p>
          <w:p w14:paraId="16E0D7FC" w14:textId="77777777" w:rsidR="005B43C1" w:rsidRPr="00103A0B" w:rsidRDefault="005B43C1" w:rsidP="00CD5919">
            <w:pPr>
              <w:jc w:val="both"/>
              <w:rPr>
                <w:rFonts w:ascii="Arial" w:hAnsi="Arial" w:cs="Arial"/>
                <w:sz w:val="16"/>
                <w:szCs w:val="16"/>
              </w:rPr>
            </w:pPr>
          </w:p>
          <w:p w14:paraId="4ACA8DFA" w14:textId="77777777" w:rsidR="005B43C1" w:rsidRPr="00103A0B" w:rsidRDefault="005B43C1" w:rsidP="00CD5919">
            <w:pPr>
              <w:jc w:val="both"/>
              <w:rPr>
                <w:rFonts w:ascii="Arial" w:hAnsi="Arial" w:cs="Arial"/>
                <w:sz w:val="16"/>
                <w:szCs w:val="16"/>
              </w:rPr>
            </w:pPr>
          </w:p>
        </w:tc>
        <w:tc>
          <w:tcPr>
            <w:tcW w:w="1560" w:type="dxa"/>
          </w:tcPr>
          <w:p w14:paraId="57B588D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6A4F4B7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Recruited during 2 public health campaigns designed to promote knowledge, detection, and prevention of T2DM complications.</w:t>
            </w:r>
          </w:p>
        </w:tc>
        <w:tc>
          <w:tcPr>
            <w:tcW w:w="0" w:type="auto"/>
          </w:tcPr>
          <w:p w14:paraId="7F0FDAC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67 randomized P`s with prediabetes </w:t>
            </w:r>
          </w:p>
          <w:p w14:paraId="1E4881AC" w14:textId="77777777" w:rsidR="005B43C1" w:rsidRPr="00103A0B" w:rsidRDefault="005B43C1" w:rsidP="00CD5919">
            <w:pPr>
              <w:jc w:val="both"/>
              <w:rPr>
                <w:rFonts w:ascii="Arial" w:hAnsi="Arial" w:cs="Arial"/>
                <w:sz w:val="16"/>
                <w:szCs w:val="16"/>
              </w:rPr>
            </w:pPr>
          </w:p>
          <w:p w14:paraId="5EA36FA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Mean Age (group): 51.7 (14.5)</w:t>
            </w:r>
          </w:p>
          <w:p w14:paraId="3F00825D" w14:textId="77777777" w:rsidR="005B43C1" w:rsidRPr="00103A0B" w:rsidRDefault="005B43C1" w:rsidP="00CD5919">
            <w:pPr>
              <w:jc w:val="both"/>
              <w:rPr>
                <w:rFonts w:ascii="Arial" w:hAnsi="Arial" w:cs="Arial"/>
                <w:sz w:val="16"/>
                <w:szCs w:val="16"/>
              </w:rPr>
            </w:pPr>
          </w:p>
          <w:p w14:paraId="1195F1F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(in total): 63% (42 P`s) females; 37% (25 P`s) males  </w:t>
            </w:r>
          </w:p>
          <w:p w14:paraId="406F8151" w14:textId="77777777" w:rsidR="005B43C1" w:rsidRPr="00103A0B" w:rsidRDefault="005B43C1" w:rsidP="00CD5919">
            <w:pPr>
              <w:jc w:val="both"/>
              <w:rPr>
                <w:rFonts w:ascii="Arial" w:hAnsi="Arial" w:cs="Arial"/>
                <w:sz w:val="16"/>
                <w:szCs w:val="16"/>
              </w:rPr>
            </w:pPr>
          </w:p>
          <w:p w14:paraId="10C0E74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All Brazilian </w:t>
            </w:r>
          </w:p>
          <w:p w14:paraId="53765DDF" w14:textId="77777777" w:rsidR="005B43C1" w:rsidRPr="00103A0B" w:rsidRDefault="005B43C1" w:rsidP="00CD5919">
            <w:pPr>
              <w:jc w:val="both"/>
              <w:rPr>
                <w:rFonts w:ascii="Arial" w:hAnsi="Arial" w:cs="Arial"/>
                <w:sz w:val="16"/>
                <w:szCs w:val="16"/>
              </w:rPr>
            </w:pPr>
          </w:p>
        </w:tc>
        <w:tc>
          <w:tcPr>
            <w:tcW w:w="1588" w:type="dxa"/>
          </w:tcPr>
          <w:p w14:paraId="7EFC193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360" w:type="dxa"/>
          </w:tcPr>
          <w:p w14:paraId="2861223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316A3E9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67 P`s were randomized into 2 groups: the intervention group (n = 24), and the control group (n = 43). Of the 67 P`s, 51 completed the study (control group n = 30 and intervention group n = 21).</w:t>
            </w:r>
          </w:p>
          <w:p w14:paraId="53EF2F6B" w14:textId="77777777" w:rsidR="005B43C1" w:rsidRPr="00103A0B" w:rsidRDefault="005B43C1" w:rsidP="00CD5919">
            <w:pPr>
              <w:jc w:val="both"/>
              <w:rPr>
                <w:rFonts w:ascii="Arial" w:hAnsi="Arial" w:cs="Arial"/>
                <w:sz w:val="16"/>
                <w:szCs w:val="16"/>
              </w:rPr>
            </w:pPr>
          </w:p>
          <w:p w14:paraId="19FB078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DO=12.5%  </w:t>
            </w:r>
          </w:p>
          <w:p w14:paraId="4E5D3A02" w14:textId="77777777" w:rsidR="005B43C1" w:rsidRPr="00103A0B" w:rsidRDefault="005B43C1" w:rsidP="00CD5919">
            <w:pPr>
              <w:jc w:val="both"/>
              <w:rPr>
                <w:rFonts w:ascii="Arial" w:hAnsi="Arial" w:cs="Arial"/>
                <w:sz w:val="16"/>
                <w:szCs w:val="16"/>
              </w:rPr>
            </w:pPr>
          </w:p>
          <w:p w14:paraId="698748B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 87.50%</w:t>
            </w:r>
          </w:p>
        </w:tc>
      </w:tr>
      <w:tr w:rsidR="005B43C1" w:rsidRPr="00103A0B" w14:paraId="4A42806B" w14:textId="77777777" w:rsidTr="00AF3B17">
        <w:trPr>
          <w:trHeight w:val="2901"/>
        </w:trPr>
        <w:tc>
          <w:tcPr>
            <w:tcW w:w="1232" w:type="dxa"/>
          </w:tcPr>
          <w:p w14:paraId="36EC430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 xml:space="preserve">Quinones et al. (2018) </w:t>
            </w:r>
          </w:p>
        </w:tc>
        <w:tc>
          <w:tcPr>
            <w:tcW w:w="1284" w:type="dxa"/>
          </w:tcPr>
          <w:p w14:paraId="20D47FC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USA- New York </w:t>
            </w:r>
          </w:p>
        </w:tc>
        <w:tc>
          <w:tcPr>
            <w:tcW w:w="1316" w:type="dxa"/>
            <w:gridSpan w:val="2"/>
          </w:tcPr>
          <w:p w14:paraId="133677B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Pilot study </w:t>
            </w:r>
          </w:p>
          <w:p w14:paraId="2B9A93F3" w14:textId="77777777" w:rsidR="005B43C1" w:rsidRPr="00103A0B" w:rsidRDefault="005B43C1" w:rsidP="00CD5919">
            <w:pPr>
              <w:jc w:val="both"/>
              <w:rPr>
                <w:rFonts w:ascii="Arial" w:hAnsi="Arial" w:cs="Arial"/>
                <w:sz w:val="16"/>
                <w:szCs w:val="16"/>
              </w:rPr>
            </w:pPr>
          </w:p>
          <w:p w14:paraId="642A922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Large community based mental health residential </w:t>
            </w:r>
            <w:proofErr w:type="gramStart"/>
            <w:r w:rsidRPr="00103A0B">
              <w:rPr>
                <w:rFonts w:ascii="Arial" w:hAnsi="Arial" w:cs="Arial"/>
                <w:sz w:val="16"/>
                <w:szCs w:val="16"/>
              </w:rPr>
              <w:t>program</w:t>
            </w:r>
            <w:proofErr w:type="gramEnd"/>
            <w:r w:rsidRPr="00103A0B">
              <w:rPr>
                <w:rFonts w:ascii="Arial" w:hAnsi="Arial" w:cs="Arial"/>
                <w:sz w:val="16"/>
                <w:szCs w:val="16"/>
              </w:rPr>
              <w:t xml:space="preserve"> </w:t>
            </w:r>
          </w:p>
          <w:p w14:paraId="50363AA3" w14:textId="77777777" w:rsidR="005B43C1" w:rsidRPr="00103A0B" w:rsidRDefault="005B43C1" w:rsidP="00CD5919">
            <w:pPr>
              <w:jc w:val="both"/>
              <w:rPr>
                <w:rFonts w:ascii="Arial" w:hAnsi="Arial" w:cs="Arial"/>
                <w:sz w:val="16"/>
                <w:szCs w:val="16"/>
              </w:rPr>
            </w:pPr>
          </w:p>
        </w:tc>
        <w:tc>
          <w:tcPr>
            <w:tcW w:w="2405" w:type="dxa"/>
          </w:tcPr>
          <w:p w14:paraId="4B744FD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22 weekly 90 min group sessions from Nov 2013-May 2014. </w:t>
            </w:r>
          </w:p>
          <w:p w14:paraId="4827AFAA" w14:textId="77777777" w:rsidR="005B43C1" w:rsidRPr="00103A0B" w:rsidRDefault="005B43C1" w:rsidP="00CD5919">
            <w:pPr>
              <w:jc w:val="both"/>
              <w:rPr>
                <w:rFonts w:ascii="Arial" w:hAnsi="Arial" w:cs="Arial"/>
                <w:sz w:val="16"/>
                <w:szCs w:val="16"/>
              </w:rPr>
            </w:pPr>
          </w:p>
          <w:p w14:paraId="358AEE5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 E </w:t>
            </w:r>
          </w:p>
        </w:tc>
        <w:tc>
          <w:tcPr>
            <w:tcW w:w="1560" w:type="dxa"/>
          </w:tcPr>
          <w:p w14:paraId="2DE55FE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 intervention </w:t>
            </w:r>
          </w:p>
        </w:tc>
        <w:tc>
          <w:tcPr>
            <w:tcW w:w="2063" w:type="dxa"/>
          </w:tcPr>
          <w:p w14:paraId="539E2AB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Information material including flyers, pamphlets, </w:t>
            </w:r>
            <w:proofErr w:type="gramStart"/>
            <w:r w:rsidRPr="00103A0B">
              <w:rPr>
                <w:rFonts w:ascii="Arial" w:hAnsi="Arial" w:cs="Arial"/>
                <w:sz w:val="16"/>
                <w:szCs w:val="16"/>
              </w:rPr>
              <w:t>posters</w:t>
            </w:r>
            <w:proofErr w:type="gramEnd"/>
            <w:r w:rsidRPr="00103A0B">
              <w:rPr>
                <w:rFonts w:ascii="Arial" w:hAnsi="Arial" w:cs="Arial"/>
                <w:sz w:val="16"/>
                <w:szCs w:val="16"/>
              </w:rPr>
              <w:t xml:space="preserve"> and mailings used </w:t>
            </w:r>
          </w:p>
        </w:tc>
        <w:tc>
          <w:tcPr>
            <w:tcW w:w="0" w:type="auto"/>
          </w:tcPr>
          <w:p w14:paraId="75DA897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For 21 P:</w:t>
            </w:r>
          </w:p>
          <w:p w14:paraId="5BD8C79D" w14:textId="77777777" w:rsidR="005B43C1" w:rsidRPr="00103A0B" w:rsidRDefault="005B43C1" w:rsidP="00CD5919">
            <w:pPr>
              <w:jc w:val="both"/>
              <w:rPr>
                <w:rFonts w:ascii="Arial" w:hAnsi="Arial" w:cs="Arial"/>
                <w:sz w:val="16"/>
                <w:szCs w:val="16"/>
              </w:rPr>
            </w:pPr>
          </w:p>
          <w:p w14:paraId="266EB82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Mean age: 49.4 (10.9) </w:t>
            </w:r>
            <w:proofErr w:type="gramStart"/>
            <w:r w:rsidRPr="00103A0B">
              <w:rPr>
                <w:rFonts w:ascii="Arial" w:hAnsi="Arial" w:cs="Arial"/>
                <w:sz w:val="16"/>
                <w:szCs w:val="16"/>
              </w:rPr>
              <w:t>years</w:t>
            </w:r>
            <w:proofErr w:type="gramEnd"/>
            <w:r w:rsidRPr="00103A0B">
              <w:rPr>
                <w:rFonts w:ascii="Arial" w:hAnsi="Arial" w:cs="Arial"/>
                <w:sz w:val="16"/>
                <w:szCs w:val="16"/>
              </w:rPr>
              <w:t xml:space="preserve"> </w:t>
            </w:r>
          </w:p>
          <w:p w14:paraId="009BECD7" w14:textId="77777777" w:rsidR="005B43C1" w:rsidRPr="00103A0B" w:rsidRDefault="005B43C1" w:rsidP="00CD5919">
            <w:pPr>
              <w:jc w:val="both"/>
              <w:rPr>
                <w:rFonts w:ascii="Arial" w:hAnsi="Arial" w:cs="Arial"/>
                <w:sz w:val="16"/>
                <w:szCs w:val="16"/>
              </w:rPr>
            </w:pPr>
          </w:p>
          <w:p w14:paraId="78D9B5D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Gender: 73% women; 27% men</w:t>
            </w:r>
          </w:p>
          <w:p w14:paraId="5320F83B" w14:textId="77777777" w:rsidR="005B43C1" w:rsidRPr="00103A0B" w:rsidRDefault="005B43C1" w:rsidP="00CD5919">
            <w:pPr>
              <w:jc w:val="both"/>
              <w:rPr>
                <w:rFonts w:ascii="Arial" w:hAnsi="Arial" w:cs="Arial"/>
                <w:sz w:val="16"/>
                <w:szCs w:val="16"/>
              </w:rPr>
            </w:pPr>
          </w:p>
          <w:p w14:paraId="4D871C1F" w14:textId="089C287F" w:rsidR="00AF3B17" w:rsidRPr="00103A0B" w:rsidRDefault="005B43C1" w:rsidP="00AF3B17">
            <w:pPr>
              <w:jc w:val="both"/>
              <w:rPr>
                <w:rFonts w:ascii="Arial" w:hAnsi="Arial" w:cs="Arial"/>
                <w:sz w:val="16"/>
                <w:szCs w:val="16"/>
              </w:rPr>
            </w:pPr>
            <w:r w:rsidRPr="00103A0B">
              <w:rPr>
                <w:rFonts w:ascii="Arial" w:hAnsi="Arial" w:cs="Arial"/>
                <w:sz w:val="16"/>
                <w:szCs w:val="16"/>
              </w:rPr>
              <w:t xml:space="preserve">Ethnicity: 91% Caucasian </w:t>
            </w:r>
          </w:p>
        </w:tc>
        <w:tc>
          <w:tcPr>
            <w:tcW w:w="1588" w:type="dxa"/>
          </w:tcPr>
          <w:p w14:paraId="534E9D9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tc>
        <w:tc>
          <w:tcPr>
            <w:tcW w:w="1360" w:type="dxa"/>
          </w:tcPr>
          <w:p w14:paraId="0A016D6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21 P`s agreed to participate. 3 P`s dropped out prior to the start of the </w:t>
            </w:r>
            <w:proofErr w:type="gramStart"/>
            <w:r w:rsidRPr="00103A0B">
              <w:rPr>
                <w:rFonts w:ascii="Arial" w:hAnsi="Arial" w:cs="Arial"/>
                <w:sz w:val="16"/>
                <w:szCs w:val="16"/>
              </w:rPr>
              <w:t>programme</w:t>
            </w:r>
            <w:proofErr w:type="gramEnd"/>
            <w:r w:rsidRPr="00103A0B">
              <w:rPr>
                <w:rFonts w:ascii="Arial" w:hAnsi="Arial" w:cs="Arial"/>
                <w:sz w:val="16"/>
                <w:szCs w:val="16"/>
              </w:rPr>
              <w:t xml:space="preserve"> </w:t>
            </w:r>
          </w:p>
          <w:p w14:paraId="73CEA1F7" w14:textId="77777777" w:rsidR="005B43C1" w:rsidRPr="00103A0B" w:rsidRDefault="005B43C1" w:rsidP="00CD5919">
            <w:pPr>
              <w:jc w:val="both"/>
              <w:rPr>
                <w:rFonts w:ascii="Arial" w:hAnsi="Arial" w:cs="Arial"/>
                <w:sz w:val="16"/>
                <w:szCs w:val="16"/>
              </w:rPr>
            </w:pPr>
          </w:p>
          <w:p w14:paraId="59287E9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Uptake= 85.7%</w:t>
            </w:r>
          </w:p>
        </w:tc>
        <w:tc>
          <w:tcPr>
            <w:tcW w:w="1564" w:type="dxa"/>
          </w:tcPr>
          <w:p w14:paraId="018E068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From the remaining 18 P`s, 11 completed the </w:t>
            </w:r>
            <w:proofErr w:type="gramStart"/>
            <w:r w:rsidRPr="00103A0B">
              <w:rPr>
                <w:rFonts w:ascii="Arial" w:hAnsi="Arial" w:cs="Arial"/>
                <w:sz w:val="16"/>
                <w:szCs w:val="16"/>
              </w:rPr>
              <w:t>program</w:t>
            </w:r>
            <w:proofErr w:type="gramEnd"/>
            <w:r w:rsidRPr="00103A0B">
              <w:rPr>
                <w:rFonts w:ascii="Arial" w:hAnsi="Arial" w:cs="Arial"/>
                <w:sz w:val="16"/>
                <w:szCs w:val="16"/>
              </w:rPr>
              <w:t xml:space="preserve"> </w:t>
            </w:r>
          </w:p>
          <w:p w14:paraId="409C68EA" w14:textId="77777777" w:rsidR="005B43C1" w:rsidRPr="00103A0B" w:rsidRDefault="005B43C1" w:rsidP="00CD5919">
            <w:pPr>
              <w:jc w:val="both"/>
              <w:rPr>
                <w:rFonts w:ascii="Arial" w:hAnsi="Arial" w:cs="Arial"/>
                <w:sz w:val="16"/>
                <w:szCs w:val="16"/>
              </w:rPr>
            </w:pPr>
          </w:p>
          <w:p w14:paraId="4B71C1F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Retention=61.11%</w:t>
            </w:r>
          </w:p>
          <w:p w14:paraId="662BB1D8" w14:textId="77777777" w:rsidR="005B43C1" w:rsidRPr="00103A0B" w:rsidRDefault="005B43C1" w:rsidP="00CD5919">
            <w:pPr>
              <w:jc w:val="both"/>
              <w:rPr>
                <w:rFonts w:ascii="Arial" w:hAnsi="Arial" w:cs="Arial"/>
                <w:sz w:val="16"/>
                <w:szCs w:val="16"/>
              </w:rPr>
            </w:pPr>
          </w:p>
          <w:p w14:paraId="35528861" w14:textId="77777777" w:rsidR="005B43C1" w:rsidRPr="00103A0B" w:rsidRDefault="005B43C1" w:rsidP="00CD5919">
            <w:pPr>
              <w:spacing w:line="360" w:lineRule="auto"/>
              <w:jc w:val="both"/>
              <w:rPr>
                <w:rFonts w:ascii="Arial" w:hAnsi="Arial" w:cs="Arial"/>
                <w:sz w:val="16"/>
                <w:szCs w:val="16"/>
              </w:rPr>
            </w:pPr>
          </w:p>
        </w:tc>
      </w:tr>
      <w:tr w:rsidR="005B43C1" w:rsidRPr="00103A0B" w14:paraId="066442BE" w14:textId="77777777" w:rsidTr="005B43C1">
        <w:trPr>
          <w:trHeight w:val="4283"/>
        </w:trPr>
        <w:tc>
          <w:tcPr>
            <w:tcW w:w="1232" w:type="dxa"/>
          </w:tcPr>
          <w:p w14:paraId="74456674" w14:textId="77777777" w:rsidR="005B43C1" w:rsidRPr="00103A0B" w:rsidRDefault="005B43C1" w:rsidP="00CD5919">
            <w:pPr>
              <w:jc w:val="both"/>
              <w:rPr>
                <w:rFonts w:ascii="Arial" w:hAnsi="Arial" w:cs="Arial"/>
                <w:sz w:val="16"/>
                <w:szCs w:val="16"/>
              </w:rPr>
            </w:pPr>
            <w:proofErr w:type="spellStart"/>
            <w:r w:rsidRPr="00103A0B">
              <w:rPr>
                <w:rFonts w:ascii="Arial" w:hAnsi="Arial" w:cs="Arial"/>
                <w:sz w:val="16"/>
                <w:szCs w:val="16"/>
              </w:rPr>
              <w:t>Sakane</w:t>
            </w:r>
            <w:proofErr w:type="spellEnd"/>
            <w:r w:rsidRPr="00103A0B">
              <w:rPr>
                <w:rFonts w:ascii="Arial" w:hAnsi="Arial" w:cs="Arial"/>
                <w:sz w:val="16"/>
                <w:szCs w:val="16"/>
              </w:rPr>
              <w:t xml:space="preserve"> et al. (2011) </w:t>
            </w:r>
          </w:p>
          <w:p w14:paraId="25786B53" w14:textId="77777777" w:rsidR="005B43C1" w:rsidRPr="00103A0B" w:rsidRDefault="005B43C1" w:rsidP="00CD5919">
            <w:pPr>
              <w:jc w:val="both"/>
              <w:rPr>
                <w:rFonts w:ascii="Arial" w:hAnsi="Arial" w:cs="Arial"/>
                <w:sz w:val="16"/>
                <w:szCs w:val="16"/>
              </w:rPr>
            </w:pPr>
          </w:p>
        </w:tc>
        <w:tc>
          <w:tcPr>
            <w:tcW w:w="1284" w:type="dxa"/>
          </w:tcPr>
          <w:p w14:paraId="17BA1A4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Japan-Kyoto</w:t>
            </w:r>
          </w:p>
        </w:tc>
        <w:tc>
          <w:tcPr>
            <w:tcW w:w="1316" w:type="dxa"/>
            <w:gridSpan w:val="2"/>
          </w:tcPr>
          <w:p w14:paraId="5990034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Randomized control trial </w:t>
            </w:r>
          </w:p>
          <w:p w14:paraId="04DB2FBD" w14:textId="77777777" w:rsidR="005B43C1" w:rsidRPr="00103A0B" w:rsidRDefault="005B43C1" w:rsidP="00CD5919">
            <w:pPr>
              <w:jc w:val="both"/>
              <w:rPr>
                <w:rFonts w:ascii="Arial" w:hAnsi="Arial" w:cs="Arial"/>
                <w:sz w:val="16"/>
                <w:szCs w:val="16"/>
              </w:rPr>
            </w:pPr>
          </w:p>
          <w:p w14:paraId="67C310D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Primary health care setting- 32 health institutions and company clinics across the country participated </w:t>
            </w:r>
          </w:p>
        </w:tc>
        <w:tc>
          <w:tcPr>
            <w:tcW w:w="2405" w:type="dxa"/>
          </w:tcPr>
          <w:p w14:paraId="416913B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During the initial 6 months, 4 group sessions were conducted using slides, videotapes, and a booklet with each session lasting 2 or 3 hours. Main subjects in each group session were: (1) What is diabetes? What is IGT? How to prevent diabetes? (2) Healthy diets to prevent diabetes, (3) Exercise tips to prevent sporting injuries, and (4) Let’s enjoy exercise. </w:t>
            </w:r>
          </w:p>
          <w:p w14:paraId="7727367D" w14:textId="77777777" w:rsidR="005B43C1" w:rsidRPr="00103A0B" w:rsidRDefault="005B43C1" w:rsidP="00CD5919">
            <w:pPr>
              <w:jc w:val="both"/>
              <w:rPr>
                <w:rFonts w:ascii="Arial" w:hAnsi="Arial" w:cs="Arial"/>
                <w:sz w:val="16"/>
                <w:szCs w:val="16"/>
              </w:rPr>
            </w:pPr>
          </w:p>
          <w:p w14:paraId="36624AC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73DB8763" w14:textId="77777777" w:rsidR="005B43C1" w:rsidRPr="00103A0B" w:rsidRDefault="005B43C1" w:rsidP="00CD5919">
            <w:pPr>
              <w:jc w:val="both"/>
              <w:rPr>
                <w:rFonts w:ascii="Arial" w:hAnsi="Arial" w:cs="Arial"/>
                <w:sz w:val="16"/>
                <w:szCs w:val="16"/>
              </w:rPr>
            </w:pPr>
          </w:p>
        </w:tc>
        <w:tc>
          <w:tcPr>
            <w:tcW w:w="1560" w:type="dxa"/>
          </w:tcPr>
          <w:p w14:paraId="47E5CBA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post-intervention; 3 years </w:t>
            </w:r>
          </w:p>
        </w:tc>
        <w:tc>
          <w:tcPr>
            <w:tcW w:w="2063" w:type="dxa"/>
          </w:tcPr>
          <w:p w14:paraId="55C3056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Each centre recruited study candidates using posters, through fliers, and by word of </w:t>
            </w:r>
            <w:proofErr w:type="gramStart"/>
            <w:r w:rsidRPr="00103A0B">
              <w:rPr>
                <w:rFonts w:ascii="Arial" w:hAnsi="Arial" w:cs="Arial"/>
                <w:sz w:val="16"/>
                <w:szCs w:val="16"/>
              </w:rPr>
              <w:t>mouth</w:t>
            </w:r>
            <w:proofErr w:type="gramEnd"/>
          </w:p>
          <w:p w14:paraId="35B36004" w14:textId="77777777" w:rsidR="005B43C1" w:rsidRPr="00103A0B" w:rsidRDefault="005B43C1" w:rsidP="00CD5919">
            <w:pPr>
              <w:jc w:val="both"/>
              <w:rPr>
                <w:rFonts w:ascii="Arial" w:hAnsi="Arial" w:cs="Arial"/>
                <w:sz w:val="16"/>
                <w:szCs w:val="16"/>
              </w:rPr>
            </w:pPr>
          </w:p>
          <w:p w14:paraId="3D774F3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Recruited through health check-ups at community health centres and in workplaces </w:t>
            </w:r>
          </w:p>
        </w:tc>
        <w:tc>
          <w:tcPr>
            <w:tcW w:w="0" w:type="auto"/>
          </w:tcPr>
          <w:p w14:paraId="2527FCE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304 P`s:</w:t>
            </w:r>
          </w:p>
          <w:p w14:paraId="0A1DFBAB" w14:textId="77777777" w:rsidR="005B43C1" w:rsidRPr="00103A0B" w:rsidRDefault="005B43C1" w:rsidP="00CD5919">
            <w:pPr>
              <w:jc w:val="both"/>
              <w:rPr>
                <w:rFonts w:ascii="Arial" w:hAnsi="Arial" w:cs="Arial"/>
                <w:sz w:val="16"/>
                <w:szCs w:val="16"/>
              </w:rPr>
            </w:pPr>
          </w:p>
          <w:p w14:paraId="3B4C891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30-60 years</w:t>
            </w:r>
          </w:p>
          <w:p w14:paraId="02350E02" w14:textId="77777777" w:rsidR="005B43C1" w:rsidRPr="00103A0B" w:rsidRDefault="005B43C1" w:rsidP="00CD5919">
            <w:pPr>
              <w:jc w:val="both"/>
              <w:rPr>
                <w:rFonts w:ascii="Arial" w:hAnsi="Arial" w:cs="Arial"/>
                <w:sz w:val="16"/>
                <w:szCs w:val="16"/>
              </w:rPr>
            </w:pPr>
          </w:p>
          <w:p w14:paraId="486708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characteristic for both groups similar</w:t>
            </w:r>
          </w:p>
          <w:p w14:paraId="33BD923C" w14:textId="77777777" w:rsidR="005B43C1" w:rsidRPr="00103A0B" w:rsidRDefault="005B43C1" w:rsidP="00CD5919">
            <w:pPr>
              <w:jc w:val="both"/>
              <w:rPr>
                <w:rFonts w:ascii="Arial" w:hAnsi="Arial" w:cs="Arial"/>
                <w:sz w:val="16"/>
                <w:szCs w:val="16"/>
              </w:rPr>
            </w:pPr>
          </w:p>
          <w:p w14:paraId="0A9FC4B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Mean Age: 51 (7)</w:t>
            </w:r>
          </w:p>
          <w:p w14:paraId="2E4A6DCF" w14:textId="77777777" w:rsidR="005B43C1" w:rsidRPr="00103A0B" w:rsidRDefault="005B43C1" w:rsidP="00CD5919">
            <w:pPr>
              <w:jc w:val="both"/>
              <w:rPr>
                <w:rFonts w:ascii="Arial" w:hAnsi="Arial" w:cs="Arial"/>
                <w:sz w:val="16"/>
                <w:szCs w:val="16"/>
              </w:rPr>
            </w:pPr>
          </w:p>
          <w:p w14:paraId="7863630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50% (150 P`s) males; 50% (148 P`s) females  </w:t>
            </w:r>
          </w:p>
          <w:p w14:paraId="17DC0D85" w14:textId="77777777" w:rsidR="005B43C1" w:rsidRPr="00103A0B" w:rsidRDefault="005B43C1" w:rsidP="00CD5919">
            <w:pPr>
              <w:jc w:val="both"/>
              <w:rPr>
                <w:rFonts w:ascii="Arial" w:hAnsi="Arial" w:cs="Arial"/>
                <w:sz w:val="16"/>
                <w:szCs w:val="16"/>
              </w:rPr>
            </w:pPr>
          </w:p>
          <w:p w14:paraId="6FFF5D7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not stated </w:t>
            </w:r>
          </w:p>
          <w:p w14:paraId="32B26AC3" w14:textId="77777777" w:rsidR="005B43C1" w:rsidRPr="00103A0B" w:rsidRDefault="005B43C1" w:rsidP="00CD5919">
            <w:pPr>
              <w:jc w:val="both"/>
              <w:rPr>
                <w:rFonts w:ascii="Arial" w:hAnsi="Arial" w:cs="Arial"/>
                <w:sz w:val="16"/>
                <w:szCs w:val="16"/>
              </w:rPr>
            </w:pPr>
          </w:p>
        </w:tc>
        <w:tc>
          <w:tcPr>
            <w:tcW w:w="1588" w:type="dxa"/>
          </w:tcPr>
          <w:p w14:paraId="01B6997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tc>
        <w:tc>
          <w:tcPr>
            <w:tcW w:w="1360" w:type="dxa"/>
          </w:tcPr>
          <w:p w14:paraId="552AA09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5F60387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304 P`s randomized (152 control; 152 </w:t>
            </w:r>
            <w:proofErr w:type="gramStart"/>
            <w:r w:rsidRPr="00103A0B">
              <w:rPr>
                <w:rFonts w:ascii="Arial" w:hAnsi="Arial" w:cs="Arial"/>
                <w:sz w:val="16"/>
                <w:szCs w:val="16"/>
              </w:rPr>
              <w:t>intervention</w:t>
            </w:r>
            <w:proofErr w:type="gramEnd"/>
            <w:r w:rsidRPr="00103A0B">
              <w:rPr>
                <w:rFonts w:ascii="Arial" w:hAnsi="Arial" w:cs="Arial"/>
                <w:sz w:val="16"/>
                <w:szCs w:val="16"/>
              </w:rPr>
              <w:t xml:space="preserve"> but 6 P`s did not meet eligible criteria so = 146)) </w:t>
            </w:r>
          </w:p>
          <w:p w14:paraId="096436FB" w14:textId="77777777" w:rsidR="005B43C1" w:rsidRPr="00103A0B" w:rsidRDefault="005B43C1" w:rsidP="00CD5919">
            <w:pPr>
              <w:jc w:val="both"/>
              <w:rPr>
                <w:rFonts w:ascii="Arial" w:hAnsi="Arial" w:cs="Arial"/>
                <w:sz w:val="16"/>
                <w:szCs w:val="16"/>
              </w:rPr>
            </w:pPr>
          </w:p>
          <w:p w14:paraId="649E02A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213 completed follow up (110 control &amp; 103 intervention)</w:t>
            </w:r>
          </w:p>
          <w:p w14:paraId="1CD9188A" w14:textId="77777777" w:rsidR="005B43C1" w:rsidRPr="00103A0B" w:rsidRDefault="005B43C1" w:rsidP="00CD5919">
            <w:pPr>
              <w:jc w:val="both"/>
              <w:rPr>
                <w:rFonts w:ascii="Arial" w:hAnsi="Arial" w:cs="Arial"/>
                <w:sz w:val="16"/>
                <w:szCs w:val="16"/>
              </w:rPr>
            </w:pPr>
          </w:p>
          <w:p w14:paraId="4F8F255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DO=29.45% </w:t>
            </w:r>
          </w:p>
          <w:p w14:paraId="4199930A" w14:textId="77777777" w:rsidR="005B43C1" w:rsidRPr="00103A0B" w:rsidRDefault="005B43C1" w:rsidP="00CD5919">
            <w:pPr>
              <w:jc w:val="both"/>
              <w:rPr>
                <w:rFonts w:ascii="Arial" w:hAnsi="Arial" w:cs="Arial"/>
                <w:sz w:val="16"/>
                <w:szCs w:val="16"/>
              </w:rPr>
            </w:pPr>
          </w:p>
          <w:p w14:paraId="3BAAC53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Retention= 70.55%</w:t>
            </w:r>
          </w:p>
          <w:p w14:paraId="215BCB7C" w14:textId="77777777" w:rsidR="005B43C1" w:rsidRPr="00103A0B" w:rsidRDefault="005B43C1" w:rsidP="00CD5919">
            <w:pPr>
              <w:jc w:val="both"/>
              <w:rPr>
                <w:rFonts w:ascii="Arial" w:hAnsi="Arial" w:cs="Arial"/>
                <w:sz w:val="16"/>
                <w:szCs w:val="16"/>
              </w:rPr>
            </w:pPr>
          </w:p>
        </w:tc>
      </w:tr>
      <w:tr w:rsidR="005B43C1" w:rsidRPr="00103A0B" w14:paraId="5D1B88CF" w14:textId="77777777" w:rsidTr="005B43C1">
        <w:trPr>
          <w:trHeight w:val="2826"/>
        </w:trPr>
        <w:tc>
          <w:tcPr>
            <w:tcW w:w="1232" w:type="dxa"/>
          </w:tcPr>
          <w:p w14:paraId="4F6120B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Tsai et al. (2018) </w:t>
            </w:r>
          </w:p>
        </w:tc>
        <w:tc>
          <w:tcPr>
            <w:tcW w:w="1284" w:type="dxa"/>
          </w:tcPr>
          <w:p w14:paraId="5C317821"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Taiwan </w:t>
            </w:r>
          </w:p>
        </w:tc>
        <w:tc>
          <w:tcPr>
            <w:tcW w:w="1316" w:type="dxa"/>
            <w:gridSpan w:val="2"/>
          </w:tcPr>
          <w:p w14:paraId="70DA6DCA" w14:textId="77777777" w:rsidR="005B43C1" w:rsidRPr="00103A0B" w:rsidRDefault="005B43C1" w:rsidP="00CD5919">
            <w:pPr>
              <w:jc w:val="both"/>
              <w:rPr>
                <w:rFonts w:ascii="Arial" w:hAnsi="Arial" w:cs="Arial"/>
                <w:sz w:val="16"/>
                <w:szCs w:val="16"/>
              </w:rPr>
            </w:pPr>
            <w:proofErr w:type="gramStart"/>
            <w:r w:rsidRPr="00103A0B">
              <w:rPr>
                <w:rFonts w:ascii="Arial" w:hAnsi="Arial" w:cs="Arial"/>
                <w:sz w:val="16"/>
                <w:szCs w:val="16"/>
              </w:rPr>
              <w:t>Single-group</w:t>
            </w:r>
            <w:proofErr w:type="gramEnd"/>
            <w:r w:rsidRPr="00103A0B">
              <w:rPr>
                <w:rFonts w:ascii="Arial" w:hAnsi="Arial" w:cs="Arial"/>
                <w:sz w:val="16"/>
                <w:szCs w:val="16"/>
              </w:rPr>
              <w:t xml:space="preserve"> repeated measurement longitudinal study </w:t>
            </w:r>
          </w:p>
        </w:tc>
        <w:tc>
          <w:tcPr>
            <w:tcW w:w="2405" w:type="dxa"/>
          </w:tcPr>
          <w:p w14:paraId="06B2DC7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4-week lifestyle change programme. In groups of 7-11 P`s had 1 face to face 90-120 mins session per week. </w:t>
            </w:r>
          </w:p>
          <w:p w14:paraId="16C175DD" w14:textId="77777777" w:rsidR="005B43C1" w:rsidRPr="00103A0B" w:rsidRDefault="005B43C1" w:rsidP="00CD5919">
            <w:pPr>
              <w:jc w:val="both"/>
              <w:rPr>
                <w:rFonts w:ascii="Arial" w:hAnsi="Arial" w:cs="Arial"/>
                <w:sz w:val="16"/>
                <w:szCs w:val="16"/>
              </w:rPr>
            </w:pPr>
          </w:p>
          <w:p w14:paraId="16D3599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D+E </w:t>
            </w:r>
          </w:p>
        </w:tc>
        <w:tc>
          <w:tcPr>
            <w:tcW w:w="1560" w:type="dxa"/>
          </w:tcPr>
          <w:p w14:paraId="452068B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3 months; 6 months; 12 months </w:t>
            </w:r>
          </w:p>
        </w:tc>
        <w:tc>
          <w:tcPr>
            <w:tcW w:w="2063" w:type="dxa"/>
          </w:tcPr>
          <w:p w14:paraId="075F2309" w14:textId="77777777" w:rsidR="005B43C1" w:rsidRPr="00103A0B" w:rsidRDefault="005B43C1" w:rsidP="00CD5919">
            <w:pPr>
              <w:jc w:val="both"/>
              <w:rPr>
                <w:rFonts w:ascii="Arial" w:hAnsi="Arial" w:cs="Arial"/>
                <w:bCs/>
                <w:sz w:val="16"/>
                <w:szCs w:val="16"/>
              </w:rPr>
            </w:pPr>
            <w:r w:rsidRPr="00103A0B">
              <w:rPr>
                <w:rFonts w:ascii="Arial" w:hAnsi="Arial" w:cs="Arial"/>
                <w:bCs/>
                <w:sz w:val="16"/>
                <w:szCs w:val="16"/>
              </w:rPr>
              <w:t>Not stated</w:t>
            </w:r>
          </w:p>
        </w:tc>
        <w:tc>
          <w:tcPr>
            <w:tcW w:w="0" w:type="auto"/>
          </w:tcPr>
          <w:p w14:paraId="67CFB3D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For 39 P`s:</w:t>
            </w:r>
          </w:p>
          <w:p w14:paraId="2633E37A" w14:textId="77777777" w:rsidR="005B43C1" w:rsidRPr="00103A0B" w:rsidRDefault="005B43C1" w:rsidP="00CD5919">
            <w:pPr>
              <w:jc w:val="both"/>
              <w:rPr>
                <w:rFonts w:ascii="Arial" w:hAnsi="Arial" w:cs="Arial"/>
                <w:sz w:val="16"/>
                <w:szCs w:val="16"/>
              </w:rPr>
            </w:pPr>
          </w:p>
          <w:p w14:paraId="2FAA900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Mean age: 59.6 (7.71) </w:t>
            </w:r>
            <w:proofErr w:type="gramStart"/>
            <w:r w:rsidRPr="00103A0B">
              <w:rPr>
                <w:rFonts w:ascii="Arial" w:hAnsi="Arial" w:cs="Arial"/>
                <w:sz w:val="16"/>
                <w:szCs w:val="16"/>
              </w:rPr>
              <w:t>years</w:t>
            </w:r>
            <w:proofErr w:type="gramEnd"/>
          </w:p>
          <w:p w14:paraId="3D63DB58" w14:textId="77777777" w:rsidR="005B43C1" w:rsidRPr="00103A0B" w:rsidRDefault="005B43C1" w:rsidP="00CD5919">
            <w:pPr>
              <w:jc w:val="both"/>
              <w:rPr>
                <w:rFonts w:ascii="Arial" w:hAnsi="Arial" w:cs="Arial"/>
                <w:sz w:val="16"/>
                <w:szCs w:val="16"/>
              </w:rPr>
            </w:pPr>
          </w:p>
          <w:p w14:paraId="3AE29C6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31 (79.5%) </w:t>
            </w:r>
            <w:proofErr w:type="gramStart"/>
            <w:r w:rsidRPr="00103A0B">
              <w:rPr>
                <w:rFonts w:ascii="Arial" w:hAnsi="Arial" w:cs="Arial"/>
                <w:sz w:val="16"/>
                <w:szCs w:val="16"/>
              </w:rPr>
              <w:t>female</w:t>
            </w:r>
            <w:proofErr w:type="gramEnd"/>
            <w:r w:rsidRPr="00103A0B">
              <w:rPr>
                <w:rFonts w:ascii="Arial" w:hAnsi="Arial" w:cs="Arial"/>
                <w:sz w:val="16"/>
                <w:szCs w:val="16"/>
              </w:rPr>
              <w:t xml:space="preserve">; 8 (20.5%) male </w:t>
            </w:r>
          </w:p>
          <w:p w14:paraId="229708AA" w14:textId="77777777" w:rsidR="005B43C1" w:rsidRPr="00103A0B" w:rsidRDefault="005B43C1" w:rsidP="00CD5919">
            <w:pPr>
              <w:jc w:val="both"/>
              <w:rPr>
                <w:rFonts w:ascii="Arial" w:hAnsi="Arial" w:cs="Arial"/>
                <w:sz w:val="16"/>
                <w:szCs w:val="16"/>
              </w:rPr>
            </w:pPr>
          </w:p>
          <w:p w14:paraId="1734352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n/a </w:t>
            </w:r>
          </w:p>
        </w:tc>
        <w:tc>
          <w:tcPr>
            <w:tcW w:w="1588" w:type="dxa"/>
          </w:tcPr>
          <w:p w14:paraId="48E7F96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tc>
        <w:tc>
          <w:tcPr>
            <w:tcW w:w="1360" w:type="dxa"/>
          </w:tcPr>
          <w:p w14:paraId="0656BA6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126 eligible P`s were contacted by telephone and </w:t>
            </w:r>
            <w:proofErr w:type="gramStart"/>
            <w:r w:rsidRPr="00103A0B">
              <w:rPr>
                <w:rFonts w:ascii="Arial" w:hAnsi="Arial" w:cs="Arial"/>
                <w:sz w:val="16"/>
                <w:szCs w:val="16"/>
              </w:rPr>
              <w:t>mail</w:t>
            </w:r>
            <w:proofErr w:type="gramEnd"/>
            <w:r w:rsidRPr="00103A0B">
              <w:rPr>
                <w:rFonts w:ascii="Arial" w:hAnsi="Arial" w:cs="Arial"/>
                <w:sz w:val="16"/>
                <w:szCs w:val="16"/>
              </w:rPr>
              <w:t xml:space="preserve"> </w:t>
            </w:r>
          </w:p>
          <w:p w14:paraId="4839FC26" w14:textId="77777777" w:rsidR="005B43C1" w:rsidRPr="00103A0B" w:rsidRDefault="005B43C1" w:rsidP="00CD5919">
            <w:pPr>
              <w:jc w:val="both"/>
              <w:rPr>
                <w:rFonts w:ascii="Arial" w:hAnsi="Arial" w:cs="Arial"/>
                <w:sz w:val="16"/>
                <w:szCs w:val="16"/>
              </w:rPr>
            </w:pPr>
          </w:p>
          <w:p w14:paraId="738B2BD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41 willing to participate, provided baseline data and did the </w:t>
            </w:r>
            <w:proofErr w:type="gramStart"/>
            <w:r w:rsidRPr="00103A0B">
              <w:rPr>
                <w:rFonts w:ascii="Arial" w:hAnsi="Arial" w:cs="Arial"/>
                <w:sz w:val="16"/>
                <w:szCs w:val="16"/>
              </w:rPr>
              <w:t>program</w:t>
            </w:r>
            <w:proofErr w:type="gramEnd"/>
            <w:r w:rsidRPr="00103A0B">
              <w:rPr>
                <w:rFonts w:ascii="Arial" w:hAnsi="Arial" w:cs="Arial"/>
                <w:sz w:val="16"/>
                <w:szCs w:val="16"/>
              </w:rPr>
              <w:t xml:space="preserve"> </w:t>
            </w:r>
          </w:p>
          <w:p w14:paraId="3D1F03B2" w14:textId="77777777" w:rsidR="005B43C1" w:rsidRPr="00103A0B" w:rsidRDefault="005B43C1" w:rsidP="00CD5919">
            <w:pPr>
              <w:jc w:val="both"/>
              <w:rPr>
                <w:rFonts w:ascii="Arial" w:hAnsi="Arial" w:cs="Arial"/>
                <w:sz w:val="16"/>
                <w:szCs w:val="16"/>
              </w:rPr>
            </w:pPr>
          </w:p>
          <w:p w14:paraId="69DD9CE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Uptake= 32.54%</w:t>
            </w:r>
          </w:p>
          <w:p w14:paraId="75D93091" w14:textId="77777777" w:rsidR="005B43C1" w:rsidRPr="00103A0B" w:rsidRDefault="005B43C1" w:rsidP="00CD5919">
            <w:pPr>
              <w:jc w:val="both"/>
              <w:rPr>
                <w:rFonts w:ascii="Arial" w:hAnsi="Arial" w:cs="Arial"/>
                <w:sz w:val="16"/>
                <w:szCs w:val="16"/>
              </w:rPr>
            </w:pPr>
          </w:p>
        </w:tc>
        <w:tc>
          <w:tcPr>
            <w:tcW w:w="1564" w:type="dxa"/>
          </w:tcPr>
          <w:p w14:paraId="2829250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41 P`s completed the </w:t>
            </w:r>
            <w:proofErr w:type="gramStart"/>
            <w:r w:rsidRPr="00103A0B">
              <w:rPr>
                <w:rFonts w:ascii="Arial" w:hAnsi="Arial" w:cs="Arial"/>
                <w:sz w:val="16"/>
                <w:szCs w:val="16"/>
              </w:rPr>
              <w:t>program</w:t>
            </w:r>
            <w:proofErr w:type="gramEnd"/>
            <w:r w:rsidRPr="00103A0B">
              <w:rPr>
                <w:rFonts w:ascii="Arial" w:hAnsi="Arial" w:cs="Arial"/>
                <w:sz w:val="16"/>
                <w:szCs w:val="16"/>
              </w:rPr>
              <w:t xml:space="preserve">  </w:t>
            </w:r>
          </w:p>
          <w:p w14:paraId="4D7E9592" w14:textId="77777777" w:rsidR="005B43C1" w:rsidRPr="00103A0B" w:rsidRDefault="005B43C1" w:rsidP="00CD5919">
            <w:pPr>
              <w:jc w:val="both"/>
              <w:rPr>
                <w:rFonts w:ascii="Arial" w:hAnsi="Arial" w:cs="Arial"/>
                <w:sz w:val="16"/>
                <w:szCs w:val="16"/>
              </w:rPr>
            </w:pPr>
          </w:p>
          <w:p w14:paraId="0C3CF0F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100% </w:t>
            </w:r>
          </w:p>
        </w:tc>
      </w:tr>
      <w:tr w:rsidR="005B43C1" w:rsidRPr="00103A0B" w14:paraId="46A2454D" w14:textId="77777777" w:rsidTr="005B43C1">
        <w:trPr>
          <w:trHeight w:val="4384"/>
        </w:trPr>
        <w:tc>
          <w:tcPr>
            <w:tcW w:w="1232" w:type="dxa"/>
          </w:tcPr>
          <w:p w14:paraId="045C57F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Vincent et al. (2014)</w:t>
            </w:r>
          </w:p>
          <w:p w14:paraId="65A7BF13" w14:textId="77777777" w:rsidR="005B43C1" w:rsidRPr="00103A0B" w:rsidRDefault="005B43C1" w:rsidP="00CD5919">
            <w:pPr>
              <w:jc w:val="both"/>
              <w:rPr>
                <w:rFonts w:ascii="Arial" w:hAnsi="Arial" w:cs="Arial"/>
                <w:sz w:val="16"/>
                <w:szCs w:val="16"/>
              </w:rPr>
            </w:pPr>
          </w:p>
          <w:p w14:paraId="6F5A3103" w14:textId="77777777" w:rsidR="005B43C1" w:rsidRPr="00103A0B" w:rsidRDefault="005B43C1" w:rsidP="00CD5919">
            <w:pPr>
              <w:jc w:val="both"/>
              <w:rPr>
                <w:rFonts w:ascii="Arial" w:hAnsi="Arial" w:cs="Arial"/>
                <w:sz w:val="16"/>
                <w:szCs w:val="16"/>
              </w:rPr>
            </w:pPr>
          </w:p>
        </w:tc>
        <w:tc>
          <w:tcPr>
            <w:tcW w:w="1284" w:type="dxa"/>
          </w:tcPr>
          <w:p w14:paraId="72173C9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USA-Arizona</w:t>
            </w:r>
          </w:p>
        </w:tc>
        <w:tc>
          <w:tcPr>
            <w:tcW w:w="1316" w:type="dxa"/>
            <w:gridSpan w:val="2"/>
          </w:tcPr>
          <w:p w14:paraId="007D756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Randomized 2-group attention control </w:t>
            </w:r>
            <w:proofErr w:type="gramStart"/>
            <w:r w:rsidRPr="00103A0B">
              <w:rPr>
                <w:rFonts w:ascii="Arial" w:hAnsi="Arial" w:cs="Arial"/>
                <w:sz w:val="16"/>
                <w:szCs w:val="16"/>
              </w:rPr>
              <w:t>design</w:t>
            </w:r>
            <w:proofErr w:type="gramEnd"/>
            <w:r w:rsidRPr="00103A0B">
              <w:rPr>
                <w:rFonts w:ascii="Arial" w:hAnsi="Arial" w:cs="Arial"/>
                <w:sz w:val="16"/>
                <w:szCs w:val="16"/>
              </w:rPr>
              <w:t xml:space="preserve"> </w:t>
            </w:r>
          </w:p>
          <w:p w14:paraId="680DE1EF" w14:textId="77777777" w:rsidR="005B43C1" w:rsidRPr="00103A0B" w:rsidRDefault="005B43C1" w:rsidP="00CD5919">
            <w:pPr>
              <w:jc w:val="both"/>
              <w:rPr>
                <w:rFonts w:ascii="Arial" w:hAnsi="Arial" w:cs="Arial"/>
                <w:sz w:val="16"/>
                <w:szCs w:val="16"/>
              </w:rPr>
            </w:pPr>
          </w:p>
          <w:p w14:paraId="77A16EC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Community rooms of churches. P`s attended Sunday afternoons after church services  </w:t>
            </w:r>
          </w:p>
        </w:tc>
        <w:tc>
          <w:tcPr>
            <w:tcW w:w="2405" w:type="dxa"/>
          </w:tcPr>
          <w:p w14:paraId="0723D59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Community-based,</w:t>
            </w:r>
          </w:p>
          <w:p w14:paraId="04C68B5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culturally tailored DPP. Frequency: 5-month-long programme consisting of an intensive phase of 8 weekly 2-hour sessions, followed by a maintenance phase of 3 monthly 1-hour sessions. Each of 8 weekly sessions included: 4 delivery components: an episode that emphasized the weekly take-home message, brief presentation &amp; cooking demonstrations &amp; meal sharing &amp; short informal discussions. Size: Author confirmed: GB intervention, group sizes approximately 6-18 P`s. </w:t>
            </w:r>
          </w:p>
          <w:p w14:paraId="4FDBDE32" w14:textId="77777777" w:rsidR="005B43C1" w:rsidRPr="00103A0B" w:rsidRDefault="005B43C1" w:rsidP="00CD5919">
            <w:pPr>
              <w:jc w:val="both"/>
              <w:rPr>
                <w:rFonts w:ascii="Arial" w:hAnsi="Arial" w:cs="Arial"/>
                <w:sz w:val="16"/>
                <w:szCs w:val="16"/>
              </w:rPr>
            </w:pPr>
          </w:p>
          <w:p w14:paraId="61524C7B" w14:textId="4AAD08C9" w:rsidR="005B43C1" w:rsidRPr="00103A0B" w:rsidRDefault="005B43C1" w:rsidP="00CD5919">
            <w:pPr>
              <w:jc w:val="both"/>
              <w:rPr>
                <w:rFonts w:ascii="Arial" w:hAnsi="Arial" w:cs="Arial"/>
                <w:sz w:val="16"/>
                <w:szCs w:val="16"/>
              </w:rPr>
            </w:pPr>
            <w:r w:rsidRPr="00103A0B">
              <w:rPr>
                <w:rFonts w:ascii="Arial" w:hAnsi="Arial" w:cs="Arial"/>
                <w:sz w:val="16"/>
                <w:szCs w:val="16"/>
              </w:rPr>
              <w:t>D+E</w:t>
            </w:r>
          </w:p>
        </w:tc>
        <w:tc>
          <w:tcPr>
            <w:tcW w:w="1560" w:type="dxa"/>
          </w:tcPr>
          <w:p w14:paraId="2D4CFD6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Baseline, post-intervention</w:t>
            </w:r>
          </w:p>
        </w:tc>
        <w:tc>
          <w:tcPr>
            <w:tcW w:w="2063" w:type="dxa"/>
          </w:tcPr>
          <w:p w14:paraId="7DA20F6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Widely </w:t>
            </w:r>
            <w:proofErr w:type="gramStart"/>
            <w:r w:rsidRPr="00103A0B">
              <w:rPr>
                <w:rFonts w:ascii="Arial" w:hAnsi="Arial" w:cs="Arial"/>
                <w:sz w:val="16"/>
                <w:szCs w:val="16"/>
              </w:rPr>
              <w:t>distributed</w:t>
            </w:r>
            <w:proofErr w:type="gramEnd"/>
          </w:p>
          <w:p w14:paraId="4D363BC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English and Spanish flyers advertising study, use of social media to announce study to employees of the university, provider referral, &amp; presentations at churches &amp; community health events.</w:t>
            </w:r>
          </w:p>
        </w:tc>
        <w:tc>
          <w:tcPr>
            <w:tcW w:w="0" w:type="auto"/>
          </w:tcPr>
          <w:p w14:paraId="34A0659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Mean age: 50.9 years (middle-aged); age range: 29-84 </w:t>
            </w:r>
            <w:proofErr w:type="gramStart"/>
            <w:r w:rsidRPr="00103A0B">
              <w:rPr>
                <w:rFonts w:ascii="Arial" w:hAnsi="Arial" w:cs="Arial"/>
                <w:sz w:val="16"/>
                <w:szCs w:val="16"/>
              </w:rPr>
              <w:t>years</w:t>
            </w:r>
            <w:proofErr w:type="gramEnd"/>
          </w:p>
          <w:p w14:paraId="0866F87A" w14:textId="77777777" w:rsidR="005B43C1" w:rsidRPr="00103A0B" w:rsidRDefault="005B43C1" w:rsidP="00CD5919">
            <w:pPr>
              <w:jc w:val="both"/>
              <w:rPr>
                <w:rFonts w:ascii="Arial" w:hAnsi="Arial" w:cs="Arial"/>
                <w:sz w:val="16"/>
                <w:szCs w:val="16"/>
              </w:rPr>
            </w:pPr>
          </w:p>
          <w:p w14:paraId="71571BE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45 (78%) </w:t>
            </w:r>
            <w:proofErr w:type="gramStart"/>
            <w:r w:rsidRPr="00103A0B">
              <w:rPr>
                <w:rFonts w:ascii="Arial" w:hAnsi="Arial" w:cs="Arial"/>
                <w:sz w:val="16"/>
                <w:szCs w:val="16"/>
              </w:rPr>
              <w:t>female</w:t>
            </w:r>
            <w:proofErr w:type="gramEnd"/>
            <w:r w:rsidRPr="00103A0B">
              <w:rPr>
                <w:rFonts w:ascii="Arial" w:hAnsi="Arial" w:cs="Arial"/>
                <w:sz w:val="16"/>
                <w:szCs w:val="16"/>
              </w:rPr>
              <w:t xml:space="preserve">; 13 (22% male </w:t>
            </w:r>
          </w:p>
          <w:p w14:paraId="35D5BCD1" w14:textId="77777777" w:rsidR="005B43C1" w:rsidRPr="00103A0B" w:rsidRDefault="005B43C1" w:rsidP="00CD5919">
            <w:pPr>
              <w:jc w:val="both"/>
              <w:rPr>
                <w:rFonts w:ascii="Arial" w:hAnsi="Arial" w:cs="Arial"/>
                <w:sz w:val="16"/>
                <w:szCs w:val="16"/>
              </w:rPr>
            </w:pPr>
          </w:p>
          <w:p w14:paraId="63B9606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Mexican </w:t>
            </w:r>
          </w:p>
        </w:tc>
        <w:tc>
          <w:tcPr>
            <w:tcW w:w="1588" w:type="dxa"/>
          </w:tcPr>
          <w:p w14:paraId="59B3943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n/a</w:t>
            </w:r>
          </w:p>
        </w:tc>
        <w:tc>
          <w:tcPr>
            <w:tcW w:w="1360" w:type="dxa"/>
          </w:tcPr>
          <w:p w14:paraId="594A3BE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n/a  </w:t>
            </w:r>
          </w:p>
        </w:tc>
        <w:tc>
          <w:tcPr>
            <w:tcW w:w="1564" w:type="dxa"/>
          </w:tcPr>
          <w:p w14:paraId="0FE7F32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58 P`s started (38 intervention; 20 control)</w:t>
            </w:r>
          </w:p>
          <w:p w14:paraId="50687696" w14:textId="77777777" w:rsidR="005B43C1" w:rsidRPr="00103A0B" w:rsidRDefault="005B43C1" w:rsidP="00CD5919">
            <w:pPr>
              <w:jc w:val="both"/>
              <w:rPr>
                <w:rFonts w:ascii="Arial" w:hAnsi="Arial" w:cs="Arial"/>
                <w:sz w:val="16"/>
                <w:szCs w:val="16"/>
              </w:rPr>
            </w:pPr>
          </w:p>
          <w:p w14:paraId="529A3AA6"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From results table: 25 P`s at the end of intervention  </w:t>
            </w:r>
          </w:p>
          <w:p w14:paraId="01C8CA33" w14:textId="77777777" w:rsidR="005B43C1" w:rsidRPr="00103A0B" w:rsidRDefault="005B43C1" w:rsidP="00CD5919">
            <w:pPr>
              <w:jc w:val="both"/>
              <w:rPr>
                <w:rFonts w:ascii="Arial" w:hAnsi="Arial" w:cs="Arial"/>
                <w:sz w:val="16"/>
                <w:szCs w:val="16"/>
              </w:rPr>
            </w:pPr>
          </w:p>
          <w:p w14:paraId="0F01BC7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DO=34.21%</w:t>
            </w:r>
          </w:p>
          <w:p w14:paraId="50A865C5" w14:textId="77777777" w:rsidR="005B43C1" w:rsidRPr="00103A0B" w:rsidRDefault="005B43C1" w:rsidP="00CD5919">
            <w:pPr>
              <w:jc w:val="both"/>
              <w:rPr>
                <w:rFonts w:ascii="Arial" w:hAnsi="Arial" w:cs="Arial"/>
                <w:sz w:val="16"/>
                <w:szCs w:val="16"/>
              </w:rPr>
            </w:pPr>
          </w:p>
          <w:p w14:paraId="6755120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65.8%  </w:t>
            </w:r>
          </w:p>
          <w:p w14:paraId="45A2749C" w14:textId="77777777" w:rsidR="005B43C1" w:rsidRPr="00103A0B" w:rsidRDefault="005B43C1" w:rsidP="00CD5919">
            <w:pPr>
              <w:jc w:val="both"/>
              <w:rPr>
                <w:rFonts w:ascii="Arial" w:hAnsi="Arial" w:cs="Arial"/>
                <w:sz w:val="16"/>
                <w:szCs w:val="16"/>
              </w:rPr>
            </w:pPr>
          </w:p>
          <w:p w14:paraId="04605021" w14:textId="77777777" w:rsidR="005B43C1" w:rsidRPr="00103A0B" w:rsidRDefault="005B43C1" w:rsidP="00CD5919">
            <w:pPr>
              <w:jc w:val="both"/>
              <w:rPr>
                <w:rFonts w:ascii="Arial" w:hAnsi="Arial" w:cs="Arial"/>
                <w:sz w:val="16"/>
                <w:szCs w:val="16"/>
              </w:rPr>
            </w:pPr>
          </w:p>
        </w:tc>
      </w:tr>
      <w:tr w:rsidR="005B43C1" w:rsidRPr="00103A0B" w14:paraId="48FE4E06" w14:textId="77777777" w:rsidTr="005B43C1">
        <w:trPr>
          <w:trHeight w:val="3766"/>
        </w:trPr>
        <w:tc>
          <w:tcPr>
            <w:tcW w:w="1232" w:type="dxa"/>
          </w:tcPr>
          <w:p w14:paraId="5A4985A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Yates et al. (2009) </w:t>
            </w:r>
          </w:p>
          <w:p w14:paraId="5199E423" w14:textId="77777777" w:rsidR="005B43C1" w:rsidRPr="00103A0B" w:rsidRDefault="005B43C1" w:rsidP="00CD5919">
            <w:pPr>
              <w:jc w:val="both"/>
              <w:rPr>
                <w:rFonts w:ascii="Arial" w:hAnsi="Arial" w:cs="Arial"/>
                <w:sz w:val="16"/>
                <w:szCs w:val="16"/>
              </w:rPr>
            </w:pPr>
          </w:p>
          <w:p w14:paraId="17D1E59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(Yates, 2008)</w:t>
            </w:r>
          </w:p>
          <w:p w14:paraId="6A618148" w14:textId="77777777" w:rsidR="005B43C1" w:rsidRPr="00103A0B" w:rsidRDefault="005B43C1" w:rsidP="00CD5919">
            <w:pPr>
              <w:jc w:val="both"/>
              <w:rPr>
                <w:rFonts w:ascii="Arial" w:hAnsi="Arial" w:cs="Arial"/>
                <w:sz w:val="16"/>
                <w:szCs w:val="16"/>
              </w:rPr>
            </w:pPr>
          </w:p>
          <w:p w14:paraId="39A9A689" w14:textId="77777777" w:rsidR="005B43C1" w:rsidRPr="00103A0B" w:rsidRDefault="005B43C1" w:rsidP="00CD5919">
            <w:pPr>
              <w:jc w:val="both"/>
              <w:rPr>
                <w:rFonts w:ascii="Arial" w:hAnsi="Arial" w:cs="Arial"/>
                <w:sz w:val="16"/>
                <w:szCs w:val="16"/>
              </w:rPr>
            </w:pPr>
          </w:p>
          <w:p w14:paraId="3C66A784" w14:textId="77777777" w:rsidR="005B43C1" w:rsidRPr="00103A0B" w:rsidRDefault="005B43C1" w:rsidP="00CD5919">
            <w:pPr>
              <w:jc w:val="both"/>
              <w:rPr>
                <w:rFonts w:ascii="Arial" w:hAnsi="Arial" w:cs="Arial"/>
                <w:sz w:val="16"/>
                <w:szCs w:val="16"/>
              </w:rPr>
            </w:pPr>
          </w:p>
        </w:tc>
        <w:tc>
          <w:tcPr>
            <w:tcW w:w="1284" w:type="dxa"/>
          </w:tcPr>
          <w:p w14:paraId="4935535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UK- Leicester</w:t>
            </w:r>
          </w:p>
        </w:tc>
        <w:tc>
          <w:tcPr>
            <w:tcW w:w="1285" w:type="dxa"/>
          </w:tcPr>
          <w:p w14:paraId="1DC9EE2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Randomized control trial </w:t>
            </w:r>
          </w:p>
          <w:p w14:paraId="66C2B3BF" w14:textId="77777777" w:rsidR="005B43C1" w:rsidRPr="00103A0B" w:rsidRDefault="005B43C1" w:rsidP="00CD5919">
            <w:pPr>
              <w:jc w:val="both"/>
              <w:rPr>
                <w:rFonts w:ascii="Arial" w:hAnsi="Arial" w:cs="Arial"/>
                <w:sz w:val="16"/>
                <w:szCs w:val="16"/>
              </w:rPr>
            </w:pPr>
          </w:p>
          <w:p w14:paraId="56769534" w14:textId="77777777" w:rsidR="005B43C1" w:rsidRPr="00103A0B" w:rsidRDefault="005B43C1" w:rsidP="00CD5919">
            <w:pPr>
              <w:jc w:val="both"/>
              <w:rPr>
                <w:rFonts w:ascii="Arial" w:hAnsi="Arial" w:cs="Arial"/>
                <w:sz w:val="16"/>
                <w:szCs w:val="16"/>
              </w:rPr>
            </w:pPr>
          </w:p>
        </w:tc>
        <w:tc>
          <w:tcPr>
            <w:tcW w:w="2436" w:type="dxa"/>
            <w:gridSpan w:val="2"/>
          </w:tcPr>
          <w:p w14:paraId="1E46DE8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Group 1: 3-h (1 day) group-based structured education programme designed to promote walking activity using personalized steps per-day goals and pedometers. Group 2: 3-hr group-based structured education program designed to promote walking activity using generic time-based goals. Size; frequency: PREPARE programme is a single-session group-based education program,180 min (3hr) long; delivered to 5-10 P`s.</w:t>
            </w:r>
          </w:p>
          <w:p w14:paraId="1FD3DDCD" w14:textId="77777777" w:rsidR="005B43C1" w:rsidRPr="00103A0B" w:rsidRDefault="005B43C1" w:rsidP="00CD5919">
            <w:pPr>
              <w:jc w:val="both"/>
              <w:rPr>
                <w:rFonts w:ascii="Arial" w:hAnsi="Arial" w:cs="Arial"/>
                <w:sz w:val="16"/>
                <w:szCs w:val="16"/>
              </w:rPr>
            </w:pPr>
          </w:p>
          <w:p w14:paraId="1DF0C58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D+E</w:t>
            </w:r>
          </w:p>
          <w:p w14:paraId="38D5E35E" w14:textId="77777777" w:rsidR="005B43C1" w:rsidRPr="00103A0B" w:rsidRDefault="005B43C1" w:rsidP="00CD5919">
            <w:pPr>
              <w:jc w:val="both"/>
              <w:rPr>
                <w:rFonts w:ascii="Arial" w:hAnsi="Arial" w:cs="Arial"/>
                <w:sz w:val="16"/>
                <w:szCs w:val="16"/>
              </w:rPr>
            </w:pPr>
          </w:p>
        </w:tc>
        <w:tc>
          <w:tcPr>
            <w:tcW w:w="1560" w:type="dxa"/>
          </w:tcPr>
          <w:p w14:paraId="0080708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Baseline; 3 months; 6 months; 12 months </w:t>
            </w:r>
          </w:p>
        </w:tc>
        <w:tc>
          <w:tcPr>
            <w:tcW w:w="2063" w:type="dxa"/>
          </w:tcPr>
          <w:p w14:paraId="5A68D92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P`s recruited from on-going population-based diabetes screening </w:t>
            </w:r>
            <w:proofErr w:type="gramStart"/>
            <w:r w:rsidRPr="00103A0B">
              <w:rPr>
                <w:rFonts w:ascii="Arial" w:hAnsi="Arial" w:cs="Arial"/>
                <w:sz w:val="16"/>
                <w:szCs w:val="16"/>
              </w:rPr>
              <w:t>programmes</w:t>
            </w:r>
            <w:proofErr w:type="gramEnd"/>
          </w:p>
          <w:p w14:paraId="035FBAA3" w14:textId="77777777" w:rsidR="005B43C1" w:rsidRPr="00103A0B" w:rsidRDefault="005B43C1" w:rsidP="00CD5919">
            <w:pPr>
              <w:jc w:val="both"/>
              <w:rPr>
                <w:rFonts w:ascii="Arial" w:hAnsi="Arial" w:cs="Arial"/>
                <w:sz w:val="16"/>
                <w:szCs w:val="16"/>
              </w:rPr>
            </w:pPr>
          </w:p>
          <w:p w14:paraId="0A87BBC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Contacted by letter and follow up telephone call </w:t>
            </w:r>
          </w:p>
        </w:tc>
        <w:tc>
          <w:tcPr>
            <w:tcW w:w="0" w:type="auto"/>
          </w:tcPr>
          <w:p w14:paraId="143AD25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Data for 87 P`s:</w:t>
            </w:r>
          </w:p>
          <w:p w14:paraId="2FA3939E" w14:textId="77777777" w:rsidR="005B43C1" w:rsidRPr="00103A0B" w:rsidRDefault="005B43C1" w:rsidP="00CD5919">
            <w:pPr>
              <w:jc w:val="both"/>
              <w:rPr>
                <w:rFonts w:ascii="Arial" w:hAnsi="Arial" w:cs="Arial"/>
                <w:sz w:val="16"/>
                <w:szCs w:val="16"/>
              </w:rPr>
            </w:pPr>
          </w:p>
          <w:p w14:paraId="3162E99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Age: mean= 64 (9) years</w:t>
            </w:r>
          </w:p>
          <w:p w14:paraId="3AA833DA" w14:textId="77777777" w:rsidR="005B43C1" w:rsidRPr="00103A0B" w:rsidRDefault="005B43C1" w:rsidP="00CD5919">
            <w:pPr>
              <w:jc w:val="both"/>
              <w:rPr>
                <w:rFonts w:ascii="Arial" w:hAnsi="Arial" w:cs="Arial"/>
                <w:sz w:val="16"/>
                <w:szCs w:val="16"/>
              </w:rPr>
            </w:pPr>
          </w:p>
          <w:p w14:paraId="61D9FE8C"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Gender: 57 (66%) </w:t>
            </w:r>
            <w:proofErr w:type="gramStart"/>
            <w:r w:rsidRPr="00103A0B">
              <w:rPr>
                <w:rFonts w:ascii="Arial" w:hAnsi="Arial" w:cs="Arial"/>
                <w:sz w:val="16"/>
                <w:szCs w:val="16"/>
              </w:rPr>
              <w:t>male</w:t>
            </w:r>
            <w:proofErr w:type="gramEnd"/>
            <w:r w:rsidRPr="00103A0B">
              <w:rPr>
                <w:rFonts w:ascii="Arial" w:hAnsi="Arial" w:cs="Arial"/>
                <w:sz w:val="16"/>
                <w:szCs w:val="16"/>
              </w:rPr>
              <w:t>; 30 (34%) female</w:t>
            </w:r>
          </w:p>
          <w:p w14:paraId="03071E39" w14:textId="77777777" w:rsidR="005B43C1" w:rsidRPr="00103A0B" w:rsidRDefault="005B43C1" w:rsidP="00CD5919">
            <w:pPr>
              <w:jc w:val="both"/>
              <w:rPr>
                <w:rFonts w:ascii="Arial" w:hAnsi="Arial" w:cs="Arial"/>
                <w:sz w:val="16"/>
                <w:szCs w:val="16"/>
              </w:rPr>
            </w:pPr>
          </w:p>
          <w:p w14:paraId="431F309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65 (75%) white; 21 (24%) south Asian; 1 (1%) black </w:t>
            </w:r>
          </w:p>
          <w:p w14:paraId="1E991B48" w14:textId="77777777" w:rsidR="005B43C1" w:rsidRPr="00103A0B" w:rsidRDefault="005B43C1" w:rsidP="00CD5919">
            <w:pPr>
              <w:jc w:val="both"/>
              <w:rPr>
                <w:rFonts w:ascii="Arial" w:hAnsi="Arial" w:cs="Arial"/>
                <w:sz w:val="16"/>
                <w:szCs w:val="16"/>
              </w:rPr>
            </w:pPr>
          </w:p>
          <w:p w14:paraId="72B869A0" w14:textId="77777777" w:rsidR="005B43C1" w:rsidRPr="00103A0B" w:rsidRDefault="005B43C1" w:rsidP="00CD5919">
            <w:pPr>
              <w:jc w:val="both"/>
              <w:rPr>
                <w:rFonts w:ascii="Arial" w:hAnsi="Arial" w:cs="Arial"/>
                <w:sz w:val="16"/>
                <w:szCs w:val="16"/>
              </w:rPr>
            </w:pPr>
          </w:p>
        </w:tc>
        <w:tc>
          <w:tcPr>
            <w:tcW w:w="1588" w:type="dxa"/>
          </w:tcPr>
          <w:p w14:paraId="27B9227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p w14:paraId="046C65D6" w14:textId="77777777" w:rsidR="005B43C1" w:rsidRPr="00103A0B" w:rsidRDefault="005B43C1" w:rsidP="00CD5919">
            <w:pPr>
              <w:jc w:val="both"/>
              <w:rPr>
                <w:rFonts w:ascii="Arial" w:hAnsi="Arial" w:cs="Arial"/>
                <w:sz w:val="16"/>
                <w:szCs w:val="16"/>
              </w:rPr>
            </w:pPr>
          </w:p>
          <w:p w14:paraId="4D8B691B" w14:textId="77777777" w:rsidR="005B43C1" w:rsidRPr="00103A0B" w:rsidRDefault="005B43C1" w:rsidP="00CD5919">
            <w:pPr>
              <w:jc w:val="both"/>
              <w:rPr>
                <w:rFonts w:ascii="Arial" w:hAnsi="Arial" w:cs="Arial"/>
                <w:sz w:val="16"/>
                <w:szCs w:val="16"/>
              </w:rPr>
            </w:pPr>
          </w:p>
        </w:tc>
        <w:tc>
          <w:tcPr>
            <w:tcW w:w="1360" w:type="dxa"/>
          </w:tcPr>
          <w:p w14:paraId="784C0AA5"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p w14:paraId="184153F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 </w:t>
            </w:r>
          </w:p>
        </w:tc>
        <w:tc>
          <w:tcPr>
            <w:tcW w:w="1564" w:type="dxa"/>
          </w:tcPr>
          <w:p w14:paraId="1D3F775D"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98 randomly assigned (34 control; 31 PREPARE intervention; 33 PREPARE &amp; pedometer intervention; intervention total= 64)</w:t>
            </w:r>
          </w:p>
          <w:p w14:paraId="26D2E096" w14:textId="77777777" w:rsidR="005B43C1" w:rsidRPr="00103A0B" w:rsidRDefault="005B43C1" w:rsidP="00CD5919">
            <w:pPr>
              <w:jc w:val="both"/>
              <w:rPr>
                <w:rFonts w:ascii="Arial" w:hAnsi="Arial" w:cs="Arial"/>
                <w:sz w:val="16"/>
                <w:szCs w:val="16"/>
              </w:rPr>
            </w:pPr>
          </w:p>
          <w:p w14:paraId="02FE9E0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83 completed study (26 control; 28 PREPARE; 29 PREPARE &amp; pedometer; intervention total= 57)</w:t>
            </w:r>
          </w:p>
          <w:p w14:paraId="7D005916" w14:textId="77777777" w:rsidR="005B43C1" w:rsidRPr="00103A0B" w:rsidRDefault="005B43C1" w:rsidP="00CD5919">
            <w:pPr>
              <w:jc w:val="both"/>
              <w:rPr>
                <w:rFonts w:ascii="Arial" w:hAnsi="Arial" w:cs="Arial"/>
                <w:sz w:val="16"/>
                <w:szCs w:val="16"/>
              </w:rPr>
            </w:pPr>
          </w:p>
          <w:p w14:paraId="1166A13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DO=10.94% </w:t>
            </w:r>
          </w:p>
          <w:p w14:paraId="2942E3D7" w14:textId="77777777" w:rsidR="005B43C1" w:rsidRPr="00103A0B" w:rsidRDefault="005B43C1" w:rsidP="00CD5919">
            <w:pPr>
              <w:jc w:val="both"/>
              <w:rPr>
                <w:rFonts w:ascii="Arial" w:hAnsi="Arial" w:cs="Arial"/>
                <w:sz w:val="16"/>
                <w:szCs w:val="16"/>
              </w:rPr>
            </w:pPr>
          </w:p>
          <w:p w14:paraId="062B7F6F"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89.06% </w:t>
            </w:r>
          </w:p>
          <w:p w14:paraId="03BD34C5" w14:textId="77777777" w:rsidR="005B43C1" w:rsidRPr="00103A0B" w:rsidRDefault="005B43C1" w:rsidP="00CD5919">
            <w:pPr>
              <w:jc w:val="both"/>
              <w:rPr>
                <w:rFonts w:ascii="Arial" w:hAnsi="Arial" w:cs="Arial"/>
                <w:sz w:val="16"/>
                <w:szCs w:val="16"/>
              </w:rPr>
            </w:pPr>
          </w:p>
        </w:tc>
      </w:tr>
      <w:tr w:rsidR="005B43C1" w:rsidRPr="00103A0B" w14:paraId="0BAC253F" w14:textId="77777777" w:rsidTr="005B43C1">
        <w:trPr>
          <w:trHeight w:val="70"/>
        </w:trPr>
        <w:tc>
          <w:tcPr>
            <w:tcW w:w="1232" w:type="dxa"/>
          </w:tcPr>
          <w:p w14:paraId="5F04144B"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Yeh et al. (2015) </w:t>
            </w:r>
          </w:p>
          <w:p w14:paraId="3A8B7277" w14:textId="77777777" w:rsidR="005B43C1" w:rsidRPr="00103A0B" w:rsidRDefault="005B43C1" w:rsidP="00CD5919">
            <w:pPr>
              <w:jc w:val="both"/>
              <w:rPr>
                <w:rFonts w:ascii="Arial" w:hAnsi="Arial" w:cs="Arial"/>
                <w:sz w:val="16"/>
                <w:szCs w:val="16"/>
              </w:rPr>
            </w:pPr>
          </w:p>
          <w:p w14:paraId="12B30451" w14:textId="77777777" w:rsidR="005B43C1" w:rsidRPr="00103A0B" w:rsidRDefault="005B43C1" w:rsidP="00CD5919">
            <w:pPr>
              <w:jc w:val="both"/>
              <w:rPr>
                <w:rFonts w:ascii="Arial" w:hAnsi="Arial" w:cs="Arial"/>
                <w:sz w:val="16"/>
                <w:szCs w:val="16"/>
              </w:rPr>
            </w:pPr>
          </w:p>
        </w:tc>
        <w:tc>
          <w:tcPr>
            <w:tcW w:w="1284" w:type="dxa"/>
          </w:tcPr>
          <w:p w14:paraId="78B95D0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USA-New York</w:t>
            </w:r>
          </w:p>
        </w:tc>
        <w:tc>
          <w:tcPr>
            <w:tcW w:w="1316" w:type="dxa"/>
            <w:gridSpan w:val="2"/>
          </w:tcPr>
          <w:p w14:paraId="7A32F24A"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Randomized control trial (RCT) </w:t>
            </w:r>
          </w:p>
          <w:p w14:paraId="0F8600CA" w14:textId="77777777" w:rsidR="005B43C1" w:rsidRPr="00103A0B" w:rsidRDefault="005B43C1" w:rsidP="00CD5919">
            <w:pPr>
              <w:jc w:val="both"/>
              <w:rPr>
                <w:rFonts w:ascii="Arial" w:hAnsi="Arial" w:cs="Arial"/>
                <w:sz w:val="16"/>
                <w:szCs w:val="16"/>
              </w:rPr>
            </w:pPr>
          </w:p>
          <w:p w14:paraId="22D8FB4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Medical practices </w:t>
            </w:r>
          </w:p>
        </w:tc>
        <w:tc>
          <w:tcPr>
            <w:tcW w:w="2405" w:type="dxa"/>
          </w:tcPr>
          <w:p w14:paraId="792BDD7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Frequency: The modified lifestyle programme, consisting of 12 biweekly core sessions &amp; 6 monthly follow-up sessions, was conducted in Chinese </w:t>
            </w:r>
            <w:r w:rsidRPr="00103A0B">
              <w:rPr>
                <w:rFonts w:ascii="Arial" w:hAnsi="Arial" w:cs="Arial"/>
                <w:sz w:val="16"/>
                <w:szCs w:val="16"/>
              </w:rPr>
              <w:lastRenderedPageBreak/>
              <w:t xml:space="preserve">(Mandarin or Cantonese) by trained lifestyle coaches at a community site. Size: Each session lasted 1.5–2 hrs. Author confirmed its group-based with 15 P`s in a group. 12 months intervention </w:t>
            </w:r>
          </w:p>
          <w:p w14:paraId="22DB9A1D" w14:textId="77777777" w:rsidR="005B43C1" w:rsidRPr="00103A0B" w:rsidRDefault="005B43C1" w:rsidP="00CD5919">
            <w:pPr>
              <w:jc w:val="both"/>
              <w:rPr>
                <w:rFonts w:ascii="Arial" w:hAnsi="Arial" w:cs="Arial"/>
                <w:sz w:val="16"/>
                <w:szCs w:val="16"/>
              </w:rPr>
            </w:pPr>
          </w:p>
          <w:p w14:paraId="7EEDB8FF" w14:textId="2FEA4D87" w:rsidR="005B43C1" w:rsidRPr="00103A0B" w:rsidRDefault="005B43C1" w:rsidP="005B43C1">
            <w:pPr>
              <w:jc w:val="both"/>
              <w:rPr>
                <w:rFonts w:ascii="Arial" w:hAnsi="Arial" w:cs="Arial"/>
                <w:sz w:val="16"/>
                <w:szCs w:val="16"/>
              </w:rPr>
            </w:pPr>
            <w:r w:rsidRPr="00103A0B">
              <w:rPr>
                <w:rFonts w:ascii="Arial" w:hAnsi="Arial" w:cs="Arial"/>
                <w:sz w:val="16"/>
                <w:szCs w:val="16"/>
              </w:rPr>
              <w:t>D+ E</w:t>
            </w:r>
          </w:p>
          <w:p w14:paraId="5D35C9FC" w14:textId="2DCE46E3" w:rsidR="005B43C1" w:rsidRPr="00103A0B" w:rsidRDefault="005B43C1" w:rsidP="005B43C1">
            <w:pPr>
              <w:rPr>
                <w:rFonts w:ascii="Arial" w:hAnsi="Arial" w:cs="Arial"/>
                <w:sz w:val="16"/>
                <w:szCs w:val="16"/>
              </w:rPr>
            </w:pPr>
          </w:p>
        </w:tc>
        <w:tc>
          <w:tcPr>
            <w:tcW w:w="1560" w:type="dxa"/>
          </w:tcPr>
          <w:p w14:paraId="7392AF92"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Baseline, post-intervention</w:t>
            </w:r>
          </w:p>
        </w:tc>
        <w:tc>
          <w:tcPr>
            <w:tcW w:w="2063" w:type="dxa"/>
          </w:tcPr>
          <w:p w14:paraId="5D666AE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Recruited from medical practices within the Chinese American independent practice association </w:t>
            </w:r>
          </w:p>
        </w:tc>
        <w:tc>
          <w:tcPr>
            <w:tcW w:w="1221" w:type="dxa"/>
          </w:tcPr>
          <w:p w14:paraId="3D1EF08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In total (control &amp; intervention groups): </w:t>
            </w:r>
          </w:p>
          <w:p w14:paraId="66FDA2F6" w14:textId="77777777" w:rsidR="005B43C1" w:rsidRPr="00103A0B" w:rsidRDefault="005B43C1" w:rsidP="00CD5919">
            <w:pPr>
              <w:jc w:val="both"/>
              <w:rPr>
                <w:rFonts w:ascii="Arial" w:hAnsi="Arial" w:cs="Arial"/>
                <w:sz w:val="16"/>
                <w:szCs w:val="16"/>
              </w:rPr>
            </w:pPr>
          </w:p>
          <w:p w14:paraId="2B619B40"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 xml:space="preserve">Mean age: 58.9 </w:t>
            </w:r>
            <w:proofErr w:type="gramStart"/>
            <w:r w:rsidRPr="00103A0B">
              <w:rPr>
                <w:rFonts w:ascii="Arial" w:hAnsi="Arial" w:cs="Arial"/>
                <w:sz w:val="16"/>
                <w:szCs w:val="16"/>
              </w:rPr>
              <w:t>years</w:t>
            </w:r>
            <w:proofErr w:type="gramEnd"/>
            <w:r w:rsidRPr="00103A0B">
              <w:rPr>
                <w:rFonts w:ascii="Arial" w:hAnsi="Arial" w:cs="Arial"/>
                <w:sz w:val="16"/>
                <w:szCs w:val="16"/>
              </w:rPr>
              <w:t xml:space="preserve"> </w:t>
            </w:r>
          </w:p>
          <w:p w14:paraId="5A8D9E98" w14:textId="77777777" w:rsidR="005B43C1" w:rsidRPr="00103A0B" w:rsidRDefault="005B43C1" w:rsidP="00CD5919">
            <w:pPr>
              <w:jc w:val="both"/>
              <w:rPr>
                <w:rFonts w:ascii="Arial" w:hAnsi="Arial" w:cs="Arial"/>
                <w:sz w:val="16"/>
                <w:szCs w:val="16"/>
              </w:rPr>
            </w:pPr>
          </w:p>
          <w:p w14:paraId="060A1DD7"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Average Gender: 17 (57%) women </w:t>
            </w:r>
          </w:p>
          <w:p w14:paraId="4D2774CE" w14:textId="77777777" w:rsidR="005B43C1" w:rsidRPr="00103A0B" w:rsidRDefault="005B43C1" w:rsidP="00CD5919">
            <w:pPr>
              <w:jc w:val="both"/>
              <w:rPr>
                <w:rFonts w:ascii="Arial" w:hAnsi="Arial" w:cs="Arial"/>
                <w:sz w:val="16"/>
                <w:szCs w:val="16"/>
              </w:rPr>
            </w:pPr>
          </w:p>
          <w:p w14:paraId="7DB8E96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Ethnicity: not stated </w:t>
            </w:r>
          </w:p>
        </w:tc>
        <w:tc>
          <w:tcPr>
            <w:tcW w:w="1588" w:type="dxa"/>
          </w:tcPr>
          <w:p w14:paraId="39DF5489"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lastRenderedPageBreak/>
              <w:t>n/a</w:t>
            </w:r>
          </w:p>
        </w:tc>
        <w:tc>
          <w:tcPr>
            <w:tcW w:w="1360" w:type="dxa"/>
          </w:tcPr>
          <w:p w14:paraId="47BADB1E"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n/a</w:t>
            </w:r>
          </w:p>
        </w:tc>
        <w:tc>
          <w:tcPr>
            <w:tcW w:w="1564" w:type="dxa"/>
          </w:tcPr>
          <w:p w14:paraId="6674F573"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60 randomized (30 intervention; 30 control)</w:t>
            </w:r>
          </w:p>
          <w:p w14:paraId="2FF917AB" w14:textId="77777777" w:rsidR="005B43C1" w:rsidRPr="00103A0B" w:rsidRDefault="005B43C1" w:rsidP="00CD5919">
            <w:pPr>
              <w:jc w:val="both"/>
              <w:rPr>
                <w:rFonts w:ascii="Arial" w:hAnsi="Arial" w:cs="Arial"/>
                <w:sz w:val="16"/>
                <w:szCs w:val="16"/>
              </w:rPr>
            </w:pPr>
          </w:p>
          <w:p w14:paraId="020DBB4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58 P`s (97.7%) completed both </w:t>
            </w:r>
            <w:r w:rsidRPr="00103A0B">
              <w:rPr>
                <w:rFonts w:ascii="Arial" w:hAnsi="Arial" w:cs="Arial"/>
                <w:sz w:val="16"/>
                <w:szCs w:val="16"/>
              </w:rPr>
              <w:lastRenderedPageBreak/>
              <w:t>follow ups (30 intervention; 28 control)</w:t>
            </w:r>
          </w:p>
          <w:p w14:paraId="63D5BF65" w14:textId="77777777" w:rsidR="005B43C1" w:rsidRPr="00103A0B" w:rsidRDefault="005B43C1" w:rsidP="00CD5919">
            <w:pPr>
              <w:jc w:val="both"/>
              <w:rPr>
                <w:rFonts w:ascii="Arial" w:hAnsi="Arial" w:cs="Arial"/>
                <w:sz w:val="16"/>
                <w:szCs w:val="16"/>
              </w:rPr>
            </w:pPr>
          </w:p>
          <w:p w14:paraId="1A1C7F88"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DO=0% </w:t>
            </w:r>
          </w:p>
          <w:p w14:paraId="525535DC" w14:textId="77777777" w:rsidR="005B43C1" w:rsidRPr="00103A0B" w:rsidRDefault="005B43C1" w:rsidP="00CD5919">
            <w:pPr>
              <w:jc w:val="both"/>
              <w:rPr>
                <w:rFonts w:ascii="Arial" w:hAnsi="Arial" w:cs="Arial"/>
                <w:sz w:val="16"/>
                <w:szCs w:val="16"/>
              </w:rPr>
            </w:pPr>
          </w:p>
          <w:p w14:paraId="2A000E44" w14:textId="77777777" w:rsidR="005B43C1" w:rsidRPr="00103A0B" w:rsidRDefault="005B43C1" w:rsidP="00CD5919">
            <w:pPr>
              <w:jc w:val="both"/>
              <w:rPr>
                <w:rFonts w:ascii="Arial" w:hAnsi="Arial" w:cs="Arial"/>
                <w:sz w:val="16"/>
                <w:szCs w:val="16"/>
              </w:rPr>
            </w:pPr>
            <w:r w:rsidRPr="00103A0B">
              <w:rPr>
                <w:rFonts w:ascii="Arial" w:hAnsi="Arial" w:cs="Arial"/>
                <w:sz w:val="16"/>
                <w:szCs w:val="16"/>
              </w:rPr>
              <w:t xml:space="preserve">Retention= 100% </w:t>
            </w:r>
          </w:p>
        </w:tc>
      </w:tr>
    </w:tbl>
    <w:p w14:paraId="661D9AC1" w14:textId="77777777" w:rsidR="009C03C2" w:rsidRPr="00103A0B" w:rsidRDefault="009C03C2" w:rsidP="00CD5919">
      <w:pPr>
        <w:pStyle w:val="NormalWeb"/>
        <w:spacing w:before="0" w:beforeAutospacing="0" w:after="0" w:afterAutospacing="0"/>
        <w:jc w:val="both"/>
        <w:rPr>
          <w:rFonts w:ascii="Arial" w:hAnsi="Arial" w:cs="Arial"/>
          <w:sz w:val="16"/>
          <w:szCs w:val="16"/>
        </w:rPr>
      </w:pPr>
      <w:r w:rsidRPr="00103A0B">
        <w:rPr>
          <w:rFonts w:ascii="Arial" w:hAnsi="Arial" w:cs="Arial"/>
          <w:color w:val="000000"/>
          <w:sz w:val="16"/>
          <w:szCs w:val="16"/>
          <w:u w:val="single"/>
        </w:rPr>
        <w:lastRenderedPageBreak/>
        <w:t> Key:</w:t>
      </w:r>
      <w:r w:rsidRPr="00103A0B">
        <w:rPr>
          <w:rFonts w:ascii="Arial" w:hAnsi="Arial" w:cs="Arial"/>
          <w:color w:val="000000"/>
          <w:sz w:val="16"/>
          <w:szCs w:val="16"/>
        </w:rPr>
        <w:t xml:space="preserve"> D=dietary component; E=exercise component; P`s=participants </w:t>
      </w:r>
    </w:p>
    <w:p w14:paraId="18C6D926" w14:textId="77777777" w:rsidR="009C03C2" w:rsidRPr="00103A0B" w:rsidRDefault="009C03C2" w:rsidP="00CD5919">
      <w:pPr>
        <w:jc w:val="both"/>
        <w:rPr>
          <w:rFonts w:ascii="Arial" w:hAnsi="Arial" w:cs="Arial"/>
        </w:rPr>
      </w:pPr>
    </w:p>
    <w:p w14:paraId="568F5D04" w14:textId="77777777" w:rsidR="009C03C2" w:rsidRPr="00103A0B" w:rsidRDefault="009C03C2" w:rsidP="00CD5919">
      <w:pPr>
        <w:jc w:val="both"/>
        <w:rPr>
          <w:rFonts w:ascii="Arial" w:hAnsi="Arial" w:cs="Arial"/>
        </w:rPr>
      </w:pPr>
    </w:p>
    <w:p w14:paraId="54F03D31" w14:textId="77777777" w:rsidR="009C03C2" w:rsidRPr="00103A0B" w:rsidRDefault="009C03C2" w:rsidP="00CD5919">
      <w:pPr>
        <w:jc w:val="both"/>
        <w:rPr>
          <w:rFonts w:ascii="Arial" w:hAnsi="Arial" w:cs="Arial"/>
        </w:rPr>
      </w:pPr>
    </w:p>
    <w:p w14:paraId="598AF7AE" w14:textId="77777777" w:rsidR="00CA237D" w:rsidRPr="00103A0B" w:rsidRDefault="00CA237D" w:rsidP="00CD5919">
      <w:pPr>
        <w:tabs>
          <w:tab w:val="left" w:pos="1470"/>
        </w:tabs>
        <w:spacing w:line="360" w:lineRule="auto"/>
        <w:jc w:val="both"/>
        <w:rPr>
          <w:rFonts w:ascii="Arial" w:eastAsia="Times New Roman" w:hAnsi="Arial" w:cs="Arial"/>
          <w:i/>
          <w:sz w:val="24"/>
          <w:szCs w:val="24"/>
          <w:lang w:eastAsia="en-GB"/>
        </w:rPr>
      </w:pPr>
    </w:p>
    <w:p w14:paraId="45570E52" w14:textId="77777777" w:rsidR="00F064BD" w:rsidRPr="00103A0B" w:rsidRDefault="00F064BD" w:rsidP="00CD5919">
      <w:pPr>
        <w:jc w:val="both"/>
      </w:pPr>
    </w:p>
    <w:p w14:paraId="5711A832" w14:textId="77777777" w:rsidR="00F064BD" w:rsidRPr="00103A0B" w:rsidRDefault="00F064BD" w:rsidP="00CD5919">
      <w:pPr>
        <w:jc w:val="both"/>
      </w:pPr>
    </w:p>
    <w:p w14:paraId="186E8574" w14:textId="77777777" w:rsidR="00F064BD" w:rsidRPr="00103A0B" w:rsidRDefault="00F064BD" w:rsidP="00CD5919">
      <w:pPr>
        <w:jc w:val="both"/>
        <w:rPr>
          <w:rFonts w:ascii="Arial" w:hAnsi="Arial" w:cs="Arial"/>
          <w:b/>
          <w:bCs/>
          <w:sz w:val="24"/>
          <w:szCs w:val="24"/>
        </w:rPr>
        <w:sectPr w:rsidR="00F064BD" w:rsidRPr="00103A0B" w:rsidSect="00BB2420">
          <w:pgSz w:w="16838" w:h="23811" w:code="8"/>
          <w:pgMar w:top="1440" w:right="1440" w:bottom="1440" w:left="1440" w:header="709" w:footer="709" w:gutter="0"/>
          <w:cols w:space="708"/>
          <w:docGrid w:linePitch="360"/>
        </w:sectPr>
      </w:pPr>
    </w:p>
    <w:p w14:paraId="2693D800" w14:textId="3E0EDC8B" w:rsidR="00CA237D" w:rsidRPr="00103A0B" w:rsidRDefault="00CA237D" w:rsidP="00CD5919">
      <w:pPr>
        <w:jc w:val="both"/>
        <w:rPr>
          <w:rFonts w:ascii="Arial" w:hAnsi="Arial" w:cs="Arial"/>
          <w:b/>
          <w:bCs/>
          <w:sz w:val="28"/>
          <w:szCs w:val="28"/>
        </w:rPr>
      </w:pPr>
      <w:r w:rsidRPr="00103A0B">
        <w:rPr>
          <w:rFonts w:ascii="Arial" w:hAnsi="Arial" w:cs="Arial"/>
          <w:b/>
          <w:bCs/>
          <w:sz w:val="28"/>
          <w:szCs w:val="28"/>
        </w:rPr>
        <w:lastRenderedPageBreak/>
        <w:t xml:space="preserve">Appendix 3: </w:t>
      </w:r>
      <w:bookmarkStart w:id="424" w:name="_Hlk81758770"/>
      <w:r w:rsidR="00F064BD" w:rsidRPr="00103A0B">
        <w:rPr>
          <w:rFonts w:ascii="Arial" w:eastAsia="Times New Roman" w:hAnsi="Arial" w:cs="Arial"/>
          <w:b/>
          <w:bCs/>
          <w:sz w:val="28"/>
          <w:szCs w:val="28"/>
          <w:lang w:eastAsia="en-GB"/>
        </w:rPr>
        <w:t xml:space="preserve">BCTs present in the ten highest and ten lowest retention programmes </w:t>
      </w:r>
      <w:bookmarkEnd w:id="424"/>
      <w:r w:rsidR="00F064BD" w:rsidRPr="00103A0B">
        <w:rPr>
          <w:rFonts w:ascii="Arial" w:eastAsia="Times New Roman" w:hAnsi="Arial" w:cs="Arial"/>
          <w:b/>
          <w:bCs/>
          <w:sz w:val="28"/>
          <w:szCs w:val="28"/>
          <w:lang w:eastAsia="en-GB"/>
        </w:rPr>
        <w:t xml:space="preserve">(Chapter 2)  </w:t>
      </w:r>
    </w:p>
    <w:tbl>
      <w:tblPr>
        <w:tblStyle w:val="TableGrid"/>
        <w:tblW w:w="10627" w:type="dxa"/>
        <w:tblLook w:val="04A0" w:firstRow="1" w:lastRow="0" w:firstColumn="1" w:lastColumn="0" w:noHBand="0" w:noVBand="1"/>
      </w:tblPr>
      <w:tblGrid>
        <w:gridCol w:w="4815"/>
        <w:gridCol w:w="2977"/>
        <w:gridCol w:w="2835"/>
      </w:tblGrid>
      <w:tr w:rsidR="00CA237D" w:rsidRPr="00103A0B" w14:paraId="63674DDB" w14:textId="77777777" w:rsidTr="00BB2420">
        <w:tc>
          <w:tcPr>
            <w:tcW w:w="4815" w:type="dxa"/>
          </w:tcPr>
          <w:p w14:paraId="10D232AC" w14:textId="77777777" w:rsidR="00CA237D" w:rsidRPr="00103A0B" w:rsidRDefault="00CA237D" w:rsidP="00CD5919">
            <w:pPr>
              <w:tabs>
                <w:tab w:val="left" w:pos="1470"/>
              </w:tabs>
              <w:spacing w:line="360" w:lineRule="auto"/>
              <w:jc w:val="both"/>
              <w:rPr>
                <w:rFonts w:ascii="Arial" w:hAnsi="Arial" w:cs="Arial"/>
                <w:sz w:val="24"/>
                <w:szCs w:val="24"/>
              </w:rPr>
            </w:pPr>
          </w:p>
        </w:tc>
        <w:tc>
          <w:tcPr>
            <w:tcW w:w="2977" w:type="dxa"/>
          </w:tcPr>
          <w:p w14:paraId="6AEEAC93" w14:textId="77777777" w:rsidR="00CA237D" w:rsidRPr="00103A0B" w:rsidRDefault="00CA237D" w:rsidP="00CD5919">
            <w:pPr>
              <w:tabs>
                <w:tab w:val="left" w:pos="1470"/>
              </w:tabs>
              <w:spacing w:line="360" w:lineRule="auto"/>
              <w:jc w:val="both"/>
              <w:rPr>
                <w:rFonts w:ascii="Arial" w:hAnsi="Arial" w:cs="Arial"/>
                <w:b/>
                <w:bCs/>
                <w:sz w:val="24"/>
                <w:szCs w:val="24"/>
              </w:rPr>
            </w:pPr>
            <w:r w:rsidRPr="00103A0B">
              <w:rPr>
                <w:rFonts w:ascii="Arial" w:hAnsi="Arial" w:cs="Arial"/>
                <w:b/>
                <w:bCs/>
                <w:sz w:val="24"/>
                <w:szCs w:val="24"/>
              </w:rPr>
              <w:t xml:space="preserve">Highest retention  </w:t>
            </w:r>
          </w:p>
          <w:p w14:paraId="615F772A"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i/>
                <w:sz w:val="24"/>
                <w:szCs w:val="24"/>
              </w:rPr>
              <w:t>n</w:t>
            </w:r>
            <w:r w:rsidRPr="00103A0B">
              <w:rPr>
                <w:rFonts w:ascii="Arial" w:hAnsi="Arial" w:cs="Arial"/>
                <w:sz w:val="24"/>
                <w:szCs w:val="24"/>
              </w:rPr>
              <w:t xml:space="preserve"> </w:t>
            </w:r>
          </w:p>
        </w:tc>
        <w:tc>
          <w:tcPr>
            <w:tcW w:w="2835" w:type="dxa"/>
          </w:tcPr>
          <w:p w14:paraId="266B7886" w14:textId="77777777" w:rsidR="00CA237D" w:rsidRPr="00103A0B" w:rsidRDefault="00CA237D" w:rsidP="00CD5919">
            <w:pPr>
              <w:tabs>
                <w:tab w:val="left" w:pos="1470"/>
              </w:tabs>
              <w:spacing w:line="360" w:lineRule="auto"/>
              <w:jc w:val="both"/>
              <w:rPr>
                <w:rFonts w:ascii="Arial" w:hAnsi="Arial" w:cs="Arial"/>
                <w:b/>
                <w:bCs/>
                <w:sz w:val="24"/>
                <w:szCs w:val="24"/>
              </w:rPr>
            </w:pPr>
            <w:r w:rsidRPr="00103A0B">
              <w:rPr>
                <w:rFonts w:ascii="Arial" w:hAnsi="Arial" w:cs="Arial"/>
                <w:b/>
                <w:bCs/>
                <w:sz w:val="24"/>
                <w:szCs w:val="24"/>
              </w:rPr>
              <w:t xml:space="preserve">Lowest retention </w:t>
            </w:r>
          </w:p>
          <w:p w14:paraId="03FB8699"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i/>
                <w:sz w:val="24"/>
                <w:szCs w:val="24"/>
              </w:rPr>
              <w:t>n</w:t>
            </w:r>
            <w:r w:rsidRPr="00103A0B">
              <w:rPr>
                <w:rFonts w:ascii="Arial" w:hAnsi="Arial" w:cs="Arial"/>
                <w:sz w:val="24"/>
                <w:szCs w:val="24"/>
              </w:rPr>
              <w:t xml:space="preserve"> </w:t>
            </w:r>
          </w:p>
        </w:tc>
      </w:tr>
      <w:tr w:rsidR="00CA237D" w:rsidRPr="00103A0B" w14:paraId="3FCD6D0A" w14:textId="77777777" w:rsidTr="00BB2420">
        <w:tc>
          <w:tcPr>
            <w:tcW w:w="4815" w:type="dxa"/>
          </w:tcPr>
          <w:p w14:paraId="0D22C632" w14:textId="77777777" w:rsidR="00CA237D" w:rsidRPr="00103A0B" w:rsidRDefault="00CA237D" w:rsidP="00CD5919">
            <w:pPr>
              <w:tabs>
                <w:tab w:val="left" w:pos="1470"/>
              </w:tabs>
              <w:spacing w:line="360" w:lineRule="auto"/>
              <w:jc w:val="both"/>
              <w:rPr>
                <w:rFonts w:ascii="Arial" w:hAnsi="Arial" w:cs="Arial"/>
                <w:b/>
                <w:bCs/>
                <w:sz w:val="24"/>
                <w:szCs w:val="24"/>
              </w:rPr>
            </w:pPr>
            <w:r w:rsidRPr="00103A0B">
              <w:rPr>
                <w:rFonts w:ascii="Arial" w:hAnsi="Arial" w:cs="Arial"/>
                <w:b/>
                <w:bCs/>
                <w:sz w:val="24"/>
                <w:szCs w:val="24"/>
              </w:rPr>
              <w:t xml:space="preserve">BCTs </w:t>
            </w:r>
          </w:p>
        </w:tc>
        <w:tc>
          <w:tcPr>
            <w:tcW w:w="2977" w:type="dxa"/>
          </w:tcPr>
          <w:p w14:paraId="0A1A1467" w14:textId="77777777" w:rsidR="00CA237D" w:rsidRPr="00103A0B" w:rsidRDefault="00CA237D" w:rsidP="00CD5919">
            <w:pPr>
              <w:tabs>
                <w:tab w:val="left" w:pos="1470"/>
              </w:tabs>
              <w:spacing w:line="360" w:lineRule="auto"/>
              <w:jc w:val="both"/>
              <w:rPr>
                <w:rFonts w:ascii="Arial" w:hAnsi="Arial" w:cs="Arial"/>
                <w:sz w:val="24"/>
                <w:szCs w:val="24"/>
              </w:rPr>
            </w:pPr>
          </w:p>
        </w:tc>
        <w:tc>
          <w:tcPr>
            <w:tcW w:w="2835" w:type="dxa"/>
          </w:tcPr>
          <w:p w14:paraId="258D7BA7" w14:textId="77777777" w:rsidR="00CA237D" w:rsidRPr="00103A0B" w:rsidRDefault="00CA237D" w:rsidP="00CD5919">
            <w:pPr>
              <w:tabs>
                <w:tab w:val="left" w:pos="1470"/>
              </w:tabs>
              <w:spacing w:line="360" w:lineRule="auto"/>
              <w:jc w:val="both"/>
              <w:rPr>
                <w:rFonts w:ascii="Arial" w:hAnsi="Arial" w:cs="Arial"/>
                <w:sz w:val="24"/>
                <w:szCs w:val="24"/>
              </w:rPr>
            </w:pPr>
          </w:p>
        </w:tc>
      </w:tr>
      <w:tr w:rsidR="00CA237D" w:rsidRPr="00103A0B" w14:paraId="6420C817" w14:textId="77777777" w:rsidTr="00BB2420">
        <w:tc>
          <w:tcPr>
            <w:tcW w:w="4815" w:type="dxa"/>
          </w:tcPr>
          <w:p w14:paraId="46DCFB63"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eastAsia="Times New Roman" w:hAnsi="Arial" w:cs="Arial"/>
                <w:lang w:eastAsia="en-GB"/>
              </w:rPr>
              <w:t>1.1 Goal setting (behaviour)</w:t>
            </w:r>
          </w:p>
        </w:tc>
        <w:tc>
          <w:tcPr>
            <w:tcW w:w="2977" w:type="dxa"/>
          </w:tcPr>
          <w:p w14:paraId="26A4EE3E"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6 </w:t>
            </w:r>
          </w:p>
        </w:tc>
        <w:tc>
          <w:tcPr>
            <w:tcW w:w="2835" w:type="dxa"/>
          </w:tcPr>
          <w:p w14:paraId="20547BDE"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7 </w:t>
            </w:r>
          </w:p>
        </w:tc>
      </w:tr>
      <w:tr w:rsidR="00CA237D" w:rsidRPr="00103A0B" w14:paraId="5AACCA2E" w14:textId="77777777" w:rsidTr="00BB2420">
        <w:tc>
          <w:tcPr>
            <w:tcW w:w="4815" w:type="dxa"/>
          </w:tcPr>
          <w:p w14:paraId="58A90F64"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eastAsia="Times New Roman" w:hAnsi="Arial" w:cs="Arial"/>
                <w:lang w:eastAsia="en-GB"/>
              </w:rPr>
              <w:t>1.2 Problem-solving</w:t>
            </w:r>
          </w:p>
        </w:tc>
        <w:tc>
          <w:tcPr>
            <w:tcW w:w="2977" w:type="dxa"/>
          </w:tcPr>
          <w:p w14:paraId="68C064E3"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5 </w:t>
            </w:r>
          </w:p>
        </w:tc>
        <w:tc>
          <w:tcPr>
            <w:tcW w:w="2835" w:type="dxa"/>
          </w:tcPr>
          <w:p w14:paraId="37EB5871"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2 </w:t>
            </w:r>
          </w:p>
        </w:tc>
      </w:tr>
      <w:tr w:rsidR="00AF3B17" w:rsidRPr="00103A0B" w14:paraId="4D61D698" w14:textId="77777777" w:rsidTr="00BB2420">
        <w:tc>
          <w:tcPr>
            <w:tcW w:w="4815" w:type="dxa"/>
          </w:tcPr>
          <w:p w14:paraId="31D52C77" w14:textId="77777777" w:rsidR="00AF3B17" w:rsidRPr="00103A0B" w:rsidRDefault="00AF3B17" w:rsidP="00AF3B17">
            <w:pPr>
              <w:tabs>
                <w:tab w:val="left" w:pos="1470"/>
              </w:tabs>
              <w:spacing w:line="360" w:lineRule="auto"/>
              <w:jc w:val="both"/>
              <w:rPr>
                <w:rFonts w:ascii="Arial" w:hAnsi="Arial" w:cs="Arial"/>
                <w:sz w:val="24"/>
                <w:szCs w:val="24"/>
              </w:rPr>
            </w:pPr>
            <w:r w:rsidRPr="00103A0B">
              <w:rPr>
                <w:rFonts w:ascii="Arial" w:eastAsia="Times New Roman" w:hAnsi="Arial" w:cs="Arial"/>
                <w:lang w:eastAsia="en-GB"/>
              </w:rPr>
              <w:t>1.3 Goal setting (outcome)</w:t>
            </w:r>
          </w:p>
        </w:tc>
        <w:tc>
          <w:tcPr>
            <w:tcW w:w="2977" w:type="dxa"/>
          </w:tcPr>
          <w:p w14:paraId="5A179E55" w14:textId="7397A167" w:rsidR="00AF3B17" w:rsidRPr="00103A0B" w:rsidRDefault="00AF3B17" w:rsidP="00AF3B17">
            <w:pPr>
              <w:tabs>
                <w:tab w:val="left" w:pos="1470"/>
              </w:tabs>
              <w:spacing w:line="360" w:lineRule="auto"/>
              <w:jc w:val="both"/>
              <w:rPr>
                <w:rFonts w:ascii="Arial" w:hAnsi="Arial" w:cs="Arial"/>
                <w:sz w:val="24"/>
                <w:szCs w:val="24"/>
              </w:rPr>
            </w:pPr>
            <w:r w:rsidRPr="00103A0B">
              <w:rPr>
                <w:rFonts w:ascii="Arial" w:hAnsi="Arial" w:cs="Arial"/>
                <w:sz w:val="24"/>
                <w:szCs w:val="24"/>
              </w:rPr>
              <w:t>4</w:t>
            </w:r>
          </w:p>
        </w:tc>
        <w:tc>
          <w:tcPr>
            <w:tcW w:w="2835" w:type="dxa"/>
          </w:tcPr>
          <w:p w14:paraId="5721F932" w14:textId="1A4B919E" w:rsidR="00AF3B17" w:rsidRPr="00103A0B" w:rsidRDefault="00AF3B17" w:rsidP="00AF3B17">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8 </w:t>
            </w:r>
          </w:p>
        </w:tc>
      </w:tr>
      <w:tr w:rsidR="00CA237D" w:rsidRPr="00103A0B" w14:paraId="2FB3C2BF" w14:textId="77777777" w:rsidTr="00BB2420">
        <w:tc>
          <w:tcPr>
            <w:tcW w:w="4815" w:type="dxa"/>
          </w:tcPr>
          <w:p w14:paraId="3D72607B"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eastAsia="Times New Roman" w:hAnsi="Arial" w:cs="Arial"/>
                <w:lang w:eastAsia="en-GB"/>
              </w:rPr>
              <w:t xml:space="preserve">1.4 Action planning </w:t>
            </w:r>
          </w:p>
        </w:tc>
        <w:tc>
          <w:tcPr>
            <w:tcW w:w="2977" w:type="dxa"/>
          </w:tcPr>
          <w:p w14:paraId="67EC31A9"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2 </w:t>
            </w:r>
          </w:p>
        </w:tc>
        <w:tc>
          <w:tcPr>
            <w:tcW w:w="2835" w:type="dxa"/>
          </w:tcPr>
          <w:p w14:paraId="6B3A1E92"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0</w:t>
            </w:r>
          </w:p>
        </w:tc>
      </w:tr>
      <w:tr w:rsidR="00CA237D" w:rsidRPr="00103A0B" w14:paraId="339DC061" w14:textId="77777777" w:rsidTr="00BB2420">
        <w:tc>
          <w:tcPr>
            <w:tcW w:w="4815" w:type="dxa"/>
          </w:tcPr>
          <w:p w14:paraId="1E42EF08"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eastAsia="Times New Roman" w:hAnsi="Arial" w:cs="Arial"/>
                <w:lang w:eastAsia="en-GB"/>
              </w:rPr>
              <w:t>1.5 Review behaviour goal(s)</w:t>
            </w:r>
          </w:p>
        </w:tc>
        <w:tc>
          <w:tcPr>
            <w:tcW w:w="2977" w:type="dxa"/>
          </w:tcPr>
          <w:p w14:paraId="08D8D0FD"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3 </w:t>
            </w:r>
          </w:p>
        </w:tc>
        <w:tc>
          <w:tcPr>
            <w:tcW w:w="2835" w:type="dxa"/>
          </w:tcPr>
          <w:p w14:paraId="00D62D8A"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0</w:t>
            </w:r>
          </w:p>
        </w:tc>
      </w:tr>
      <w:tr w:rsidR="00CA237D" w:rsidRPr="00103A0B" w14:paraId="194641C1" w14:textId="77777777" w:rsidTr="00BB2420">
        <w:tc>
          <w:tcPr>
            <w:tcW w:w="4815" w:type="dxa"/>
          </w:tcPr>
          <w:p w14:paraId="45EA1A63"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eastAsia="Times New Roman" w:hAnsi="Arial" w:cs="Arial"/>
                <w:lang w:eastAsia="en-GB"/>
              </w:rPr>
              <w:t>1.6 Discrepancy between current behaviour and goal</w:t>
            </w:r>
          </w:p>
        </w:tc>
        <w:tc>
          <w:tcPr>
            <w:tcW w:w="2977" w:type="dxa"/>
          </w:tcPr>
          <w:p w14:paraId="41032271"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c>
          <w:tcPr>
            <w:tcW w:w="2835" w:type="dxa"/>
          </w:tcPr>
          <w:p w14:paraId="304D1C5F"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0</w:t>
            </w:r>
          </w:p>
        </w:tc>
      </w:tr>
      <w:tr w:rsidR="00CA237D" w:rsidRPr="00103A0B" w14:paraId="3A9BF539" w14:textId="77777777" w:rsidTr="00BB2420">
        <w:tc>
          <w:tcPr>
            <w:tcW w:w="4815" w:type="dxa"/>
          </w:tcPr>
          <w:p w14:paraId="37554967"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eastAsia="Times New Roman" w:hAnsi="Arial" w:cs="Arial"/>
                <w:lang w:eastAsia="en-GB"/>
              </w:rPr>
              <w:t>1.7 Review outcome goal(s)</w:t>
            </w:r>
          </w:p>
        </w:tc>
        <w:tc>
          <w:tcPr>
            <w:tcW w:w="2977" w:type="dxa"/>
          </w:tcPr>
          <w:p w14:paraId="5DEDC869"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2 </w:t>
            </w:r>
          </w:p>
        </w:tc>
        <w:tc>
          <w:tcPr>
            <w:tcW w:w="2835" w:type="dxa"/>
          </w:tcPr>
          <w:p w14:paraId="062E55BD"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r>
      <w:tr w:rsidR="00CA237D" w:rsidRPr="00103A0B" w14:paraId="4F9940A5" w14:textId="77777777" w:rsidTr="00BB2420">
        <w:tc>
          <w:tcPr>
            <w:tcW w:w="4815" w:type="dxa"/>
          </w:tcPr>
          <w:p w14:paraId="0C1B6314"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2.1. Monitoring of behaviour by others without feedback</w:t>
            </w:r>
          </w:p>
        </w:tc>
        <w:tc>
          <w:tcPr>
            <w:tcW w:w="2977" w:type="dxa"/>
          </w:tcPr>
          <w:p w14:paraId="11B4A1CD"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c>
          <w:tcPr>
            <w:tcW w:w="2835" w:type="dxa"/>
          </w:tcPr>
          <w:p w14:paraId="59AFFD67"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r>
      <w:tr w:rsidR="00CA237D" w:rsidRPr="00103A0B" w14:paraId="51806B6D" w14:textId="77777777" w:rsidTr="00BB2420">
        <w:tc>
          <w:tcPr>
            <w:tcW w:w="4815" w:type="dxa"/>
          </w:tcPr>
          <w:p w14:paraId="4551C6D1"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2.2. Feedback on behaviour</w:t>
            </w:r>
          </w:p>
        </w:tc>
        <w:tc>
          <w:tcPr>
            <w:tcW w:w="2977" w:type="dxa"/>
          </w:tcPr>
          <w:p w14:paraId="6D4527B3"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c>
          <w:tcPr>
            <w:tcW w:w="2835" w:type="dxa"/>
          </w:tcPr>
          <w:p w14:paraId="1110EDD3"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3 </w:t>
            </w:r>
          </w:p>
        </w:tc>
      </w:tr>
      <w:tr w:rsidR="00CA237D" w:rsidRPr="00103A0B" w14:paraId="7C69691D" w14:textId="77777777" w:rsidTr="00BB2420">
        <w:tc>
          <w:tcPr>
            <w:tcW w:w="4815" w:type="dxa"/>
          </w:tcPr>
          <w:p w14:paraId="46A62225"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2.3. Self-monitoring of behaviour</w:t>
            </w:r>
          </w:p>
        </w:tc>
        <w:tc>
          <w:tcPr>
            <w:tcW w:w="2977" w:type="dxa"/>
          </w:tcPr>
          <w:p w14:paraId="6E78AE58"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3 </w:t>
            </w:r>
          </w:p>
        </w:tc>
        <w:tc>
          <w:tcPr>
            <w:tcW w:w="2835" w:type="dxa"/>
          </w:tcPr>
          <w:p w14:paraId="26C55C0F"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6 </w:t>
            </w:r>
          </w:p>
        </w:tc>
      </w:tr>
      <w:tr w:rsidR="00CA237D" w:rsidRPr="00103A0B" w14:paraId="05AE4707" w14:textId="77777777" w:rsidTr="00BB2420">
        <w:tc>
          <w:tcPr>
            <w:tcW w:w="4815" w:type="dxa"/>
          </w:tcPr>
          <w:p w14:paraId="72F26A2E"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 xml:space="preserve">2.4 Self-monitoring of outcome(s) of behaviour </w:t>
            </w:r>
          </w:p>
        </w:tc>
        <w:tc>
          <w:tcPr>
            <w:tcW w:w="2977" w:type="dxa"/>
          </w:tcPr>
          <w:p w14:paraId="58E04F3C"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2 </w:t>
            </w:r>
          </w:p>
        </w:tc>
        <w:tc>
          <w:tcPr>
            <w:tcW w:w="2835" w:type="dxa"/>
          </w:tcPr>
          <w:p w14:paraId="304C999F" w14:textId="77777777" w:rsidR="00CA237D" w:rsidRPr="00103A0B" w:rsidRDefault="00CA237D" w:rsidP="00CD5919">
            <w:pPr>
              <w:tabs>
                <w:tab w:val="left" w:pos="1470"/>
              </w:tabs>
              <w:spacing w:line="360" w:lineRule="auto"/>
              <w:jc w:val="both"/>
              <w:rPr>
                <w:rFonts w:ascii="Arial" w:hAnsi="Arial" w:cs="Arial"/>
                <w:sz w:val="24"/>
                <w:szCs w:val="24"/>
              </w:rPr>
            </w:pPr>
          </w:p>
        </w:tc>
      </w:tr>
      <w:tr w:rsidR="00CA237D" w:rsidRPr="00103A0B" w14:paraId="77B64731" w14:textId="77777777" w:rsidTr="00BB2420">
        <w:tc>
          <w:tcPr>
            <w:tcW w:w="4815" w:type="dxa"/>
          </w:tcPr>
          <w:p w14:paraId="09E777FE"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 xml:space="preserve">2.5 Monitoring outcome(s) of behaviour by others without feedback </w:t>
            </w:r>
          </w:p>
        </w:tc>
        <w:tc>
          <w:tcPr>
            <w:tcW w:w="2977" w:type="dxa"/>
          </w:tcPr>
          <w:p w14:paraId="0FF2F157"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c>
          <w:tcPr>
            <w:tcW w:w="2835" w:type="dxa"/>
          </w:tcPr>
          <w:p w14:paraId="76215491"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r>
      <w:tr w:rsidR="00CA237D" w:rsidRPr="00103A0B" w14:paraId="68A697CB" w14:textId="77777777" w:rsidTr="00BB2420">
        <w:tc>
          <w:tcPr>
            <w:tcW w:w="4815" w:type="dxa"/>
          </w:tcPr>
          <w:p w14:paraId="26D62135"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 xml:space="preserve">2.7 Feedback on outcome(s) of behaviour </w:t>
            </w:r>
          </w:p>
        </w:tc>
        <w:tc>
          <w:tcPr>
            <w:tcW w:w="2977" w:type="dxa"/>
          </w:tcPr>
          <w:p w14:paraId="7FC4B236" w14:textId="77777777" w:rsidR="00CA237D" w:rsidRPr="00103A0B" w:rsidRDefault="00CA237D" w:rsidP="00CD5919">
            <w:pPr>
              <w:tabs>
                <w:tab w:val="left" w:pos="1470"/>
              </w:tabs>
              <w:spacing w:line="360" w:lineRule="auto"/>
              <w:jc w:val="both"/>
              <w:rPr>
                <w:rFonts w:ascii="Arial" w:hAnsi="Arial" w:cs="Arial"/>
                <w:sz w:val="24"/>
                <w:szCs w:val="24"/>
              </w:rPr>
            </w:pPr>
          </w:p>
        </w:tc>
        <w:tc>
          <w:tcPr>
            <w:tcW w:w="2835" w:type="dxa"/>
          </w:tcPr>
          <w:p w14:paraId="37F5B828"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r>
      <w:tr w:rsidR="00CA237D" w:rsidRPr="00103A0B" w14:paraId="46AC943A" w14:textId="77777777" w:rsidTr="00BB2420">
        <w:tc>
          <w:tcPr>
            <w:tcW w:w="4815" w:type="dxa"/>
          </w:tcPr>
          <w:p w14:paraId="5A1A289A"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3.1. Social support (unspecified)</w:t>
            </w:r>
          </w:p>
        </w:tc>
        <w:tc>
          <w:tcPr>
            <w:tcW w:w="2977" w:type="dxa"/>
          </w:tcPr>
          <w:p w14:paraId="38947E54"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5 </w:t>
            </w:r>
          </w:p>
        </w:tc>
        <w:tc>
          <w:tcPr>
            <w:tcW w:w="2835" w:type="dxa"/>
          </w:tcPr>
          <w:p w14:paraId="33BF22F3"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4 </w:t>
            </w:r>
          </w:p>
        </w:tc>
      </w:tr>
      <w:tr w:rsidR="00CA237D" w:rsidRPr="00103A0B" w14:paraId="7EB06A7B" w14:textId="77777777" w:rsidTr="00BB2420">
        <w:tc>
          <w:tcPr>
            <w:tcW w:w="4815" w:type="dxa"/>
          </w:tcPr>
          <w:p w14:paraId="65BF47A4"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3.2 Social support (practical)</w:t>
            </w:r>
          </w:p>
        </w:tc>
        <w:tc>
          <w:tcPr>
            <w:tcW w:w="2977" w:type="dxa"/>
          </w:tcPr>
          <w:p w14:paraId="762C3EDC" w14:textId="77777777" w:rsidR="00CA237D" w:rsidRPr="00103A0B" w:rsidRDefault="00CA237D" w:rsidP="00CD5919">
            <w:pPr>
              <w:tabs>
                <w:tab w:val="left" w:pos="1470"/>
              </w:tabs>
              <w:spacing w:line="360" w:lineRule="auto"/>
              <w:jc w:val="both"/>
              <w:rPr>
                <w:rFonts w:ascii="Arial" w:hAnsi="Arial" w:cs="Arial"/>
                <w:sz w:val="24"/>
                <w:szCs w:val="24"/>
              </w:rPr>
            </w:pPr>
          </w:p>
        </w:tc>
        <w:tc>
          <w:tcPr>
            <w:tcW w:w="2835" w:type="dxa"/>
          </w:tcPr>
          <w:p w14:paraId="1A74676C"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r>
      <w:tr w:rsidR="00CA237D" w:rsidRPr="00103A0B" w14:paraId="6D17DBC2" w14:textId="77777777" w:rsidTr="00BB2420">
        <w:tc>
          <w:tcPr>
            <w:tcW w:w="4815" w:type="dxa"/>
          </w:tcPr>
          <w:p w14:paraId="50F1DF21"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3.3. Social support (emotional)</w:t>
            </w:r>
          </w:p>
        </w:tc>
        <w:tc>
          <w:tcPr>
            <w:tcW w:w="2977" w:type="dxa"/>
          </w:tcPr>
          <w:p w14:paraId="6A09C4EF"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2 </w:t>
            </w:r>
          </w:p>
        </w:tc>
        <w:tc>
          <w:tcPr>
            <w:tcW w:w="2835" w:type="dxa"/>
          </w:tcPr>
          <w:p w14:paraId="13D4FDC3"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4 </w:t>
            </w:r>
          </w:p>
        </w:tc>
      </w:tr>
      <w:tr w:rsidR="00CA237D" w:rsidRPr="00103A0B" w14:paraId="6C45668F" w14:textId="77777777" w:rsidTr="00BB2420">
        <w:tc>
          <w:tcPr>
            <w:tcW w:w="4815" w:type="dxa"/>
          </w:tcPr>
          <w:p w14:paraId="47568AFA"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4.1. Instruction on how to perform the behaviour</w:t>
            </w:r>
          </w:p>
        </w:tc>
        <w:tc>
          <w:tcPr>
            <w:tcW w:w="2977" w:type="dxa"/>
          </w:tcPr>
          <w:p w14:paraId="5E1E6911"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8 </w:t>
            </w:r>
          </w:p>
        </w:tc>
        <w:tc>
          <w:tcPr>
            <w:tcW w:w="2835" w:type="dxa"/>
          </w:tcPr>
          <w:p w14:paraId="4FB19F9F"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6 </w:t>
            </w:r>
          </w:p>
        </w:tc>
      </w:tr>
      <w:tr w:rsidR="00CA237D" w:rsidRPr="00103A0B" w14:paraId="4D6276FA" w14:textId="77777777" w:rsidTr="00BB2420">
        <w:tc>
          <w:tcPr>
            <w:tcW w:w="4815" w:type="dxa"/>
          </w:tcPr>
          <w:p w14:paraId="3D7C66F3"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5.1. Information about health consequences</w:t>
            </w:r>
          </w:p>
        </w:tc>
        <w:tc>
          <w:tcPr>
            <w:tcW w:w="2977" w:type="dxa"/>
          </w:tcPr>
          <w:p w14:paraId="68863A70"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c>
          <w:tcPr>
            <w:tcW w:w="2835" w:type="dxa"/>
          </w:tcPr>
          <w:p w14:paraId="007CC371" w14:textId="77777777" w:rsidR="00CA237D" w:rsidRPr="00103A0B" w:rsidRDefault="00CA237D" w:rsidP="00CD5919">
            <w:pPr>
              <w:tabs>
                <w:tab w:val="left" w:pos="1470"/>
              </w:tabs>
              <w:spacing w:line="360" w:lineRule="auto"/>
              <w:jc w:val="both"/>
              <w:rPr>
                <w:rFonts w:ascii="Arial" w:hAnsi="Arial" w:cs="Arial"/>
                <w:sz w:val="24"/>
                <w:szCs w:val="24"/>
              </w:rPr>
            </w:pPr>
          </w:p>
        </w:tc>
      </w:tr>
      <w:tr w:rsidR="00CA237D" w:rsidRPr="00103A0B" w14:paraId="0FB785B7" w14:textId="77777777" w:rsidTr="00BB2420">
        <w:tc>
          <w:tcPr>
            <w:tcW w:w="4815" w:type="dxa"/>
          </w:tcPr>
          <w:p w14:paraId="557B461D"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6.1. Demonstration of the behaviour</w:t>
            </w:r>
          </w:p>
        </w:tc>
        <w:tc>
          <w:tcPr>
            <w:tcW w:w="2977" w:type="dxa"/>
          </w:tcPr>
          <w:p w14:paraId="753D9E0C"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5 </w:t>
            </w:r>
          </w:p>
        </w:tc>
        <w:tc>
          <w:tcPr>
            <w:tcW w:w="2835" w:type="dxa"/>
          </w:tcPr>
          <w:p w14:paraId="57E5388E"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2 </w:t>
            </w:r>
          </w:p>
        </w:tc>
      </w:tr>
      <w:tr w:rsidR="00CA237D" w:rsidRPr="00103A0B" w14:paraId="22234434" w14:textId="77777777" w:rsidTr="00BB2420">
        <w:tc>
          <w:tcPr>
            <w:tcW w:w="4815" w:type="dxa"/>
          </w:tcPr>
          <w:p w14:paraId="0E918710"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8.1. Behavioural practice/rehearsal</w:t>
            </w:r>
          </w:p>
        </w:tc>
        <w:tc>
          <w:tcPr>
            <w:tcW w:w="2977" w:type="dxa"/>
          </w:tcPr>
          <w:p w14:paraId="7FF73285"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4 </w:t>
            </w:r>
          </w:p>
        </w:tc>
        <w:tc>
          <w:tcPr>
            <w:tcW w:w="2835" w:type="dxa"/>
          </w:tcPr>
          <w:p w14:paraId="495A23FC"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2 </w:t>
            </w:r>
          </w:p>
        </w:tc>
      </w:tr>
      <w:tr w:rsidR="00CA237D" w:rsidRPr="00103A0B" w14:paraId="244A50D2" w14:textId="77777777" w:rsidTr="00BB2420">
        <w:tc>
          <w:tcPr>
            <w:tcW w:w="4815" w:type="dxa"/>
          </w:tcPr>
          <w:p w14:paraId="3DFC4792"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8.7. Graded tasks</w:t>
            </w:r>
          </w:p>
        </w:tc>
        <w:tc>
          <w:tcPr>
            <w:tcW w:w="2977" w:type="dxa"/>
          </w:tcPr>
          <w:p w14:paraId="12528D39"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c>
          <w:tcPr>
            <w:tcW w:w="2835" w:type="dxa"/>
          </w:tcPr>
          <w:p w14:paraId="04008DBD"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r>
      <w:tr w:rsidR="00CA237D" w:rsidRPr="00103A0B" w14:paraId="7A7F7A5A" w14:textId="77777777" w:rsidTr="00BB2420">
        <w:tc>
          <w:tcPr>
            <w:tcW w:w="4815" w:type="dxa"/>
          </w:tcPr>
          <w:p w14:paraId="520B54DD"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9.1. Credible source</w:t>
            </w:r>
          </w:p>
        </w:tc>
        <w:tc>
          <w:tcPr>
            <w:tcW w:w="2977" w:type="dxa"/>
          </w:tcPr>
          <w:p w14:paraId="17C3948E"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10 </w:t>
            </w:r>
          </w:p>
        </w:tc>
        <w:tc>
          <w:tcPr>
            <w:tcW w:w="2835" w:type="dxa"/>
          </w:tcPr>
          <w:p w14:paraId="4526BF23"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10 </w:t>
            </w:r>
          </w:p>
        </w:tc>
      </w:tr>
      <w:tr w:rsidR="00CA237D" w:rsidRPr="00103A0B" w14:paraId="685DAD81" w14:textId="77777777" w:rsidTr="00BB2420">
        <w:tc>
          <w:tcPr>
            <w:tcW w:w="4815" w:type="dxa"/>
          </w:tcPr>
          <w:p w14:paraId="0785CA55" w14:textId="77777777" w:rsidR="00CA237D" w:rsidRPr="00103A0B" w:rsidRDefault="00CA237D" w:rsidP="00CD5919">
            <w:pPr>
              <w:tabs>
                <w:tab w:val="left" w:pos="1470"/>
              </w:tabs>
              <w:spacing w:line="360" w:lineRule="auto"/>
              <w:jc w:val="both"/>
              <w:rPr>
                <w:rFonts w:ascii="Arial" w:hAnsi="Arial" w:cs="Arial"/>
              </w:rPr>
            </w:pPr>
            <w:r w:rsidRPr="00103A0B">
              <w:rPr>
                <w:rFonts w:ascii="Arial" w:hAnsi="Arial" w:cs="Arial"/>
              </w:rPr>
              <w:t>9.2 Pros and cons</w:t>
            </w:r>
          </w:p>
        </w:tc>
        <w:tc>
          <w:tcPr>
            <w:tcW w:w="2977" w:type="dxa"/>
          </w:tcPr>
          <w:p w14:paraId="32AFC744"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c>
          <w:tcPr>
            <w:tcW w:w="2835" w:type="dxa"/>
          </w:tcPr>
          <w:p w14:paraId="1C7C51E0"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0</w:t>
            </w:r>
          </w:p>
        </w:tc>
      </w:tr>
      <w:tr w:rsidR="00CA237D" w:rsidRPr="00103A0B" w14:paraId="1F334C38" w14:textId="77777777" w:rsidTr="00BB2420">
        <w:tc>
          <w:tcPr>
            <w:tcW w:w="4815" w:type="dxa"/>
          </w:tcPr>
          <w:p w14:paraId="6CD6115E" w14:textId="77777777" w:rsidR="00CA237D" w:rsidRPr="00103A0B" w:rsidRDefault="00CA237D" w:rsidP="00CD5919">
            <w:pPr>
              <w:tabs>
                <w:tab w:val="left" w:pos="1470"/>
              </w:tabs>
              <w:spacing w:line="360" w:lineRule="auto"/>
              <w:jc w:val="both"/>
              <w:rPr>
                <w:rFonts w:ascii="Arial" w:hAnsi="Arial" w:cs="Arial"/>
              </w:rPr>
            </w:pPr>
            <w:r w:rsidRPr="00103A0B">
              <w:rPr>
                <w:rFonts w:ascii="Arial" w:hAnsi="Arial" w:cs="Arial"/>
              </w:rPr>
              <w:t>10.4. Social reward</w:t>
            </w:r>
          </w:p>
        </w:tc>
        <w:tc>
          <w:tcPr>
            <w:tcW w:w="2977" w:type="dxa"/>
          </w:tcPr>
          <w:p w14:paraId="6B652561"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0</w:t>
            </w:r>
          </w:p>
        </w:tc>
        <w:tc>
          <w:tcPr>
            <w:tcW w:w="2835" w:type="dxa"/>
          </w:tcPr>
          <w:p w14:paraId="2257D92D"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r>
      <w:tr w:rsidR="00CA237D" w:rsidRPr="00103A0B" w14:paraId="23CC9887" w14:textId="77777777" w:rsidTr="00BB2420">
        <w:tc>
          <w:tcPr>
            <w:tcW w:w="4815" w:type="dxa"/>
          </w:tcPr>
          <w:p w14:paraId="0DFFD504"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11.2. Reduce negative emotions</w:t>
            </w:r>
          </w:p>
        </w:tc>
        <w:tc>
          <w:tcPr>
            <w:tcW w:w="2977" w:type="dxa"/>
          </w:tcPr>
          <w:p w14:paraId="2A9BB7AC"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4 </w:t>
            </w:r>
          </w:p>
        </w:tc>
        <w:tc>
          <w:tcPr>
            <w:tcW w:w="2835" w:type="dxa"/>
          </w:tcPr>
          <w:p w14:paraId="32E20452"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2 </w:t>
            </w:r>
          </w:p>
        </w:tc>
      </w:tr>
      <w:tr w:rsidR="00CA237D" w:rsidRPr="00103A0B" w14:paraId="578AD883" w14:textId="77777777" w:rsidTr="00BB2420">
        <w:tc>
          <w:tcPr>
            <w:tcW w:w="4815" w:type="dxa"/>
          </w:tcPr>
          <w:p w14:paraId="7B044B9B"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rPr>
              <w:t xml:space="preserve">Incentive for participation </w:t>
            </w:r>
          </w:p>
        </w:tc>
        <w:tc>
          <w:tcPr>
            <w:tcW w:w="2977" w:type="dxa"/>
          </w:tcPr>
          <w:p w14:paraId="6ED56DF8"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5 </w:t>
            </w:r>
          </w:p>
        </w:tc>
        <w:tc>
          <w:tcPr>
            <w:tcW w:w="2835" w:type="dxa"/>
          </w:tcPr>
          <w:p w14:paraId="0CE8BC42" w14:textId="77777777" w:rsidR="00CA237D" w:rsidRPr="00103A0B" w:rsidRDefault="00CA237D" w:rsidP="00CD5919">
            <w:pPr>
              <w:tabs>
                <w:tab w:val="left" w:pos="1470"/>
              </w:tabs>
              <w:spacing w:line="360" w:lineRule="auto"/>
              <w:jc w:val="both"/>
              <w:rPr>
                <w:rFonts w:ascii="Arial" w:hAnsi="Arial" w:cs="Arial"/>
                <w:sz w:val="24"/>
                <w:szCs w:val="24"/>
              </w:rPr>
            </w:pPr>
            <w:r w:rsidRPr="00103A0B">
              <w:rPr>
                <w:rFonts w:ascii="Arial" w:hAnsi="Arial" w:cs="Arial"/>
                <w:sz w:val="24"/>
                <w:szCs w:val="24"/>
              </w:rPr>
              <w:t xml:space="preserve">1 </w:t>
            </w:r>
          </w:p>
        </w:tc>
      </w:tr>
    </w:tbl>
    <w:p w14:paraId="04A0FDB3" w14:textId="77777777" w:rsidR="00CA237D" w:rsidRPr="00103A0B" w:rsidRDefault="00CA237D" w:rsidP="00CD5919">
      <w:pPr>
        <w:tabs>
          <w:tab w:val="left" w:pos="1470"/>
        </w:tabs>
        <w:spacing w:line="360" w:lineRule="auto"/>
        <w:jc w:val="both"/>
        <w:rPr>
          <w:rFonts w:ascii="Arial" w:hAnsi="Arial" w:cs="Arial"/>
          <w:sz w:val="24"/>
          <w:szCs w:val="24"/>
        </w:rPr>
        <w:sectPr w:rsidR="00CA237D" w:rsidRPr="00103A0B" w:rsidSect="00F064BD">
          <w:pgSz w:w="16838" w:h="23811" w:code="8"/>
          <w:pgMar w:top="1440" w:right="1440" w:bottom="1440" w:left="1440" w:header="709" w:footer="709" w:gutter="0"/>
          <w:cols w:space="708"/>
          <w:docGrid w:linePitch="360"/>
        </w:sectPr>
      </w:pPr>
    </w:p>
    <w:p w14:paraId="4972C9EB" w14:textId="3677F65A" w:rsidR="00630873" w:rsidRPr="00103A0B" w:rsidRDefault="000B0782" w:rsidP="00CD5919">
      <w:pPr>
        <w:jc w:val="both"/>
        <w:rPr>
          <w:rFonts w:ascii="Arial" w:hAnsi="Arial" w:cs="Arial"/>
          <w:b/>
          <w:bCs/>
          <w:sz w:val="28"/>
          <w:szCs w:val="28"/>
        </w:rPr>
      </w:pPr>
      <w:r w:rsidRPr="00103A0B">
        <w:rPr>
          <w:rFonts w:ascii="Arial" w:hAnsi="Arial" w:cs="Arial"/>
          <w:b/>
          <w:bCs/>
          <w:sz w:val="28"/>
          <w:szCs w:val="28"/>
        </w:rPr>
        <w:lastRenderedPageBreak/>
        <w:t xml:space="preserve">Appendix 4: </w:t>
      </w:r>
      <w:r w:rsidR="00630873" w:rsidRPr="00103A0B">
        <w:rPr>
          <w:rFonts w:ascii="Arial" w:hAnsi="Arial" w:cs="Arial"/>
          <w:b/>
          <w:bCs/>
          <w:sz w:val="28"/>
          <w:szCs w:val="28"/>
        </w:rPr>
        <w:t>Further, updated information on the NHSDPP (Chapter 4)</w:t>
      </w:r>
    </w:p>
    <w:p w14:paraId="3D6A65C5" w14:textId="77777777" w:rsidR="00630873" w:rsidRPr="00103A0B" w:rsidRDefault="00630873" w:rsidP="00AE2E58">
      <w:pPr>
        <w:spacing w:line="360" w:lineRule="auto"/>
        <w:jc w:val="both"/>
        <w:rPr>
          <w:rFonts w:ascii="Arial" w:hAnsi="Arial" w:cs="Arial"/>
          <w:sz w:val="24"/>
          <w:szCs w:val="24"/>
        </w:rPr>
      </w:pPr>
      <w:r w:rsidRPr="00103A0B">
        <w:rPr>
          <w:rFonts w:ascii="Arial" w:hAnsi="Arial" w:cs="Arial"/>
          <w:sz w:val="24"/>
          <w:szCs w:val="24"/>
        </w:rPr>
        <w:t xml:space="preserve">In addition to the information provided on the NHSDPP in Chapter 4, the following details further, updated information about the programme. </w:t>
      </w:r>
    </w:p>
    <w:p w14:paraId="35CF114E" w14:textId="77777777" w:rsidR="00630873" w:rsidRPr="00103A0B" w:rsidRDefault="00630873" w:rsidP="00AE2E58">
      <w:pPr>
        <w:spacing w:line="360" w:lineRule="auto"/>
        <w:jc w:val="both"/>
        <w:rPr>
          <w:rFonts w:ascii="Arial" w:hAnsi="Arial" w:cs="Arial"/>
          <w:b/>
          <w:bCs/>
          <w:sz w:val="24"/>
          <w:szCs w:val="24"/>
        </w:rPr>
      </w:pPr>
      <w:r w:rsidRPr="00103A0B">
        <w:rPr>
          <w:rFonts w:ascii="Arial" w:hAnsi="Arial" w:cs="Arial"/>
          <w:b/>
          <w:bCs/>
          <w:sz w:val="24"/>
          <w:szCs w:val="24"/>
        </w:rPr>
        <w:t xml:space="preserve">Programme eligibility and referral </w:t>
      </w:r>
    </w:p>
    <w:p w14:paraId="63D7B5E6" w14:textId="7708CF17" w:rsidR="00630873" w:rsidRPr="00103A0B" w:rsidRDefault="00630873" w:rsidP="00AE2E58">
      <w:pPr>
        <w:spacing w:line="360" w:lineRule="auto"/>
        <w:jc w:val="both"/>
        <w:rPr>
          <w:rFonts w:ascii="Arial" w:hAnsi="Arial" w:cs="Arial"/>
          <w:sz w:val="24"/>
          <w:szCs w:val="24"/>
        </w:rPr>
      </w:pPr>
      <w:r w:rsidRPr="00103A0B">
        <w:rPr>
          <w:rFonts w:ascii="Arial" w:hAnsi="Arial" w:cs="Arial"/>
          <w:sz w:val="24"/>
          <w:szCs w:val="24"/>
        </w:rPr>
        <w:t xml:space="preserve">Individuals are eligible for the programme if they are identified as having prediabetes after undergoing an NHS Health Check, through routine clinical practice or obtaining qualifying blood test results through GP records </w:t>
      </w:r>
      <w:r w:rsidRPr="00103A0B">
        <w:rPr>
          <w:rFonts w:ascii="Arial" w:hAnsi="Arial" w:cs="Arial"/>
          <w:sz w:val="24"/>
          <w:szCs w:val="24"/>
        </w:rPr>
        <w:fldChar w:fldCharType="begin" w:fldLock="1"/>
      </w:r>
      <w:r w:rsidR="00DF24A3" w:rsidRPr="00103A0B">
        <w:rPr>
          <w:rFonts w:ascii="Arial" w:hAnsi="Arial" w:cs="Arial"/>
          <w:sz w:val="24"/>
          <w:szCs w:val="24"/>
        </w:rPr>
        <w:instrText>ADDIN CSL_CITATION {"citationItems":[{"id":"ITEM-1","itemData":{"DOI":"10.1111/dme.13562","author":[{"dropping-particle":"","family":"Barron","given":"E","non-dropping-particle":"","parse-names":false,"suffix":""},{"dropping-particle":"","family":"Clark","given":"R","non-dropping-particle":"","parse-names":false,"suffix":""},{"dropping-particle":"","family":"Hewings","given":"R","non-dropping-particle":"","parse-names":false,"suffix":""},{"dropping-particle":"","family":"Smith","given":"J","non-dropping-particle":"","parse-names":false,"suffix":""},{"dropping-particle":"","family":"Valabhji","given":"J","non-dropping-particle":"","parse-names":false,"suffix":""}],"container-title":"Diabetic Medicine","id":"ITEM-1","issued":{"date-parts":[["2018"]]},"page":"513-518","title":"Progress of the healthier you: NHS diabetes prevention programme: referrals, uptake and participant characteristics","type":"article-journal","volume":"35"},"uris":["http://www.mendeley.com/documents/?uuid=1f5d47f1-f2c9-41a7-af24-e63deeae9374"]},{"id":"ITEM-2","itemData":{"abstract":"This guideline covers how to identify adults at high risk of type 2 diabetes. It aims to remind practitioners that age is no barrier to being at high risk of, or developing, the condition. It also aims to help them provide those at high risk with an effective and appropriate intensive lifestyle-change programme to prevent or delay the onset of type 2 diabetes. The recommendations in this guideline can be used alongside the NHS Health Check programme. NICE has also produced a guideline on population and community-level interventions for preventing type 2 diabetes. In September 2017, we reviewed the evidence for intensive lifestyle-change programmes and metformin for people at risk of type 2 diabetes. We added new recommendations on lifestyle-change programmes (recommendations 1.5.5 and 1.5.6) and changed the recommendation about offering metformin (recommendation 1.19.1). Recommendations This guideline includes recommendations on: risk assessment and risk identification physical activity weight management and dietary advice vulnerable groups metformin and orlistat","author":[{"dropping-particle":"","family":"National Institute of Clinical Excellence","given":"","non-dropping-particle":"","parse-names":false,"suffix":""}],"container-title":"NICE guidance","id":"ITEM-2","issued":{"date-parts":[["2012"]]},"number-of-pages":"1-40","title":"Type 2 diabetes: prevention in people at high risk","type":"report"},"uris":["http://www.mendeley.com/documents/?uuid=00b3e3a4-a0ba-4511-b2af-57efe3ea8012"]},{"id":"ITEM-3","itemData":{"author":[{"dropping-particle":"","family":"NHS England Publications","given":"","non-dropping-particle":"","parse-names":false,"suffix":""}],"id":"ITEM-3","issued":{"date-parts":[["2016"]]},"number-of-pages":"1-10","title":"NHS diabetes prevention programme","type":"report"},"uris":["http://www.mendeley.com/documents/?uuid=4adde129-faf3-4fa1-9148-6d11267fab38"]}],"mendeley":{"formattedCitation":"(Barron et al., 2018; National Institute of Clinical Excellence, 2012; NHS England Publications, 2016)","plainTextFormattedCitation":"(Barron et al., 2018; National Institute of Clinical Excellence, 2012; NHS England Publications, 2016)","previouslyFormattedCitation":"(Barron et al., 2018; National Institute of Clinical Excellence, 2012; NHS England Publications, 2016)"},"properties":{"noteIndex":0},"schema":"https://github.com/citation-style-language/schema/raw/master/csl-citation.json"}</w:instrText>
      </w:r>
      <w:r w:rsidRPr="00103A0B">
        <w:rPr>
          <w:rFonts w:ascii="Arial" w:hAnsi="Arial" w:cs="Arial"/>
          <w:sz w:val="24"/>
          <w:szCs w:val="24"/>
        </w:rPr>
        <w:fldChar w:fldCharType="separate"/>
      </w:r>
      <w:r w:rsidR="00DF24A3" w:rsidRPr="00103A0B">
        <w:rPr>
          <w:rFonts w:ascii="Arial" w:hAnsi="Arial" w:cs="Arial"/>
          <w:noProof/>
          <w:sz w:val="24"/>
          <w:szCs w:val="24"/>
        </w:rPr>
        <w:t>(Barron et al., 2018; National Institute of Clinical Excellence, 2012; NHS England Publications, 2016)</w:t>
      </w:r>
      <w:r w:rsidRPr="00103A0B">
        <w:rPr>
          <w:rFonts w:ascii="Arial" w:hAnsi="Arial" w:cs="Arial"/>
          <w:sz w:val="24"/>
          <w:szCs w:val="24"/>
        </w:rPr>
        <w:fldChar w:fldCharType="end"/>
      </w:r>
      <w:r w:rsidRPr="00103A0B">
        <w:rPr>
          <w:rFonts w:ascii="Arial" w:hAnsi="Arial" w:cs="Arial"/>
          <w:sz w:val="24"/>
          <w:szCs w:val="24"/>
        </w:rPr>
        <w:t xml:space="preserve">. From August 2020, individuals have been able to self-refer onto the NHSDPP after completing an online Diabetes UK risk score assessment, which it is anticipated will help with increasing uptake rates </w:t>
      </w:r>
      <w:r w:rsidRPr="00103A0B">
        <w:rPr>
          <w:rFonts w:ascii="Arial" w:hAnsi="Arial" w:cs="Arial"/>
          <w:sz w:val="24"/>
          <w:szCs w:val="24"/>
        </w:rPr>
        <w:fldChar w:fldCharType="begin" w:fldLock="1"/>
      </w:r>
      <w:r w:rsidR="00DF24A3" w:rsidRPr="00103A0B">
        <w:rPr>
          <w:rFonts w:ascii="Arial" w:hAnsi="Arial" w:cs="Arial"/>
          <w:sz w:val="24"/>
          <w:szCs w:val="24"/>
        </w:rPr>
        <w:instrText>ADDIN CSL_CITATION {"citationItems":[{"id":"ITEM-1","itemData":{"URL":"https://www.england.nhs.uk/2020/07/fast-online-access-to-world-leading-nhs-weight-loss-advice/","accessed":{"date-parts":[["2020","6","26"]]},"author":[{"dropping-particle":"","family":"NHS England","given":"","non-dropping-particle":"","parse-names":false,"suffix":""}],"id":"ITEM-1","issued":{"date-parts":[["2020"]]},"title":"Fast online access to world leading NHS weight loss advice","type":"webpage"},"uris":["http://www.mendeley.com/documents/?uuid=f1c25c25-bb89-4ee2-b2eb-8df1897bb933"]},{"id":"ITEM-2","itemData":{"URL":"https://preventing-diabetes.co.uk/Know-your-risk-dtc/","author":[{"dropping-particle":"","family":"ICS Health &amp; Wellbeing","given":"","non-dropping-particle":"","parse-names":false,"suffix":""}],"id":"ITEM-2","issued":{"date-parts":[["2020"]]},"title":"Know your risk of type 2 diabetes","type":"webpage"},"uris":["http://www.mendeley.com/documents/?uuid=e9f92096-fa89-4086-999e-8c547d1c00d4"]}],"mendeley":{"formattedCitation":"(ICS Health &amp; Wellbeing, 2020; NHS England, 2020a)","plainTextFormattedCitation":"(ICS Health &amp; Wellbeing, 2020; NHS England, 2020a)","previouslyFormattedCitation":"(ICS Health &amp; Wellbeing, 2020; NHS England, 2020a)"},"properties":{"noteIndex":0},"schema":"https://github.com/citation-style-language/schema/raw/master/csl-citation.json"}</w:instrText>
      </w:r>
      <w:r w:rsidRPr="00103A0B">
        <w:rPr>
          <w:rFonts w:ascii="Arial" w:hAnsi="Arial" w:cs="Arial"/>
          <w:sz w:val="24"/>
          <w:szCs w:val="24"/>
        </w:rPr>
        <w:fldChar w:fldCharType="separate"/>
      </w:r>
      <w:r w:rsidR="00DF24A3" w:rsidRPr="00103A0B">
        <w:rPr>
          <w:rFonts w:ascii="Arial" w:hAnsi="Arial" w:cs="Arial"/>
          <w:noProof/>
          <w:sz w:val="24"/>
          <w:szCs w:val="24"/>
        </w:rPr>
        <w:t>(ICS Health &amp; Wellbeing, 2020; NHS England, 2020a)</w:t>
      </w:r>
      <w:r w:rsidRPr="00103A0B">
        <w:rPr>
          <w:rFonts w:ascii="Arial" w:hAnsi="Arial" w:cs="Arial"/>
          <w:sz w:val="24"/>
          <w:szCs w:val="24"/>
        </w:rPr>
        <w:fldChar w:fldCharType="end"/>
      </w:r>
      <w:r w:rsidRPr="00103A0B">
        <w:rPr>
          <w:rFonts w:ascii="Arial" w:hAnsi="Arial" w:cs="Arial"/>
          <w:sz w:val="24"/>
          <w:szCs w:val="24"/>
        </w:rPr>
        <w:t>. However, since the 15</w:t>
      </w:r>
      <w:r w:rsidRPr="00103A0B">
        <w:rPr>
          <w:rFonts w:ascii="Arial" w:hAnsi="Arial" w:cs="Arial"/>
          <w:sz w:val="24"/>
          <w:szCs w:val="24"/>
          <w:vertAlign w:val="superscript"/>
        </w:rPr>
        <w:t>th</w:t>
      </w:r>
      <w:r w:rsidRPr="00103A0B">
        <w:rPr>
          <w:rFonts w:ascii="Arial" w:hAnsi="Arial" w:cs="Arial"/>
          <w:sz w:val="24"/>
          <w:szCs w:val="24"/>
        </w:rPr>
        <w:t xml:space="preserve"> of November 2022, the self-referral pathway for the NHSDPP via the Diabetes UK risk assessment tool is now closed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{"citationItems":[{"id":"ITEM-1","itemData":{"URL":"https://gps.northcentrallondon.icb.nhs.uk/service/diabetes-prevention-programme-dpp","author":[{"dropping-particle":"","family":"North Central London Integrated Care Board","given":"","non-dropping-particle":"","parse-names":false,"suffix":""}],"id":"ITEM-1","issued":{"date-parts":[["2023"]]},"title":"Diabetes prevention programme","type":"webpage"},"uris":["http://www.mendeley.com/documents/?uuid=734d2c1c-ad8e-482d-94ba-f38760a92e60"]}],"mendeley":{"formattedCitation":"(North Central London Integrated Care Board, 2023)","plainTextFormattedCitation":"(North Central London Integrated Care Board, 2023)","previouslyFormattedCitation":"(North Central London Integrated Care Board, 2023)"},"properties":{"noteIndex":0},"schema":"https://github.com/citation-style-language/schema/raw/master/csl-citation.json"}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(North Central London Integrated Care Board, 2023)</w:t>
      </w:r>
      <w:r w:rsidRPr="00103A0B">
        <w:rPr>
          <w:rFonts w:ascii="Arial" w:hAnsi="Arial" w:cs="Arial"/>
          <w:sz w:val="24"/>
          <w:szCs w:val="24"/>
        </w:rPr>
        <w:fldChar w:fldCharType="end"/>
      </w:r>
      <w:r w:rsidRPr="00103A0B">
        <w:rPr>
          <w:rFonts w:ascii="Arial" w:hAnsi="Arial" w:cs="Arial"/>
          <w:sz w:val="24"/>
          <w:szCs w:val="24"/>
        </w:rPr>
        <w:t xml:space="preserve">. Although the tool will still be available for individuals to undertake an initial risk assessment for Type 2 Diabetes, they will be signposted to their GP service for a blood test if they score ‘moderate’ or ‘high’ after completing the assessment. </w:t>
      </w:r>
    </w:p>
    <w:p w14:paraId="656A2D37" w14:textId="77777777" w:rsidR="00630873" w:rsidRPr="00103A0B" w:rsidRDefault="00630873" w:rsidP="00AE2E58">
      <w:pPr>
        <w:spacing w:line="360" w:lineRule="auto"/>
        <w:jc w:val="both"/>
        <w:rPr>
          <w:rFonts w:ascii="Arial" w:hAnsi="Arial" w:cs="Arial"/>
          <w:b/>
          <w:bCs/>
          <w:sz w:val="24"/>
          <w:szCs w:val="24"/>
        </w:rPr>
      </w:pPr>
      <w:r w:rsidRPr="00103A0B">
        <w:rPr>
          <w:rFonts w:ascii="Arial" w:hAnsi="Arial" w:cs="Arial"/>
          <w:b/>
          <w:bCs/>
          <w:sz w:val="24"/>
          <w:szCs w:val="24"/>
        </w:rPr>
        <w:t xml:space="preserve">Programme delivery </w:t>
      </w:r>
    </w:p>
    <w:p w14:paraId="35559011" w14:textId="50B438D0" w:rsidR="00630873" w:rsidRPr="00103A0B" w:rsidRDefault="00630873" w:rsidP="00AE2E58">
      <w:pPr>
        <w:spacing w:line="360" w:lineRule="auto"/>
        <w:jc w:val="both"/>
        <w:rPr>
          <w:rFonts w:ascii="Arial" w:hAnsi="Arial" w:cs="Arial"/>
          <w:sz w:val="24"/>
          <w:szCs w:val="24"/>
        </w:rPr>
      </w:pPr>
      <w:r w:rsidRPr="00103A0B">
        <w:rPr>
          <w:rFonts w:ascii="Arial" w:hAnsi="Arial" w:cs="Arial"/>
          <w:sz w:val="24"/>
          <w:szCs w:val="24"/>
        </w:rPr>
        <w:t xml:space="preserve">At the time of writing when submitting the thesis, the NHSDPP were being delivered across England by four local service providers who were chosen after going through a national competitive process (Reed Wellbeing (previously known as Reed Momenta), Pulse Healthcare Limited trading as ICS Health &amp; Wellbeing, </w:t>
      </w:r>
      <w:proofErr w:type="spellStart"/>
      <w:r w:rsidRPr="00103A0B">
        <w:rPr>
          <w:rFonts w:ascii="Arial" w:hAnsi="Arial" w:cs="Arial"/>
          <w:sz w:val="24"/>
          <w:szCs w:val="24"/>
        </w:rPr>
        <w:t>Ingeus</w:t>
      </w:r>
      <w:proofErr w:type="spellEnd"/>
      <w:r w:rsidRPr="00103A0B">
        <w:rPr>
          <w:rFonts w:ascii="Arial" w:hAnsi="Arial" w:cs="Arial"/>
          <w:sz w:val="24"/>
          <w:szCs w:val="24"/>
        </w:rPr>
        <w:t xml:space="preserve"> UK, and Living Well Taking Control)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{"citationItems":[{"id":"ITEM-1","itemData":{"author":[{"dropping-particle":"","family":"Diabetes Prevention Team","given":"","non-dropping-particle":"","parse-names":false,"suffix":""}],"id":"ITEM-1","issued":{"date-parts":[["2015"]]},"number-of-pages":"1-32","title":"Consultation guide: national procurement for the provision of behavioural interventions for people with non-diabetic hyperglycaemia","type":"report"},"uris":["http://www.mendeley.com/documents/?uuid=00fe88c7-ca9b-4ae1-8051-3f6463f5ce57"]},{"id":"ITEM-2","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Care","id":"ITEM-2","issued":{"date-parts":[["2020"]]},"page":"152-160","title":"Early outcomes from the English National Health Service diabetes prevention programme","type":"article-journal","volume":"43"},"uris":["http://www.mendeley.com/documents/?uuid=32a7a44a-df0b-4cde-9269-536e48e08190"]},{"id":"ITEM-3","itemData":{"author":[{"dropping-particle":"","family":"NHS England Publications","given":"","non-dropping-particle":"","parse-names":false,"suffix":""}],"id":"ITEM-3","issued":{"date-parts":[["2016"]]},"number-of-pages":"1-10","title":"NHS diabetes prevention programme","type":"report"},"uris":["http://www.mendeley.com/documents/?uuid=4adde129-faf3-4fa1-9148-6d11267fab38"]}],"mendeley":{"formattedCitation":"(Diabetes Prevention Team, 2015; NHS England Publications, 2016; Valabhji et al., 2020)","plainTextFormattedCitation":"(Diabetes Prevention Team, 2015; NHS England Publications, 2016; Valabhji et al., 2020)","previouslyFormattedCitation":"(Diabetes Prevention Team, 2015; NHS England Publications, 2016; 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 NHS England Publications, 2016; Valabhji et al., 2020)</w:t>
      </w:r>
      <w:r w:rsidRPr="00103A0B">
        <w:rPr>
          <w:rFonts w:ascii="Arial" w:hAnsi="Arial" w:cs="Arial"/>
          <w:sz w:val="24"/>
          <w:szCs w:val="24"/>
        </w:rPr>
        <w:fldChar w:fldCharType="end"/>
      </w:r>
      <w:r w:rsidRPr="00103A0B">
        <w:rPr>
          <w:rFonts w:ascii="Arial" w:hAnsi="Arial" w:cs="Arial"/>
          <w:sz w:val="24"/>
          <w:szCs w:val="24"/>
        </w:rPr>
        <w:t xml:space="preserve">. At the time of writing (post viva), instead of local providers (LPs) Pulse Healthcare Limited trading as ICS Health &amp; Wellbeing, and </w:t>
      </w:r>
      <w:proofErr w:type="spellStart"/>
      <w:r w:rsidRPr="00103A0B">
        <w:rPr>
          <w:rFonts w:ascii="Arial" w:hAnsi="Arial" w:cs="Arial"/>
          <w:sz w:val="24"/>
          <w:szCs w:val="24"/>
        </w:rPr>
        <w:t>Ingeus</w:t>
      </w:r>
      <w:proofErr w:type="spellEnd"/>
      <w:r w:rsidRPr="00103A0B">
        <w:rPr>
          <w:rFonts w:ascii="Arial" w:hAnsi="Arial" w:cs="Arial"/>
          <w:sz w:val="24"/>
          <w:szCs w:val="24"/>
        </w:rPr>
        <w:t xml:space="preserve"> UK, </w:t>
      </w:r>
      <w:r w:rsidR="00AE2E58" w:rsidRPr="00103A0B">
        <w:rPr>
          <w:rFonts w:ascii="Arial" w:hAnsi="Arial" w:cs="Arial"/>
          <w:sz w:val="24"/>
          <w:szCs w:val="24"/>
        </w:rPr>
        <w:t xml:space="preserve">they </w:t>
      </w:r>
      <w:r w:rsidR="0075243E" w:rsidRPr="00103A0B">
        <w:rPr>
          <w:rFonts w:ascii="Arial" w:hAnsi="Arial" w:cs="Arial"/>
          <w:sz w:val="24"/>
          <w:szCs w:val="24"/>
        </w:rPr>
        <w:t>have been</w:t>
      </w:r>
      <w:r w:rsidRPr="00103A0B">
        <w:rPr>
          <w:rFonts w:ascii="Arial" w:hAnsi="Arial" w:cs="Arial"/>
          <w:sz w:val="24"/>
          <w:szCs w:val="24"/>
        </w:rPr>
        <w:t xml:space="preserve"> replaced by </w:t>
      </w:r>
      <w:proofErr w:type="spellStart"/>
      <w:r w:rsidRPr="00103A0B">
        <w:rPr>
          <w:rFonts w:ascii="Arial" w:hAnsi="Arial" w:cs="Arial"/>
          <w:sz w:val="24"/>
          <w:szCs w:val="24"/>
        </w:rPr>
        <w:t>Xyla</w:t>
      </w:r>
      <w:proofErr w:type="spellEnd"/>
      <w:r w:rsidRPr="00103A0B">
        <w:rPr>
          <w:rFonts w:ascii="Arial" w:hAnsi="Arial" w:cs="Arial"/>
          <w:sz w:val="24"/>
          <w:szCs w:val="24"/>
        </w:rPr>
        <w:t xml:space="preserve"> Health and Wellbeing and Thrive Tribe </w:t>
      </w:r>
      <w:r w:rsidRPr="00103A0B">
        <w:rPr>
          <w:rFonts w:ascii="Arial" w:hAnsi="Arial" w:cs="Arial"/>
          <w:sz w:val="24"/>
          <w:szCs w:val="24"/>
        </w:rPr>
        <w:fldChar w:fldCharType="begin" w:fldLock="1"/>
      </w:r>
      <w:r w:rsidR="00DF24A3" w:rsidRPr="00103A0B">
        <w:rPr>
          <w:rFonts w:ascii="Arial" w:hAnsi="Arial" w:cs="Arial"/>
          <w:sz w:val="24"/>
          <w:szCs w:val="24"/>
        </w:rPr>
        <w:instrText>ADDIN CSL_CITATION {"citationItems":[{"id":"ITEM-1","itemData":{"URL":"https://www.england.nhs.uk/diabetes/diabetes-prevention/resources/provider-contact-details/","author":[{"dropping-particle":"","family":"NHS England","given":"","non-dropping-particle":"","parse-names":false,"suffix":""}],"id":"ITEM-1","issued":{"date-parts":[["2023"]]},"title":"Healthier you NHS diabetes prevention programme: provider contact details","type":"webpage"},"uris":["http://www.mendeley.com/documents/?uuid=0c867240-f3c9-46a0-bb82-54c11c18bd6b"]}],"mendeley":{"formattedCitation":"(NHS England, 2023a)","plainTextFormattedCitation":"(NHS England, 2023a)","previouslyFormattedCitation":"(NHS England, 2023a)"},"properties":{"noteIndex":0},"schema":"https://github.com/citation-style-language/schema/raw/master/csl-citation.json"}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England, 2023a)</w:t>
      </w:r>
      <w:r w:rsidRPr="00103A0B">
        <w:rPr>
          <w:rFonts w:ascii="Arial" w:hAnsi="Arial" w:cs="Arial"/>
          <w:sz w:val="24"/>
          <w:szCs w:val="24"/>
        </w:rPr>
        <w:fldChar w:fldCharType="end"/>
      </w:r>
      <w:r w:rsidRPr="00103A0B">
        <w:rPr>
          <w:rFonts w:ascii="Arial" w:hAnsi="Arial" w:cs="Arial"/>
          <w:sz w:val="24"/>
          <w:szCs w:val="24"/>
        </w:rPr>
        <w:t xml:space="preserve">. </w:t>
      </w:r>
    </w:p>
    <w:p w14:paraId="2E84A409" w14:textId="1BA8C39E" w:rsidR="00630873" w:rsidRPr="00103A0B" w:rsidRDefault="00630873" w:rsidP="00AE2E58">
      <w:pPr>
        <w:spacing w:line="360" w:lineRule="auto"/>
        <w:jc w:val="both"/>
        <w:rPr>
          <w:rFonts w:ascii="Arial" w:hAnsi="Arial" w:cs="Arial"/>
          <w:sz w:val="24"/>
          <w:szCs w:val="24"/>
        </w:rPr>
      </w:pPr>
      <w:r w:rsidRPr="00103A0B">
        <w:rPr>
          <w:rFonts w:ascii="Arial" w:hAnsi="Arial" w:cs="Arial"/>
          <w:sz w:val="24"/>
          <w:szCs w:val="24"/>
        </w:rPr>
        <w:t xml:space="preserve">Each provider follows a similar structure of an initial assessment, core and maintenance sessions, with at least 13 face-to-face group-based sessions with 16 hours contact time, over a minimum of 9 months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programme","type":"article-journal","volume":"43"},"uris":["http://www.mendeley.com/documents/?uuid=32a7a44a-df0b-4cde-9269-536e48e08190"]},{"id":"ITEM-2","itemData":{"author":[{"dropping-particle":"","family":"Diabetes Prevention Team","given":"","non-dropping-particle":"","parse-names":false,"suffix":""}],"id":"ITEM-2","issued":{"date-parts":[["2015"]]},"number-of-pages":"1-32","title":"Consultation guide: national procurement for the provision of behavioural interventions for people with non-diabetic hyperglycaemia","type":"report"},"uris":["http://www.mendeley.com/documents/?uuid=00fe88c7-ca9b-4ae1-8051-3f6463f5ce57"]},{"id":"ITEM-3","itemData":{"author":[{"dropping-particle":"","family":"NHS England Publications","given":"","non-dropping-particle":"","parse-names":false,"suffix":""}],"id":"ITEM-3","issued":{"date-parts":[["2016"]]},"number-of-pages":"1-10","title":"NHS diabetes prevention programme","type":"report"},"uris":["http://www.mendeley.com/documents/?uuid=4adde129-faf3-4fa1-9148-6d11267fab38"]}],"mendeley":{"formattedCitation":"(Diabetes Prevention Team, 2015; NHS England Publications, 2016; Valabhji et al., 2020)","plainTextFormattedCitation":"(Diabetes Prevention Team, 2015; NHS England Publications, 2016; Valabhji et al., 2020)","previouslyFormattedCitation":"(Diabetes Prevention Team, 2015; NHS England Publications, 2016; 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(Diabetes Prevention Team, 2015; NHS England Publications, 2016; Valabhji et al., 2020)</w:t>
      </w:r>
      <w:r w:rsidRPr="00103A0B">
        <w:rPr>
          <w:rFonts w:ascii="Arial" w:hAnsi="Arial" w:cs="Arial"/>
          <w:sz w:val="24"/>
          <w:szCs w:val="24"/>
        </w:rPr>
        <w:fldChar w:fldCharType="end"/>
      </w:r>
      <w:r w:rsidRPr="00103A0B">
        <w:rPr>
          <w:rFonts w:ascii="Arial" w:hAnsi="Arial" w:cs="Arial"/>
          <w:sz w:val="24"/>
          <w:szCs w:val="24"/>
        </w:rPr>
        <w:t xml:space="preserve">. However, due to the global pandemic </w:t>
      </w:r>
      <w:r w:rsidR="00207CB8" w:rsidRPr="00103A0B">
        <w:rPr>
          <w:rFonts w:ascii="Arial" w:hAnsi="Arial" w:cs="Arial"/>
          <w:sz w:val="24"/>
          <w:szCs w:val="24"/>
        </w:rPr>
        <w:t>in 2020</w:t>
      </w:r>
      <w:r w:rsidRPr="00103A0B">
        <w:rPr>
          <w:rFonts w:ascii="Arial" w:hAnsi="Arial" w:cs="Arial"/>
          <w:sz w:val="24"/>
          <w:szCs w:val="24"/>
        </w:rPr>
        <w:t xml:space="preserve"> (</w:t>
      </w:r>
      <w:r w:rsidR="00277B59" w:rsidRPr="00103A0B">
        <w:rPr>
          <w:rFonts w:ascii="Arial" w:hAnsi="Arial" w:cs="Arial"/>
          <w:sz w:val="24"/>
          <w:szCs w:val="24"/>
        </w:rPr>
        <w:t xml:space="preserve">due to </w:t>
      </w:r>
      <w:r w:rsidRPr="00103A0B">
        <w:rPr>
          <w:rFonts w:ascii="Arial" w:hAnsi="Arial" w:cs="Arial"/>
          <w:sz w:val="24"/>
          <w:szCs w:val="24"/>
        </w:rPr>
        <w:t xml:space="preserve">Covid-19), there has been temporary changes to the delivery </w:t>
      </w:r>
      <w:r w:rsidRPr="00103A0B">
        <w:rPr>
          <w:rFonts w:ascii="Arial" w:hAnsi="Arial" w:cs="Arial"/>
          <w:sz w:val="24"/>
          <w:szCs w:val="24"/>
        </w:rPr>
        <w:lastRenderedPageBreak/>
        <w:t xml:space="preserve">of the NHSDPP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BN":"9789162893439","ISSN":"10634584","PMID":"27546496","author":[{"dropping-particle":"","family":"Newbound","given":"Tom","non-dropping-particle":"","parse-names":false,"suffix":""},{"dropping-particle":"","family":"Valabhji","given":"Jonathan","non-dropping-particle":"","parse-names":false,"suffix":""}],"id":"ITEM-1","issued":{"date-parts":[["2020"]]},"number-of-pages":"1-2","title":"COVID-19: NHS diabetes prevention programme","type":"report"},"uris":["http://www.mendeley.com/documents/?uuid=79584e4b-513c-4491-a173-d3ce8c070272"]}],"mendeley":{"formattedCitation":"(Newbound &amp; Valabhji, 2020)","plainTextFormattedCitation":"(Newbound &amp; Valabhji, 2020)","previouslyFormattedCitation":"(Newbound &amp; Valabhji,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(Newbound &amp; Valabhji, 2020)</w:t>
      </w:r>
      <w:r w:rsidRPr="00103A0B">
        <w:rPr>
          <w:rFonts w:ascii="Arial" w:hAnsi="Arial" w:cs="Arial"/>
          <w:sz w:val="24"/>
          <w:szCs w:val="24"/>
        </w:rPr>
        <w:fldChar w:fldCharType="end"/>
      </w:r>
      <w:r w:rsidRPr="00103A0B">
        <w:rPr>
          <w:rFonts w:ascii="Arial" w:hAnsi="Arial" w:cs="Arial"/>
          <w:sz w:val="24"/>
          <w:szCs w:val="24"/>
        </w:rPr>
        <w:t xml:space="preserve">. Since the 20th of March 2020, group-based face-to-face sessions were no longer taking place due to Covid-19 and were being delivered remotely with telephone-based coaching and digital services being offered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ISBN":"9789162893439","ISSN":"10634584","PMID":"27546496","author":[{"dropping-particle":"","family":"Newbound","given":"Tom","non-dropping-particle":"","parse-names":false,"suffix":""},{"dropping-particle":"","family":"Valabhji","given":"Jonathan","non-dropping-particle":"","parse-names":false,"suffix":""}],"id":"ITEM-1","issued":{"date-parts":[["2020"]]},"number-of-pages":"1-2","title":"COVID-19: NHS diabetes prevention programme","type":"report"},"uris":["http://www.mendeley.com/documents/?uuid=79584e4b-513c-4491-a173-d3ce8c070272"]}],"mendeley":{"formattedCitation":"(Newbound &amp; Valabhji, 2020)","plainTextFormattedCitation":"(Newbound &amp; Valabhji, 2020)","previouslyFormattedCitation":"(Newbound &amp; Valabhji,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(Newbound &amp; Valabhji, 2020)</w:t>
      </w:r>
      <w:r w:rsidRPr="00103A0B">
        <w:rPr>
          <w:rFonts w:ascii="Arial" w:hAnsi="Arial" w:cs="Arial"/>
          <w:sz w:val="24"/>
          <w:szCs w:val="24"/>
        </w:rPr>
        <w:fldChar w:fldCharType="end"/>
      </w:r>
      <w:r w:rsidRPr="00103A0B">
        <w:rPr>
          <w:rFonts w:ascii="Arial" w:hAnsi="Arial" w:cs="Arial"/>
          <w:sz w:val="24"/>
          <w:szCs w:val="24"/>
        </w:rPr>
        <w:t xml:space="preserve">. </w:t>
      </w:r>
      <w:r w:rsidR="00277B59" w:rsidRPr="00103A0B">
        <w:rPr>
          <w:rFonts w:ascii="Arial" w:hAnsi="Arial" w:cs="Arial"/>
          <w:sz w:val="24"/>
          <w:szCs w:val="24"/>
        </w:rPr>
        <w:t>From</w:t>
      </w:r>
      <w:r w:rsidRPr="00103A0B">
        <w:rPr>
          <w:rFonts w:ascii="Arial" w:hAnsi="Arial" w:cs="Arial"/>
          <w:sz w:val="24"/>
          <w:szCs w:val="24"/>
        </w:rPr>
        <w:t xml:space="preserve"> April 2022, the NHSDPP is available both as a face-to-face group service and as a digital service. When individuals are referred to the programme, they are free to choose between the two modes of delivery (i.e., face-to-face group service or as a digital service) </w:t>
      </w:r>
      <w:r w:rsidRPr="00103A0B">
        <w:rPr>
          <w:rFonts w:ascii="Arial" w:hAnsi="Arial" w:cs="Arial"/>
          <w:sz w:val="24"/>
          <w:szCs w:val="24"/>
        </w:rPr>
        <w:fldChar w:fldCharType="begin" w:fldLock="1"/>
      </w:r>
      <w:r w:rsidR="00DF24A3" w:rsidRPr="00103A0B">
        <w:rPr>
          <w:rFonts w:ascii="Arial" w:hAnsi="Arial" w:cs="Arial"/>
          <w:sz w:val="24"/>
          <w:szCs w:val="24"/>
        </w:rPr>
        <w:instrText>ADDIN CSL_CITATION {"citationItems":[{"id":"ITEM-1","itemData":{"URL":"https://www.england.nhs.uk/diabetes/diabetes-prevention/","author":[{"dropping-particle":"","family":"NHS England","given":"","non-dropping-particle":"","parse-names":false,"suffix":""}],"id":"ITEM-1","issued":{"date-parts":[["2023"]]},"title":"NHS diabetes prevention programme (NHS DPP)","type":"webpage"},"uris":["http://www.mendeley.com/documents/?uuid=a3948f58-af52-4be1-83bd-6c117fd7ebb7"]}],"mendeley":{"formattedCitation":"(NHS England, 2023b)","plainTextFormattedCitation":"(NHS England, 2023b)","previouslyFormattedCitation":"(NHS England, 2023b)"},"properties":{"noteIndex":0},"schema":"https://github.com/citation-style-language/schema/raw/master/csl-citation.json"}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(NHS England, 2023b)</w:t>
      </w:r>
      <w:r w:rsidRPr="00103A0B">
        <w:rPr>
          <w:rFonts w:ascii="Arial" w:hAnsi="Arial" w:cs="Arial"/>
          <w:sz w:val="24"/>
          <w:szCs w:val="24"/>
        </w:rPr>
        <w:fldChar w:fldCharType="end"/>
      </w:r>
      <w:r w:rsidRPr="00103A0B">
        <w:rPr>
          <w:rFonts w:ascii="Arial" w:hAnsi="Arial" w:cs="Arial"/>
          <w:sz w:val="24"/>
          <w:szCs w:val="24"/>
        </w:rPr>
        <w:t>.</w:t>
      </w:r>
    </w:p>
    <w:p w14:paraId="3195A82A" w14:textId="77777777" w:rsidR="00630873" w:rsidRPr="00103A0B" w:rsidRDefault="00630873" w:rsidP="00AE2E58">
      <w:pPr>
        <w:spacing w:line="360" w:lineRule="auto"/>
        <w:jc w:val="both"/>
        <w:rPr>
          <w:rFonts w:ascii="Arial" w:hAnsi="Arial" w:cs="Arial"/>
          <w:sz w:val="24"/>
          <w:szCs w:val="24"/>
        </w:rPr>
      </w:pPr>
      <w:r w:rsidRPr="00103A0B">
        <w:rPr>
          <w:rFonts w:ascii="Arial" w:hAnsi="Arial" w:cs="Arial"/>
          <w:sz w:val="24"/>
          <w:szCs w:val="24"/>
        </w:rPr>
        <w:t xml:space="preserve">At the time of data collection, the LP delivered 18 face-to-face group-based sessions for up to 20 people (six weekly, six fortnightly and six-monthly sessions)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{"citationItems":[{"id":"ITEM-1","itemData":{"author":[{"dropping-particle":"","family":"Macmillan","given":"Harry","non-dropping-particle":"","parse-names":false,"suffix":""}],"id":"ITEM-1","issued":{"date-parts":[["2016"]]},"number-of-pages":"1-16","title":"Healthier you: NHS diabetes prevention programme","type":"report"},"uris":["http://www.mendeley.com/documents/?uuid=c5b57596-f3f8-450f-addd-2089d0b723ff"]}],"mendeley":{"formattedCitation":"(Macmillan, 2016)","plainTextFormattedCitation":"(Macmillan, 2016)","previouslyFormattedCitation":"(Macmillan, 2016)"},"properties":{"noteIndex":0},"schema":"https://github.com/citation-style-language/schema/raw/master/csl-citation.json"}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(Macmillan, 2016)</w:t>
      </w:r>
      <w:r w:rsidRPr="00103A0B">
        <w:rPr>
          <w:rFonts w:ascii="Arial" w:hAnsi="Arial" w:cs="Arial"/>
          <w:sz w:val="24"/>
          <w:szCs w:val="24"/>
        </w:rPr>
        <w:fldChar w:fldCharType="end"/>
      </w:r>
      <w:r w:rsidRPr="00103A0B">
        <w:rPr>
          <w:rFonts w:ascii="Arial" w:hAnsi="Arial" w:cs="Arial"/>
          <w:sz w:val="24"/>
          <w:szCs w:val="24"/>
        </w:rPr>
        <w:t xml:space="preserve">. The duration of these sessions was one hour except for the first session which lasted 1.5 hours. At the time of writing, the LP now delivers 13 one-hour group sessions over 40 weeks. Other LPs also offer 13 group-based sessions </w:t>
      </w:r>
      <w:r w:rsidRPr="00103A0B">
        <w:rPr>
          <w:rFonts w:ascii="Arial" w:hAnsi="Arial" w:cs="Arial"/>
          <w:sz w:val="24"/>
          <w:szCs w:val="24"/>
        </w:rPr>
        <w:fldChar w:fldCharType="begin" w:fldLock="1"/>
      </w:r>
      <w:r w:rsidRPr="00103A0B">
        <w:rPr>
          <w:rFonts w:ascii="Arial" w:hAnsi="Arial" w:cs="Arial"/>
          <w:sz w:val="24"/>
          <w:szCs w:val="24"/>
        </w:rPr>
        <w:instrText>ADDIN CSL_CITATION {"citationItems":[{"id":"ITEM-1","itemData":{"author":[{"dropping-particle":"","family":"Valabhji","given":"Jonathan","non-dropping-particle":"","parse-names":false,"suffix":""},{"dropping-particle":"","family":"Barron","given":"Emma","non-dropping-particle":"","parse-names":false,"suffix":""},{"dropping-particle":"","family":"Bradley","given":"Dominique","non-dropping-particle":"","parse-names":false,"suffix":""},{"dropping-particle":"","family":"Bakhai","given":"Chirag","non-dropping-particle":"","parse-names":false,"suffix":""},{"dropping-particle":"","family":"Fagg","given":"Jamie","non-dropping-particle":"","parse-names":false,"suffix":""},{"dropping-particle":"","family":"Neill","given":"Simon O","non-dropping-particle":"","parse-names":false,"suffix":""},{"dropping-particle":"","family":"Young","given":"Bob","non-dropping-particle":"","parse-names":false,"suffix":""},{"dropping-particle":"","family":"Wareham","given":"Nick","non-dropping-particle":"","parse-names":false,"suffix":""},{"dropping-particle":"","family":"Khunti","given":"Kamlesh","non-dropping-particle":"","parse-names":false,"suffix":""},{"dropping-particle":"","family":"Jebb","given":"Susan","non-dropping-particle":"","parse-names":false,"suffix":""},{"dropping-particle":"","family":"Smith","given":"Jenifer","non-dropping-particle":"","parse-names":false,"suffix":""}],"container-title":"Diabates Care","id":"ITEM-1","issued":{"date-parts":[["2020"]]},"page":"152-160","title":"Early outcomes from the English National Health Service diabetes prevention programme","type":"article-journal","volume":"43"},"uris":["http://www.mendeley.com/documents/?uuid=32a7a44a-df0b-4cde-9269-536e48e08190"]}],"mendeley":{"formattedCitation":"(Valabhji et al., 2020)","plainTextFormattedCitation":"(Valabhji et al., 2020)","previouslyFormattedCitation":"(Valabhji et al., 2020)"},"properties":{"noteIndex":0},"schema":"https://github.com/citation-style-language/schema/raw/master/csl-citation.json"}</w:instrText>
      </w:r>
      <w:r w:rsidRPr="00103A0B">
        <w:rPr>
          <w:rFonts w:ascii="Arial" w:hAnsi="Arial" w:cs="Arial"/>
          <w:sz w:val="24"/>
          <w:szCs w:val="24"/>
        </w:rPr>
        <w:fldChar w:fldCharType="separate"/>
      </w:r>
      <w:r w:rsidRPr="00103A0B">
        <w:rPr>
          <w:rFonts w:ascii="Arial" w:hAnsi="Arial" w:cs="Arial"/>
          <w:noProof/>
          <w:sz w:val="24"/>
          <w:szCs w:val="24"/>
        </w:rPr>
        <w:t>(Valabhji et al., 2020)</w:t>
      </w:r>
      <w:r w:rsidRPr="00103A0B">
        <w:rPr>
          <w:rFonts w:ascii="Arial" w:hAnsi="Arial" w:cs="Arial"/>
          <w:sz w:val="24"/>
          <w:szCs w:val="24"/>
        </w:rPr>
        <w:fldChar w:fldCharType="end"/>
      </w:r>
      <w:r w:rsidRPr="00103A0B">
        <w:rPr>
          <w:rFonts w:ascii="Arial" w:hAnsi="Arial" w:cs="Arial"/>
          <w:sz w:val="24"/>
          <w:szCs w:val="24"/>
        </w:rPr>
        <w:t xml:space="preserve">. </w:t>
      </w:r>
    </w:p>
    <w:p w14:paraId="55612441" w14:textId="77777777" w:rsidR="00630873" w:rsidRPr="00103A0B" w:rsidRDefault="00630873" w:rsidP="00AE2E58">
      <w:pPr>
        <w:spacing w:line="360" w:lineRule="auto"/>
        <w:jc w:val="both"/>
        <w:rPr>
          <w:rFonts w:ascii="Arial" w:hAnsi="Arial" w:cs="Arial"/>
          <w:sz w:val="24"/>
          <w:szCs w:val="24"/>
        </w:rPr>
      </w:pPr>
    </w:p>
    <w:p w14:paraId="0AB8B905" w14:textId="77777777" w:rsidR="00630873" w:rsidRPr="00103A0B" w:rsidRDefault="00630873" w:rsidP="00AE2E58">
      <w:pPr>
        <w:spacing w:line="360" w:lineRule="auto"/>
        <w:jc w:val="both"/>
        <w:rPr>
          <w:rFonts w:ascii="Arial" w:hAnsi="Arial" w:cs="Arial"/>
          <w:sz w:val="24"/>
          <w:szCs w:val="24"/>
        </w:rPr>
      </w:pPr>
      <w:r w:rsidRPr="00103A0B">
        <w:rPr>
          <w:rFonts w:ascii="Arial" w:hAnsi="Arial" w:cs="Arial"/>
          <w:sz w:val="24"/>
          <w:szCs w:val="24"/>
        </w:rPr>
        <w:t xml:space="preserve"> </w:t>
      </w:r>
    </w:p>
    <w:p w14:paraId="7DD27014" w14:textId="7063F68B" w:rsidR="00630873" w:rsidRPr="00103A0B" w:rsidRDefault="00630873" w:rsidP="00CD5919">
      <w:pPr>
        <w:jc w:val="both"/>
        <w:rPr>
          <w:rFonts w:ascii="Arial" w:hAnsi="Arial" w:cs="Arial"/>
          <w:b/>
          <w:bCs/>
          <w:sz w:val="28"/>
          <w:szCs w:val="28"/>
        </w:rPr>
      </w:pPr>
    </w:p>
    <w:p w14:paraId="45F62DD4" w14:textId="1048F742" w:rsidR="00630873" w:rsidRPr="00103A0B" w:rsidRDefault="00630873" w:rsidP="00CD5919">
      <w:pPr>
        <w:jc w:val="both"/>
        <w:rPr>
          <w:rFonts w:ascii="Arial" w:hAnsi="Arial" w:cs="Arial"/>
          <w:b/>
          <w:bCs/>
          <w:sz w:val="28"/>
          <w:szCs w:val="28"/>
        </w:rPr>
      </w:pPr>
    </w:p>
    <w:p w14:paraId="5A425F44" w14:textId="3F4D87B3" w:rsidR="00630873" w:rsidRPr="00103A0B" w:rsidRDefault="00630873" w:rsidP="00CD5919">
      <w:pPr>
        <w:jc w:val="both"/>
        <w:rPr>
          <w:rFonts w:ascii="Arial" w:hAnsi="Arial" w:cs="Arial"/>
          <w:b/>
          <w:bCs/>
          <w:sz w:val="28"/>
          <w:szCs w:val="28"/>
        </w:rPr>
      </w:pPr>
    </w:p>
    <w:p w14:paraId="1C5BA942" w14:textId="03790A8B" w:rsidR="00630873" w:rsidRPr="00103A0B" w:rsidRDefault="00630873" w:rsidP="00CD5919">
      <w:pPr>
        <w:jc w:val="both"/>
        <w:rPr>
          <w:rFonts w:ascii="Arial" w:hAnsi="Arial" w:cs="Arial"/>
          <w:b/>
          <w:bCs/>
          <w:sz w:val="28"/>
          <w:szCs w:val="28"/>
        </w:rPr>
      </w:pPr>
    </w:p>
    <w:p w14:paraId="55962780" w14:textId="7C762B65" w:rsidR="00630873" w:rsidRPr="00103A0B" w:rsidRDefault="00630873" w:rsidP="00CD5919">
      <w:pPr>
        <w:jc w:val="both"/>
        <w:rPr>
          <w:rFonts w:ascii="Arial" w:hAnsi="Arial" w:cs="Arial"/>
          <w:b/>
          <w:bCs/>
          <w:sz w:val="28"/>
          <w:szCs w:val="28"/>
        </w:rPr>
      </w:pPr>
    </w:p>
    <w:p w14:paraId="5C6BAFFC" w14:textId="2A4B3EC6" w:rsidR="00630873" w:rsidRPr="00103A0B" w:rsidRDefault="00630873" w:rsidP="00CD5919">
      <w:pPr>
        <w:jc w:val="both"/>
        <w:rPr>
          <w:rFonts w:ascii="Arial" w:hAnsi="Arial" w:cs="Arial"/>
          <w:b/>
          <w:bCs/>
          <w:sz w:val="28"/>
          <w:szCs w:val="28"/>
        </w:rPr>
      </w:pPr>
    </w:p>
    <w:p w14:paraId="23B3FECF" w14:textId="0B63FF5F" w:rsidR="00630873" w:rsidRPr="00103A0B" w:rsidRDefault="00630873" w:rsidP="00CD5919">
      <w:pPr>
        <w:jc w:val="both"/>
        <w:rPr>
          <w:rFonts w:ascii="Arial" w:hAnsi="Arial" w:cs="Arial"/>
          <w:b/>
          <w:bCs/>
          <w:sz w:val="28"/>
          <w:szCs w:val="28"/>
        </w:rPr>
      </w:pPr>
    </w:p>
    <w:p w14:paraId="164895EA" w14:textId="79ABE089" w:rsidR="00630873" w:rsidRPr="00103A0B" w:rsidRDefault="00630873" w:rsidP="00CD5919">
      <w:pPr>
        <w:jc w:val="both"/>
        <w:rPr>
          <w:rFonts w:ascii="Arial" w:hAnsi="Arial" w:cs="Arial"/>
          <w:b/>
          <w:bCs/>
          <w:sz w:val="28"/>
          <w:szCs w:val="28"/>
        </w:rPr>
      </w:pPr>
    </w:p>
    <w:p w14:paraId="51D1E041" w14:textId="7B94FA72" w:rsidR="00630873" w:rsidRPr="00103A0B" w:rsidRDefault="00630873" w:rsidP="00CD5919">
      <w:pPr>
        <w:jc w:val="both"/>
        <w:rPr>
          <w:rFonts w:ascii="Arial" w:hAnsi="Arial" w:cs="Arial"/>
          <w:b/>
          <w:bCs/>
          <w:sz w:val="28"/>
          <w:szCs w:val="28"/>
        </w:rPr>
      </w:pPr>
    </w:p>
    <w:p w14:paraId="1D58E9A4" w14:textId="770806BA" w:rsidR="00630873" w:rsidRPr="00103A0B" w:rsidRDefault="00630873" w:rsidP="00CD5919">
      <w:pPr>
        <w:jc w:val="both"/>
        <w:rPr>
          <w:rFonts w:ascii="Arial" w:hAnsi="Arial" w:cs="Arial"/>
          <w:b/>
          <w:bCs/>
          <w:sz w:val="28"/>
          <w:szCs w:val="28"/>
        </w:rPr>
      </w:pPr>
    </w:p>
    <w:p w14:paraId="09F6F8B9" w14:textId="62B07B17" w:rsidR="00630873" w:rsidRPr="00103A0B" w:rsidRDefault="00630873" w:rsidP="00CD5919">
      <w:pPr>
        <w:jc w:val="both"/>
        <w:rPr>
          <w:rFonts w:ascii="Arial" w:hAnsi="Arial" w:cs="Arial"/>
          <w:b/>
          <w:bCs/>
          <w:sz w:val="28"/>
          <w:szCs w:val="28"/>
        </w:rPr>
      </w:pPr>
    </w:p>
    <w:p w14:paraId="276F0FCD" w14:textId="6ABDFB45" w:rsidR="00630873" w:rsidRPr="00103A0B" w:rsidRDefault="00630873" w:rsidP="00CD5919">
      <w:pPr>
        <w:jc w:val="both"/>
        <w:rPr>
          <w:rFonts w:ascii="Arial" w:hAnsi="Arial" w:cs="Arial"/>
          <w:b/>
          <w:bCs/>
          <w:sz w:val="28"/>
          <w:szCs w:val="28"/>
        </w:rPr>
      </w:pPr>
    </w:p>
    <w:p w14:paraId="155D7111" w14:textId="3CC75B57" w:rsidR="00630873" w:rsidRPr="00103A0B" w:rsidRDefault="00630873" w:rsidP="00CD5919">
      <w:pPr>
        <w:jc w:val="both"/>
        <w:rPr>
          <w:rFonts w:ascii="Arial" w:hAnsi="Arial" w:cs="Arial"/>
          <w:b/>
          <w:bCs/>
          <w:sz w:val="28"/>
          <w:szCs w:val="28"/>
        </w:rPr>
      </w:pPr>
    </w:p>
    <w:p w14:paraId="7BEA0F0F" w14:textId="77777777" w:rsidR="00AE2E58" w:rsidRPr="00103A0B" w:rsidRDefault="00AE2E58">
      <w:pPr>
        <w:rPr>
          <w:rFonts w:ascii="Arial" w:hAnsi="Arial" w:cs="Arial"/>
          <w:b/>
          <w:bCs/>
          <w:sz w:val="28"/>
          <w:szCs w:val="28"/>
        </w:rPr>
      </w:pPr>
    </w:p>
    <w:p w14:paraId="759FA50E" w14:textId="25A7D4D1" w:rsidR="00630873" w:rsidRPr="00103A0B" w:rsidRDefault="00630873" w:rsidP="00CD5919">
      <w:pPr>
        <w:jc w:val="both"/>
        <w:rPr>
          <w:rFonts w:ascii="Arial" w:hAnsi="Arial" w:cs="Arial"/>
          <w:b/>
          <w:bCs/>
          <w:sz w:val="28"/>
          <w:szCs w:val="28"/>
        </w:rPr>
      </w:pPr>
      <w:r w:rsidRPr="00103A0B">
        <w:rPr>
          <w:rFonts w:ascii="Arial" w:hAnsi="Arial" w:cs="Arial"/>
          <w:b/>
          <w:bCs/>
          <w:sz w:val="28"/>
          <w:szCs w:val="28"/>
        </w:rPr>
        <w:lastRenderedPageBreak/>
        <w:t>Appendix 5: The Warwick-Edinburgh Mental Well-being Scale (WEMWBS) (Chapter 4)</w:t>
      </w:r>
    </w:p>
    <w:p w14:paraId="17593EC1" w14:textId="55C93420" w:rsidR="00630873" w:rsidRPr="00103A0B" w:rsidRDefault="00630873" w:rsidP="00CD5919">
      <w:pPr>
        <w:jc w:val="both"/>
        <w:rPr>
          <w:rFonts w:ascii="Arial" w:hAnsi="Arial" w:cs="Arial"/>
          <w:b/>
          <w:bCs/>
          <w:sz w:val="28"/>
          <w:szCs w:val="28"/>
        </w:rPr>
      </w:pPr>
    </w:p>
    <w:p w14:paraId="22E18A71" w14:textId="4188CA39" w:rsidR="00630873" w:rsidRPr="00103A0B" w:rsidRDefault="00630873" w:rsidP="00CD5919">
      <w:pPr>
        <w:jc w:val="both"/>
        <w:rPr>
          <w:rFonts w:ascii="Arial" w:hAnsi="Arial" w:cs="Arial"/>
          <w:b/>
          <w:bCs/>
          <w:sz w:val="28"/>
          <w:szCs w:val="28"/>
        </w:rPr>
      </w:pPr>
      <w:r w:rsidRPr="00103A0B">
        <w:rPr>
          <w:noProof/>
        </w:rPr>
        <w:drawing>
          <wp:inline distT="0" distB="0" distL="0" distR="0" wp14:anchorId="37C2B6E3" wp14:editId="02287DF9">
            <wp:extent cx="5731510" cy="6368696"/>
            <wp:effectExtent l="0" t="0" r="0" b="0"/>
            <wp:docPr id="4" name="Picture 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pic:cNvPicPr/>
                  </pic:nvPicPr>
                  <pic:blipFill rotWithShape="1">
                    <a:blip r:embed="rId29"/>
                    <a:srcRect l="20108" t="22463" r="45491" b="9557"/>
                    <a:stretch/>
                  </pic:blipFill>
                  <pic:spPr bwMode="auto">
                    <a:xfrm>
                      <a:off x="0" y="0"/>
                      <a:ext cx="5731510" cy="6368696"/>
                    </a:xfrm>
                    <a:prstGeom prst="rect">
                      <a:avLst/>
                    </a:prstGeom>
                    <a:ln>
                      <a:noFill/>
                    </a:ln>
                    <a:extLst>
                      <a:ext uri="{53640926-AAD7-44D8-BBD7-CCE9431645EC}">
                        <a14:shadowObscured xmlns:a14="http://schemas.microsoft.com/office/drawing/2010/main"/>
                      </a:ext>
                    </a:extLst>
                  </pic:spPr>
                </pic:pic>
              </a:graphicData>
            </a:graphic>
          </wp:inline>
        </w:drawing>
      </w:r>
    </w:p>
    <w:p w14:paraId="08618CF2" w14:textId="77777777" w:rsidR="00630873" w:rsidRPr="00103A0B" w:rsidRDefault="00630873" w:rsidP="00CD5919">
      <w:pPr>
        <w:jc w:val="both"/>
        <w:rPr>
          <w:rFonts w:ascii="Arial" w:hAnsi="Arial" w:cs="Arial"/>
          <w:b/>
          <w:bCs/>
          <w:sz w:val="28"/>
          <w:szCs w:val="28"/>
        </w:rPr>
      </w:pPr>
    </w:p>
    <w:p w14:paraId="3CC2C8B1" w14:textId="77777777" w:rsidR="00630873" w:rsidRPr="00103A0B" w:rsidRDefault="00630873" w:rsidP="00CD5919">
      <w:pPr>
        <w:jc w:val="both"/>
        <w:rPr>
          <w:rFonts w:ascii="Arial" w:hAnsi="Arial" w:cs="Arial"/>
          <w:b/>
          <w:bCs/>
          <w:sz w:val="28"/>
          <w:szCs w:val="28"/>
        </w:rPr>
      </w:pPr>
    </w:p>
    <w:p w14:paraId="0809A35A" w14:textId="77777777" w:rsidR="00630873" w:rsidRPr="00103A0B" w:rsidRDefault="00630873" w:rsidP="00CD5919">
      <w:pPr>
        <w:jc w:val="both"/>
        <w:rPr>
          <w:rFonts w:ascii="Arial" w:hAnsi="Arial" w:cs="Arial"/>
          <w:b/>
          <w:bCs/>
          <w:sz w:val="28"/>
          <w:szCs w:val="28"/>
        </w:rPr>
      </w:pPr>
    </w:p>
    <w:p w14:paraId="62DADAEB" w14:textId="77777777" w:rsidR="00630873" w:rsidRPr="00103A0B" w:rsidRDefault="00630873" w:rsidP="00CD5919">
      <w:pPr>
        <w:jc w:val="both"/>
        <w:rPr>
          <w:rFonts w:ascii="Arial" w:hAnsi="Arial" w:cs="Arial"/>
          <w:b/>
          <w:bCs/>
          <w:sz w:val="28"/>
          <w:szCs w:val="28"/>
        </w:rPr>
      </w:pPr>
    </w:p>
    <w:p w14:paraId="121669F7" w14:textId="77777777" w:rsidR="00D23942" w:rsidRPr="00103A0B" w:rsidRDefault="00D23942" w:rsidP="00CD5919">
      <w:pPr>
        <w:jc w:val="both"/>
        <w:rPr>
          <w:rFonts w:ascii="Arial" w:hAnsi="Arial" w:cs="Arial"/>
          <w:b/>
          <w:bCs/>
          <w:sz w:val="28"/>
          <w:szCs w:val="28"/>
        </w:rPr>
      </w:pPr>
    </w:p>
    <w:p w14:paraId="00EBF16A" w14:textId="77777777" w:rsidR="00D23942" w:rsidRPr="00103A0B" w:rsidRDefault="00D23942" w:rsidP="00CD5919">
      <w:pPr>
        <w:jc w:val="both"/>
        <w:rPr>
          <w:rFonts w:ascii="Arial" w:hAnsi="Arial" w:cs="Arial"/>
          <w:b/>
          <w:bCs/>
          <w:sz w:val="28"/>
          <w:szCs w:val="28"/>
        </w:rPr>
        <w:sectPr w:rsidR="00D23942" w:rsidRPr="00103A0B" w:rsidSect="00BB2420">
          <w:pgSz w:w="11906" w:h="16838"/>
          <w:pgMar w:top="1440" w:right="1440" w:bottom="1440" w:left="1440" w:header="708" w:footer="708" w:gutter="0"/>
          <w:cols w:space="708"/>
          <w:docGrid w:linePitch="360"/>
        </w:sectPr>
      </w:pPr>
    </w:p>
    <w:p w14:paraId="5339BC54" w14:textId="3E099E9B" w:rsidR="009C03C2" w:rsidRPr="00103A0B" w:rsidRDefault="00630873" w:rsidP="00CD5919">
      <w:pPr>
        <w:jc w:val="both"/>
        <w:rPr>
          <w:rFonts w:ascii="Arial" w:hAnsi="Arial" w:cs="Arial"/>
          <w:b/>
          <w:bCs/>
          <w:sz w:val="28"/>
          <w:szCs w:val="28"/>
        </w:rPr>
      </w:pPr>
      <w:r w:rsidRPr="00103A0B">
        <w:rPr>
          <w:rFonts w:ascii="Arial" w:hAnsi="Arial" w:cs="Arial"/>
          <w:b/>
          <w:bCs/>
          <w:sz w:val="28"/>
          <w:szCs w:val="28"/>
        </w:rPr>
        <w:lastRenderedPageBreak/>
        <w:t xml:space="preserve">Appendix 6: </w:t>
      </w:r>
      <w:r w:rsidR="00F064BD" w:rsidRPr="00103A0B">
        <w:rPr>
          <w:rFonts w:ascii="Arial" w:hAnsi="Arial" w:cs="Arial"/>
          <w:b/>
          <w:bCs/>
          <w:sz w:val="28"/>
          <w:szCs w:val="28"/>
        </w:rPr>
        <w:t>Interview schedule (Chapter 5)</w:t>
      </w:r>
    </w:p>
    <w:p w14:paraId="373DF0BF" w14:textId="77777777" w:rsidR="000B0782" w:rsidRPr="00103A0B" w:rsidRDefault="000B0782" w:rsidP="007A0C6B">
      <w:pPr>
        <w:spacing w:line="360" w:lineRule="auto"/>
        <w:jc w:val="both"/>
        <w:rPr>
          <w:rFonts w:ascii="Arial" w:hAnsi="Arial" w:cs="Arial"/>
          <w:sz w:val="28"/>
          <w:szCs w:val="28"/>
          <w:u w:val="single"/>
        </w:rPr>
      </w:pPr>
      <w:r w:rsidRPr="00103A0B">
        <w:rPr>
          <w:rFonts w:ascii="Arial" w:hAnsi="Arial" w:cs="Arial"/>
          <w:sz w:val="28"/>
          <w:szCs w:val="28"/>
          <w:u w:val="single"/>
        </w:rPr>
        <w:t xml:space="preserve">Interview topic guide                                                                                                                                                                                                                                                                                            </w:t>
      </w:r>
    </w:p>
    <w:p w14:paraId="489DC262"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 xml:space="preserve">Interviewer script: Thank you for agreeing to take part in this interview. We would like to know your views on Type 2 diabetes and on the NHS Diabetes Prevention programme.  </w:t>
      </w:r>
    </w:p>
    <w:p w14:paraId="1C607F0A" w14:textId="61AB7DFC" w:rsidR="000B0782" w:rsidRPr="00103A0B" w:rsidRDefault="000B0782" w:rsidP="007A0C6B">
      <w:pPr>
        <w:spacing w:line="360" w:lineRule="auto"/>
        <w:jc w:val="both"/>
        <w:rPr>
          <w:rFonts w:ascii="Arial" w:hAnsi="Arial" w:cs="Arial"/>
          <w:b/>
          <w:sz w:val="20"/>
          <w:szCs w:val="20"/>
        </w:rPr>
      </w:pPr>
      <w:r w:rsidRPr="00103A0B">
        <w:rPr>
          <w:rFonts w:ascii="Arial" w:hAnsi="Arial" w:cs="Arial"/>
          <w:b/>
          <w:sz w:val="20"/>
          <w:szCs w:val="20"/>
        </w:rPr>
        <w:t>Study 1: Attenders Vs Non-Attenders</w:t>
      </w:r>
    </w:p>
    <w:p w14:paraId="3CF660F9"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Q1: What do you think Type 2 diabetes is?</w:t>
      </w:r>
    </w:p>
    <w:p w14:paraId="52F30F17"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 xml:space="preserve">Q2: What is your risk of developing Type 2 diabetes? </w:t>
      </w:r>
    </w:p>
    <w:p w14:paraId="5196CF01"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Q3: How did you hear about this programme (IA)?</w:t>
      </w:r>
    </w:p>
    <w:p w14:paraId="2190378D"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Q4: How did you feel when you first got this letter?</w:t>
      </w:r>
    </w:p>
    <w:p w14:paraId="34AFDC10"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Q5: What factors influenced your decision to attend/not attend the IA?</w:t>
      </w:r>
    </w:p>
    <w:p w14:paraId="599A225C"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Q6: How did you find the Initial Assessment?</w:t>
      </w:r>
    </w:p>
    <w:p w14:paraId="09250761"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Q7: What factors will influence your decision as to whether to attend/not attend this programme?</w:t>
      </w:r>
    </w:p>
    <w:p w14:paraId="6C98D38D"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Q8: How well do you feel you understand what the programme involves? How can this be improved?</w:t>
      </w:r>
    </w:p>
    <w:p w14:paraId="3DF8B4B8"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Q9: What can we do in the future to encourage people to attend both the IA and programme? (Non-attenders)</w:t>
      </w:r>
    </w:p>
    <w:p w14:paraId="0939D149"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Q10: What can we do to make it easier for you to complete the IA/programme you have just started? (Attenders)</w:t>
      </w:r>
    </w:p>
    <w:p w14:paraId="0A1E9A37"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 xml:space="preserve">Q11: Is there anything you are looking forward to? Anything you feel you are concerned/worried about? </w:t>
      </w:r>
    </w:p>
    <w:p w14:paraId="439A7A84" w14:textId="21133A1F"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Q12: Is there anything further you would like to add that has not been discussed so far?</w:t>
      </w:r>
    </w:p>
    <w:p w14:paraId="2349D1B0" w14:textId="77777777" w:rsidR="007A0C6B" w:rsidRPr="00103A0B" w:rsidRDefault="007A0C6B" w:rsidP="007A0C6B">
      <w:pPr>
        <w:spacing w:line="360" w:lineRule="auto"/>
        <w:jc w:val="both"/>
        <w:rPr>
          <w:rFonts w:ascii="Arial" w:hAnsi="Arial" w:cs="Arial"/>
          <w:sz w:val="20"/>
          <w:szCs w:val="20"/>
          <w:u w:val="single"/>
        </w:rPr>
      </w:pPr>
    </w:p>
    <w:p w14:paraId="185AFDE9" w14:textId="78A66A52" w:rsidR="000B0782" w:rsidRPr="00103A0B" w:rsidRDefault="000B0782" w:rsidP="007A0C6B">
      <w:pPr>
        <w:spacing w:line="360" w:lineRule="auto"/>
        <w:jc w:val="both"/>
        <w:rPr>
          <w:rFonts w:ascii="Arial" w:hAnsi="Arial" w:cs="Arial"/>
          <w:sz w:val="20"/>
          <w:szCs w:val="20"/>
          <w:u w:val="single"/>
        </w:rPr>
      </w:pPr>
      <w:r w:rsidRPr="00103A0B">
        <w:rPr>
          <w:rFonts w:ascii="Arial" w:hAnsi="Arial" w:cs="Arial"/>
          <w:sz w:val="20"/>
          <w:szCs w:val="20"/>
          <w:u w:val="single"/>
        </w:rPr>
        <w:t>Follow-up questions for non-attenders:</w:t>
      </w:r>
    </w:p>
    <w:p w14:paraId="75CB92F5" w14:textId="77777777" w:rsidR="000B0782" w:rsidRPr="00103A0B" w:rsidRDefault="000B0782" w:rsidP="007A0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0"/>
          <w:szCs w:val="20"/>
        </w:rPr>
      </w:pPr>
      <w:r w:rsidRPr="00103A0B">
        <w:rPr>
          <w:rFonts w:ascii="Arial" w:hAnsi="Arial" w:cs="Arial"/>
          <w:sz w:val="20"/>
          <w:szCs w:val="20"/>
        </w:rPr>
        <w:t>Q1: What kind of factors influenced your decision in not being able to start the programme?</w:t>
      </w:r>
    </w:p>
    <w:p w14:paraId="723459EF" w14:textId="79A98D80" w:rsidR="00A5142A" w:rsidRPr="00103A0B" w:rsidRDefault="000B0782" w:rsidP="007A0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0"/>
          <w:szCs w:val="20"/>
        </w:rPr>
      </w:pPr>
      <w:r w:rsidRPr="00103A0B">
        <w:rPr>
          <w:rFonts w:ascii="Arial" w:hAnsi="Arial" w:cs="Arial"/>
          <w:sz w:val="20"/>
          <w:szCs w:val="20"/>
        </w:rPr>
        <w:t>Q2: What can we do to encourage people to start the programme and attend?</w:t>
      </w:r>
    </w:p>
    <w:p w14:paraId="005D973F" w14:textId="15CCF088" w:rsidR="000B0782" w:rsidRPr="00103A0B" w:rsidRDefault="000B0782" w:rsidP="007A0C6B">
      <w:pPr>
        <w:spacing w:line="360" w:lineRule="auto"/>
        <w:jc w:val="both"/>
        <w:rPr>
          <w:rFonts w:ascii="Arial" w:hAnsi="Arial" w:cs="Arial"/>
          <w:sz w:val="20"/>
          <w:szCs w:val="20"/>
          <w:u w:val="single"/>
        </w:rPr>
      </w:pPr>
      <w:r w:rsidRPr="00103A0B">
        <w:rPr>
          <w:rFonts w:ascii="Arial" w:hAnsi="Arial" w:cs="Arial"/>
          <w:sz w:val="20"/>
          <w:szCs w:val="20"/>
          <w:u w:val="single"/>
        </w:rPr>
        <w:t>Follow-up question for attenders:</w:t>
      </w:r>
    </w:p>
    <w:p w14:paraId="2180044F" w14:textId="77777777" w:rsidR="000B0782" w:rsidRPr="00103A0B" w:rsidRDefault="000B0782" w:rsidP="007A0C6B">
      <w:pPr>
        <w:spacing w:line="360" w:lineRule="auto"/>
        <w:jc w:val="both"/>
        <w:rPr>
          <w:rFonts w:ascii="Arial" w:hAnsi="Arial" w:cs="Arial"/>
          <w:sz w:val="20"/>
          <w:szCs w:val="20"/>
        </w:rPr>
      </w:pPr>
      <w:r w:rsidRPr="00103A0B">
        <w:rPr>
          <w:rFonts w:ascii="Arial" w:hAnsi="Arial" w:cs="Arial"/>
          <w:sz w:val="20"/>
          <w:szCs w:val="20"/>
        </w:rPr>
        <w:t>Q1: What factors influenced your decision to start/attend the programme initially?</w:t>
      </w:r>
    </w:p>
    <w:p w14:paraId="47321BEC" w14:textId="77777777" w:rsidR="000B0782" w:rsidRPr="00103A0B" w:rsidRDefault="000B0782"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103A0B">
        <w:rPr>
          <w:rFonts w:ascii="Arial" w:hAnsi="Arial" w:cs="Arial"/>
          <w:sz w:val="20"/>
          <w:szCs w:val="20"/>
        </w:rPr>
        <w:t xml:space="preserve"> </w:t>
      </w:r>
    </w:p>
    <w:p w14:paraId="68661110" w14:textId="77777777" w:rsidR="000B0782" w:rsidRPr="00103A0B" w:rsidRDefault="000B0782" w:rsidP="00CD5919">
      <w:pPr>
        <w:spacing w:line="360" w:lineRule="auto"/>
        <w:jc w:val="both"/>
        <w:rPr>
          <w:rFonts w:ascii="Arial" w:hAnsi="Arial" w:cs="Arial"/>
          <w:i/>
          <w:sz w:val="20"/>
          <w:szCs w:val="20"/>
        </w:rPr>
      </w:pPr>
    </w:p>
    <w:p w14:paraId="38F49141" w14:textId="77777777" w:rsidR="000B14FB" w:rsidRPr="00103A0B" w:rsidRDefault="000B14FB" w:rsidP="00A5142A">
      <w:pPr>
        <w:keepLines/>
        <w:jc w:val="both"/>
        <w:rPr>
          <w:rFonts w:ascii="Arial" w:hAnsi="Arial" w:cs="Arial"/>
          <w:b/>
          <w:bCs/>
          <w:sz w:val="28"/>
          <w:szCs w:val="28"/>
        </w:rPr>
      </w:pPr>
    </w:p>
    <w:p w14:paraId="3FDDA58F" w14:textId="77777777" w:rsidR="00D23942" w:rsidRPr="00103A0B" w:rsidRDefault="00D23942" w:rsidP="00A5142A">
      <w:pPr>
        <w:keepLines/>
        <w:jc w:val="both"/>
        <w:rPr>
          <w:rFonts w:ascii="Arial" w:hAnsi="Arial" w:cs="Arial"/>
          <w:b/>
          <w:bCs/>
          <w:sz w:val="28"/>
          <w:szCs w:val="28"/>
        </w:rPr>
        <w:sectPr w:rsidR="00D23942" w:rsidRPr="00103A0B" w:rsidSect="00BB2420">
          <w:pgSz w:w="11906" w:h="16838"/>
          <w:pgMar w:top="1440" w:right="1440" w:bottom="1440" w:left="1440" w:header="708" w:footer="708" w:gutter="0"/>
          <w:cols w:space="708"/>
          <w:docGrid w:linePitch="360"/>
        </w:sectPr>
      </w:pPr>
    </w:p>
    <w:p w14:paraId="66CD5347" w14:textId="6F981899" w:rsidR="000B0782" w:rsidRPr="00103A0B" w:rsidRDefault="000B0782" w:rsidP="00A5142A">
      <w:pPr>
        <w:keepLines/>
        <w:jc w:val="both"/>
        <w:rPr>
          <w:rFonts w:ascii="Arial" w:hAnsi="Arial" w:cs="Arial"/>
          <w:b/>
          <w:bCs/>
          <w:sz w:val="28"/>
          <w:szCs w:val="28"/>
        </w:rPr>
      </w:pPr>
      <w:r w:rsidRPr="00103A0B">
        <w:rPr>
          <w:rFonts w:ascii="Arial" w:hAnsi="Arial" w:cs="Arial"/>
          <w:b/>
          <w:bCs/>
          <w:sz w:val="28"/>
          <w:szCs w:val="28"/>
        </w:rPr>
        <w:lastRenderedPageBreak/>
        <w:t xml:space="preserve">Appendix </w:t>
      </w:r>
      <w:r w:rsidR="00630873" w:rsidRPr="00103A0B">
        <w:rPr>
          <w:rFonts w:ascii="Arial" w:hAnsi="Arial" w:cs="Arial"/>
          <w:b/>
          <w:bCs/>
          <w:sz w:val="28"/>
          <w:szCs w:val="28"/>
        </w:rPr>
        <w:t>7</w:t>
      </w:r>
      <w:r w:rsidRPr="00103A0B">
        <w:rPr>
          <w:rFonts w:ascii="Arial" w:hAnsi="Arial" w:cs="Arial"/>
          <w:b/>
          <w:bCs/>
          <w:sz w:val="28"/>
          <w:szCs w:val="28"/>
        </w:rPr>
        <w:t>: Interview schedule (</w:t>
      </w:r>
      <w:r w:rsidR="002544A6" w:rsidRPr="00103A0B">
        <w:rPr>
          <w:rFonts w:ascii="Arial" w:hAnsi="Arial" w:cs="Arial"/>
          <w:b/>
          <w:bCs/>
          <w:sz w:val="28"/>
          <w:szCs w:val="28"/>
        </w:rPr>
        <w:t>C</w:t>
      </w:r>
      <w:r w:rsidRPr="00103A0B">
        <w:rPr>
          <w:rFonts w:ascii="Arial" w:hAnsi="Arial" w:cs="Arial"/>
          <w:b/>
          <w:bCs/>
          <w:sz w:val="28"/>
          <w:szCs w:val="28"/>
        </w:rPr>
        <w:t>hapter 6)</w:t>
      </w:r>
    </w:p>
    <w:p w14:paraId="7FE1F8AD" w14:textId="298332E3" w:rsidR="000B0782" w:rsidRPr="00103A0B" w:rsidRDefault="000B0782" w:rsidP="00CD5919">
      <w:pPr>
        <w:jc w:val="both"/>
        <w:rPr>
          <w:rFonts w:ascii="Arial" w:hAnsi="Arial" w:cs="Arial"/>
          <w:sz w:val="24"/>
          <w:szCs w:val="24"/>
          <w:u w:val="single"/>
        </w:rPr>
      </w:pPr>
      <w:r w:rsidRPr="00103A0B">
        <w:rPr>
          <w:rFonts w:ascii="Arial" w:hAnsi="Arial" w:cs="Arial"/>
          <w:sz w:val="24"/>
          <w:szCs w:val="24"/>
          <w:u w:val="single"/>
        </w:rPr>
        <w:t>Interview topic guide for completers and non-completers</w:t>
      </w:r>
    </w:p>
    <w:p w14:paraId="02E4C10F" w14:textId="2943F8DF" w:rsidR="000B0782" w:rsidRPr="00103A0B" w:rsidRDefault="000B0782" w:rsidP="00CD5919">
      <w:pPr>
        <w:jc w:val="both"/>
        <w:rPr>
          <w:rFonts w:ascii="Arial" w:hAnsi="Arial" w:cs="Arial"/>
          <w:sz w:val="24"/>
          <w:szCs w:val="24"/>
        </w:rPr>
      </w:pPr>
      <w:r w:rsidRPr="00103A0B">
        <w:rPr>
          <w:rFonts w:ascii="Arial" w:hAnsi="Arial" w:cs="Arial"/>
          <w:sz w:val="24"/>
          <w:szCs w:val="24"/>
        </w:rPr>
        <w:t xml:space="preserve">Interviewer script: Thank you for agreeing to take part in this interview. We would like to know your views on Type 2 diabetes and on the NHS Diabetes Prevention programme.  </w:t>
      </w:r>
    </w:p>
    <w:p w14:paraId="1CCF0C8E" w14:textId="77777777" w:rsidR="000B0782" w:rsidRPr="00103A0B" w:rsidRDefault="000B0782" w:rsidP="00CD5919">
      <w:pPr>
        <w:jc w:val="both"/>
        <w:rPr>
          <w:rFonts w:ascii="Arial" w:hAnsi="Arial" w:cs="Arial"/>
          <w:b/>
          <w:bCs/>
          <w:sz w:val="24"/>
          <w:szCs w:val="24"/>
        </w:rPr>
      </w:pPr>
      <w:r w:rsidRPr="00103A0B">
        <w:rPr>
          <w:rFonts w:ascii="Arial" w:hAnsi="Arial" w:cs="Arial"/>
          <w:b/>
          <w:bCs/>
          <w:sz w:val="24"/>
          <w:szCs w:val="24"/>
        </w:rPr>
        <w:t>Study 2: Completers Vs Non-Completers</w:t>
      </w:r>
    </w:p>
    <w:p w14:paraId="4E216E97"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Q1: What do you think Type 2 diabetes is?</w:t>
      </w:r>
    </w:p>
    <w:p w14:paraId="739C80E0"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 xml:space="preserve">Q2: What is your risk of developing Type 2 diabetes? </w:t>
      </w:r>
    </w:p>
    <w:p w14:paraId="56091267"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Q3: What factors influenced your decision to attend this programme initially?</w:t>
      </w:r>
    </w:p>
    <w:p w14:paraId="3513CB2A"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Q4: How well did you feel you understood what the programme involved? How could this be improved?</w:t>
      </w:r>
    </w:p>
    <w:p w14:paraId="5365EA9D"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 xml:space="preserve">Q5: What was your experience like of having completed all / some of the programme? </w:t>
      </w:r>
    </w:p>
    <w:p w14:paraId="07E67982"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 xml:space="preserve">Q6: What factors influenced your decision to continue/ no longer continue with this programme? </w:t>
      </w:r>
    </w:p>
    <w:p w14:paraId="2FD015FE"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 xml:space="preserve">Q7: How do you feel about recommending this programme to others? </w:t>
      </w:r>
    </w:p>
    <w:p w14:paraId="5CE879BA"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 xml:space="preserve">Q8: After going through the programme, how well equipped do you feel in taking the right steps to prevent yourself from developing Type 2 diabetes? </w:t>
      </w:r>
    </w:p>
    <w:p w14:paraId="5D92C736"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Q9: What impact (if any) does this programme have on your life?</w:t>
      </w:r>
    </w:p>
    <w:p w14:paraId="62F13902"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Q10: What can we do in the future to make it easier for others to continue with the programme until the end? (Non-completers)</w:t>
      </w:r>
    </w:p>
    <w:p w14:paraId="5B24EC20" w14:textId="77777777" w:rsidR="000B0782" w:rsidRPr="00103A0B" w:rsidRDefault="000B0782" w:rsidP="00CD5919">
      <w:pPr>
        <w:spacing w:before="240"/>
        <w:jc w:val="both"/>
        <w:rPr>
          <w:rFonts w:ascii="Arial" w:hAnsi="Arial" w:cs="Arial"/>
          <w:sz w:val="24"/>
          <w:szCs w:val="24"/>
        </w:rPr>
      </w:pPr>
      <w:r w:rsidRPr="00103A0B">
        <w:rPr>
          <w:rFonts w:ascii="Arial" w:hAnsi="Arial" w:cs="Arial"/>
          <w:sz w:val="24"/>
          <w:szCs w:val="24"/>
        </w:rPr>
        <w:t>Q11: Is there anything further you would like to add that has not been discussed so far?</w:t>
      </w:r>
    </w:p>
    <w:p w14:paraId="32835EC5" w14:textId="77777777" w:rsidR="000B0782" w:rsidRPr="00103A0B" w:rsidRDefault="000B0782" w:rsidP="00CD5919">
      <w:pPr>
        <w:jc w:val="both"/>
        <w:rPr>
          <w:rFonts w:ascii="Arial" w:hAnsi="Arial" w:cs="Arial"/>
          <w:sz w:val="24"/>
          <w:szCs w:val="24"/>
        </w:rPr>
      </w:pPr>
    </w:p>
    <w:p w14:paraId="74D7688E" w14:textId="77777777" w:rsidR="000B0782" w:rsidRPr="00103A0B" w:rsidRDefault="000B0782" w:rsidP="00CD5919">
      <w:pPr>
        <w:jc w:val="both"/>
        <w:rPr>
          <w:rFonts w:ascii="Arial" w:hAnsi="Arial" w:cs="Arial"/>
          <w:sz w:val="24"/>
          <w:szCs w:val="24"/>
        </w:rPr>
      </w:pPr>
      <w:r w:rsidRPr="00103A0B">
        <w:rPr>
          <w:rFonts w:ascii="Arial" w:hAnsi="Arial" w:cs="Arial"/>
          <w:sz w:val="24"/>
          <w:szCs w:val="24"/>
        </w:rPr>
        <w:t>Thank you for taking part. Please feel free to contact me for any further information on this programme or if you think about anything else that might be useful for us.</w:t>
      </w:r>
    </w:p>
    <w:p w14:paraId="06D30A3F" w14:textId="77777777" w:rsidR="000B0782" w:rsidRPr="00103A0B" w:rsidRDefault="000B0782" w:rsidP="00CD5919">
      <w:pPr>
        <w:jc w:val="both"/>
        <w:rPr>
          <w:rFonts w:ascii="Arial" w:hAnsi="Arial" w:cs="Arial"/>
          <w:sz w:val="24"/>
          <w:szCs w:val="24"/>
        </w:rPr>
      </w:pPr>
      <w:r w:rsidRPr="00103A0B">
        <w:rPr>
          <w:rFonts w:ascii="Arial" w:hAnsi="Arial" w:cs="Arial"/>
          <w:sz w:val="24"/>
          <w:szCs w:val="24"/>
        </w:rPr>
        <w:t xml:space="preserve">Contact details are on the Information Sheet you received earlier.  </w:t>
      </w:r>
    </w:p>
    <w:p w14:paraId="693CD3B3" w14:textId="77777777" w:rsidR="000B0782" w:rsidRPr="00103A0B" w:rsidRDefault="000B0782" w:rsidP="00CD5919">
      <w:pPr>
        <w:jc w:val="both"/>
        <w:rPr>
          <w:rFonts w:ascii="Arial" w:hAnsi="Arial" w:cs="Arial"/>
          <w:sz w:val="24"/>
          <w:szCs w:val="24"/>
        </w:rPr>
      </w:pPr>
    </w:p>
    <w:p w14:paraId="5D92586F" w14:textId="77777777" w:rsidR="000B0782" w:rsidRPr="00103A0B" w:rsidRDefault="000B0782" w:rsidP="00CD5919">
      <w:pPr>
        <w:jc w:val="both"/>
      </w:pPr>
    </w:p>
    <w:p w14:paraId="7B2663EA" w14:textId="77777777" w:rsidR="000B0782" w:rsidRPr="00103A0B" w:rsidRDefault="000B0782" w:rsidP="00CD5919">
      <w:pPr>
        <w:jc w:val="both"/>
        <w:rPr>
          <w:lang w:eastAsia="en-GB" w:bidi="en-US"/>
        </w:rPr>
      </w:pPr>
    </w:p>
    <w:p w14:paraId="71E972A3" w14:textId="77777777" w:rsidR="00A5142A" w:rsidRPr="00103A0B" w:rsidRDefault="00A5142A" w:rsidP="00CD5919">
      <w:pPr>
        <w:jc w:val="both"/>
        <w:rPr>
          <w:rFonts w:ascii="Arial" w:hAnsi="Arial" w:cs="Arial"/>
          <w:b/>
          <w:bCs/>
          <w:sz w:val="28"/>
          <w:szCs w:val="28"/>
        </w:rPr>
      </w:pPr>
    </w:p>
    <w:p w14:paraId="05CB6039" w14:textId="77777777" w:rsidR="000B14FB" w:rsidRPr="00103A0B" w:rsidRDefault="000B14FB" w:rsidP="00A5142A">
      <w:pPr>
        <w:keepLines/>
        <w:jc w:val="both"/>
        <w:rPr>
          <w:rFonts w:ascii="Arial" w:hAnsi="Arial" w:cs="Arial"/>
          <w:b/>
          <w:bCs/>
          <w:sz w:val="28"/>
          <w:szCs w:val="28"/>
        </w:rPr>
      </w:pPr>
    </w:p>
    <w:p w14:paraId="386C4983" w14:textId="50F5EE7F" w:rsidR="009C03C2" w:rsidRPr="00103A0B" w:rsidRDefault="00C45D0A" w:rsidP="00A5142A">
      <w:pPr>
        <w:keepLines/>
        <w:jc w:val="both"/>
        <w:rPr>
          <w:rFonts w:ascii="Arial" w:hAnsi="Arial" w:cs="Arial"/>
          <w:b/>
          <w:bCs/>
          <w:sz w:val="28"/>
          <w:szCs w:val="28"/>
        </w:rPr>
      </w:pPr>
      <w:r w:rsidRPr="00103A0B">
        <w:rPr>
          <w:rFonts w:ascii="Arial" w:hAnsi="Arial" w:cs="Arial"/>
          <w:b/>
          <w:bCs/>
          <w:sz w:val="28"/>
          <w:szCs w:val="28"/>
        </w:rPr>
        <w:lastRenderedPageBreak/>
        <w:t xml:space="preserve">Appendix </w:t>
      </w:r>
      <w:r w:rsidR="00630873" w:rsidRPr="00103A0B">
        <w:rPr>
          <w:rFonts w:ascii="Arial" w:hAnsi="Arial" w:cs="Arial"/>
          <w:b/>
          <w:bCs/>
          <w:sz w:val="28"/>
          <w:szCs w:val="28"/>
        </w:rPr>
        <w:t>8</w:t>
      </w:r>
      <w:r w:rsidRPr="00103A0B">
        <w:rPr>
          <w:rFonts w:ascii="Arial" w:hAnsi="Arial" w:cs="Arial"/>
          <w:b/>
          <w:bCs/>
          <w:sz w:val="28"/>
          <w:szCs w:val="28"/>
        </w:rPr>
        <w:t xml:space="preserve">: </w:t>
      </w:r>
      <w:r w:rsidR="00F064BD" w:rsidRPr="00103A0B">
        <w:rPr>
          <w:rFonts w:ascii="Arial" w:hAnsi="Arial" w:cs="Arial"/>
          <w:b/>
          <w:bCs/>
          <w:sz w:val="28"/>
          <w:szCs w:val="28"/>
        </w:rPr>
        <w:t>Example of coding (Chapter 5)</w:t>
      </w:r>
    </w:p>
    <w:p w14:paraId="15F755FC" w14:textId="77777777" w:rsidR="002544A6" w:rsidRPr="00103A0B" w:rsidRDefault="002544A6" w:rsidP="00CD5919">
      <w:pPr>
        <w:spacing w:line="360" w:lineRule="auto"/>
        <w:jc w:val="both"/>
        <w:rPr>
          <w:rFonts w:ascii="Arial" w:hAnsi="Arial" w:cs="Arial"/>
          <w:sz w:val="24"/>
          <w:szCs w:val="24"/>
        </w:rPr>
      </w:pPr>
    </w:p>
    <w:p w14:paraId="1CFB2BA8" w14:textId="4CAA582C" w:rsidR="00C13876" w:rsidRPr="00103A0B" w:rsidRDefault="00C13876" w:rsidP="00CD5919">
      <w:pPr>
        <w:spacing w:line="360" w:lineRule="auto"/>
        <w:jc w:val="both"/>
        <w:rPr>
          <w:rFonts w:ascii="Arial" w:hAnsi="Arial" w:cs="Arial"/>
          <w:sz w:val="24"/>
          <w:szCs w:val="24"/>
        </w:rPr>
      </w:pPr>
      <w:r w:rsidRPr="00103A0B">
        <w:rPr>
          <w:rFonts w:ascii="Arial" w:hAnsi="Arial" w:cs="Arial"/>
          <w:sz w:val="24"/>
          <w:szCs w:val="24"/>
        </w:rPr>
        <w:t>An example of initial codes that were identified and subsequent sub-themes and themes derived from the data for the study described in Chapter 5 are shown below. Transcripts were analysed using inductive thematic analysis with an essentialist epistemological approach. The six phases of thematic analysis developed by Braun and Clarke</w:t>
      </w:r>
      <w:r w:rsidR="00103F20" w:rsidRPr="00103A0B">
        <w:rPr>
          <w:rFonts w:ascii="Arial" w:hAnsi="Arial" w:cs="Arial"/>
          <w:sz w:val="24"/>
          <w:szCs w:val="24"/>
        </w:rPr>
        <w:t>`s</w:t>
      </w:r>
      <w:r w:rsidRPr="00103A0B">
        <w:rPr>
          <w:rFonts w:ascii="Arial" w:hAnsi="Arial" w:cs="Arial"/>
          <w:sz w:val="24"/>
          <w:szCs w:val="24"/>
        </w:rPr>
        <w:t xml:space="preserve"> (2006) were followed, starting with data familiarisation, initial coding (Column 1), and development of possible sub-themes and themes (Column 2), which were then discussed (Column 3) to refine and finalise the final sub-themes and themes (Columns 4 and 5). </w:t>
      </w:r>
    </w:p>
    <w:p w14:paraId="3E056F98" w14:textId="7196EB5D" w:rsidR="002544A6" w:rsidRPr="00103A0B" w:rsidRDefault="002544A6" w:rsidP="00CD5919">
      <w:pPr>
        <w:spacing w:line="360" w:lineRule="auto"/>
        <w:jc w:val="both"/>
        <w:rPr>
          <w:rFonts w:ascii="Arial" w:hAnsi="Arial" w:cs="Arial"/>
          <w:sz w:val="24"/>
          <w:szCs w:val="24"/>
        </w:rPr>
      </w:pPr>
    </w:p>
    <w:p w14:paraId="45D0441F" w14:textId="61D2447B" w:rsidR="002544A6" w:rsidRPr="00103A0B" w:rsidRDefault="002544A6" w:rsidP="00CD5919">
      <w:pPr>
        <w:spacing w:line="360" w:lineRule="auto"/>
        <w:jc w:val="both"/>
        <w:rPr>
          <w:rFonts w:ascii="Arial" w:hAnsi="Arial" w:cs="Arial"/>
          <w:sz w:val="24"/>
          <w:szCs w:val="24"/>
        </w:rPr>
      </w:pPr>
    </w:p>
    <w:p w14:paraId="5A9A201D" w14:textId="65CED4EB" w:rsidR="002544A6" w:rsidRPr="00103A0B" w:rsidRDefault="002544A6" w:rsidP="00CD5919">
      <w:pPr>
        <w:spacing w:line="360" w:lineRule="auto"/>
        <w:jc w:val="both"/>
        <w:rPr>
          <w:rFonts w:ascii="Arial" w:hAnsi="Arial" w:cs="Arial"/>
          <w:sz w:val="24"/>
          <w:szCs w:val="24"/>
        </w:rPr>
      </w:pPr>
    </w:p>
    <w:p w14:paraId="4ACB3A26" w14:textId="7182AA87" w:rsidR="002544A6" w:rsidRPr="00103A0B" w:rsidRDefault="002544A6" w:rsidP="00CD5919">
      <w:pPr>
        <w:spacing w:line="360" w:lineRule="auto"/>
        <w:jc w:val="both"/>
        <w:rPr>
          <w:rFonts w:ascii="Arial" w:hAnsi="Arial" w:cs="Arial"/>
          <w:sz w:val="24"/>
          <w:szCs w:val="24"/>
        </w:rPr>
      </w:pPr>
    </w:p>
    <w:p w14:paraId="3CD4FE5F" w14:textId="522F49C5" w:rsidR="002544A6" w:rsidRPr="00103A0B" w:rsidRDefault="002544A6" w:rsidP="00CD5919">
      <w:pPr>
        <w:spacing w:line="360" w:lineRule="auto"/>
        <w:jc w:val="both"/>
        <w:rPr>
          <w:rFonts w:ascii="Arial" w:hAnsi="Arial" w:cs="Arial"/>
          <w:sz w:val="24"/>
          <w:szCs w:val="24"/>
        </w:rPr>
      </w:pPr>
    </w:p>
    <w:p w14:paraId="7B2DDA70" w14:textId="2921ECA8" w:rsidR="002544A6" w:rsidRPr="00103A0B" w:rsidRDefault="002544A6" w:rsidP="00CD5919">
      <w:pPr>
        <w:spacing w:line="360" w:lineRule="auto"/>
        <w:jc w:val="both"/>
        <w:rPr>
          <w:rFonts w:ascii="Arial" w:hAnsi="Arial" w:cs="Arial"/>
          <w:sz w:val="24"/>
          <w:szCs w:val="24"/>
        </w:rPr>
      </w:pPr>
    </w:p>
    <w:p w14:paraId="1580A726" w14:textId="0399268A" w:rsidR="002544A6" w:rsidRPr="00103A0B" w:rsidRDefault="002544A6" w:rsidP="00CD5919">
      <w:pPr>
        <w:spacing w:line="360" w:lineRule="auto"/>
        <w:jc w:val="both"/>
        <w:rPr>
          <w:rFonts w:ascii="Arial" w:hAnsi="Arial" w:cs="Arial"/>
          <w:sz w:val="24"/>
          <w:szCs w:val="24"/>
        </w:rPr>
      </w:pPr>
    </w:p>
    <w:p w14:paraId="2568256C" w14:textId="277056EF" w:rsidR="002544A6" w:rsidRPr="00103A0B" w:rsidRDefault="002544A6" w:rsidP="00CD5919">
      <w:pPr>
        <w:spacing w:line="360" w:lineRule="auto"/>
        <w:jc w:val="both"/>
        <w:rPr>
          <w:rFonts w:ascii="Arial" w:hAnsi="Arial" w:cs="Arial"/>
          <w:sz w:val="24"/>
          <w:szCs w:val="24"/>
        </w:rPr>
      </w:pPr>
    </w:p>
    <w:p w14:paraId="1BC3D93B" w14:textId="43716E12" w:rsidR="002544A6" w:rsidRPr="00103A0B" w:rsidRDefault="002544A6" w:rsidP="00CD5919">
      <w:pPr>
        <w:spacing w:line="360" w:lineRule="auto"/>
        <w:jc w:val="both"/>
        <w:rPr>
          <w:rFonts w:ascii="Arial" w:hAnsi="Arial" w:cs="Arial"/>
          <w:sz w:val="24"/>
          <w:szCs w:val="24"/>
        </w:rPr>
      </w:pPr>
    </w:p>
    <w:p w14:paraId="719886DF" w14:textId="037B0D28" w:rsidR="002544A6" w:rsidRPr="00103A0B" w:rsidRDefault="002544A6" w:rsidP="00CD5919">
      <w:pPr>
        <w:spacing w:line="360" w:lineRule="auto"/>
        <w:jc w:val="both"/>
        <w:rPr>
          <w:rFonts w:ascii="Arial" w:hAnsi="Arial" w:cs="Arial"/>
          <w:sz w:val="24"/>
          <w:szCs w:val="24"/>
        </w:rPr>
      </w:pPr>
    </w:p>
    <w:p w14:paraId="22B459A0" w14:textId="7BDF1B66" w:rsidR="002544A6" w:rsidRPr="00103A0B" w:rsidRDefault="002544A6" w:rsidP="00CD5919">
      <w:pPr>
        <w:spacing w:line="360" w:lineRule="auto"/>
        <w:jc w:val="both"/>
        <w:rPr>
          <w:rFonts w:ascii="Arial" w:hAnsi="Arial" w:cs="Arial"/>
          <w:sz w:val="24"/>
          <w:szCs w:val="24"/>
        </w:rPr>
      </w:pPr>
    </w:p>
    <w:p w14:paraId="392B14D0" w14:textId="44CA33AC" w:rsidR="002544A6" w:rsidRPr="00103A0B" w:rsidRDefault="002544A6" w:rsidP="00CD5919">
      <w:pPr>
        <w:spacing w:line="360" w:lineRule="auto"/>
        <w:jc w:val="both"/>
        <w:rPr>
          <w:rFonts w:ascii="Arial" w:hAnsi="Arial" w:cs="Arial"/>
          <w:sz w:val="24"/>
          <w:szCs w:val="24"/>
        </w:rPr>
      </w:pPr>
    </w:p>
    <w:p w14:paraId="1C2D2B99" w14:textId="0BEE4575" w:rsidR="002544A6" w:rsidRPr="00103A0B" w:rsidRDefault="002544A6" w:rsidP="00CD5919">
      <w:pPr>
        <w:spacing w:line="360" w:lineRule="auto"/>
        <w:jc w:val="both"/>
        <w:rPr>
          <w:rFonts w:ascii="Arial" w:hAnsi="Arial" w:cs="Arial"/>
          <w:sz w:val="24"/>
          <w:szCs w:val="24"/>
        </w:rPr>
      </w:pPr>
    </w:p>
    <w:p w14:paraId="4EEB47CF" w14:textId="332EB3C8" w:rsidR="002544A6" w:rsidRPr="00103A0B" w:rsidRDefault="002544A6" w:rsidP="00CD5919">
      <w:pPr>
        <w:spacing w:line="360" w:lineRule="auto"/>
        <w:jc w:val="both"/>
        <w:rPr>
          <w:rFonts w:ascii="Arial" w:hAnsi="Arial" w:cs="Arial"/>
          <w:sz w:val="24"/>
          <w:szCs w:val="24"/>
        </w:rPr>
      </w:pPr>
    </w:p>
    <w:p w14:paraId="21B3C27F" w14:textId="08393684" w:rsidR="002544A6" w:rsidRPr="00103A0B" w:rsidRDefault="002544A6" w:rsidP="00CD5919">
      <w:pPr>
        <w:spacing w:line="360" w:lineRule="auto"/>
        <w:jc w:val="both"/>
        <w:rPr>
          <w:rFonts w:ascii="Arial" w:hAnsi="Arial" w:cs="Arial"/>
          <w:sz w:val="24"/>
          <w:szCs w:val="24"/>
        </w:rPr>
      </w:pPr>
    </w:p>
    <w:p w14:paraId="15ED1828" w14:textId="77777777" w:rsidR="002544A6" w:rsidRPr="00103A0B" w:rsidRDefault="002544A6" w:rsidP="00CD5919">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1773"/>
        <w:gridCol w:w="2148"/>
        <w:gridCol w:w="1375"/>
        <w:gridCol w:w="1914"/>
        <w:gridCol w:w="1806"/>
      </w:tblGrid>
      <w:tr w:rsidR="00C13876" w:rsidRPr="00103A0B" w14:paraId="5A948919" w14:textId="77777777" w:rsidTr="002544A6">
        <w:trPr>
          <w:trHeight w:val="841"/>
        </w:trPr>
        <w:tc>
          <w:tcPr>
            <w:tcW w:w="1773" w:type="dxa"/>
            <w:tcBorders>
              <w:top w:val="single" w:sz="4" w:space="0" w:color="auto"/>
              <w:left w:val="single" w:sz="4" w:space="0" w:color="auto"/>
              <w:bottom w:val="single" w:sz="4" w:space="0" w:color="auto"/>
              <w:right w:val="single" w:sz="4" w:space="0" w:color="auto"/>
            </w:tcBorders>
            <w:hideMark/>
          </w:tcPr>
          <w:p w14:paraId="6AC6807B" w14:textId="77777777" w:rsidR="00C13876" w:rsidRPr="00103A0B" w:rsidRDefault="00C13876" w:rsidP="00CD5919">
            <w:pPr>
              <w:spacing w:line="360" w:lineRule="auto"/>
              <w:jc w:val="both"/>
              <w:rPr>
                <w:rFonts w:ascii="Arial" w:hAnsi="Arial" w:cs="Arial"/>
                <w:b/>
                <w:bCs/>
                <w:sz w:val="20"/>
                <w:szCs w:val="20"/>
              </w:rPr>
            </w:pPr>
            <w:r w:rsidRPr="00103A0B">
              <w:rPr>
                <w:rFonts w:ascii="Arial" w:hAnsi="Arial" w:cs="Arial"/>
                <w:b/>
                <w:bCs/>
                <w:sz w:val="20"/>
                <w:szCs w:val="20"/>
              </w:rPr>
              <w:lastRenderedPageBreak/>
              <w:t xml:space="preserve">Initial codes </w:t>
            </w:r>
          </w:p>
        </w:tc>
        <w:tc>
          <w:tcPr>
            <w:tcW w:w="2148" w:type="dxa"/>
            <w:tcBorders>
              <w:top w:val="single" w:sz="4" w:space="0" w:color="auto"/>
              <w:left w:val="single" w:sz="4" w:space="0" w:color="auto"/>
              <w:bottom w:val="single" w:sz="4" w:space="0" w:color="auto"/>
              <w:right w:val="single" w:sz="4" w:space="0" w:color="auto"/>
            </w:tcBorders>
            <w:hideMark/>
          </w:tcPr>
          <w:p w14:paraId="5C3BCE37" w14:textId="77777777" w:rsidR="00C13876" w:rsidRPr="00103A0B" w:rsidRDefault="00C13876" w:rsidP="00CD5919">
            <w:pPr>
              <w:spacing w:line="360" w:lineRule="auto"/>
              <w:jc w:val="both"/>
              <w:rPr>
                <w:rFonts w:ascii="Arial" w:hAnsi="Arial" w:cs="Arial"/>
                <w:b/>
                <w:bCs/>
                <w:sz w:val="20"/>
                <w:szCs w:val="20"/>
              </w:rPr>
            </w:pPr>
            <w:r w:rsidRPr="00103A0B">
              <w:rPr>
                <w:rFonts w:ascii="Arial" w:hAnsi="Arial" w:cs="Arial"/>
                <w:b/>
                <w:bCs/>
                <w:sz w:val="20"/>
                <w:szCs w:val="20"/>
              </w:rPr>
              <w:t xml:space="preserve">Searching for sub-themes/themes </w:t>
            </w:r>
          </w:p>
        </w:tc>
        <w:tc>
          <w:tcPr>
            <w:tcW w:w="1375" w:type="dxa"/>
            <w:tcBorders>
              <w:top w:val="single" w:sz="4" w:space="0" w:color="auto"/>
              <w:left w:val="single" w:sz="4" w:space="0" w:color="auto"/>
              <w:bottom w:val="single" w:sz="4" w:space="0" w:color="auto"/>
              <w:right w:val="single" w:sz="4" w:space="0" w:color="auto"/>
            </w:tcBorders>
          </w:tcPr>
          <w:p w14:paraId="7D630498" w14:textId="77777777" w:rsidR="00C13876" w:rsidRPr="00103A0B" w:rsidRDefault="00C13876" w:rsidP="00CD5919">
            <w:pPr>
              <w:spacing w:line="360" w:lineRule="auto"/>
              <w:jc w:val="both"/>
              <w:rPr>
                <w:rFonts w:ascii="Arial" w:hAnsi="Arial" w:cs="Arial"/>
                <w:b/>
                <w:bCs/>
                <w:sz w:val="20"/>
                <w:szCs w:val="20"/>
              </w:rPr>
            </w:pPr>
          </w:p>
        </w:tc>
        <w:tc>
          <w:tcPr>
            <w:tcW w:w="1914" w:type="dxa"/>
            <w:tcBorders>
              <w:top w:val="single" w:sz="4" w:space="0" w:color="auto"/>
              <w:left w:val="single" w:sz="4" w:space="0" w:color="auto"/>
              <w:bottom w:val="single" w:sz="4" w:space="0" w:color="auto"/>
              <w:right w:val="single" w:sz="4" w:space="0" w:color="auto"/>
            </w:tcBorders>
            <w:hideMark/>
          </w:tcPr>
          <w:p w14:paraId="5AB43BA5" w14:textId="77777777" w:rsidR="00C13876" w:rsidRPr="00103A0B" w:rsidRDefault="00C13876" w:rsidP="00CD5919">
            <w:pPr>
              <w:spacing w:line="360" w:lineRule="auto"/>
              <w:jc w:val="both"/>
              <w:rPr>
                <w:rFonts w:ascii="Arial" w:hAnsi="Arial" w:cs="Arial"/>
                <w:b/>
                <w:bCs/>
                <w:sz w:val="20"/>
                <w:szCs w:val="20"/>
              </w:rPr>
            </w:pPr>
            <w:r w:rsidRPr="00103A0B">
              <w:rPr>
                <w:rFonts w:ascii="Arial" w:hAnsi="Arial" w:cs="Arial"/>
                <w:b/>
                <w:bCs/>
                <w:sz w:val="20"/>
                <w:szCs w:val="20"/>
              </w:rPr>
              <w:t xml:space="preserve">Defining/naming sub-themes </w:t>
            </w:r>
          </w:p>
        </w:tc>
        <w:tc>
          <w:tcPr>
            <w:tcW w:w="1806" w:type="dxa"/>
            <w:tcBorders>
              <w:top w:val="single" w:sz="4" w:space="0" w:color="auto"/>
              <w:left w:val="single" w:sz="4" w:space="0" w:color="auto"/>
              <w:bottom w:val="single" w:sz="4" w:space="0" w:color="auto"/>
              <w:right w:val="single" w:sz="4" w:space="0" w:color="auto"/>
            </w:tcBorders>
          </w:tcPr>
          <w:p w14:paraId="59A2EE15" w14:textId="6664259B" w:rsidR="00C13876" w:rsidRPr="00103A0B" w:rsidRDefault="00C13876" w:rsidP="00CD5919">
            <w:pPr>
              <w:spacing w:line="360" w:lineRule="auto"/>
              <w:jc w:val="both"/>
              <w:rPr>
                <w:rFonts w:ascii="Arial" w:hAnsi="Arial" w:cs="Arial"/>
                <w:b/>
                <w:bCs/>
                <w:sz w:val="20"/>
                <w:szCs w:val="20"/>
              </w:rPr>
            </w:pPr>
            <w:r w:rsidRPr="00103A0B">
              <w:rPr>
                <w:rFonts w:ascii="Arial" w:hAnsi="Arial" w:cs="Arial"/>
                <w:b/>
                <w:bCs/>
                <w:sz w:val="20"/>
                <w:szCs w:val="20"/>
              </w:rPr>
              <w:t>Defining/naming themes</w:t>
            </w:r>
          </w:p>
        </w:tc>
      </w:tr>
      <w:tr w:rsidR="00C13876" w:rsidRPr="00103A0B" w14:paraId="08A5627A"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0F5C6C63"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Have cut portion size</w:t>
            </w:r>
          </w:p>
        </w:tc>
        <w:tc>
          <w:tcPr>
            <w:tcW w:w="2148" w:type="dxa"/>
            <w:vMerge w:val="restart"/>
            <w:tcBorders>
              <w:top w:val="single" w:sz="4" w:space="0" w:color="auto"/>
              <w:left w:val="single" w:sz="4" w:space="0" w:color="auto"/>
              <w:bottom w:val="single" w:sz="4" w:space="0" w:color="auto"/>
              <w:right w:val="single" w:sz="4" w:space="0" w:color="auto"/>
            </w:tcBorders>
            <w:hideMark/>
          </w:tcPr>
          <w:p w14:paraId="67B6BF72"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Body and self-improvements/ Self behaviours (past and present)</w:t>
            </w:r>
          </w:p>
        </w:tc>
        <w:tc>
          <w:tcPr>
            <w:tcW w:w="1375" w:type="dxa"/>
            <w:vMerge w:val="restart"/>
            <w:tcBorders>
              <w:top w:val="single" w:sz="4" w:space="0" w:color="auto"/>
              <w:left w:val="single" w:sz="4" w:space="0" w:color="auto"/>
              <w:bottom w:val="single" w:sz="4" w:space="0" w:color="auto"/>
              <w:right w:val="single" w:sz="4" w:space="0" w:color="auto"/>
            </w:tcBorders>
          </w:tcPr>
          <w:p w14:paraId="68DB5C11" w14:textId="77777777" w:rsidR="00C13876" w:rsidRPr="00103A0B" w:rsidRDefault="00C13876" w:rsidP="00CD5919">
            <w:pPr>
              <w:spacing w:line="360" w:lineRule="auto"/>
              <w:jc w:val="both"/>
              <w:rPr>
                <w:rFonts w:ascii="Arial" w:hAnsi="Arial" w:cs="Arial"/>
                <w:i/>
                <w:iCs/>
                <w:sz w:val="20"/>
                <w:szCs w:val="20"/>
              </w:rPr>
            </w:pPr>
          </w:p>
          <w:p w14:paraId="4267E858" w14:textId="77777777" w:rsidR="00C13876" w:rsidRPr="00103A0B" w:rsidRDefault="00C13876" w:rsidP="00CD5919">
            <w:pPr>
              <w:spacing w:line="360" w:lineRule="auto"/>
              <w:jc w:val="both"/>
              <w:rPr>
                <w:rFonts w:ascii="Arial" w:hAnsi="Arial" w:cs="Arial"/>
                <w:i/>
                <w:iCs/>
                <w:sz w:val="20"/>
                <w:szCs w:val="20"/>
              </w:rPr>
            </w:pPr>
          </w:p>
          <w:p w14:paraId="27494E96" w14:textId="77777777" w:rsidR="00C13876" w:rsidRPr="00103A0B" w:rsidRDefault="00C13876" w:rsidP="00CD5919">
            <w:pPr>
              <w:spacing w:line="360" w:lineRule="auto"/>
              <w:jc w:val="both"/>
              <w:rPr>
                <w:rFonts w:ascii="Arial" w:hAnsi="Arial" w:cs="Arial"/>
                <w:i/>
                <w:iCs/>
                <w:sz w:val="20"/>
                <w:szCs w:val="20"/>
              </w:rPr>
            </w:pPr>
          </w:p>
          <w:p w14:paraId="4258A96F" w14:textId="77777777" w:rsidR="00C13876" w:rsidRPr="00103A0B" w:rsidRDefault="00C13876" w:rsidP="00CD5919">
            <w:pPr>
              <w:spacing w:line="360" w:lineRule="auto"/>
              <w:jc w:val="both"/>
              <w:rPr>
                <w:rFonts w:ascii="Arial" w:hAnsi="Arial" w:cs="Arial"/>
                <w:i/>
                <w:iCs/>
                <w:sz w:val="20"/>
                <w:szCs w:val="20"/>
              </w:rPr>
            </w:pPr>
          </w:p>
          <w:p w14:paraId="5E68D21A" w14:textId="77777777" w:rsidR="00C13876" w:rsidRPr="00103A0B" w:rsidRDefault="00C13876" w:rsidP="00CD5919">
            <w:pPr>
              <w:spacing w:line="360" w:lineRule="auto"/>
              <w:jc w:val="both"/>
              <w:rPr>
                <w:rFonts w:ascii="Arial" w:hAnsi="Arial" w:cs="Arial"/>
                <w:i/>
                <w:iCs/>
                <w:sz w:val="20"/>
                <w:szCs w:val="20"/>
              </w:rPr>
            </w:pPr>
          </w:p>
          <w:p w14:paraId="765113EC" w14:textId="77777777" w:rsidR="00C13876" w:rsidRPr="00103A0B" w:rsidRDefault="00C13876" w:rsidP="00CD5919">
            <w:pPr>
              <w:spacing w:line="360" w:lineRule="auto"/>
              <w:jc w:val="both"/>
              <w:rPr>
                <w:rFonts w:ascii="Arial" w:hAnsi="Arial" w:cs="Arial"/>
                <w:i/>
                <w:iCs/>
                <w:sz w:val="20"/>
                <w:szCs w:val="20"/>
              </w:rPr>
            </w:pPr>
          </w:p>
          <w:p w14:paraId="1F7634D4" w14:textId="77777777" w:rsidR="00C13876" w:rsidRPr="00103A0B" w:rsidRDefault="00C13876" w:rsidP="00CD5919">
            <w:pPr>
              <w:spacing w:line="360" w:lineRule="auto"/>
              <w:jc w:val="both"/>
              <w:rPr>
                <w:rFonts w:ascii="Arial" w:hAnsi="Arial" w:cs="Arial"/>
                <w:i/>
                <w:iCs/>
                <w:sz w:val="20"/>
                <w:szCs w:val="20"/>
              </w:rPr>
            </w:pPr>
          </w:p>
          <w:p w14:paraId="14D578AB" w14:textId="77777777" w:rsidR="00C13876" w:rsidRPr="00103A0B" w:rsidRDefault="00C13876" w:rsidP="00CD5919">
            <w:pPr>
              <w:spacing w:line="360" w:lineRule="auto"/>
              <w:jc w:val="both"/>
              <w:rPr>
                <w:rFonts w:ascii="Arial" w:hAnsi="Arial" w:cs="Arial"/>
                <w:i/>
                <w:iCs/>
                <w:sz w:val="20"/>
                <w:szCs w:val="20"/>
              </w:rPr>
            </w:pPr>
          </w:p>
          <w:p w14:paraId="5C82EED1" w14:textId="77777777" w:rsidR="00C13876" w:rsidRPr="00103A0B" w:rsidRDefault="00C13876" w:rsidP="00CD5919">
            <w:pPr>
              <w:spacing w:line="360" w:lineRule="auto"/>
              <w:jc w:val="both"/>
              <w:rPr>
                <w:rFonts w:ascii="Arial" w:hAnsi="Arial" w:cs="Arial"/>
                <w:i/>
                <w:iCs/>
                <w:sz w:val="20"/>
                <w:szCs w:val="20"/>
              </w:rPr>
            </w:pPr>
          </w:p>
          <w:p w14:paraId="2610B8B2" w14:textId="77777777" w:rsidR="00C13876" w:rsidRPr="00103A0B" w:rsidRDefault="00C13876" w:rsidP="00CD5919">
            <w:pPr>
              <w:spacing w:line="360" w:lineRule="auto"/>
              <w:jc w:val="both"/>
              <w:rPr>
                <w:rFonts w:ascii="Arial" w:hAnsi="Arial" w:cs="Arial"/>
                <w:i/>
                <w:iCs/>
                <w:sz w:val="20"/>
                <w:szCs w:val="20"/>
              </w:rPr>
            </w:pPr>
            <w:r w:rsidRPr="00103A0B">
              <w:rPr>
                <w:rFonts w:ascii="Arial" w:hAnsi="Arial" w:cs="Arial"/>
                <w:i/>
                <w:iCs/>
                <w:sz w:val="20"/>
                <w:szCs w:val="20"/>
              </w:rPr>
              <w:t xml:space="preserve">Sub-themes and themes reviewed </w:t>
            </w:r>
          </w:p>
        </w:tc>
        <w:tc>
          <w:tcPr>
            <w:tcW w:w="1914" w:type="dxa"/>
            <w:vMerge w:val="restart"/>
            <w:tcBorders>
              <w:top w:val="single" w:sz="4" w:space="0" w:color="auto"/>
              <w:left w:val="single" w:sz="4" w:space="0" w:color="auto"/>
              <w:bottom w:val="single" w:sz="4" w:space="0" w:color="auto"/>
              <w:right w:val="single" w:sz="4" w:space="0" w:color="auto"/>
            </w:tcBorders>
            <w:hideMark/>
          </w:tcPr>
          <w:p w14:paraId="6A8A464D"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Lifestyle changes made</w:t>
            </w:r>
          </w:p>
        </w:tc>
        <w:tc>
          <w:tcPr>
            <w:tcW w:w="1806" w:type="dxa"/>
            <w:vMerge w:val="restart"/>
            <w:tcBorders>
              <w:top w:val="single" w:sz="4" w:space="0" w:color="auto"/>
              <w:left w:val="single" w:sz="4" w:space="0" w:color="auto"/>
              <w:bottom w:val="single" w:sz="4" w:space="0" w:color="auto"/>
              <w:right w:val="single" w:sz="4" w:space="0" w:color="auto"/>
            </w:tcBorders>
            <w:hideMark/>
          </w:tcPr>
          <w:p w14:paraId="55B7D64E"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Lifestyle changes (past and present)</w:t>
            </w:r>
          </w:p>
        </w:tc>
      </w:tr>
      <w:tr w:rsidR="00C13876" w:rsidRPr="00103A0B" w14:paraId="6B701ADA"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4BBFAAA0"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Doing more exercise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01A0D5"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3C3A6" w14:textId="77777777" w:rsidR="00C13876" w:rsidRPr="00103A0B" w:rsidRDefault="00C13876" w:rsidP="00CD5919">
            <w:pPr>
              <w:jc w:val="both"/>
              <w:rPr>
                <w:rFonts w:ascii="Arial" w:hAnsi="Arial" w:cs="Arial"/>
                <w:i/>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5A0F5"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C8ED2" w14:textId="77777777" w:rsidR="00C13876" w:rsidRPr="00103A0B" w:rsidRDefault="00C13876" w:rsidP="00CD5919">
            <w:pPr>
              <w:jc w:val="both"/>
              <w:rPr>
                <w:rFonts w:ascii="Arial" w:hAnsi="Arial" w:cs="Arial"/>
                <w:sz w:val="20"/>
                <w:szCs w:val="20"/>
              </w:rPr>
            </w:pPr>
          </w:p>
        </w:tc>
      </w:tr>
      <w:tr w:rsidR="00C13876" w:rsidRPr="00103A0B" w14:paraId="0004635B"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46C3141B"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Lost weight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733D6"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C8563" w14:textId="77777777" w:rsidR="00C13876" w:rsidRPr="00103A0B" w:rsidRDefault="00C13876" w:rsidP="00CD5919">
            <w:pPr>
              <w:jc w:val="both"/>
              <w:rPr>
                <w:rFonts w:ascii="Arial" w:hAnsi="Arial" w:cs="Arial"/>
                <w:i/>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560F56"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7577F" w14:textId="77777777" w:rsidR="00C13876" w:rsidRPr="00103A0B" w:rsidRDefault="00C13876" w:rsidP="00CD5919">
            <w:pPr>
              <w:jc w:val="both"/>
              <w:rPr>
                <w:rFonts w:ascii="Arial" w:hAnsi="Arial" w:cs="Arial"/>
                <w:sz w:val="20"/>
                <w:szCs w:val="20"/>
              </w:rPr>
            </w:pPr>
          </w:p>
        </w:tc>
      </w:tr>
      <w:tr w:rsidR="00C13876" w:rsidRPr="00103A0B" w14:paraId="5A64073D"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436440B9"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Have too much sugar</w:t>
            </w:r>
          </w:p>
        </w:tc>
        <w:tc>
          <w:tcPr>
            <w:tcW w:w="2148" w:type="dxa"/>
            <w:vMerge w:val="restart"/>
            <w:tcBorders>
              <w:top w:val="single" w:sz="4" w:space="0" w:color="auto"/>
              <w:left w:val="single" w:sz="4" w:space="0" w:color="auto"/>
              <w:bottom w:val="single" w:sz="4" w:space="0" w:color="auto"/>
              <w:right w:val="single" w:sz="4" w:space="0" w:color="auto"/>
            </w:tcBorders>
            <w:hideMark/>
          </w:tcPr>
          <w:p w14:paraId="7813C88E"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Difficulties and concerns regarding self/ Self behaviours (past and present)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1E500" w14:textId="77777777" w:rsidR="00C13876" w:rsidRPr="00103A0B" w:rsidRDefault="00C13876" w:rsidP="00CD5919">
            <w:pPr>
              <w:jc w:val="both"/>
              <w:rPr>
                <w:rFonts w:ascii="Arial" w:hAnsi="Arial" w:cs="Arial"/>
                <w:i/>
                <w:iCs/>
                <w:sz w:val="20"/>
                <w:szCs w:val="20"/>
              </w:rPr>
            </w:pPr>
          </w:p>
        </w:tc>
        <w:tc>
          <w:tcPr>
            <w:tcW w:w="1914" w:type="dxa"/>
            <w:vMerge w:val="restart"/>
            <w:tcBorders>
              <w:top w:val="single" w:sz="4" w:space="0" w:color="auto"/>
              <w:left w:val="single" w:sz="4" w:space="0" w:color="auto"/>
              <w:bottom w:val="single" w:sz="4" w:space="0" w:color="auto"/>
              <w:right w:val="single" w:sz="4" w:space="0" w:color="auto"/>
            </w:tcBorders>
            <w:hideMark/>
          </w:tcPr>
          <w:p w14:paraId="25BAFCC1"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Difficulties and concerns with making lifestyle improvements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F4418" w14:textId="77777777" w:rsidR="00C13876" w:rsidRPr="00103A0B" w:rsidRDefault="00C13876" w:rsidP="00CD5919">
            <w:pPr>
              <w:jc w:val="both"/>
              <w:rPr>
                <w:rFonts w:ascii="Arial" w:hAnsi="Arial" w:cs="Arial"/>
                <w:sz w:val="20"/>
                <w:szCs w:val="20"/>
              </w:rPr>
            </w:pPr>
          </w:p>
        </w:tc>
      </w:tr>
      <w:tr w:rsidR="00C13876" w:rsidRPr="00103A0B" w14:paraId="635B1B84"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4A7683AE"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Difficult to exercise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67FDB"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3BFA2" w14:textId="77777777" w:rsidR="00C13876" w:rsidRPr="00103A0B" w:rsidRDefault="00C13876" w:rsidP="00CD5919">
            <w:pPr>
              <w:jc w:val="both"/>
              <w:rPr>
                <w:rFonts w:ascii="Arial" w:hAnsi="Arial" w:cs="Arial"/>
                <w:i/>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BAA34"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D6C92" w14:textId="77777777" w:rsidR="00C13876" w:rsidRPr="00103A0B" w:rsidRDefault="00C13876" w:rsidP="00CD5919">
            <w:pPr>
              <w:jc w:val="both"/>
              <w:rPr>
                <w:rFonts w:ascii="Arial" w:hAnsi="Arial" w:cs="Arial"/>
                <w:sz w:val="20"/>
                <w:szCs w:val="20"/>
              </w:rPr>
            </w:pPr>
          </w:p>
        </w:tc>
      </w:tr>
      <w:tr w:rsidR="00C13876" w:rsidRPr="00103A0B" w14:paraId="71D3FFBF"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393B882C"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Availability depends on work </w:t>
            </w:r>
          </w:p>
        </w:tc>
        <w:tc>
          <w:tcPr>
            <w:tcW w:w="2148" w:type="dxa"/>
            <w:tcBorders>
              <w:top w:val="single" w:sz="4" w:space="0" w:color="auto"/>
              <w:left w:val="single" w:sz="4" w:space="0" w:color="auto"/>
              <w:bottom w:val="single" w:sz="4" w:space="0" w:color="auto"/>
              <w:right w:val="single" w:sz="4" w:space="0" w:color="auto"/>
            </w:tcBorders>
            <w:hideMark/>
          </w:tcPr>
          <w:p w14:paraId="3BE3C512"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Availability and preferences/Access to programme and practicalities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C0926" w14:textId="77777777" w:rsidR="00C13876" w:rsidRPr="00103A0B" w:rsidRDefault="00C13876" w:rsidP="00CD5919">
            <w:pPr>
              <w:jc w:val="both"/>
              <w:rPr>
                <w:rFonts w:ascii="Arial" w:hAnsi="Arial" w:cs="Arial"/>
                <w:i/>
                <w:iCs/>
                <w:sz w:val="20"/>
                <w:szCs w:val="20"/>
              </w:rPr>
            </w:pPr>
          </w:p>
        </w:tc>
        <w:tc>
          <w:tcPr>
            <w:tcW w:w="1914" w:type="dxa"/>
            <w:tcBorders>
              <w:top w:val="single" w:sz="4" w:space="0" w:color="auto"/>
              <w:left w:val="single" w:sz="4" w:space="0" w:color="auto"/>
              <w:bottom w:val="single" w:sz="4" w:space="0" w:color="auto"/>
              <w:right w:val="single" w:sz="4" w:space="0" w:color="auto"/>
            </w:tcBorders>
            <w:hideMark/>
          </w:tcPr>
          <w:p w14:paraId="64C7C6D4"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Availability</w:t>
            </w:r>
          </w:p>
        </w:tc>
        <w:tc>
          <w:tcPr>
            <w:tcW w:w="1806" w:type="dxa"/>
            <w:vMerge w:val="restart"/>
            <w:tcBorders>
              <w:top w:val="single" w:sz="4" w:space="0" w:color="auto"/>
              <w:left w:val="single" w:sz="4" w:space="0" w:color="auto"/>
              <w:bottom w:val="single" w:sz="4" w:space="0" w:color="auto"/>
              <w:right w:val="single" w:sz="4" w:space="0" w:color="auto"/>
            </w:tcBorders>
            <w:hideMark/>
          </w:tcPr>
          <w:p w14:paraId="5F238C8E"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Accessibility and practicalities </w:t>
            </w:r>
          </w:p>
        </w:tc>
      </w:tr>
      <w:tr w:rsidR="00C13876" w:rsidRPr="00103A0B" w14:paraId="7E80C43F"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6D072C42"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Difficulty with calling LP to book IA</w:t>
            </w:r>
          </w:p>
        </w:tc>
        <w:tc>
          <w:tcPr>
            <w:tcW w:w="2148" w:type="dxa"/>
            <w:vMerge w:val="restart"/>
            <w:tcBorders>
              <w:top w:val="single" w:sz="4" w:space="0" w:color="auto"/>
              <w:left w:val="single" w:sz="4" w:space="0" w:color="auto"/>
              <w:bottom w:val="single" w:sz="4" w:space="0" w:color="auto"/>
              <w:right w:val="single" w:sz="4" w:space="0" w:color="auto"/>
            </w:tcBorders>
            <w:hideMark/>
          </w:tcPr>
          <w:p w14:paraId="4739D324"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Booking appointments/ Access to programme and practicalities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5ECF7" w14:textId="77777777" w:rsidR="00C13876" w:rsidRPr="00103A0B" w:rsidRDefault="00C13876" w:rsidP="00CD5919">
            <w:pPr>
              <w:jc w:val="both"/>
              <w:rPr>
                <w:rFonts w:ascii="Arial" w:hAnsi="Arial" w:cs="Arial"/>
                <w:i/>
                <w:iCs/>
                <w:sz w:val="20"/>
                <w:szCs w:val="20"/>
              </w:rPr>
            </w:pPr>
          </w:p>
        </w:tc>
        <w:tc>
          <w:tcPr>
            <w:tcW w:w="1914" w:type="dxa"/>
            <w:vMerge w:val="restart"/>
            <w:tcBorders>
              <w:top w:val="single" w:sz="4" w:space="0" w:color="auto"/>
              <w:left w:val="single" w:sz="4" w:space="0" w:color="auto"/>
              <w:bottom w:val="single" w:sz="4" w:space="0" w:color="auto"/>
              <w:right w:val="single" w:sz="4" w:space="0" w:color="auto"/>
            </w:tcBorders>
            <w:hideMark/>
          </w:tcPr>
          <w:p w14:paraId="31406DE3"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Booking appointments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4731C" w14:textId="77777777" w:rsidR="00C13876" w:rsidRPr="00103A0B" w:rsidRDefault="00C13876" w:rsidP="00CD5919">
            <w:pPr>
              <w:jc w:val="both"/>
              <w:rPr>
                <w:rFonts w:ascii="Arial" w:hAnsi="Arial" w:cs="Arial"/>
                <w:sz w:val="20"/>
                <w:szCs w:val="20"/>
              </w:rPr>
            </w:pPr>
          </w:p>
        </w:tc>
      </w:tr>
      <w:tr w:rsidR="00C13876" w:rsidRPr="00103A0B" w14:paraId="0614EC5B"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2CF5A53E"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LP took a long time to book onto an IA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0F4D7"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DDA95" w14:textId="77777777" w:rsidR="00C13876" w:rsidRPr="00103A0B" w:rsidRDefault="00C13876" w:rsidP="00CD5919">
            <w:pPr>
              <w:jc w:val="both"/>
              <w:rPr>
                <w:rFonts w:ascii="Arial" w:hAnsi="Arial" w:cs="Arial"/>
                <w:i/>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C77759"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A567E" w14:textId="77777777" w:rsidR="00C13876" w:rsidRPr="00103A0B" w:rsidRDefault="00C13876" w:rsidP="00CD5919">
            <w:pPr>
              <w:jc w:val="both"/>
              <w:rPr>
                <w:rFonts w:ascii="Arial" w:hAnsi="Arial" w:cs="Arial"/>
                <w:sz w:val="20"/>
                <w:szCs w:val="20"/>
              </w:rPr>
            </w:pPr>
          </w:p>
        </w:tc>
      </w:tr>
      <w:tr w:rsidR="00C13876" w:rsidRPr="00103A0B" w14:paraId="7FE71D3C"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6BBC0498"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Need to make time to attend programme </w:t>
            </w:r>
          </w:p>
        </w:tc>
        <w:tc>
          <w:tcPr>
            <w:tcW w:w="2148" w:type="dxa"/>
            <w:tcBorders>
              <w:top w:val="single" w:sz="4" w:space="0" w:color="auto"/>
              <w:left w:val="single" w:sz="4" w:space="0" w:color="auto"/>
              <w:bottom w:val="single" w:sz="4" w:space="0" w:color="auto"/>
              <w:right w:val="single" w:sz="4" w:space="0" w:color="auto"/>
            </w:tcBorders>
            <w:hideMark/>
          </w:tcPr>
          <w:p w14:paraId="27093B7F"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Time limitations or constraints/ Access to programme and practicalities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C4FC7" w14:textId="77777777" w:rsidR="00C13876" w:rsidRPr="00103A0B" w:rsidRDefault="00C13876" w:rsidP="00CD5919">
            <w:pPr>
              <w:jc w:val="both"/>
              <w:rPr>
                <w:rFonts w:ascii="Arial" w:hAnsi="Arial" w:cs="Arial"/>
                <w:i/>
                <w:iCs/>
                <w:sz w:val="20"/>
                <w:szCs w:val="20"/>
              </w:rPr>
            </w:pPr>
          </w:p>
        </w:tc>
        <w:tc>
          <w:tcPr>
            <w:tcW w:w="1914" w:type="dxa"/>
            <w:tcBorders>
              <w:top w:val="single" w:sz="4" w:space="0" w:color="auto"/>
              <w:left w:val="single" w:sz="4" w:space="0" w:color="auto"/>
              <w:bottom w:val="single" w:sz="4" w:space="0" w:color="auto"/>
              <w:right w:val="single" w:sz="4" w:space="0" w:color="auto"/>
            </w:tcBorders>
            <w:hideMark/>
          </w:tcPr>
          <w:p w14:paraId="2CCD5A90"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Time limitations or constraints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814E9" w14:textId="77777777" w:rsidR="00C13876" w:rsidRPr="00103A0B" w:rsidRDefault="00C13876" w:rsidP="00CD5919">
            <w:pPr>
              <w:jc w:val="both"/>
              <w:rPr>
                <w:rFonts w:ascii="Arial" w:hAnsi="Arial" w:cs="Arial"/>
                <w:sz w:val="20"/>
                <w:szCs w:val="20"/>
              </w:rPr>
            </w:pPr>
          </w:p>
        </w:tc>
      </w:tr>
      <w:tr w:rsidR="00C13876" w:rsidRPr="00103A0B" w14:paraId="4CC85E82"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60598AE5"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Venue should be closer to home </w:t>
            </w:r>
          </w:p>
        </w:tc>
        <w:tc>
          <w:tcPr>
            <w:tcW w:w="2148" w:type="dxa"/>
            <w:tcBorders>
              <w:top w:val="single" w:sz="4" w:space="0" w:color="auto"/>
              <w:left w:val="single" w:sz="4" w:space="0" w:color="auto"/>
              <w:bottom w:val="single" w:sz="4" w:space="0" w:color="auto"/>
              <w:right w:val="single" w:sz="4" w:space="0" w:color="auto"/>
            </w:tcBorders>
            <w:hideMark/>
          </w:tcPr>
          <w:p w14:paraId="66325605"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Venue (IA and programme)/ Access to programme and practicalities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AEE0F" w14:textId="77777777" w:rsidR="00C13876" w:rsidRPr="00103A0B" w:rsidRDefault="00C13876" w:rsidP="00CD5919">
            <w:pPr>
              <w:jc w:val="both"/>
              <w:rPr>
                <w:rFonts w:ascii="Arial" w:hAnsi="Arial" w:cs="Arial"/>
                <w:i/>
                <w:iCs/>
                <w:sz w:val="20"/>
                <w:szCs w:val="20"/>
              </w:rPr>
            </w:pPr>
          </w:p>
        </w:tc>
        <w:tc>
          <w:tcPr>
            <w:tcW w:w="1914" w:type="dxa"/>
            <w:tcBorders>
              <w:top w:val="single" w:sz="4" w:space="0" w:color="auto"/>
              <w:left w:val="single" w:sz="4" w:space="0" w:color="auto"/>
              <w:bottom w:val="single" w:sz="4" w:space="0" w:color="auto"/>
              <w:right w:val="single" w:sz="4" w:space="0" w:color="auto"/>
            </w:tcBorders>
            <w:hideMark/>
          </w:tcPr>
          <w:p w14:paraId="082B930A"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Location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49518" w14:textId="77777777" w:rsidR="00C13876" w:rsidRPr="00103A0B" w:rsidRDefault="00C13876" w:rsidP="00CD5919">
            <w:pPr>
              <w:jc w:val="both"/>
              <w:rPr>
                <w:rFonts w:ascii="Arial" w:hAnsi="Arial" w:cs="Arial"/>
                <w:sz w:val="20"/>
                <w:szCs w:val="20"/>
              </w:rPr>
            </w:pPr>
          </w:p>
        </w:tc>
      </w:tr>
      <w:tr w:rsidR="00C13876" w:rsidRPr="00103A0B" w14:paraId="5B3533DA"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3DDE822F"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GP referred or recommended programme</w:t>
            </w:r>
          </w:p>
        </w:tc>
        <w:tc>
          <w:tcPr>
            <w:tcW w:w="2148" w:type="dxa"/>
            <w:vMerge w:val="restart"/>
            <w:tcBorders>
              <w:top w:val="single" w:sz="4" w:space="0" w:color="auto"/>
              <w:left w:val="single" w:sz="4" w:space="0" w:color="auto"/>
              <w:bottom w:val="single" w:sz="4" w:space="0" w:color="auto"/>
              <w:right w:val="single" w:sz="4" w:space="0" w:color="auto"/>
            </w:tcBorders>
            <w:hideMark/>
          </w:tcPr>
          <w:p w14:paraId="1C352090"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Referral to programme/ Access to programme and practicalities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F05D6" w14:textId="77777777" w:rsidR="00C13876" w:rsidRPr="00103A0B" w:rsidRDefault="00C13876" w:rsidP="00CD5919">
            <w:pPr>
              <w:jc w:val="both"/>
              <w:rPr>
                <w:rFonts w:ascii="Arial" w:hAnsi="Arial" w:cs="Arial"/>
                <w:i/>
                <w:iCs/>
                <w:sz w:val="20"/>
                <w:szCs w:val="20"/>
              </w:rPr>
            </w:pPr>
          </w:p>
        </w:tc>
        <w:tc>
          <w:tcPr>
            <w:tcW w:w="1914" w:type="dxa"/>
            <w:vMerge w:val="restart"/>
            <w:tcBorders>
              <w:top w:val="single" w:sz="4" w:space="0" w:color="auto"/>
              <w:left w:val="single" w:sz="4" w:space="0" w:color="auto"/>
              <w:bottom w:val="single" w:sz="4" w:space="0" w:color="auto"/>
              <w:right w:val="single" w:sz="4" w:space="0" w:color="auto"/>
            </w:tcBorders>
            <w:hideMark/>
          </w:tcPr>
          <w:p w14:paraId="4FFFAE32"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Programme access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A8AA2" w14:textId="77777777" w:rsidR="00C13876" w:rsidRPr="00103A0B" w:rsidRDefault="00C13876" w:rsidP="00CD5919">
            <w:pPr>
              <w:jc w:val="both"/>
              <w:rPr>
                <w:rFonts w:ascii="Arial" w:hAnsi="Arial" w:cs="Arial"/>
                <w:sz w:val="20"/>
                <w:szCs w:val="20"/>
              </w:rPr>
            </w:pPr>
          </w:p>
        </w:tc>
      </w:tr>
      <w:tr w:rsidR="00C13876" w:rsidRPr="00103A0B" w14:paraId="5A219CD1" w14:textId="77777777" w:rsidTr="00C13876">
        <w:tc>
          <w:tcPr>
            <w:tcW w:w="1773" w:type="dxa"/>
            <w:tcBorders>
              <w:top w:val="single" w:sz="4" w:space="0" w:color="auto"/>
              <w:left w:val="single" w:sz="4" w:space="0" w:color="auto"/>
              <w:bottom w:val="single" w:sz="4" w:space="0" w:color="auto"/>
              <w:right w:val="single" w:sz="4" w:space="0" w:color="auto"/>
            </w:tcBorders>
            <w:hideMark/>
          </w:tcPr>
          <w:p w14:paraId="23132B95" w14:textId="77777777" w:rsidR="00C13876" w:rsidRPr="00103A0B" w:rsidRDefault="00C13876" w:rsidP="00CD5919">
            <w:pPr>
              <w:spacing w:line="360" w:lineRule="auto"/>
              <w:jc w:val="both"/>
              <w:rPr>
                <w:rFonts w:ascii="Arial" w:hAnsi="Arial" w:cs="Arial"/>
                <w:sz w:val="20"/>
                <w:szCs w:val="20"/>
              </w:rPr>
            </w:pPr>
            <w:r w:rsidRPr="00103A0B">
              <w:rPr>
                <w:rFonts w:ascii="Arial" w:hAnsi="Arial" w:cs="Arial"/>
                <w:sz w:val="20"/>
                <w:szCs w:val="20"/>
              </w:rPr>
              <w:t xml:space="preserve">Letter from GP motivated to start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BB07F"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EC8E8" w14:textId="77777777" w:rsidR="00C13876" w:rsidRPr="00103A0B" w:rsidRDefault="00C13876" w:rsidP="00CD5919">
            <w:pPr>
              <w:jc w:val="both"/>
              <w:rPr>
                <w:rFonts w:ascii="Arial" w:hAnsi="Arial" w:cs="Arial"/>
                <w:i/>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E6524" w14:textId="77777777" w:rsidR="00C13876" w:rsidRPr="00103A0B" w:rsidRDefault="00C13876" w:rsidP="00CD5919">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AEF78" w14:textId="77777777" w:rsidR="00C13876" w:rsidRPr="00103A0B" w:rsidRDefault="00C13876" w:rsidP="00CD5919">
            <w:pPr>
              <w:jc w:val="both"/>
              <w:rPr>
                <w:rFonts w:ascii="Arial" w:hAnsi="Arial" w:cs="Arial"/>
                <w:sz w:val="20"/>
                <w:szCs w:val="20"/>
              </w:rPr>
            </w:pPr>
          </w:p>
        </w:tc>
      </w:tr>
    </w:tbl>
    <w:p w14:paraId="5689F00A" w14:textId="77777777" w:rsidR="00C13876" w:rsidRPr="00103A0B" w:rsidRDefault="00C13876" w:rsidP="00CD5919">
      <w:pPr>
        <w:spacing w:line="360" w:lineRule="auto"/>
        <w:jc w:val="both"/>
        <w:rPr>
          <w:rFonts w:ascii="Arial" w:hAnsi="Arial" w:cs="Arial"/>
          <w:sz w:val="18"/>
          <w:szCs w:val="18"/>
        </w:rPr>
      </w:pPr>
      <w:r w:rsidRPr="00103A0B">
        <w:rPr>
          <w:rFonts w:ascii="Arial" w:hAnsi="Arial" w:cs="Arial"/>
          <w:sz w:val="18"/>
          <w:szCs w:val="18"/>
        </w:rPr>
        <w:t xml:space="preserve">Key: LP= local provider; IA= initial assessment; GP= general practitioner.  </w:t>
      </w:r>
    </w:p>
    <w:p w14:paraId="04CAA1FA" w14:textId="77777777" w:rsidR="00C13876" w:rsidRPr="00103A0B" w:rsidRDefault="00C13876" w:rsidP="00CD5919">
      <w:pPr>
        <w:jc w:val="both"/>
      </w:pPr>
    </w:p>
    <w:p w14:paraId="4E1797D2" w14:textId="75908973" w:rsidR="00C13876" w:rsidRPr="00103A0B" w:rsidRDefault="00C13876" w:rsidP="00CD5919">
      <w:pPr>
        <w:jc w:val="both"/>
        <w:rPr>
          <w:rFonts w:ascii="Arial" w:hAnsi="Arial" w:cs="Arial"/>
          <w:b/>
          <w:bCs/>
          <w:sz w:val="24"/>
          <w:szCs w:val="24"/>
        </w:rPr>
      </w:pPr>
    </w:p>
    <w:p w14:paraId="6A910904" w14:textId="77777777" w:rsidR="002544A6" w:rsidRPr="00103A0B" w:rsidRDefault="002544A6" w:rsidP="00CD5919">
      <w:pPr>
        <w:jc w:val="both"/>
        <w:rPr>
          <w:rFonts w:ascii="Arial" w:hAnsi="Arial" w:cs="Arial"/>
          <w:b/>
          <w:bCs/>
          <w:sz w:val="24"/>
          <w:szCs w:val="24"/>
        </w:rPr>
      </w:pPr>
    </w:p>
    <w:p w14:paraId="5AF9831D" w14:textId="0B36E71E" w:rsidR="00C45D0A" w:rsidRPr="00103A0B" w:rsidRDefault="00C45D0A" w:rsidP="00CD5919">
      <w:pPr>
        <w:jc w:val="both"/>
        <w:rPr>
          <w:rFonts w:ascii="Arial" w:hAnsi="Arial" w:cs="Arial"/>
          <w:b/>
          <w:bCs/>
          <w:sz w:val="28"/>
          <w:szCs w:val="28"/>
        </w:rPr>
      </w:pPr>
      <w:r w:rsidRPr="00103A0B">
        <w:rPr>
          <w:rFonts w:ascii="Arial" w:hAnsi="Arial" w:cs="Arial"/>
          <w:b/>
          <w:bCs/>
          <w:sz w:val="28"/>
          <w:szCs w:val="28"/>
        </w:rPr>
        <w:lastRenderedPageBreak/>
        <w:t xml:space="preserve">Appendix </w:t>
      </w:r>
      <w:r w:rsidR="00630873" w:rsidRPr="00103A0B">
        <w:rPr>
          <w:rFonts w:ascii="Arial" w:hAnsi="Arial" w:cs="Arial"/>
          <w:b/>
          <w:bCs/>
          <w:sz w:val="28"/>
          <w:szCs w:val="28"/>
        </w:rPr>
        <w:t>9</w:t>
      </w:r>
      <w:r w:rsidRPr="00103A0B">
        <w:rPr>
          <w:rFonts w:ascii="Arial" w:hAnsi="Arial" w:cs="Arial"/>
          <w:b/>
          <w:bCs/>
          <w:sz w:val="28"/>
          <w:szCs w:val="28"/>
        </w:rPr>
        <w:t xml:space="preserve">: </w:t>
      </w:r>
      <w:r w:rsidR="00C13876" w:rsidRPr="00103A0B">
        <w:rPr>
          <w:rFonts w:ascii="Arial" w:hAnsi="Arial" w:cs="Arial"/>
          <w:b/>
          <w:bCs/>
          <w:sz w:val="28"/>
          <w:szCs w:val="28"/>
        </w:rPr>
        <w:t>Example of coding (Chapter 6)</w:t>
      </w:r>
    </w:p>
    <w:p w14:paraId="6A8CB1AB" w14:textId="77777777" w:rsidR="002544A6" w:rsidRPr="00103A0B" w:rsidRDefault="002544A6" w:rsidP="00CD5919">
      <w:pPr>
        <w:spacing w:line="360" w:lineRule="auto"/>
        <w:jc w:val="both"/>
        <w:rPr>
          <w:rFonts w:ascii="Arial" w:hAnsi="Arial" w:cs="Arial"/>
          <w:sz w:val="24"/>
          <w:szCs w:val="24"/>
        </w:rPr>
      </w:pPr>
    </w:p>
    <w:p w14:paraId="611BEE9E" w14:textId="0723269B" w:rsidR="00C13876" w:rsidRPr="00103A0B" w:rsidRDefault="00C13876" w:rsidP="00CD5919">
      <w:pPr>
        <w:spacing w:line="360" w:lineRule="auto"/>
        <w:jc w:val="both"/>
        <w:rPr>
          <w:rFonts w:ascii="Arial" w:hAnsi="Arial" w:cs="Arial"/>
          <w:sz w:val="24"/>
          <w:szCs w:val="24"/>
        </w:rPr>
      </w:pPr>
      <w:r w:rsidRPr="00103A0B">
        <w:rPr>
          <w:rFonts w:ascii="Arial" w:hAnsi="Arial" w:cs="Arial"/>
          <w:sz w:val="24"/>
          <w:szCs w:val="24"/>
        </w:rPr>
        <w:t xml:space="preserve">An example of initial codes that were identified and subsequent sub-themes and themes generated and derived from the data for the study described in Chapter 6 are shown below. Transcripts were analysed using inductive thematic analysis with an essentialist epistemological approach. The six phases of thematic analysis developed by Braun and Clarke (2006) were followed, starting with data familiarisation, initial coding (Column 1), and development of possible sub-themes and themes (Column 2), which were then discussed (Column 3) to refine and define the final sub-themes and themes (Columns 4 and 5). </w:t>
      </w:r>
    </w:p>
    <w:p w14:paraId="6487F9A9" w14:textId="4F81B052" w:rsidR="002544A6" w:rsidRPr="00103A0B" w:rsidRDefault="002544A6" w:rsidP="00CD5919">
      <w:pPr>
        <w:spacing w:line="360" w:lineRule="auto"/>
        <w:jc w:val="both"/>
        <w:rPr>
          <w:rFonts w:ascii="Arial" w:hAnsi="Arial" w:cs="Arial"/>
          <w:sz w:val="24"/>
          <w:szCs w:val="24"/>
        </w:rPr>
      </w:pPr>
    </w:p>
    <w:p w14:paraId="3D561128" w14:textId="29DCFD6E" w:rsidR="002544A6" w:rsidRPr="00103A0B" w:rsidRDefault="002544A6" w:rsidP="00CD5919">
      <w:pPr>
        <w:spacing w:line="360" w:lineRule="auto"/>
        <w:jc w:val="both"/>
        <w:rPr>
          <w:rFonts w:ascii="Arial" w:hAnsi="Arial" w:cs="Arial"/>
          <w:sz w:val="24"/>
          <w:szCs w:val="24"/>
        </w:rPr>
      </w:pPr>
    </w:p>
    <w:p w14:paraId="1DF32CE5" w14:textId="150E0F0E" w:rsidR="002544A6" w:rsidRPr="00103A0B" w:rsidRDefault="002544A6" w:rsidP="00CD5919">
      <w:pPr>
        <w:spacing w:line="360" w:lineRule="auto"/>
        <w:jc w:val="both"/>
        <w:rPr>
          <w:rFonts w:ascii="Arial" w:hAnsi="Arial" w:cs="Arial"/>
          <w:sz w:val="24"/>
          <w:szCs w:val="24"/>
        </w:rPr>
      </w:pPr>
    </w:p>
    <w:p w14:paraId="576458F6" w14:textId="3FB5BD25" w:rsidR="002544A6" w:rsidRPr="00103A0B" w:rsidRDefault="002544A6" w:rsidP="00CD5919">
      <w:pPr>
        <w:spacing w:line="360" w:lineRule="auto"/>
        <w:jc w:val="both"/>
        <w:rPr>
          <w:rFonts w:ascii="Arial" w:hAnsi="Arial" w:cs="Arial"/>
          <w:sz w:val="24"/>
          <w:szCs w:val="24"/>
        </w:rPr>
      </w:pPr>
    </w:p>
    <w:p w14:paraId="3A25FDDF" w14:textId="5E892E26" w:rsidR="002544A6" w:rsidRPr="00103A0B" w:rsidRDefault="002544A6" w:rsidP="00CD5919">
      <w:pPr>
        <w:spacing w:line="360" w:lineRule="auto"/>
        <w:jc w:val="both"/>
        <w:rPr>
          <w:rFonts w:ascii="Arial" w:hAnsi="Arial" w:cs="Arial"/>
          <w:sz w:val="24"/>
          <w:szCs w:val="24"/>
        </w:rPr>
      </w:pPr>
    </w:p>
    <w:p w14:paraId="4FBC5559" w14:textId="3288D127" w:rsidR="002544A6" w:rsidRPr="00103A0B" w:rsidRDefault="002544A6" w:rsidP="00CD5919">
      <w:pPr>
        <w:spacing w:line="360" w:lineRule="auto"/>
        <w:jc w:val="both"/>
        <w:rPr>
          <w:rFonts w:ascii="Arial" w:hAnsi="Arial" w:cs="Arial"/>
          <w:sz w:val="24"/>
          <w:szCs w:val="24"/>
        </w:rPr>
      </w:pPr>
    </w:p>
    <w:p w14:paraId="45CC8B73" w14:textId="530EA327" w:rsidR="002544A6" w:rsidRPr="00103A0B" w:rsidRDefault="002544A6" w:rsidP="00CD5919">
      <w:pPr>
        <w:spacing w:line="360" w:lineRule="auto"/>
        <w:jc w:val="both"/>
        <w:rPr>
          <w:rFonts w:ascii="Arial" w:hAnsi="Arial" w:cs="Arial"/>
          <w:sz w:val="24"/>
          <w:szCs w:val="24"/>
        </w:rPr>
      </w:pPr>
    </w:p>
    <w:p w14:paraId="7395E9FA" w14:textId="593E21B7" w:rsidR="002544A6" w:rsidRPr="00103A0B" w:rsidRDefault="002544A6" w:rsidP="00CD5919">
      <w:pPr>
        <w:spacing w:line="360" w:lineRule="auto"/>
        <w:jc w:val="both"/>
        <w:rPr>
          <w:rFonts w:ascii="Arial" w:hAnsi="Arial" w:cs="Arial"/>
          <w:sz w:val="24"/>
          <w:szCs w:val="24"/>
        </w:rPr>
      </w:pPr>
    </w:p>
    <w:p w14:paraId="3FA05A19" w14:textId="05AD4B26" w:rsidR="002544A6" w:rsidRPr="00103A0B" w:rsidRDefault="002544A6" w:rsidP="00CD5919">
      <w:pPr>
        <w:spacing w:line="360" w:lineRule="auto"/>
        <w:jc w:val="both"/>
        <w:rPr>
          <w:rFonts w:ascii="Arial" w:hAnsi="Arial" w:cs="Arial"/>
          <w:sz w:val="24"/>
          <w:szCs w:val="24"/>
        </w:rPr>
      </w:pPr>
    </w:p>
    <w:p w14:paraId="6428B104" w14:textId="081BD9D9" w:rsidR="002544A6" w:rsidRPr="00103A0B" w:rsidRDefault="002544A6" w:rsidP="00CD5919">
      <w:pPr>
        <w:spacing w:line="360" w:lineRule="auto"/>
        <w:jc w:val="both"/>
        <w:rPr>
          <w:rFonts w:ascii="Arial" w:hAnsi="Arial" w:cs="Arial"/>
          <w:sz w:val="24"/>
          <w:szCs w:val="24"/>
        </w:rPr>
      </w:pPr>
    </w:p>
    <w:p w14:paraId="2F8102D2" w14:textId="0355F37B" w:rsidR="002544A6" w:rsidRPr="00103A0B" w:rsidRDefault="002544A6" w:rsidP="00CD5919">
      <w:pPr>
        <w:spacing w:line="360" w:lineRule="auto"/>
        <w:jc w:val="both"/>
        <w:rPr>
          <w:rFonts w:ascii="Arial" w:hAnsi="Arial" w:cs="Arial"/>
          <w:sz w:val="24"/>
          <w:szCs w:val="24"/>
        </w:rPr>
      </w:pPr>
    </w:p>
    <w:p w14:paraId="136A6A36" w14:textId="747959C1" w:rsidR="002544A6" w:rsidRPr="00103A0B" w:rsidRDefault="002544A6" w:rsidP="00CD5919">
      <w:pPr>
        <w:spacing w:line="360" w:lineRule="auto"/>
        <w:jc w:val="both"/>
        <w:rPr>
          <w:rFonts w:ascii="Arial" w:hAnsi="Arial" w:cs="Arial"/>
          <w:sz w:val="24"/>
          <w:szCs w:val="24"/>
        </w:rPr>
      </w:pPr>
    </w:p>
    <w:p w14:paraId="6E752D88" w14:textId="2060B451" w:rsidR="002544A6" w:rsidRPr="00103A0B" w:rsidRDefault="002544A6" w:rsidP="00CD5919">
      <w:pPr>
        <w:spacing w:line="360" w:lineRule="auto"/>
        <w:jc w:val="both"/>
        <w:rPr>
          <w:rFonts w:ascii="Arial" w:hAnsi="Arial" w:cs="Arial"/>
          <w:sz w:val="24"/>
          <w:szCs w:val="24"/>
        </w:rPr>
      </w:pPr>
    </w:p>
    <w:p w14:paraId="38F24F48" w14:textId="42D85E6A" w:rsidR="002544A6" w:rsidRPr="00103A0B" w:rsidRDefault="002544A6" w:rsidP="00CD5919">
      <w:pPr>
        <w:spacing w:line="360" w:lineRule="auto"/>
        <w:jc w:val="both"/>
        <w:rPr>
          <w:rFonts w:ascii="Arial" w:hAnsi="Arial" w:cs="Arial"/>
          <w:sz w:val="24"/>
          <w:szCs w:val="24"/>
        </w:rPr>
      </w:pPr>
    </w:p>
    <w:p w14:paraId="01AAD982" w14:textId="12671144" w:rsidR="002544A6" w:rsidRPr="00103A0B" w:rsidRDefault="002544A6" w:rsidP="00CD5919">
      <w:pPr>
        <w:spacing w:line="360" w:lineRule="auto"/>
        <w:jc w:val="both"/>
        <w:rPr>
          <w:rFonts w:ascii="Arial" w:hAnsi="Arial" w:cs="Arial"/>
          <w:sz w:val="24"/>
          <w:szCs w:val="24"/>
        </w:rPr>
      </w:pPr>
    </w:p>
    <w:p w14:paraId="170E2AA9" w14:textId="77777777" w:rsidR="002544A6" w:rsidRPr="00103A0B" w:rsidRDefault="002544A6" w:rsidP="00CD5919">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1623"/>
        <w:gridCol w:w="2763"/>
        <w:gridCol w:w="1044"/>
        <w:gridCol w:w="1793"/>
        <w:gridCol w:w="1793"/>
      </w:tblGrid>
      <w:tr w:rsidR="00C13876" w:rsidRPr="00103A0B" w14:paraId="75E1FF60"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079E12AC"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b/>
                <w:bCs/>
                <w:sz w:val="20"/>
                <w:szCs w:val="20"/>
              </w:rPr>
              <w:lastRenderedPageBreak/>
              <w:t xml:space="preserve">Initial codes </w:t>
            </w:r>
          </w:p>
        </w:tc>
        <w:tc>
          <w:tcPr>
            <w:tcW w:w="2714" w:type="dxa"/>
            <w:tcBorders>
              <w:top w:val="single" w:sz="4" w:space="0" w:color="auto"/>
              <w:left w:val="single" w:sz="4" w:space="0" w:color="auto"/>
              <w:bottom w:val="single" w:sz="4" w:space="0" w:color="auto"/>
              <w:right w:val="single" w:sz="4" w:space="0" w:color="auto"/>
            </w:tcBorders>
            <w:hideMark/>
          </w:tcPr>
          <w:p w14:paraId="563EF9D8"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b/>
                <w:bCs/>
                <w:sz w:val="20"/>
                <w:szCs w:val="20"/>
              </w:rPr>
              <w:t xml:space="preserve">Searching for sub-themes/themes </w:t>
            </w:r>
          </w:p>
        </w:tc>
        <w:tc>
          <w:tcPr>
            <w:tcW w:w="1064" w:type="dxa"/>
            <w:tcBorders>
              <w:top w:val="single" w:sz="4" w:space="0" w:color="auto"/>
              <w:left w:val="single" w:sz="4" w:space="0" w:color="auto"/>
              <w:bottom w:val="single" w:sz="4" w:space="0" w:color="auto"/>
              <w:right w:val="single" w:sz="4" w:space="0" w:color="auto"/>
            </w:tcBorders>
          </w:tcPr>
          <w:p w14:paraId="4903B77F" w14:textId="77777777" w:rsidR="00C13876" w:rsidRPr="00103A0B" w:rsidRDefault="00C13876" w:rsidP="005D1464">
            <w:pPr>
              <w:spacing w:line="276" w:lineRule="auto"/>
              <w:jc w:val="both"/>
              <w:rPr>
                <w:rFonts w:ascii="Arial" w:hAnsi="Arial" w:cs="Arial"/>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EA36FC9"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b/>
                <w:bCs/>
                <w:sz w:val="20"/>
                <w:szCs w:val="20"/>
              </w:rPr>
              <w:t xml:space="preserve">Defining/naming sub-themes </w:t>
            </w:r>
          </w:p>
        </w:tc>
        <w:tc>
          <w:tcPr>
            <w:tcW w:w="1800" w:type="dxa"/>
            <w:tcBorders>
              <w:top w:val="single" w:sz="4" w:space="0" w:color="auto"/>
              <w:left w:val="single" w:sz="4" w:space="0" w:color="auto"/>
              <w:bottom w:val="single" w:sz="4" w:space="0" w:color="auto"/>
              <w:right w:val="single" w:sz="4" w:space="0" w:color="auto"/>
            </w:tcBorders>
          </w:tcPr>
          <w:p w14:paraId="4F043408" w14:textId="77777777" w:rsidR="00C13876" w:rsidRPr="00103A0B" w:rsidRDefault="00C13876" w:rsidP="005D1464">
            <w:pPr>
              <w:spacing w:line="276" w:lineRule="auto"/>
              <w:jc w:val="both"/>
              <w:rPr>
                <w:rFonts w:ascii="Arial" w:hAnsi="Arial" w:cs="Arial"/>
                <w:b/>
                <w:bCs/>
                <w:sz w:val="20"/>
                <w:szCs w:val="20"/>
              </w:rPr>
            </w:pPr>
            <w:r w:rsidRPr="00103A0B">
              <w:rPr>
                <w:rFonts w:ascii="Arial" w:hAnsi="Arial" w:cs="Arial"/>
                <w:b/>
                <w:bCs/>
                <w:sz w:val="20"/>
                <w:szCs w:val="20"/>
              </w:rPr>
              <w:t>Defining/naming themes</w:t>
            </w:r>
          </w:p>
          <w:p w14:paraId="6F4CF1B7" w14:textId="77777777" w:rsidR="00C13876" w:rsidRPr="00103A0B" w:rsidRDefault="00C13876" w:rsidP="005D1464">
            <w:pPr>
              <w:spacing w:line="276" w:lineRule="auto"/>
              <w:jc w:val="both"/>
              <w:rPr>
                <w:rFonts w:ascii="Arial" w:hAnsi="Arial" w:cs="Arial"/>
                <w:sz w:val="20"/>
                <w:szCs w:val="20"/>
              </w:rPr>
            </w:pPr>
          </w:p>
        </w:tc>
      </w:tr>
      <w:tr w:rsidR="00C13876" w:rsidRPr="00103A0B" w14:paraId="08D46065"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7A0EF67D"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 xml:space="preserve">Fear and panic immediately led to starting programme </w:t>
            </w:r>
          </w:p>
        </w:tc>
        <w:tc>
          <w:tcPr>
            <w:tcW w:w="2714" w:type="dxa"/>
            <w:vMerge w:val="restart"/>
            <w:tcBorders>
              <w:top w:val="single" w:sz="4" w:space="0" w:color="auto"/>
              <w:left w:val="single" w:sz="4" w:space="0" w:color="auto"/>
              <w:bottom w:val="single" w:sz="4" w:space="0" w:color="auto"/>
              <w:right w:val="single" w:sz="4" w:space="0" w:color="auto"/>
            </w:tcBorders>
            <w:hideMark/>
          </w:tcPr>
          <w:p w14:paraId="2B1319EA"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Fear and negative T2DM perceptions</w:t>
            </w:r>
          </w:p>
        </w:tc>
        <w:tc>
          <w:tcPr>
            <w:tcW w:w="1064" w:type="dxa"/>
            <w:vMerge w:val="restart"/>
            <w:tcBorders>
              <w:top w:val="single" w:sz="4" w:space="0" w:color="auto"/>
              <w:left w:val="single" w:sz="4" w:space="0" w:color="auto"/>
              <w:bottom w:val="single" w:sz="4" w:space="0" w:color="auto"/>
              <w:right w:val="single" w:sz="4" w:space="0" w:color="auto"/>
            </w:tcBorders>
          </w:tcPr>
          <w:p w14:paraId="16D5ED44" w14:textId="77777777" w:rsidR="00C13876" w:rsidRPr="00103A0B" w:rsidRDefault="00C13876" w:rsidP="005D1464">
            <w:pPr>
              <w:spacing w:line="276" w:lineRule="auto"/>
              <w:jc w:val="both"/>
              <w:rPr>
                <w:rFonts w:ascii="Arial" w:hAnsi="Arial" w:cs="Arial"/>
                <w:i/>
                <w:iCs/>
                <w:sz w:val="20"/>
                <w:szCs w:val="20"/>
              </w:rPr>
            </w:pPr>
          </w:p>
          <w:p w14:paraId="27FC1994" w14:textId="77777777" w:rsidR="00C13876" w:rsidRPr="00103A0B" w:rsidRDefault="00C13876" w:rsidP="005D1464">
            <w:pPr>
              <w:spacing w:line="276" w:lineRule="auto"/>
              <w:jc w:val="both"/>
              <w:rPr>
                <w:rFonts w:ascii="Arial" w:hAnsi="Arial" w:cs="Arial"/>
                <w:i/>
                <w:iCs/>
                <w:sz w:val="20"/>
                <w:szCs w:val="20"/>
              </w:rPr>
            </w:pPr>
          </w:p>
          <w:p w14:paraId="0D6E0E5F" w14:textId="77777777" w:rsidR="00C13876" w:rsidRPr="00103A0B" w:rsidRDefault="00C13876" w:rsidP="005D1464">
            <w:pPr>
              <w:spacing w:line="276" w:lineRule="auto"/>
              <w:jc w:val="both"/>
              <w:rPr>
                <w:rFonts w:ascii="Arial" w:hAnsi="Arial" w:cs="Arial"/>
                <w:i/>
                <w:iCs/>
                <w:sz w:val="20"/>
                <w:szCs w:val="20"/>
              </w:rPr>
            </w:pPr>
          </w:p>
          <w:p w14:paraId="522A108D" w14:textId="77777777" w:rsidR="00C13876" w:rsidRPr="00103A0B" w:rsidRDefault="00C13876" w:rsidP="005D1464">
            <w:pPr>
              <w:spacing w:line="276" w:lineRule="auto"/>
              <w:jc w:val="both"/>
              <w:rPr>
                <w:rFonts w:ascii="Arial" w:hAnsi="Arial" w:cs="Arial"/>
                <w:i/>
                <w:iCs/>
                <w:sz w:val="20"/>
                <w:szCs w:val="20"/>
              </w:rPr>
            </w:pPr>
          </w:p>
          <w:p w14:paraId="32C9DA59" w14:textId="77777777" w:rsidR="00C13876" w:rsidRPr="00103A0B" w:rsidRDefault="00C13876" w:rsidP="005D1464">
            <w:pPr>
              <w:spacing w:line="276" w:lineRule="auto"/>
              <w:jc w:val="both"/>
              <w:rPr>
                <w:rFonts w:ascii="Arial" w:hAnsi="Arial" w:cs="Arial"/>
                <w:i/>
                <w:iCs/>
                <w:sz w:val="20"/>
                <w:szCs w:val="20"/>
              </w:rPr>
            </w:pPr>
          </w:p>
          <w:p w14:paraId="04CA5C1B" w14:textId="77777777" w:rsidR="00C13876" w:rsidRPr="00103A0B" w:rsidRDefault="00C13876" w:rsidP="005D1464">
            <w:pPr>
              <w:spacing w:line="276" w:lineRule="auto"/>
              <w:jc w:val="both"/>
              <w:rPr>
                <w:rFonts w:ascii="Arial" w:hAnsi="Arial" w:cs="Arial"/>
                <w:i/>
                <w:iCs/>
                <w:sz w:val="20"/>
                <w:szCs w:val="20"/>
              </w:rPr>
            </w:pPr>
          </w:p>
          <w:p w14:paraId="623C2E21" w14:textId="77777777" w:rsidR="00C13876" w:rsidRPr="00103A0B" w:rsidRDefault="00C13876" w:rsidP="005D1464">
            <w:pPr>
              <w:spacing w:line="276" w:lineRule="auto"/>
              <w:jc w:val="both"/>
              <w:rPr>
                <w:rFonts w:ascii="Arial" w:hAnsi="Arial" w:cs="Arial"/>
                <w:i/>
                <w:iCs/>
                <w:sz w:val="20"/>
                <w:szCs w:val="20"/>
              </w:rPr>
            </w:pPr>
          </w:p>
          <w:p w14:paraId="39C29C47" w14:textId="77777777" w:rsidR="00C13876" w:rsidRPr="00103A0B" w:rsidRDefault="00C13876" w:rsidP="005D1464">
            <w:pPr>
              <w:spacing w:line="276" w:lineRule="auto"/>
              <w:jc w:val="both"/>
              <w:rPr>
                <w:rFonts w:ascii="Arial" w:hAnsi="Arial" w:cs="Arial"/>
                <w:i/>
                <w:iCs/>
                <w:sz w:val="20"/>
                <w:szCs w:val="20"/>
              </w:rPr>
            </w:pPr>
          </w:p>
          <w:p w14:paraId="79F22608" w14:textId="77777777" w:rsidR="00C13876" w:rsidRPr="00103A0B" w:rsidRDefault="00C13876" w:rsidP="005D1464">
            <w:pPr>
              <w:spacing w:line="276" w:lineRule="auto"/>
              <w:jc w:val="both"/>
              <w:rPr>
                <w:rFonts w:ascii="Arial" w:hAnsi="Arial" w:cs="Arial"/>
                <w:i/>
                <w:iCs/>
                <w:sz w:val="20"/>
                <w:szCs w:val="20"/>
              </w:rPr>
            </w:pPr>
          </w:p>
          <w:p w14:paraId="59AA03BB" w14:textId="77777777" w:rsidR="00C13876" w:rsidRPr="00103A0B" w:rsidRDefault="00C13876" w:rsidP="005D1464">
            <w:pPr>
              <w:spacing w:line="276" w:lineRule="auto"/>
              <w:jc w:val="both"/>
              <w:rPr>
                <w:rFonts w:ascii="Arial" w:hAnsi="Arial" w:cs="Arial"/>
                <w:i/>
                <w:iCs/>
                <w:sz w:val="20"/>
                <w:szCs w:val="20"/>
              </w:rPr>
            </w:pPr>
          </w:p>
          <w:p w14:paraId="6A5DFC77" w14:textId="77777777" w:rsidR="00C13876" w:rsidRPr="00103A0B" w:rsidRDefault="00C13876" w:rsidP="005D1464">
            <w:pPr>
              <w:spacing w:line="276" w:lineRule="auto"/>
              <w:jc w:val="both"/>
              <w:rPr>
                <w:rFonts w:ascii="Arial" w:hAnsi="Arial" w:cs="Arial"/>
                <w:i/>
                <w:iCs/>
                <w:sz w:val="20"/>
                <w:szCs w:val="20"/>
              </w:rPr>
            </w:pPr>
          </w:p>
          <w:p w14:paraId="32AB51C6"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i/>
                <w:iCs/>
                <w:sz w:val="20"/>
                <w:szCs w:val="20"/>
              </w:rPr>
              <w:t>Sub-themes/ themes reviewed</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716CEC06" w14:textId="18C0F6EA" w:rsidR="00C13876" w:rsidRPr="00103A0B" w:rsidRDefault="00C13876" w:rsidP="005D1464">
            <w:pPr>
              <w:spacing w:line="276" w:lineRule="auto"/>
              <w:jc w:val="both"/>
              <w:rPr>
                <w:rFonts w:ascii="Arial" w:hAnsi="Arial" w:cs="Arial"/>
                <w:sz w:val="20"/>
                <w:szCs w:val="20"/>
              </w:rPr>
            </w:pPr>
          </w:p>
        </w:tc>
        <w:tc>
          <w:tcPr>
            <w:tcW w:w="1800" w:type="dxa"/>
            <w:vMerge w:val="restart"/>
            <w:tcBorders>
              <w:top w:val="single" w:sz="4" w:space="0" w:color="auto"/>
              <w:left w:val="single" w:sz="4" w:space="0" w:color="auto"/>
              <w:bottom w:val="single" w:sz="4" w:space="0" w:color="auto"/>
              <w:right w:val="single" w:sz="4" w:space="0" w:color="auto"/>
            </w:tcBorders>
            <w:hideMark/>
          </w:tcPr>
          <w:p w14:paraId="7AA78CE0"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 xml:space="preserve">Illness threat </w:t>
            </w:r>
          </w:p>
        </w:tc>
      </w:tr>
      <w:tr w:rsidR="00C13876" w:rsidRPr="00103A0B" w14:paraId="17E68D50"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5682AF46"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 xml:space="preserve">T2DM is for life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AED30" w14:textId="77777777"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A45B1" w14:textId="77777777"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08FDD" w14:textId="77777777"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BCEBA" w14:textId="77777777" w:rsidR="00C13876" w:rsidRPr="00103A0B" w:rsidRDefault="00C13876" w:rsidP="005D1464">
            <w:pPr>
              <w:spacing w:line="276" w:lineRule="auto"/>
              <w:jc w:val="both"/>
              <w:rPr>
                <w:rFonts w:ascii="Arial" w:hAnsi="Arial" w:cs="Arial"/>
                <w:sz w:val="20"/>
                <w:szCs w:val="20"/>
              </w:rPr>
            </w:pPr>
          </w:p>
        </w:tc>
      </w:tr>
      <w:tr w:rsidR="00C13876" w:rsidRPr="00103A0B" w14:paraId="4B95519C"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02C80471"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Worried about T2DM</w:t>
            </w:r>
          </w:p>
        </w:tc>
        <w:tc>
          <w:tcPr>
            <w:tcW w:w="2714" w:type="dxa"/>
            <w:vMerge w:val="restart"/>
            <w:tcBorders>
              <w:top w:val="single" w:sz="4" w:space="0" w:color="auto"/>
              <w:left w:val="single" w:sz="4" w:space="0" w:color="auto"/>
              <w:bottom w:val="single" w:sz="4" w:space="0" w:color="auto"/>
              <w:right w:val="single" w:sz="4" w:space="0" w:color="auto"/>
            </w:tcBorders>
            <w:hideMark/>
          </w:tcPr>
          <w:p w14:paraId="4E5F1660"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 xml:space="preserve">Negative emotions and negative T2DM perceptions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A4AFA" w14:textId="77777777" w:rsidR="00C13876" w:rsidRPr="00103A0B" w:rsidRDefault="00C13876" w:rsidP="005D1464">
            <w:pPr>
              <w:spacing w:line="276" w:lineRule="auto"/>
              <w:jc w:val="both"/>
              <w:rPr>
                <w:rFonts w:ascii="Arial" w:hAnsi="Arial" w:cs="Arial"/>
                <w:sz w:val="20"/>
                <w:szCs w:val="20"/>
              </w:rPr>
            </w:pPr>
          </w:p>
        </w:tc>
        <w:tc>
          <w:tcPr>
            <w:tcW w:w="1800" w:type="dxa"/>
            <w:vMerge w:val="restart"/>
            <w:tcBorders>
              <w:top w:val="single" w:sz="4" w:space="0" w:color="auto"/>
              <w:left w:val="single" w:sz="4" w:space="0" w:color="auto"/>
              <w:bottom w:val="single" w:sz="4" w:space="0" w:color="auto"/>
              <w:right w:val="single" w:sz="4" w:space="0" w:color="auto"/>
            </w:tcBorders>
            <w:hideMark/>
          </w:tcPr>
          <w:p w14:paraId="274B2B18" w14:textId="3DCD1DEA"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FC22" w14:textId="77777777" w:rsidR="00C13876" w:rsidRPr="00103A0B" w:rsidRDefault="00C13876" w:rsidP="005D1464">
            <w:pPr>
              <w:spacing w:line="276" w:lineRule="auto"/>
              <w:jc w:val="both"/>
              <w:rPr>
                <w:rFonts w:ascii="Arial" w:hAnsi="Arial" w:cs="Arial"/>
                <w:sz w:val="20"/>
                <w:szCs w:val="20"/>
              </w:rPr>
            </w:pPr>
          </w:p>
        </w:tc>
      </w:tr>
      <w:tr w:rsidR="00C13876" w:rsidRPr="00103A0B" w14:paraId="0E2E8F22"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3A689C6C"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 xml:space="preserve">T2DM a sickness or disease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5B167" w14:textId="77777777"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B391E9" w14:textId="77777777"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17B27" w14:textId="77777777"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E430A" w14:textId="77777777" w:rsidR="00C13876" w:rsidRPr="00103A0B" w:rsidRDefault="00C13876" w:rsidP="005D1464">
            <w:pPr>
              <w:spacing w:line="276" w:lineRule="auto"/>
              <w:jc w:val="both"/>
              <w:rPr>
                <w:rFonts w:ascii="Arial" w:hAnsi="Arial" w:cs="Arial"/>
                <w:sz w:val="20"/>
                <w:szCs w:val="20"/>
              </w:rPr>
            </w:pPr>
          </w:p>
        </w:tc>
      </w:tr>
      <w:tr w:rsidR="005D1464" w:rsidRPr="00103A0B" w14:paraId="25954F12"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2B35BD2E"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T2DM can affect eyesight or lead to blindness</w:t>
            </w:r>
          </w:p>
        </w:tc>
        <w:tc>
          <w:tcPr>
            <w:tcW w:w="2714" w:type="dxa"/>
            <w:tcBorders>
              <w:top w:val="single" w:sz="4" w:space="0" w:color="auto"/>
              <w:left w:val="single" w:sz="4" w:space="0" w:color="auto"/>
              <w:bottom w:val="single" w:sz="4" w:space="0" w:color="auto"/>
              <w:right w:val="single" w:sz="4" w:space="0" w:color="auto"/>
            </w:tcBorders>
            <w:hideMark/>
          </w:tcPr>
          <w:p w14:paraId="47A75F88"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 xml:space="preserve">T2DM-related knowledge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08CBBB" w14:textId="77777777" w:rsidR="005D1464" w:rsidRPr="00103A0B" w:rsidRDefault="005D1464" w:rsidP="005D1464">
            <w:pPr>
              <w:spacing w:line="276" w:lineRule="auto"/>
              <w:jc w:val="both"/>
              <w:rPr>
                <w:rFonts w:ascii="Arial" w:hAnsi="Arial" w:cs="Arial"/>
                <w:sz w:val="20"/>
                <w:szCs w:val="20"/>
              </w:rPr>
            </w:pPr>
          </w:p>
        </w:tc>
        <w:tc>
          <w:tcPr>
            <w:tcW w:w="1800" w:type="dxa"/>
            <w:vMerge w:val="restart"/>
            <w:tcBorders>
              <w:top w:val="single" w:sz="4" w:space="0" w:color="auto"/>
              <w:left w:val="single" w:sz="4" w:space="0" w:color="auto"/>
              <w:right w:val="single" w:sz="4" w:space="0" w:color="auto"/>
            </w:tcBorders>
            <w:hideMark/>
          </w:tcPr>
          <w:p w14:paraId="1B7CB148"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 xml:space="preserve">Learning and knowledge </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19A9E3D0"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 xml:space="preserve">Programme perceptions </w:t>
            </w:r>
          </w:p>
        </w:tc>
      </w:tr>
      <w:tr w:rsidR="005D1464" w:rsidRPr="00103A0B" w14:paraId="10420A9F"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6C073B54"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Programme increased awareness</w:t>
            </w:r>
          </w:p>
        </w:tc>
        <w:tc>
          <w:tcPr>
            <w:tcW w:w="2714" w:type="dxa"/>
            <w:tcBorders>
              <w:top w:val="single" w:sz="4" w:space="0" w:color="auto"/>
              <w:left w:val="single" w:sz="4" w:space="0" w:color="auto"/>
              <w:bottom w:val="single" w:sz="4" w:space="0" w:color="auto"/>
              <w:right w:val="single" w:sz="4" w:space="0" w:color="auto"/>
            </w:tcBorders>
            <w:hideMark/>
          </w:tcPr>
          <w:p w14:paraId="6C7C04E4"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 xml:space="preserve">Knowledge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D496F0" w14:textId="77777777" w:rsidR="005D1464" w:rsidRPr="00103A0B" w:rsidRDefault="005D1464" w:rsidP="005D1464">
            <w:pPr>
              <w:spacing w:line="276" w:lineRule="auto"/>
              <w:jc w:val="both"/>
              <w:rPr>
                <w:rFonts w:ascii="Arial" w:hAnsi="Arial" w:cs="Arial"/>
                <w:sz w:val="20"/>
                <w:szCs w:val="20"/>
              </w:rPr>
            </w:pPr>
          </w:p>
        </w:tc>
        <w:tc>
          <w:tcPr>
            <w:tcW w:w="0" w:type="auto"/>
            <w:vMerge/>
            <w:tcBorders>
              <w:left w:val="single" w:sz="4" w:space="0" w:color="auto"/>
              <w:right w:val="single" w:sz="4" w:space="0" w:color="auto"/>
            </w:tcBorders>
            <w:vAlign w:val="center"/>
            <w:hideMark/>
          </w:tcPr>
          <w:p w14:paraId="32AF559F" w14:textId="77777777" w:rsidR="005D1464" w:rsidRPr="00103A0B" w:rsidRDefault="005D1464"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7485EA" w14:textId="77777777" w:rsidR="005D1464" w:rsidRPr="00103A0B" w:rsidRDefault="005D1464" w:rsidP="005D1464">
            <w:pPr>
              <w:spacing w:line="276" w:lineRule="auto"/>
              <w:jc w:val="both"/>
              <w:rPr>
                <w:rFonts w:ascii="Arial" w:hAnsi="Arial" w:cs="Arial"/>
                <w:sz w:val="20"/>
                <w:szCs w:val="20"/>
              </w:rPr>
            </w:pPr>
          </w:p>
        </w:tc>
      </w:tr>
      <w:tr w:rsidR="005D1464" w:rsidRPr="00103A0B" w14:paraId="366CCAB3"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509E3A78"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Learnt a lot from the programme</w:t>
            </w:r>
          </w:p>
        </w:tc>
        <w:tc>
          <w:tcPr>
            <w:tcW w:w="2714" w:type="dxa"/>
            <w:tcBorders>
              <w:top w:val="single" w:sz="4" w:space="0" w:color="auto"/>
              <w:left w:val="single" w:sz="4" w:space="0" w:color="auto"/>
              <w:bottom w:val="single" w:sz="4" w:space="0" w:color="auto"/>
              <w:right w:val="single" w:sz="4" w:space="0" w:color="auto"/>
            </w:tcBorders>
            <w:hideMark/>
          </w:tcPr>
          <w:p w14:paraId="6135FD16"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 xml:space="preserve">Learning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B199E" w14:textId="77777777" w:rsidR="005D1464" w:rsidRPr="00103A0B" w:rsidRDefault="005D1464" w:rsidP="005D1464">
            <w:pPr>
              <w:spacing w:line="276" w:lineRule="auto"/>
              <w:jc w:val="both"/>
              <w:rPr>
                <w:rFonts w:ascii="Arial" w:hAnsi="Arial" w:cs="Arial"/>
                <w:sz w:val="20"/>
                <w:szCs w:val="20"/>
              </w:rPr>
            </w:pPr>
          </w:p>
        </w:tc>
        <w:tc>
          <w:tcPr>
            <w:tcW w:w="0" w:type="auto"/>
            <w:vMerge/>
            <w:tcBorders>
              <w:left w:val="single" w:sz="4" w:space="0" w:color="auto"/>
              <w:right w:val="single" w:sz="4" w:space="0" w:color="auto"/>
            </w:tcBorders>
            <w:vAlign w:val="center"/>
            <w:hideMark/>
          </w:tcPr>
          <w:p w14:paraId="4952C06D" w14:textId="77777777" w:rsidR="005D1464" w:rsidRPr="00103A0B" w:rsidRDefault="005D1464"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D0385" w14:textId="77777777" w:rsidR="005D1464" w:rsidRPr="00103A0B" w:rsidRDefault="005D1464" w:rsidP="005D1464">
            <w:pPr>
              <w:spacing w:line="276" w:lineRule="auto"/>
              <w:jc w:val="both"/>
              <w:rPr>
                <w:rFonts w:ascii="Arial" w:hAnsi="Arial" w:cs="Arial"/>
                <w:sz w:val="20"/>
                <w:szCs w:val="20"/>
              </w:rPr>
            </w:pPr>
          </w:p>
        </w:tc>
      </w:tr>
      <w:tr w:rsidR="005D1464" w:rsidRPr="00103A0B" w14:paraId="006C68FD"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06A91683"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 xml:space="preserve">Programme was enjoyable </w:t>
            </w:r>
          </w:p>
        </w:tc>
        <w:tc>
          <w:tcPr>
            <w:tcW w:w="2714" w:type="dxa"/>
            <w:vMerge w:val="restart"/>
            <w:tcBorders>
              <w:top w:val="single" w:sz="4" w:space="0" w:color="auto"/>
              <w:left w:val="single" w:sz="4" w:space="0" w:color="auto"/>
              <w:bottom w:val="single" w:sz="4" w:space="0" w:color="auto"/>
              <w:right w:val="single" w:sz="4" w:space="0" w:color="auto"/>
            </w:tcBorders>
            <w:hideMark/>
          </w:tcPr>
          <w:p w14:paraId="1FD15F22"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Programme perceptions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3B5007" w14:textId="77777777" w:rsidR="005D1464" w:rsidRPr="00103A0B" w:rsidRDefault="005D1464" w:rsidP="005D1464">
            <w:pPr>
              <w:spacing w:line="276" w:lineRule="auto"/>
              <w:jc w:val="both"/>
              <w:rPr>
                <w:rFonts w:ascii="Arial" w:hAnsi="Arial" w:cs="Arial"/>
                <w:sz w:val="20"/>
                <w:szCs w:val="20"/>
              </w:rPr>
            </w:pPr>
          </w:p>
        </w:tc>
        <w:tc>
          <w:tcPr>
            <w:tcW w:w="1800" w:type="dxa"/>
            <w:vMerge/>
            <w:tcBorders>
              <w:left w:val="single" w:sz="4" w:space="0" w:color="auto"/>
              <w:right w:val="single" w:sz="4" w:space="0" w:color="auto"/>
            </w:tcBorders>
            <w:hideMark/>
          </w:tcPr>
          <w:p w14:paraId="0479EA9F" w14:textId="10B39C9D" w:rsidR="005D1464" w:rsidRPr="00103A0B" w:rsidRDefault="005D1464"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A9394" w14:textId="77777777" w:rsidR="005D1464" w:rsidRPr="00103A0B" w:rsidRDefault="005D1464" w:rsidP="005D1464">
            <w:pPr>
              <w:spacing w:line="276" w:lineRule="auto"/>
              <w:jc w:val="both"/>
              <w:rPr>
                <w:rFonts w:ascii="Arial" w:hAnsi="Arial" w:cs="Arial"/>
                <w:sz w:val="20"/>
                <w:szCs w:val="20"/>
              </w:rPr>
            </w:pPr>
          </w:p>
        </w:tc>
      </w:tr>
      <w:tr w:rsidR="005D1464" w:rsidRPr="00103A0B" w14:paraId="10E33C9B"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5A046BAE" w14:textId="77777777"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 xml:space="preserve">Programme was helpful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3CDC5" w14:textId="77777777" w:rsidR="005D1464" w:rsidRPr="00103A0B" w:rsidRDefault="005D1464"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A08E3" w14:textId="77777777" w:rsidR="005D1464" w:rsidRPr="00103A0B" w:rsidRDefault="005D1464" w:rsidP="005D1464">
            <w:pPr>
              <w:spacing w:line="276" w:lineRule="auto"/>
              <w:jc w:val="both"/>
              <w:rPr>
                <w:rFonts w:ascii="Arial" w:hAnsi="Arial" w:cs="Arial"/>
                <w:sz w:val="20"/>
                <w:szCs w:val="20"/>
              </w:rPr>
            </w:pPr>
          </w:p>
        </w:tc>
        <w:tc>
          <w:tcPr>
            <w:tcW w:w="0" w:type="auto"/>
            <w:vMerge/>
            <w:tcBorders>
              <w:left w:val="single" w:sz="4" w:space="0" w:color="auto"/>
              <w:right w:val="single" w:sz="4" w:space="0" w:color="auto"/>
            </w:tcBorders>
            <w:vAlign w:val="center"/>
            <w:hideMark/>
          </w:tcPr>
          <w:p w14:paraId="52D3ABEE" w14:textId="77777777" w:rsidR="005D1464" w:rsidRPr="00103A0B" w:rsidRDefault="005D1464"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79D88" w14:textId="77777777" w:rsidR="005D1464" w:rsidRPr="00103A0B" w:rsidRDefault="005D1464" w:rsidP="005D1464">
            <w:pPr>
              <w:spacing w:line="276" w:lineRule="auto"/>
              <w:jc w:val="both"/>
              <w:rPr>
                <w:rFonts w:ascii="Arial" w:hAnsi="Arial" w:cs="Arial"/>
                <w:sz w:val="20"/>
                <w:szCs w:val="20"/>
              </w:rPr>
            </w:pPr>
          </w:p>
        </w:tc>
      </w:tr>
      <w:tr w:rsidR="005D1464" w:rsidRPr="00103A0B" w14:paraId="1BC71491" w14:textId="77777777" w:rsidTr="005D1464">
        <w:tc>
          <w:tcPr>
            <w:tcW w:w="1638" w:type="dxa"/>
            <w:tcBorders>
              <w:top w:val="single" w:sz="4" w:space="0" w:color="auto"/>
              <w:left w:val="single" w:sz="4" w:space="0" w:color="auto"/>
              <w:bottom w:val="single" w:sz="4" w:space="0" w:color="auto"/>
              <w:right w:val="single" w:sz="4" w:space="0" w:color="auto"/>
            </w:tcBorders>
          </w:tcPr>
          <w:p w14:paraId="5F64DBF8" w14:textId="6CBBDB5B"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Need encouragement</w:t>
            </w:r>
          </w:p>
        </w:tc>
        <w:tc>
          <w:tcPr>
            <w:tcW w:w="0" w:type="auto"/>
            <w:vMerge w:val="restart"/>
            <w:tcBorders>
              <w:top w:val="single" w:sz="4" w:space="0" w:color="auto"/>
              <w:left w:val="single" w:sz="4" w:space="0" w:color="auto"/>
              <w:right w:val="single" w:sz="4" w:space="0" w:color="auto"/>
            </w:tcBorders>
            <w:vAlign w:val="center"/>
          </w:tcPr>
          <w:p w14:paraId="3B57A8D0" w14:textId="07BAF8C3"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Programme did not meet expectations</w:t>
            </w:r>
          </w:p>
        </w:tc>
        <w:tc>
          <w:tcPr>
            <w:tcW w:w="0" w:type="auto"/>
            <w:vMerge/>
            <w:tcBorders>
              <w:top w:val="single" w:sz="4" w:space="0" w:color="auto"/>
              <w:left w:val="single" w:sz="4" w:space="0" w:color="auto"/>
              <w:bottom w:val="single" w:sz="4" w:space="0" w:color="auto"/>
              <w:right w:val="single" w:sz="4" w:space="0" w:color="auto"/>
            </w:tcBorders>
            <w:vAlign w:val="center"/>
          </w:tcPr>
          <w:p w14:paraId="2CF406BC" w14:textId="77777777" w:rsidR="005D1464" w:rsidRPr="00103A0B" w:rsidRDefault="005D1464" w:rsidP="005D1464">
            <w:pPr>
              <w:spacing w:line="276" w:lineRule="auto"/>
              <w:jc w:val="both"/>
              <w:rPr>
                <w:rFonts w:ascii="Arial" w:hAnsi="Arial" w:cs="Arial"/>
                <w:sz w:val="20"/>
                <w:szCs w:val="20"/>
              </w:rPr>
            </w:pPr>
          </w:p>
        </w:tc>
        <w:tc>
          <w:tcPr>
            <w:tcW w:w="0" w:type="auto"/>
            <w:vMerge/>
            <w:tcBorders>
              <w:left w:val="single" w:sz="4" w:space="0" w:color="auto"/>
              <w:right w:val="single" w:sz="4" w:space="0" w:color="auto"/>
            </w:tcBorders>
            <w:vAlign w:val="center"/>
          </w:tcPr>
          <w:p w14:paraId="28B3259A" w14:textId="77777777" w:rsidR="005D1464" w:rsidRPr="00103A0B" w:rsidRDefault="005D1464"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BB64D79" w14:textId="77777777" w:rsidR="005D1464" w:rsidRPr="00103A0B" w:rsidRDefault="005D1464" w:rsidP="005D1464">
            <w:pPr>
              <w:spacing w:line="276" w:lineRule="auto"/>
              <w:jc w:val="both"/>
              <w:rPr>
                <w:rFonts w:ascii="Arial" w:hAnsi="Arial" w:cs="Arial"/>
                <w:sz w:val="20"/>
                <w:szCs w:val="20"/>
              </w:rPr>
            </w:pPr>
          </w:p>
        </w:tc>
      </w:tr>
      <w:tr w:rsidR="005D1464" w:rsidRPr="00103A0B" w14:paraId="1484E346" w14:textId="77777777" w:rsidTr="005D1464">
        <w:tc>
          <w:tcPr>
            <w:tcW w:w="1638" w:type="dxa"/>
            <w:tcBorders>
              <w:top w:val="single" w:sz="4" w:space="0" w:color="auto"/>
              <w:left w:val="single" w:sz="4" w:space="0" w:color="auto"/>
              <w:bottom w:val="single" w:sz="4" w:space="0" w:color="auto"/>
              <w:right w:val="single" w:sz="4" w:space="0" w:color="auto"/>
            </w:tcBorders>
          </w:tcPr>
          <w:p w14:paraId="69E734A3" w14:textId="2384B86C" w:rsidR="005D1464" w:rsidRPr="00103A0B" w:rsidRDefault="005D1464" w:rsidP="005D1464">
            <w:pPr>
              <w:spacing w:line="276" w:lineRule="auto"/>
              <w:jc w:val="both"/>
              <w:rPr>
                <w:rFonts w:ascii="Arial" w:hAnsi="Arial" w:cs="Arial"/>
                <w:sz w:val="20"/>
                <w:szCs w:val="20"/>
              </w:rPr>
            </w:pPr>
            <w:r w:rsidRPr="00103A0B">
              <w:rPr>
                <w:rFonts w:ascii="Arial" w:hAnsi="Arial" w:cs="Arial"/>
                <w:sz w:val="20"/>
                <w:szCs w:val="20"/>
              </w:rPr>
              <w:t>Programme did not meet expectations</w:t>
            </w:r>
          </w:p>
        </w:tc>
        <w:tc>
          <w:tcPr>
            <w:tcW w:w="0" w:type="auto"/>
            <w:vMerge/>
            <w:tcBorders>
              <w:left w:val="single" w:sz="4" w:space="0" w:color="auto"/>
              <w:bottom w:val="single" w:sz="4" w:space="0" w:color="auto"/>
              <w:right w:val="single" w:sz="4" w:space="0" w:color="auto"/>
            </w:tcBorders>
            <w:vAlign w:val="center"/>
          </w:tcPr>
          <w:p w14:paraId="65DB3D8F" w14:textId="77777777" w:rsidR="005D1464" w:rsidRPr="00103A0B" w:rsidRDefault="005D1464"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6D589D1" w14:textId="77777777" w:rsidR="005D1464" w:rsidRPr="00103A0B" w:rsidRDefault="005D1464" w:rsidP="005D1464">
            <w:pPr>
              <w:spacing w:line="276" w:lineRule="auto"/>
              <w:jc w:val="both"/>
              <w:rPr>
                <w:rFonts w:ascii="Arial" w:hAnsi="Arial" w:cs="Arial"/>
                <w:sz w:val="20"/>
                <w:szCs w:val="20"/>
              </w:rPr>
            </w:pPr>
          </w:p>
        </w:tc>
        <w:tc>
          <w:tcPr>
            <w:tcW w:w="0" w:type="auto"/>
            <w:vMerge/>
            <w:tcBorders>
              <w:left w:val="single" w:sz="4" w:space="0" w:color="auto"/>
              <w:bottom w:val="single" w:sz="4" w:space="0" w:color="auto"/>
              <w:right w:val="single" w:sz="4" w:space="0" w:color="auto"/>
            </w:tcBorders>
            <w:vAlign w:val="center"/>
          </w:tcPr>
          <w:p w14:paraId="6914DBDC" w14:textId="77777777" w:rsidR="005D1464" w:rsidRPr="00103A0B" w:rsidRDefault="005D1464"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04364F5" w14:textId="77777777" w:rsidR="005D1464" w:rsidRPr="00103A0B" w:rsidRDefault="005D1464" w:rsidP="005D1464">
            <w:pPr>
              <w:spacing w:line="276" w:lineRule="auto"/>
              <w:jc w:val="both"/>
              <w:rPr>
                <w:rFonts w:ascii="Arial" w:hAnsi="Arial" w:cs="Arial"/>
                <w:sz w:val="20"/>
                <w:szCs w:val="20"/>
              </w:rPr>
            </w:pPr>
          </w:p>
        </w:tc>
      </w:tr>
      <w:tr w:rsidR="007A0C6B" w:rsidRPr="00103A0B" w14:paraId="1B3AA2D9"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7898C3BF" w14:textId="77777777" w:rsidR="007A0C6B" w:rsidRPr="00103A0B" w:rsidRDefault="007A0C6B" w:rsidP="005D1464">
            <w:pPr>
              <w:spacing w:line="276" w:lineRule="auto"/>
              <w:jc w:val="both"/>
              <w:rPr>
                <w:rFonts w:ascii="Arial" w:hAnsi="Arial" w:cs="Arial"/>
                <w:sz w:val="20"/>
                <w:szCs w:val="20"/>
              </w:rPr>
            </w:pPr>
            <w:r w:rsidRPr="00103A0B">
              <w:rPr>
                <w:rFonts w:ascii="Arial" w:hAnsi="Arial" w:cs="Arial"/>
                <w:sz w:val="20"/>
                <w:szCs w:val="20"/>
              </w:rPr>
              <w:t xml:space="preserve">Instructor was good </w:t>
            </w:r>
          </w:p>
        </w:tc>
        <w:tc>
          <w:tcPr>
            <w:tcW w:w="2714" w:type="dxa"/>
            <w:tcBorders>
              <w:top w:val="single" w:sz="4" w:space="0" w:color="auto"/>
              <w:left w:val="single" w:sz="4" w:space="0" w:color="auto"/>
              <w:bottom w:val="single" w:sz="4" w:space="0" w:color="auto"/>
              <w:right w:val="single" w:sz="4" w:space="0" w:color="auto"/>
            </w:tcBorders>
            <w:hideMark/>
          </w:tcPr>
          <w:p w14:paraId="179A747E" w14:textId="77777777" w:rsidR="007A0C6B" w:rsidRPr="00103A0B" w:rsidRDefault="007A0C6B" w:rsidP="005D1464">
            <w:pPr>
              <w:spacing w:line="276" w:lineRule="auto"/>
              <w:jc w:val="both"/>
              <w:rPr>
                <w:rFonts w:ascii="Arial" w:hAnsi="Arial" w:cs="Arial"/>
                <w:sz w:val="20"/>
                <w:szCs w:val="20"/>
              </w:rPr>
            </w:pPr>
            <w:r w:rsidRPr="00103A0B">
              <w:rPr>
                <w:rFonts w:ascii="Arial" w:hAnsi="Arial" w:cs="Arial"/>
                <w:sz w:val="20"/>
                <w:szCs w:val="20"/>
              </w:rPr>
              <w:t xml:space="preserve">Positive views of session leader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3D43A" w14:textId="77777777" w:rsidR="007A0C6B" w:rsidRPr="00103A0B" w:rsidRDefault="007A0C6B" w:rsidP="005D1464">
            <w:pPr>
              <w:spacing w:line="276" w:lineRule="auto"/>
              <w:jc w:val="both"/>
              <w:rPr>
                <w:rFonts w:ascii="Arial" w:hAnsi="Arial" w:cs="Arial"/>
                <w:sz w:val="20"/>
                <w:szCs w:val="20"/>
              </w:rPr>
            </w:pPr>
          </w:p>
        </w:tc>
        <w:tc>
          <w:tcPr>
            <w:tcW w:w="1800" w:type="dxa"/>
            <w:vMerge w:val="restart"/>
            <w:tcBorders>
              <w:top w:val="single" w:sz="4" w:space="0" w:color="auto"/>
              <w:left w:val="single" w:sz="4" w:space="0" w:color="auto"/>
              <w:right w:val="single" w:sz="4" w:space="0" w:color="auto"/>
            </w:tcBorders>
            <w:hideMark/>
          </w:tcPr>
          <w:p w14:paraId="45A16F5D" w14:textId="77777777" w:rsidR="007A0C6B" w:rsidRPr="00103A0B" w:rsidRDefault="007A0C6B" w:rsidP="005D1464">
            <w:pPr>
              <w:spacing w:line="276" w:lineRule="auto"/>
              <w:jc w:val="both"/>
              <w:rPr>
                <w:rFonts w:ascii="Arial" w:hAnsi="Arial" w:cs="Arial"/>
                <w:sz w:val="20"/>
                <w:szCs w:val="20"/>
              </w:rPr>
            </w:pPr>
            <w:r w:rsidRPr="00103A0B">
              <w:rPr>
                <w:rFonts w:ascii="Arial" w:hAnsi="Arial" w:cs="Arial"/>
                <w:sz w:val="20"/>
                <w:szCs w:val="20"/>
              </w:rPr>
              <w:t xml:space="preserve">Instructor manner and delivery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A28C3" w14:textId="77777777" w:rsidR="007A0C6B" w:rsidRPr="00103A0B" w:rsidRDefault="007A0C6B" w:rsidP="005D1464">
            <w:pPr>
              <w:spacing w:line="276" w:lineRule="auto"/>
              <w:jc w:val="both"/>
              <w:rPr>
                <w:rFonts w:ascii="Arial" w:hAnsi="Arial" w:cs="Arial"/>
                <w:sz w:val="20"/>
                <w:szCs w:val="20"/>
              </w:rPr>
            </w:pPr>
          </w:p>
        </w:tc>
      </w:tr>
      <w:tr w:rsidR="007A0C6B" w:rsidRPr="00103A0B" w14:paraId="5E755412"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338628CA" w14:textId="77777777" w:rsidR="007A0C6B" w:rsidRPr="00103A0B" w:rsidRDefault="007A0C6B" w:rsidP="005D1464">
            <w:pPr>
              <w:spacing w:line="276" w:lineRule="auto"/>
              <w:jc w:val="both"/>
              <w:rPr>
                <w:rFonts w:ascii="Arial" w:hAnsi="Arial" w:cs="Arial"/>
                <w:sz w:val="20"/>
                <w:szCs w:val="20"/>
              </w:rPr>
            </w:pPr>
            <w:r w:rsidRPr="00103A0B">
              <w:rPr>
                <w:rFonts w:ascii="Arial" w:hAnsi="Arial" w:cs="Arial"/>
                <w:sz w:val="20"/>
                <w:szCs w:val="20"/>
              </w:rPr>
              <w:t xml:space="preserve">Instructor was nervous </w:t>
            </w:r>
          </w:p>
        </w:tc>
        <w:tc>
          <w:tcPr>
            <w:tcW w:w="2714" w:type="dxa"/>
            <w:vMerge w:val="restart"/>
            <w:tcBorders>
              <w:top w:val="single" w:sz="4" w:space="0" w:color="auto"/>
              <w:left w:val="single" w:sz="4" w:space="0" w:color="auto"/>
              <w:right w:val="single" w:sz="4" w:space="0" w:color="auto"/>
            </w:tcBorders>
            <w:hideMark/>
          </w:tcPr>
          <w:p w14:paraId="3CD78B93" w14:textId="77777777" w:rsidR="007A0C6B" w:rsidRPr="00103A0B" w:rsidRDefault="007A0C6B" w:rsidP="005D1464">
            <w:pPr>
              <w:spacing w:line="276" w:lineRule="auto"/>
              <w:jc w:val="both"/>
              <w:rPr>
                <w:rFonts w:ascii="Arial" w:hAnsi="Arial" w:cs="Arial"/>
                <w:sz w:val="20"/>
                <w:szCs w:val="20"/>
              </w:rPr>
            </w:pPr>
            <w:r w:rsidRPr="00103A0B">
              <w:rPr>
                <w:rFonts w:ascii="Arial" w:hAnsi="Arial" w:cs="Arial"/>
                <w:sz w:val="20"/>
                <w:szCs w:val="20"/>
              </w:rPr>
              <w:t xml:space="preserve">Instructor perceptions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2571A" w14:textId="77777777" w:rsidR="007A0C6B" w:rsidRPr="00103A0B" w:rsidRDefault="007A0C6B" w:rsidP="005D1464">
            <w:pPr>
              <w:spacing w:line="276" w:lineRule="auto"/>
              <w:jc w:val="both"/>
              <w:rPr>
                <w:rFonts w:ascii="Arial" w:hAnsi="Arial" w:cs="Arial"/>
                <w:sz w:val="20"/>
                <w:szCs w:val="20"/>
              </w:rPr>
            </w:pPr>
          </w:p>
        </w:tc>
        <w:tc>
          <w:tcPr>
            <w:tcW w:w="0" w:type="auto"/>
            <w:vMerge/>
            <w:tcBorders>
              <w:left w:val="single" w:sz="4" w:space="0" w:color="auto"/>
              <w:right w:val="single" w:sz="4" w:space="0" w:color="auto"/>
            </w:tcBorders>
            <w:vAlign w:val="center"/>
            <w:hideMark/>
          </w:tcPr>
          <w:p w14:paraId="3EA44BF9" w14:textId="77777777" w:rsidR="007A0C6B" w:rsidRPr="00103A0B" w:rsidRDefault="007A0C6B"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036CE5" w14:textId="77777777" w:rsidR="007A0C6B" w:rsidRPr="00103A0B" w:rsidRDefault="007A0C6B" w:rsidP="005D1464">
            <w:pPr>
              <w:spacing w:line="276" w:lineRule="auto"/>
              <w:jc w:val="both"/>
              <w:rPr>
                <w:rFonts w:ascii="Arial" w:hAnsi="Arial" w:cs="Arial"/>
                <w:sz w:val="20"/>
                <w:szCs w:val="20"/>
              </w:rPr>
            </w:pPr>
          </w:p>
        </w:tc>
      </w:tr>
      <w:tr w:rsidR="007A0C6B" w:rsidRPr="00103A0B" w14:paraId="0CAC70B2"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5627304C" w14:textId="04B3471D" w:rsidR="007A0C6B" w:rsidRPr="00103A0B" w:rsidRDefault="007A0C6B" w:rsidP="005D1464">
            <w:pPr>
              <w:spacing w:line="276" w:lineRule="auto"/>
              <w:jc w:val="both"/>
              <w:rPr>
                <w:rFonts w:ascii="Arial" w:hAnsi="Arial" w:cs="Arial"/>
                <w:sz w:val="20"/>
                <w:szCs w:val="20"/>
              </w:rPr>
            </w:pPr>
          </w:p>
        </w:tc>
        <w:tc>
          <w:tcPr>
            <w:tcW w:w="2714" w:type="dxa"/>
            <w:vMerge/>
            <w:tcBorders>
              <w:left w:val="single" w:sz="4" w:space="0" w:color="auto"/>
              <w:right w:val="single" w:sz="4" w:space="0" w:color="auto"/>
            </w:tcBorders>
            <w:hideMark/>
          </w:tcPr>
          <w:p w14:paraId="3874B3D1" w14:textId="12FCD822" w:rsidR="007A0C6B" w:rsidRPr="00103A0B" w:rsidRDefault="007A0C6B"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233B74" w14:textId="77777777" w:rsidR="007A0C6B" w:rsidRPr="00103A0B" w:rsidRDefault="007A0C6B" w:rsidP="005D1464">
            <w:pPr>
              <w:spacing w:line="276" w:lineRule="auto"/>
              <w:jc w:val="both"/>
              <w:rPr>
                <w:rFonts w:ascii="Arial" w:hAnsi="Arial" w:cs="Arial"/>
                <w:sz w:val="20"/>
                <w:szCs w:val="20"/>
              </w:rPr>
            </w:pPr>
          </w:p>
        </w:tc>
        <w:tc>
          <w:tcPr>
            <w:tcW w:w="1800" w:type="dxa"/>
            <w:vMerge/>
            <w:tcBorders>
              <w:left w:val="single" w:sz="4" w:space="0" w:color="auto"/>
              <w:right w:val="single" w:sz="4" w:space="0" w:color="auto"/>
            </w:tcBorders>
            <w:hideMark/>
          </w:tcPr>
          <w:p w14:paraId="12ACCBE0" w14:textId="558BE8FC" w:rsidR="007A0C6B" w:rsidRPr="00103A0B" w:rsidRDefault="007A0C6B"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6183C" w14:textId="77777777" w:rsidR="007A0C6B" w:rsidRPr="00103A0B" w:rsidRDefault="007A0C6B" w:rsidP="005D1464">
            <w:pPr>
              <w:spacing w:line="276" w:lineRule="auto"/>
              <w:jc w:val="both"/>
              <w:rPr>
                <w:rFonts w:ascii="Arial" w:hAnsi="Arial" w:cs="Arial"/>
                <w:sz w:val="20"/>
                <w:szCs w:val="20"/>
              </w:rPr>
            </w:pPr>
          </w:p>
        </w:tc>
      </w:tr>
      <w:tr w:rsidR="007A0C6B" w:rsidRPr="00103A0B" w14:paraId="10967F60"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4E6C074C" w14:textId="5095F27E" w:rsidR="007A0C6B" w:rsidRPr="00103A0B" w:rsidRDefault="007A0C6B" w:rsidP="005D1464">
            <w:pPr>
              <w:spacing w:line="276" w:lineRule="auto"/>
              <w:jc w:val="both"/>
              <w:rPr>
                <w:rFonts w:ascii="Arial" w:hAnsi="Arial" w:cs="Arial"/>
                <w:sz w:val="20"/>
                <w:szCs w:val="20"/>
              </w:rPr>
            </w:pPr>
          </w:p>
        </w:tc>
        <w:tc>
          <w:tcPr>
            <w:tcW w:w="0" w:type="auto"/>
            <w:vMerge/>
            <w:tcBorders>
              <w:left w:val="single" w:sz="4" w:space="0" w:color="auto"/>
              <w:bottom w:val="single" w:sz="4" w:space="0" w:color="auto"/>
              <w:right w:val="single" w:sz="4" w:space="0" w:color="auto"/>
            </w:tcBorders>
            <w:vAlign w:val="center"/>
            <w:hideMark/>
          </w:tcPr>
          <w:p w14:paraId="2160D603" w14:textId="77777777" w:rsidR="007A0C6B" w:rsidRPr="00103A0B" w:rsidRDefault="007A0C6B"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EFE0B" w14:textId="77777777" w:rsidR="007A0C6B" w:rsidRPr="00103A0B" w:rsidRDefault="007A0C6B" w:rsidP="005D1464">
            <w:pPr>
              <w:spacing w:line="276" w:lineRule="auto"/>
              <w:jc w:val="both"/>
              <w:rPr>
                <w:rFonts w:ascii="Arial" w:hAnsi="Arial" w:cs="Arial"/>
                <w:sz w:val="20"/>
                <w:szCs w:val="20"/>
              </w:rPr>
            </w:pPr>
          </w:p>
        </w:tc>
        <w:tc>
          <w:tcPr>
            <w:tcW w:w="0" w:type="auto"/>
            <w:vMerge/>
            <w:tcBorders>
              <w:left w:val="single" w:sz="4" w:space="0" w:color="auto"/>
              <w:bottom w:val="single" w:sz="4" w:space="0" w:color="auto"/>
              <w:right w:val="single" w:sz="4" w:space="0" w:color="auto"/>
            </w:tcBorders>
            <w:vAlign w:val="center"/>
            <w:hideMark/>
          </w:tcPr>
          <w:p w14:paraId="4364B460" w14:textId="77777777" w:rsidR="007A0C6B" w:rsidRPr="00103A0B" w:rsidRDefault="007A0C6B"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68B28D" w14:textId="77777777" w:rsidR="007A0C6B" w:rsidRPr="00103A0B" w:rsidRDefault="007A0C6B" w:rsidP="005D1464">
            <w:pPr>
              <w:spacing w:line="276" w:lineRule="auto"/>
              <w:jc w:val="both"/>
              <w:rPr>
                <w:rFonts w:ascii="Arial" w:hAnsi="Arial" w:cs="Arial"/>
                <w:sz w:val="20"/>
                <w:szCs w:val="20"/>
              </w:rPr>
            </w:pPr>
          </w:p>
        </w:tc>
      </w:tr>
      <w:tr w:rsidR="00C13876" w:rsidRPr="00103A0B" w14:paraId="62C93998"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78A14988"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 xml:space="preserve">Brilliant group members </w:t>
            </w:r>
          </w:p>
        </w:tc>
        <w:tc>
          <w:tcPr>
            <w:tcW w:w="2714" w:type="dxa"/>
            <w:vMerge w:val="restart"/>
            <w:tcBorders>
              <w:top w:val="single" w:sz="4" w:space="0" w:color="auto"/>
              <w:left w:val="single" w:sz="4" w:space="0" w:color="auto"/>
              <w:bottom w:val="single" w:sz="4" w:space="0" w:color="auto"/>
              <w:right w:val="single" w:sz="4" w:space="0" w:color="auto"/>
            </w:tcBorders>
            <w:hideMark/>
          </w:tcPr>
          <w:p w14:paraId="5E8EE76E"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 xml:space="preserve">Perceptions of group members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15F13" w14:textId="77777777" w:rsidR="00C13876" w:rsidRPr="00103A0B" w:rsidRDefault="00C13876" w:rsidP="005D1464">
            <w:pPr>
              <w:spacing w:line="276" w:lineRule="auto"/>
              <w:jc w:val="both"/>
              <w:rPr>
                <w:rFonts w:ascii="Arial" w:hAnsi="Arial" w:cs="Arial"/>
                <w:sz w:val="20"/>
                <w:szCs w:val="20"/>
              </w:rPr>
            </w:pPr>
          </w:p>
        </w:tc>
        <w:tc>
          <w:tcPr>
            <w:tcW w:w="1800" w:type="dxa"/>
            <w:vMerge w:val="restart"/>
            <w:tcBorders>
              <w:top w:val="single" w:sz="4" w:space="0" w:color="auto"/>
              <w:left w:val="single" w:sz="4" w:space="0" w:color="auto"/>
              <w:bottom w:val="single" w:sz="4" w:space="0" w:color="auto"/>
              <w:right w:val="single" w:sz="4" w:space="0" w:color="auto"/>
            </w:tcBorders>
            <w:hideMark/>
          </w:tcPr>
          <w:p w14:paraId="6BB915E5"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 xml:space="preserve">Group perceptions and experience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9E2A9" w14:textId="77777777" w:rsidR="00C13876" w:rsidRPr="00103A0B" w:rsidRDefault="00C13876" w:rsidP="005D1464">
            <w:pPr>
              <w:spacing w:line="276" w:lineRule="auto"/>
              <w:jc w:val="both"/>
              <w:rPr>
                <w:rFonts w:ascii="Arial" w:hAnsi="Arial" w:cs="Arial"/>
                <w:sz w:val="20"/>
                <w:szCs w:val="20"/>
              </w:rPr>
            </w:pPr>
          </w:p>
        </w:tc>
      </w:tr>
      <w:tr w:rsidR="00C13876" w:rsidRPr="00103A0B" w14:paraId="0953F4C7" w14:textId="77777777" w:rsidTr="005D1464">
        <w:tc>
          <w:tcPr>
            <w:tcW w:w="1638" w:type="dxa"/>
            <w:tcBorders>
              <w:top w:val="single" w:sz="4" w:space="0" w:color="auto"/>
              <w:left w:val="single" w:sz="4" w:space="0" w:color="auto"/>
              <w:bottom w:val="single" w:sz="4" w:space="0" w:color="auto"/>
              <w:right w:val="single" w:sz="4" w:space="0" w:color="auto"/>
            </w:tcBorders>
            <w:hideMark/>
          </w:tcPr>
          <w:p w14:paraId="5CB37201" w14:textId="77777777" w:rsidR="00C13876" w:rsidRPr="00103A0B" w:rsidRDefault="00C13876" w:rsidP="005D1464">
            <w:pPr>
              <w:spacing w:line="276" w:lineRule="auto"/>
              <w:jc w:val="both"/>
              <w:rPr>
                <w:rFonts w:ascii="Arial" w:hAnsi="Arial" w:cs="Arial"/>
                <w:sz w:val="20"/>
                <w:szCs w:val="20"/>
              </w:rPr>
            </w:pPr>
            <w:r w:rsidRPr="00103A0B">
              <w:rPr>
                <w:rFonts w:ascii="Arial" w:hAnsi="Arial" w:cs="Arial"/>
                <w:sz w:val="20"/>
                <w:szCs w:val="20"/>
              </w:rPr>
              <w:t xml:space="preserve">Group members can make it boring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97EE1" w14:textId="77777777"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F57ADF" w14:textId="77777777"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77DAD" w14:textId="77777777" w:rsidR="00C13876" w:rsidRPr="00103A0B" w:rsidRDefault="00C13876" w:rsidP="005D1464">
            <w:pPr>
              <w:spacing w:line="276" w:lineRule="auto"/>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1D2652" w14:textId="77777777" w:rsidR="00C13876" w:rsidRPr="00103A0B" w:rsidRDefault="00C13876" w:rsidP="005D1464">
            <w:pPr>
              <w:spacing w:line="276" w:lineRule="auto"/>
              <w:jc w:val="both"/>
              <w:rPr>
                <w:rFonts w:ascii="Arial" w:hAnsi="Arial" w:cs="Arial"/>
                <w:sz w:val="20"/>
                <w:szCs w:val="20"/>
              </w:rPr>
            </w:pPr>
          </w:p>
        </w:tc>
      </w:tr>
    </w:tbl>
    <w:p w14:paraId="74E239BA" w14:textId="77777777" w:rsidR="00C13876" w:rsidRPr="00103A0B" w:rsidRDefault="00C13876" w:rsidP="00CD5919">
      <w:pPr>
        <w:jc w:val="both"/>
      </w:pPr>
    </w:p>
    <w:p w14:paraId="02D81B1E" w14:textId="77777777" w:rsidR="002544A6" w:rsidRPr="00103A0B" w:rsidRDefault="002544A6" w:rsidP="00CD5919">
      <w:pPr>
        <w:jc w:val="both"/>
      </w:pPr>
    </w:p>
    <w:p w14:paraId="63A67E5B" w14:textId="77777777" w:rsidR="005D1464" w:rsidRPr="00103A0B" w:rsidRDefault="005D1464" w:rsidP="00CD5919">
      <w:pPr>
        <w:jc w:val="both"/>
        <w:rPr>
          <w:rFonts w:ascii="Arial" w:hAnsi="Arial" w:cs="Arial"/>
          <w:b/>
          <w:bCs/>
          <w:sz w:val="28"/>
          <w:szCs w:val="28"/>
        </w:rPr>
        <w:sectPr w:rsidR="005D1464" w:rsidRPr="00103A0B" w:rsidSect="00BB2420">
          <w:pgSz w:w="11906" w:h="16838"/>
          <w:pgMar w:top="1440" w:right="1440" w:bottom="1440" w:left="1440" w:header="708" w:footer="708" w:gutter="0"/>
          <w:cols w:space="708"/>
          <w:docGrid w:linePitch="360"/>
        </w:sectPr>
      </w:pPr>
    </w:p>
    <w:p w14:paraId="1F517411" w14:textId="30D6AD53" w:rsidR="00C45D0A" w:rsidRPr="00103A0B" w:rsidRDefault="00C45D0A" w:rsidP="00CD5919">
      <w:pPr>
        <w:jc w:val="both"/>
        <w:rPr>
          <w:rFonts w:ascii="Arial" w:hAnsi="Arial" w:cs="Arial"/>
          <w:b/>
          <w:bCs/>
          <w:sz w:val="28"/>
          <w:szCs w:val="28"/>
        </w:rPr>
      </w:pPr>
      <w:r w:rsidRPr="00103A0B">
        <w:rPr>
          <w:rFonts w:ascii="Arial" w:hAnsi="Arial" w:cs="Arial"/>
          <w:b/>
          <w:bCs/>
          <w:sz w:val="28"/>
          <w:szCs w:val="28"/>
        </w:rPr>
        <w:lastRenderedPageBreak/>
        <w:t xml:space="preserve">Appendix </w:t>
      </w:r>
      <w:r w:rsidR="00630873" w:rsidRPr="00103A0B">
        <w:rPr>
          <w:rFonts w:ascii="Arial" w:hAnsi="Arial" w:cs="Arial"/>
          <w:b/>
          <w:bCs/>
          <w:sz w:val="28"/>
          <w:szCs w:val="28"/>
        </w:rPr>
        <w:t>10</w:t>
      </w:r>
      <w:r w:rsidRPr="00103A0B">
        <w:rPr>
          <w:rFonts w:ascii="Arial" w:hAnsi="Arial" w:cs="Arial"/>
          <w:b/>
          <w:bCs/>
          <w:sz w:val="28"/>
          <w:szCs w:val="28"/>
        </w:rPr>
        <w:t xml:space="preserve">: </w:t>
      </w:r>
      <w:r w:rsidR="00C13876" w:rsidRPr="00103A0B">
        <w:rPr>
          <w:rFonts w:ascii="Arial" w:hAnsi="Arial" w:cs="Arial"/>
          <w:b/>
          <w:bCs/>
          <w:sz w:val="28"/>
          <w:szCs w:val="28"/>
        </w:rPr>
        <w:t>Ethical approval</w:t>
      </w:r>
      <w:r w:rsidR="002544A6" w:rsidRPr="00103A0B">
        <w:rPr>
          <w:rFonts w:ascii="Arial" w:hAnsi="Arial" w:cs="Arial"/>
          <w:b/>
          <w:bCs/>
          <w:sz w:val="28"/>
          <w:szCs w:val="28"/>
        </w:rPr>
        <w:t xml:space="preserve"> </w:t>
      </w:r>
      <w:r w:rsidR="00C13876" w:rsidRPr="00103A0B">
        <w:rPr>
          <w:rFonts w:ascii="Arial" w:hAnsi="Arial" w:cs="Arial"/>
          <w:b/>
          <w:bCs/>
          <w:sz w:val="28"/>
          <w:szCs w:val="28"/>
        </w:rPr>
        <w:t>- qualitative studies (Chapters 5 and 6)</w:t>
      </w:r>
    </w:p>
    <w:p w14:paraId="7A36CB1A" w14:textId="56B76614" w:rsidR="00C45D0A" w:rsidRPr="00103A0B" w:rsidRDefault="000F49AB" w:rsidP="00CD5919">
      <w:pPr>
        <w:jc w:val="both"/>
        <w:rPr>
          <w:lang w:eastAsia="en-GB" w:bidi="en-US"/>
        </w:rPr>
      </w:pPr>
      <w:r w:rsidRPr="00103A0B">
        <w:rPr>
          <w:noProof/>
        </w:rPr>
        <w:drawing>
          <wp:inline distT="0" distB="0" distL="0" distR="0" wp14:anchorId="54D3F27E" wp14:editId="17FAF187">
            <wp:extent cx="5786958" cy="8296275"/>
            <wp:effectExtent l="0" t="0" r="444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578" r="30202"/>
                    <a:stretch/>
                  </pic:blipFill>
                  <pic:spPr bwMode="auto">
                    <a:xfrm>
                      <a:off x="0" y="0"/>
                      <a:ext cx="5796333" cy="8309716"/>
                    </a:xfrm>
                    <a:prstGeom prst="rect">
                      <a:avLst/>
                    </a:prstGeom>
                    <a:ln>
                      <a:noFill/>
                    </a:ln>
                    <a:extLst>
                      <a:ext uri="{53640926-AAD7-44D8-BBD7-CCE9431645EC}">
                        <a14:shadowObscured xmlns:a14="http://schemas.microsoft.com/office/drawing/2010/main"/>
                      </a:ext>
                    </a:extLst>
                  </pic:spPr>
                </pic:pic>
              </a:graphicData>
            </a:graphic>
          </wp:inline>
        </w:drawing>
      </w:r>
    </w:p>
    <w:p w14:paraId="77627DAC" w14:textId="77777777" w:rsidR="00C13876" w:rsidRPr="00103A0B" w:rsidRDefault="00C13876" w:rsidP="00CD5919">
      <w:pPr>
        <w:jc w:val="both"/>
        <w:rPr>
          <w:rFonts w:ascii="Arial" w:hAnsi="Arial" w:cs="Arial"/>
          <w:b/>
          <w:bCs/>
          <w:sz w:val="24"/>
          <w:szCs w:val="24"/>
        </w:rPr>
      </w:pPr>
    </w:p>
    <w:p w14:paraId="44AECC19" w14:textId="34124B26" w:rsidR="00C45D0A" w:rsidRPr="00103A0B" w:rsidRDefault="00C45D0A" w:rsidP="00CD5919">
      <w:pPr>
        <w:jc w:val="both"/>
        <w:rPr>
          <w:rFonts w:ascii="Arial" w:hAnsi="Arial" w:cs="Arial"/>
          <w:b/>
          <w:bCs/>
          <w:sz w:val="28"/>
          <w:szCs w:val="28"/>
        </w:rPr>
      </w:pPr>
      <w:r w:rsidRPr="00103A0B">
        <w:rPr>
          <w:rFonts w:ascii="Arial" w:hAnsi="Arial" w:cs="Arial"/>
          <w:b/>
          <w:bCs/>
          <w:sz w:val="28"/>
          <w:szCs w:val="28"/>
        </w:rPr>
        <w:t xml:space="preserve">Appendix </w:t>
      </w:r>
      <w:r w:rsidR="00630873" w:rsidRPr="00103A0B">
        <w:rPr>
          <w:rFonts w:ascii="Arial" w:hAnsi="Arial" w:cs="Arial"/>
          <w:b/>
          <w:bCs/>
          <w:sz w:val="28"/>
          <w:szCs w:val="28"/>
        </w:rPr>
        <w:t>11</w:t>
      </w:r>
      <w:r w:rsidRPr="00103A0B">
        <w:rPr>
          <w:rFonts w:ascii="Arial" w:hAnsi="Arial" w:cs="Arial"/>
          <w:b/>
          <w:bCs/>
          <w:sz w:val="28"/>
          <w:szCs w:val="28"/>
        </w:rPr>
        <w:t xml:space="preserve">: </w:t>
      </w:r>
      <w:r w:rsidR="00C13876" w:rsidRPr="00103A0B">
        <w:rPr>
          <w:rFonts w:ascii="Arial" w:hAnsi="Arial" w:cs="Arial"/>
          <w:b/>
          <w:bCs/>
          <w:sz w:val="28"/>
          <w:szCs w:val="28"/>
        </w:rPr>
        <w:t>Ethical approval- quantitative study (Chapter 7)</w:t>
      </w:r>
    </w:p>
    <w:p w14:paraId="7D7834BE" w14:textId="061EBC15" w:rsidR="009C03C2" w:rsidRPr="00103A0B" w:rsidRDefault="000F49AB" w:rsidP="00CD5919">
      <w:pPr>
        <w:spacing w:line="360" w:lineRule="auto"/>
        <w:jc w:val="both"/>
        <w:rPr>
          <w:rFonts w:ascii="Arial" w:hAnsi="Arial" w:cs="Arial"/>
          <w:lang w:bidi="en-US"/>
        </w:rPr>
      </w:pPr>
      <w:r w:rsidRPr="00103A0B">
        <w:rPr>
          <w:noProof/>
        </w:rPr>
        <w:drawing>
          <wp:inline distT="0" distB="0" distL="0" distR="0" wp14:anchorId="64222FBE" wp14:editId="5D471086">
            <wp:extent cx="5591175" cy="8015598"/>
            <wp:effectExtent l="0" t="0" r="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412" r="30368"/>
                    <a:stretch/>
                  </pic:blipFill>
                  <pic:spPr bwMode="auto">
                    <a:xfrm>
                      <a:off x="0" y="0"/>
                      <a:ext cx="5602193" cy="8031394"/>
                    </a:xfrm>
                    <a:prstGeom prst="rect">
                      <a:avLst/>
                    </a:prstGeom>
                    <a:ln>
                      <a:noFill/>
                    </a:ln>
                    <a:extLst>
                      <a:ext uri="{53640926-AAD7-44D8-BBD7-CCE9431645EC}">
                        <a14:shadowObscured xmlns:a14="http://schemas.microsoft.com/office/drawing/2010/main"/>
                      </a:ext>
                    </a:extLst>
                  </pic:spPr>
                </pic:pic>
              </a:graphicData>
            </a:graphic>
          </wp:inline>
        </w:drawing>
      </w:r>
    </w:p>
    <w:p w14:paraId="13E403F0" w14:textId="77777777" w:rsidR="00C13876" w:rsidRPr="00103A0B" w:rsidRDefault="00C13876" w:rsidP="00CD5919">
      <w:pPr>
        <w:jc w:val="both"/>
        <w:rPr>
          <w:rFonts w:ascii="Arial" w:hAnsi="Arial" w:cs="Arial"/>
          <w:b/>
          <w:bCs/>
          <w:sz w:val="28"/>
          <w:szCs w:val="28"/>
        </w:rPr>
      </w:pPr>
    </w:p>
    <w:p w14:paraId="2E48F2BF" w14:textId="73011242" w:rsidR="009C03C2" w:rsidRPr="00103A0B" w:rsidRDefault="007C7CB4" w:rsidP="00CD5919">
      <w:pPr>
        <w:jc w:val="both"/>
        <w:rPr>
          <w:rFonts w:ascii="Arial" w:hAnsi="Arial" w:cs="Arial"/>
          <w:b/>
          <w:bCs/>
          <w:sz w:val="28"/>
          <w:szCs w:val="28"/>
        </w:rPr>
      </w:pPr>
      <w:r w:rsidRPr="00103A0B">
        <w:rPr>
          <w:rFonts w:ascii="Arial" w:hAnsi="Arial" w:cs="Arial"/>
          <w:b/>
          <w:bCs/>
          <w:sz w:val="28"/>
          <w:szCs w:val="28"/>
        </w:rPr>
        <w:t>Appendix 1</w:t>
      </w:r>
      <w:r w:rsidR="00630873" w:rsidRPr="00103A0B">
        <w:rPr>
          <w:rFonts w:ascii="Arial" w:hAnsi="Arial" w:cs="Arial"/>
          <w:b/>
          <w:bCs/>
          <w:sz w:val="28"/>
          <w:szCs w:val="28"/>
        </w:rPr>
        <w:t>2</w:t>
      </w:r>
      <w:r w:rsidRPr="00103A0B">
        <w:rPr>
          <w:rFonts w:ascii="Arial" w:hAnsi="Arial" w:cs="Arial"/>
          <w:b/>
          <w:bCs/>
          <w:sz w:val="28"/>
          <w:szCs w:val="28"/>
        </w:rPr>
        <w:t xml:space="preserve">: </w:t>
      </w:r>
      <w:r w:rsidR="00C13876" w:rsidRPr="00103A0B">
        <w:rPr>
          <w:rFonts w:ascii="Arial" w:hAnsi="Arial" w:cs="Arial"/>
          <w:b/>
          <w:bCs/>
          <w:sz w:val="28"/>
          <w:szCs w:val="28"/>
        </w:rPr>
        <w:t>Invitation letter (Chapter 5)</w:t>
      </w:r>
    </w:p>
    <w:p w14:paraId="1E8A387D" w14:textId="0D1C6D27" w:rsidR="00C23BAA" w:rsidRPr="00103A0B" w:rsidRDefault="00C23BAA" w:rsidP="0048357F">
      <w:pPr>
        <w:spacing w:after="200" w:line="276" w:lineRule="auto"/>
        <w:jc w:val="right"/>
        <w:rPr>
          <w:rFonts w:ascii="Arial" w:hAnsi="Arial" w:cs="Arial"/>
          <w:sz w:val="24"/>
          <w:szCs w:val="24"/>
          <w:lang w:val="en-US" w:eastAsia="ja-JP"/>
        </w:rPr>
      </w:pPr>
      <w:r w:rsidRPr="00103A0B">
        <w:rPr>
          <w:rFonts w:ascii="Arial" w:hAnsi="Arial" w:cs="Arial"/>
          <w:sz w:val="24"/>
          <w:szCs w:val="24"/>
        </w:rPr>
        <w:t>Date: 16/11/2017</w:t>
      </w:r>
    </w:p>
    <w:p w14:paraId="37A5E190" w14:textId="77777777" w:rsidR="00C23BAA" w:rsidRPr="00103A0B" w:rsidRDefault="00C23BAA" w:rsidP="00CD5919">
      <w:pPr>
        <w:spacing w:after="200" w:line="276" w:lineRule="auto"/>
        <w:jc w:val="both"/>
        <w:rPr>
          <w:rFonts w:ascii="Arial" w:hAnsi="Arial" w:cs="Arial"/>
          <w:b/>
          <w:sz w:val="32"/>
          <w:szCs w:val="32"/>
        </w:rPr>
      </w:pPr>
      <w:r w:rsidRPr="00103A0B">
        <w:rPr>
          <w:rFonts w:ascii="Arial" w:hAnsi="Arial" w:cs="Arial"/>
          <w:b/>
          <w:sz w:val="32"/>
          <w:szCs w:val="32"/>
        </w:rPr>
        <w:t xml:space="preserve">Study of uptake of the NHS Diabetes Prevention Programme </w:t>
      </w:r>
    </w:p>
    <w:p w14:paraId="71CB1618" w14:textId="77777777" w:rsidR="00C23BAA" w:rsidRPr="00103A0B" w:rsidRDefault="00C23BAA" w:rsidP="00CD5919">
      <w:pPr>
        <w:spacing w:before="120" w:after="120" w:line="276" w:lineRule="auto"/>
        <w:jc w:val="both"/>
        <w:rPr>
          <w:rFonts w:ascii="Arial" w:hAnsi="Arial" w:cs="Arial"/>
          <w:sz w:val="24"/>
          <w:szCs w:val="24"/>
        </w:rPr>
      </w:pPr>
      <w:r w:rsidRPr="00103A0B">
        <w:rPr>
          <w:rFonts w:ascii="Arial" w:hAnsi="Arial" w:cs="Arial"/>
          <w:sz w:val="24"/>
          <w:szCs w:val="24"/>
        </w:rPr>
        <w:t>Dear Sir / Madam,</w:t>
      </w:r>
    </w:p>
    <w:p w14:paraId="171B8D2F" w14:textId="77777777" w:rsidR="00C23BAA" w:rsidRPr="00103A0B" w:rsidRDefault="00C23BAA" w:rsidP="00CD5919">
      <w:pPr>
        <w:spacing w:after="200" w:line="276" w:lineRule="auto"/>
        <w:jc w:val="both"/>
        <w:rPr>
          <w:rFonts w:ascii="Arial" w:hAnsi="Arial" w:cs="Arial"/>
          <w:sz w:val="24"/>
          <w:szCs w:val="24"/>
        </w:rPr>
      </w:pPr>
      <w:r w:rsidRPr="00103A0B">
        <w:rPr>
          <w:rFonts w:ascii="Arial" w:hAnsi="Arial" w:cs="Arial"/>
          <w:sz w:val="24"/>
          <w:szCs w:val="24"/>
        </w:rPr>
        <w:t xml:space="preserve">We are carrying out research into the factors that influence adults’ decisions about </w:t>
      </w:r>
      <w:proofErr w:type="gramStart"/>
      <w:r w:rsidRPr="00103A0B">
        <w:rPr>
          <w:rFonts w:ascii="Arial" w:hAnsi="Arial" w:cs="Arial"/>
          <w:sz w:val="24"/>
          <w:szCs w:val="24"/>
        </w:rPr>
        <w:t>whether or not</w:t>
      </w:r>
      <w:proofErr w:type="gramEnd"/>
      <w:r w:rsidRPr="00103A0B">
        <w:rPr>
          <w:rFonts w:ascii="Arial" w:hAnsi="Arial" w:cs="Arial"/>
          <w:sz w:val="24"/>
          <w:szCs w:val="24"/>
        </w:rPr>
        <w:t xml:space="preserve"> to take part in the NHS Diabetes Prevention Programme. </w:t>
      </w:r>
    </w:p>
    <w:p w14:paraId="1703FE4C" w14:textId="77777777" w:rsidR="00C23BAA" w:rsidRPr="00103A0B" w:rsidRDefault="00C23BAA" w:rsidP="00CD5919">
      <w:pPr>
        <w:spacing w:after="200" w:line="276" w:lineRule="auto"/>
        <w:jc w:val="both"/>
        <w:rPr>
          <w:rFonts w:ascii="Arial" w:hAnsi="Arial" w:cs="Arial"/>
          <w:sz w:val="24"/>
          <w:szCs w:val="24"/>
        </w:rPr>
      </w:pPr>
      <w:r w:rsidRPr="00103A0B">
        <w:rPr>
          <w:rFonts w:ascii="Arial" w:hAnsi="Arial" w:cs="Arial"/>
          <w:sz w:val="24"/>
          <w:szCs w:val="24"/>
        </w:rPr>
        <w:t xml:space="preserve">We really want to understand why some adults choose to take part and others are unable to. This will help us plan our services and programmes so that more and more adults can benefit from this important intervention. </w:t>
      </w:r>
    </w:p>
    <w:p w14:paraId="0F3F6242" w14:textId="77777777" w:rsidR="00C23BAA" w:rsidRPr="00103A0B" w:rsidRDefault="00C23BAA" w:rsidP="00CD5919">
      <w:pPr>
        <w:spacing w:after="200" w:line="276" w:lineRule="auto"/>
        <w:jc w:val="both"/>
        <w:rPr>
          <w:rFonts w:ascii="Arial" w:hAnsi="Arial" w:cs="Arial"/>
          <w:sz w:val="24"/>
          <w:szCs w:val="24"/>
        </w:rPr>
      </w:pPr>
      <w:r w:rsidRPr="00103A0B">
        <w:rPr>
          <w:rFonts w:ascii="Arial" w:hAnsi="Arial" w:cs="Arial"/>
          <w:sz w:val="24"/>
          <w:szCs w:val="24"/>
        </w:rPr>
        <w:t xml:space="preserve">We would be grateful if you would consider taking part in our study. Taking part will involve having an interview with one of our researchers from Staffordshire University on the day of your Individual Assessment. </w:t>
      </w:r>
    </w:p>
    <w:p w14:paraId="0DA93DBE" w14:textId="77777777" w:rsidR="00C23BAA" w:rsidRPr="00103A0B" w:rsidRDefault="00C23BAA" w:rsidP="00CD5919">
      <w:pPr>
        <w:spacing w:after="200" w:line="276" w:lineRule="auto"/>
        <w:jc w:val="both"/>
        <w:rPr>
          <w:rFonts w:ascii="Arial" w:hAnsi="Arial" w:cs="Arial"/>
          <w:sz w:val="24"/>
          <w:szCs w:val="24"/>
        </w:rPr>
      </w:pPr>
      <w:r w:rsidRPr="00103A0B">
        <w:rPr>
          <w:rFonts w:ascii="Arial" w:hAnsi="Arial" w:cs="Arial"/>
          <w:sz w:val="24"/>
          <w:szCs w:val="24"/>
        </w:rPr>
        <w:t xml:space="preserve">The interview is likely to take between </w:t>
      </w:r>
      <w:r w:rsidRPr="00103A0B">
        <w:rPr>
          <w:rFonts w:ascii="Arial" w:hAnsi="Arial" w:cs="Arial"/>
          <w:b/>
          <w:sz w:val="24"/>
          <w:szCs w:val="24"/>
        </w:rPr>
        <w:t>30 and 60 minutes</w:t>
      </w:r>
      <w:r w:rsidRPr="00103A0B">
        <w:rPr>
          <w:rFonts w:ascii="Arial" w:hAnsi="Arial" w:cs="Arial"/>
          <w:sz w:val="24"/>
          <w:szCs w:val="24"/>
        </w:rPr>
        <w:t xml:space="preserve">. As a thank you for your time, you would be given a </w:t>
      </w:r>
      <w:r w:rsidRPr="00103A0B">
        <w:rPr>
          <w:rFonts w:ascii="Arial" w:hAnsi="Arial" w:cs="Arial"/>
          <w:b/>
          <w:sz w:val="24"/>
          <w:szCs w:val="24"/>
        </w:rPr>
        <w:t xml:space="preserve">£20 </w:t>
      </w:r>
      <w:r w:rsidRPr="00103A0B">
        <w:rPr>
          <w:rFonts w:ascii="Arial" w:hAnsi="Arial" w:cs="Arial"/>
          <w:sz w:val="24"/>
          <w:szCs w:val="24"/>
        </w:rPr>
        <w:t xml:space="preserve">Love2Shop voucher that can be spent at most high street shops. </w:t>
      </w:r>
    </w:p>
    <w:p w14:paraId="30B26B9B" w14:textId="77777777" w:rsidR="00C23BAA" w:rsidRPr="00103A0B" w:rsidRDefault="00C23BAA" w:rsidP="00CD5919">
      <w:pPr>
        <w:spacing w:after="200" w:line="276" w:lineRule="auto"/>
        <w:jc w:val="both"/>
        <w:rPr>
          <w:rFonts w:ascii="Arial" w:hAnsi="Arial" w:cs="Arial"/>
          <w:sz w:val="24"/>
          <w:szCs w:val="24"/>
        </w:rPr>
      </w:pPr>
      <w:r w:rsidRPr="00103A0B">
        <w:rPr>
          <w:rFonts w:ascii="Arial" w:hAnsi="Arial" w:cs="Arial"/>
          <w:sz w:val="24"/>
          <w:szCs w:val="24"/>
        </w:rPr>
        <w:t>We would be grateful if you could read the enclosed information sheet. If you think you might be interested or would like to know more, please ask the researcher or a member of staff when you attend your Individual Assessment date.</w:t>
      </w:r>
    </w:p>
    <w:p w14:paraId="47D6DB05" w14:textId="77777777" w:rsidR="00C23BAA" w:rsidRPr="00103A0B" w:rsidRDefault="00C23BAA" w:rsidP="00CD5919">
      <w:pPr>
        <w:spacing w:after="200" w:line="276" w:lineRule="auto"/>
        <w:jc w:val="both"/>
        <w:rPr>
          <w:rFonts w:ascii="Arial" w:hAnsi="Arial" w:cs="Arial"/>
          <w:sz w:val="24"/>
          <w:szCs w:val="24"/>
        </w:rPr>
      </w:pPr>
      <w:r w:rsidRPr="00103A0B">
        <w:rPr>
          <w:rFonts w:ascii="Arial" w:hAnsi="Arial" w:cs="Arial"/>
          <w:sz w:val="24"/>
          <w:szCs w:val="24"/>
        </w:rPr>
        <w:t>Yours Faithfully</w:t>
      </w:r>
    </w:p>
    <w:p w14:paraId="38356261" w14:textId="77777777" w:rsidR="0048357F" w:rsidRPr="00103A0B" w:rsidRDefault="00C23BAA" w:rsidP="00CD5919">
      <w:pPr>
        <w:spacing w:after="200" w:line="276" w:lineRule="auto"/>
        <w:jc w:val="both"/>
        <w:rPr>
          <w:rFonts w:ascii="Arial" w:hAnsi="Arial" w:cs="Arial"/>
          <w:sz w:val="24"/>
          <w:szCs w:val="24"/>
        </w:rPr>
      </w:pPr>
      <w:r w:rsidRPr="00103A0B">
        <w:rPr>
          <w:rFonts w:ascii="Arial" w:hAnsi="Arial" w:cs="Arial"/>
          <w:noProof/>
          <w:sz w:val="24"/>
          <w:szCs w:val="24"/>
          <w:lang w:eastAsia="en-GB"/>
        </w:rPr>
        <w:drawing>
          <wp:inline distT="0" distB="0" distL="0" distR="0" wp14:anchorId="741635E7" wp14:editId="489F2ECB">
            <wp:extent cx="2023459" cy="489772"/>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4997" cy="516769"/>
                    </a:xfrm>
                    <a:prstGeom prst="rect">
                      <a:avLst/>
                    </a:prstGeom>
                    <a:noFill/>
                    <a:ln>
                      <a:noFill/>
                    </a:ln>
                  </pic:spPr>
                </pic:pic>
              </a:graphicData>
            </a:graphic>
          </wp:inline>
        </w:drawing>
      </w:r>
    </w:p>
    <w:p w14:paraId="61E552EA" w14:textId="2D7337EE" w:rsidR="00C23BAA" w:rsidRPr="00103A0B" w:rsidRDefault="00C23BAA" w:rsidP="00CD5919">
      <w:pPr>
        <w:spacing w:after="200" w:line="276" w:lineRule="auto"/>
        <w:jc w:val="both"/>
        <w:rPr>
          <w:rFonts w:ascii="Arial" w:hAnsi="Arial" w:cs="Arial"/>
          <w:sz w:val="24"/>
          <w:szCs w:val="24"/>
        </w:rPr>
      </w:pPr>
      <w:r w:rsidRPr="00103A0B">
        <w:rPr>
          <w:rFonts w:ascii="Arial" w:hAnsi="Arial" w:cs="Arial"/>
          <w:sz w:val="24"/>
          <w:szCs w:val="24"/>
        </w:rPr>
        <w:t>Dr Paul Chadwick</w:t>
      </w:r>
    </w:p>
    <w:p w14:paraId="1A1EE999" w14:textId="14A1EF0D" w:rsidR="00C23BAA" w:rsidRPr="00103A0B" w:rsidRDefault="00C23BAA" w:rsidP="00CD5919">
      <w:pPr>
        <w:spacing w:after="200" w:line="276" w:lineRule="auto"/>
        <w:jc w:val="both"/>
        <w:rPr>
          <w:rFonts w:ascii="Arial" w:hAnsi="Arial" w:cs="Arial"/>
          <w:sz w:val="24"/>
          <w:szCs w:val="24"/>
        </w:rPr>
      </w:pPr>
      <w:r w:rsidRPr="00103A0B">
        <w:rPr>
          <w:rFonts w:ascii="Arial" w:hAnsi="Arial" w:cs="Arial"/>
          <w:sz w:val="24"/>
          <w:szCs w:val="24"/>
        </w:rPr>
        <w:t>Clinical Director</w:t>
      </w:r>
    </w:p>
    <w:p w14:paraId="3AF6AC8D" w14:textId="77777777" w:rsidR="00C13876" w:rsidRPr="00103A0B" w:rsidRDefault="00C13876" w:rsidP="00CD5919">
      <w:pPr>
        <w:jc w:val="both"/>
        <w:rPr>
          <w:rFonts w:ascii="Arial" w:hAnsi="Arial" w:cs="Arial"/>
          <w:b/>
          <w:bCs/>
          <w:sz w:val="24"/>
          <w:szCs w:val="24"/>
        </w:rPr>
      </w:pPr>
    </w:p>
    <w:p w14:paraId="107491DE" w14:textId="77777777" w:rsidR="00A5142A" w:rsidRPr="00103A0B" w:rsidRDefault="00A5142A" w:rsidP="00CD5919">
      <w:pPr>
        <w:jc w:val="both"/>
        <w:rPr>
          <w:rFonts w:ascii="Arial" w:hAnsi="Arial" w:cs="Arial"/>
          <w:b/>
          <w:bCs/>
          <w:sz w:val="28"/>
          <w:szCs w:val="28"/>
        </w:rPr>
      </w:pPr>
    </w:p>
    <w:p w14:paraId="7894AB86" w14:textId="77777777" w:rsidR="00A5142A" w:rsidRPr="00103A0B" w:rsidRDefault="00A5142A" w:rsidP="00CD5919">
      <w:pPr>
        <w:jc w:val="both"/>
        <w:rPr>
          <w:rFonts w:ascii="Arial" w:hAnsi="Arial" w:cs="Arial"/>
          <w:b/>
          <w:bCs/>
          <w:sz w:val="28"/>
          <w:szCs w:val="28"/>
        </w:rPr>
      </w:pPr>
    </w:p>
    <w:p w14:paraId="644969A8" w14:textId="77777777" w:rsidR="00A5142A" w:rsidRPr="00103A0B" w:rsidRDefault="00A5142A" w:rsidP="00CD5919">
      <w:pPr>
        <w:jc w:val="both"/>
        <w:rPr>
          <w:rFonts w:ascii="Arial" w:hAnsi="Arial" w:cs="Arial"/>
          <w:b/>
          <w:bCs/>
          <w:sz w:val="28"/>
          <w:szCs w:val="28"/>
        </w:rPr>
      </w:pPr>
    </w:p>
    <w:p w14:paraId="65470D75" w14:textId="77777777" w:rsidR="00A5142A" w:rsidRPr="00103A0B" w:rsidRDefault="00A5142A" w:rsidP="00CD5919">
      <w:pPr>
        <w:jc w:val="both"/>
        <w:rPr>
          <w:rFonts w:ascii="Arial" w:hAnsi="Arial" w:cs="Arial"/>
          <w:b/>
          <w:bCs/>
          <w:sz w:val="28"/>
          <w:szCs w:val="28"/>
        </w:rPr>
      </w:pPr>
    </w:p>
    <w:p w14:paraId="250EC543" w14:textId="77777777" w:rsidR="00A5142A" w:rsidRPr="00103A0B" w:rsidRDefault="00A5142A" w:rsidP="00CD5919">
      <w:pPr>
        <w:jc w:val="both"/>
        <w:rPr>
          <w:rFonts w:ascii="Arial" w:hAnsi="Arial" w:cs="Arial"/>
          <w:b/>
          <w:bCs/>
          <w:sz w:val="28"/>
          <w:szCs w:val="28"/>
        </w:rPr>
      </w:pPr>
    </w:p>
    <w:p w14:paraId="734150BB" w14:textId="77777777" w:rsidR="005D1464" w:rsidRPr="00103A0B" w:rsidRDefault="005D1464" w:rsidP="00A5142A">
      <w:pPr>
        <w:keepLines/>
        <w:jc w:val="both"/>
        <w:rPr>
          <w:rFonts w:ascii="Arial" w:hAnsi="Arial" w:cs="Arial"/>
          <w:b/>
          <w:bCs/>
          <w:sz w:val="28"/>
          <w:szCs w:val="28"/>
        </w:rPr>
        <w:sectPr w:rsidR="005D1464" w:rsidRPr="00103A0B" w:rsidSect="00BB2420">
          <w:pgSz w:w="11906" w:h="16838"/>
          <w:pgMar w:top="1440" w:right="1440" w:bottom="1440" w:left="1440" w:header="708" w:footer="708" w:gutter="0"/>
          <w:cols w:space="708"/>
          <w:docGrid w:linePitch="360"/>
        </w:sectPr>
      </w:pPr>
    </w:p>
    <w:p w14:paraId="57BB3637" w14:textId="59F0C864" w:rsidR="007C7CB4" w:rsidRPr="00103A0B" w:rsidRDefault="007C7CB4" w:rsidP="00A5142A">
      <w:pPr>
        <w:keepLines/>
        <w:jc w:val="both"/>
        <w:rPr>
          <w:rFonts w:ascii="Arial" w:hAnsi="Arial" w:cs="Arial"/>
          <w:b/>
          <w:bCs/>
          <w:sz w:val="28"/>
          <w:szCs w:val="28"/>
        </w:rPr>
      </w:pPr>
      <w:r w:rsidRPr="00103A0B">
        <w:rPr>
          <w:rFonts w:ascii="Arial" w:hAnsi="Arial" w:cs="Arial"/>
          <w:b/>
          <w:bCs/>
          <w:sz w:val="28"/>
          <w:szCs w:val="28"/>
        </w:rPr>
        <w:lastRenderedPageBreak/>
        <w:t>Appendix 1</w:t>
      </w:r>
      <w:r w:rsidR="00630873" w:rsidRPr="00103A0B">
        <w:rPr>
          <w:rFonts w:ascii="Arial" w:hAnsi="Arial" w:cs="Arial"/>
          <w:b/>
          <w:bCs/>
          <w:sz w:val="28"/>
          <w:szCs w:val="28"/>
        </w:rPr>
        <w:t>3</w:t>
      </w:r>
      <w:r w:rsidRPr="00103A0B">
        <w:rPr>
          <w:rFonts w:ascii="Arial" w:hAnsi="Arial" w:cs="Arial"/>
          <w:b/>
          <w:bCs/>
          <w:sz w:val="28"/>
          <w:szCs w:val="28"/>
        </w:rPr>
        <w:t>: Information sheet (</w:t>
      </w:r>
      <w:r w:rsidR="00C13876" w:rsidRPr="00103A0B">
        <w:rPr>
          <w:rFonts w:ascii="Arial" w:hAnsi="Arial" w:cs="Arial"/>
          <w:b/>
          <w:bCs/>
          <w:sz w:val="28"/>
          <w:szCs w:val="28"/>
        </w:rPr>
        <w:t>C</w:t>
      </w:r>
      <w:r w:rsidRPr="00103A0B">
        <w:rPr>
          <w:rFonts w:ascii="Arial" w:hAnsi="Arial" w:cs="Arial"/>
          <w:b/>
          <w:bCs/>
          <w:sz w:val="28"/>
          <w:szCs w:val="28"/>
        </w:rPr>
        <w:t>hapter 5)</w:t>
      </w:r>
    </w:p>
    <w:p w14:paraId="3B905DDD" w14:textId="77777777" w:rsidR="00C23BAA" w:rsidRPr="00103A0B" w:rsidRDefault="00C23BAA" w:rsidP="00CD5919">
      <w:pPr>
        <w:tabs>
          <w:tab w:val="left" w:pos="2370"/>
        </w:tabs>
        <w:jc w:val="both"/>
        <w:rPr>
          <w:sz w:val="28"/>
          <w:szCs w:val="28"/>
        </w:rPr>
      </w:pPr>
      <w:bookmarkStart w:id="425" w:name="_Toc465083852"/>
      <w:r w:rsidRPr="00103A0B">
        <w:rPr>
          <w:rFonts w:ascii="Arial" w:eastAsia="MS Mincho" w:hAnsi="Arial" w:cs="Times New Roman"/>
          <w:noProof/>
          <w:kern w:val="32"/>
          <w:sz w:val="36"/>
          <w:szCs w:val="36"/>
          <w:lang w:eastAsia="en-GB"/>
        </w:rPr>
        <w:drawing>
          <wp:anchor distT="0" distB="0" distL="114300" distR="114300" simplePos="0" relativeHeight="251655680" behindDoc="1" locked="0" layoutInCell="1" allowOverlap="1" wp14:anchorId="67ECD28D" wp14:editId="03564956">
            <wp:simplePos x="0" y="0"/>
            <wp:positionH relativeFrom="margin">
              <wp:align>left</wp:align>
            </wp:positionH>
            <wp:positionV relativeFrom="paragraph">
              <wp:posOffset>12065</wp:posOffset>
            </wp:positionV>
            <wp:extent cx="1583055" cy="466090"/>
            <wp:effectExtent l="0" t="0" r="0" b="0"/>
            <wp:wrapTight wrapText="bothSides">
              <wp:wrapPolygon edited="0">
                <wp:start x="0" y="0"/>
                <wp:lineTo x="0" y="20305"/>
                <wp:lineTo x="21314" y="20305"/>
                <wp:lineTo x="21314"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3055" cy="466090"/>
                    </a:xfrm>
                    <a:prstGeom prst="rect">
                      <a:avLst/>
                    </a:prstGeom>
                    <a:noFill/>
                  </pic:spPr>
                </pic:pic>
              </a:graphicData>
            </a:graphic>
            <wp14:sizeRelH relativeFrom="margin">
              <wp14:pctWidth>0</wp14:pctWidth>
            </wp14:sizeRelH>
            <wp14:sizeRelV relativeFrom="margin">
              <wp14:pctHeight>0</wp14:pctHeight>
            </wp14:sizeRelV>
          </wp:anchor>
        </w:drawing>
      </w:r>
      <w:r w:rsidRPr="00103A0B">
        <w:rPr>
          <w:rFonts w:ascii="Verdana" w:eastAsia="MS Mincho" w:hAnsi="Verdana" w:cs="Times New Roman"/>
          <w:b/>
          <w:noProof/>
          <w:kern w:val="32"/>
          <w:sz w:val="32"/>
          <w:szCs w:val="20"/>
          <w:lang w:eastAsia="en-GB"/>
        </w:rPr>
        <w:drawing>
          <wp:anchor distT="0" distB="0" distL="114300" distR="114300" simplePos="0" relativeHeight="251653632" behindDoc="1" locked="0" layoutInCell="1" allowOverlap="1" wp14:anchorId="2048211D" wp14:editId="0A2B2A35">
            <wp:simplePos x="0" y="0"/>
            <wp:positionH relativeFrom="margin">
              <wp:align>right</wp:align>
            </wp:positionH>
            <wp:positionV relativeFrom="paragraph">
              <wp:posOffset>0</wp:posOffset>
            </wp:positionV>
            <wp:extent cx="644525" cy="676275"/>
            <wp:effectExtent l="0" t="0" r="3175" b="9525"/>
            <wp:wrapTight wrapText="bothSides">
              <wp:wrapPolygon edited="0">
                <wp:start x="0" y="0"/>
                <wp:lineTo x="0" y="21296"/>
                <wp:lineTo x="21068" y="21296"/>
                <wp:lineTo x="21068" y="0"/>
                <wp:lineTo x="0" y="0"/>
              </wp:wrapPolygon>
            </wp:wrapTight>
            <wp:docPr id="161" name="Picture 161" descr="https://encrypted-tbn1.gstatic.com/images?q=tbn:ANd9GcS6PT8wumaTANZqWzhxzh_-HOn2ntZProYceab5He7Cu5z42Jntsk0SP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6PT8wumaTANZqWzhxzh_-HOn2ntZProYceab5He7Cu5z42Jntsk0SP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5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5"/>
    </w:p>
    <w:p w14:paraId="2C6DC28D" w14:textId="77777777" w:rsidR="00C23BAA" w:rsidRPr="00103A0B" w:rsidRDefault="00C23BAA" w:rsidP="00CD5919">
      <w:pPr>
        <w:keepNext/>
        <w:spacing w:before="240" w:after="60" w:line="240" w:lineRule="auto"/>
        <w:jc w:val="both"/>
        <w:outlineLvl w:val="0"/>
        <w:rPr>
          <w:rFonts w:ascii="Arial" w:eastAsia="MS Mincho" w:hAnsi="Arial" w:cs="Times New Roman"/>
          <w:b/>
          <w:kern w:val="32"/>
          <w:sz w:val="32"/>
          <w:szCs w:val="20"/>
          <w:lang w:val="en-US" w:eastAsia="ja-JP"/>
        </w:rPr>
      </w:pPr>
    </w:p>
    <w:p w14:paraId="09CD57D8" w14:textId="77777777" w:rsidR="00C23BAA" w:rsidRPr="00103A0B" w:rsidRDefault="00C23BAA" w:rsidP="00CD5919">
      <w:pPr>
        <w:spacing w:after="200" w:line="276" w:lineRule="auto"/>
        <w:jc w:val="both"/>
        <w:rPr>
          <w:rFonts w:ascii="Arial" w:hAnsi="Arial" w:cs="Arial"/>
          <w:b/>
          <w:sz w:val="36"/>
          <w:szCs w:val="36"/>
        </w:rPr>
      </w:pPr>
      <w:r w:rsidRPr="00103A0B">
        <w:rPr>
          <w:rFonts w:ascii="Arial" w:hAnsi="Arial" w:cs="Arial"/>
          <w:b/>
          <w:sz w:val="36"/>
          <w:szCs w:val="36"/>
        </w:rPr>
        <w:t xml:space="preserve">Study of uptake of the NHS Diabetes Prevention Programme </w:t>
      </w:r>
    </w:p>
    <w:p w14:paraId="4747619A" w14:textId="77777777" w:rsidR="00C23BAA" w:rsidRPr="00103A0B" w:rsidRDefault="00C23BAA" w:rsidP="00CD5919">
      <w:pPr>
        <w:spacing w:after="200" w:line="276" w:lineRule="auto"/>
        <w:jc w:val="both"/>
        <w:rPr>
          <w:rFonts w:ascii="Arial" w:hAnsi="Arial" w:cs="Arial"/>
          <w:b/>
          <w:sz w:val="36"/>
          <w:szCs w:val="36"/>
        </w:rPr>
      </w:pPr>
      <w:r w:rsidRPr="00103A0B">
        <w:rPr>
          <w:rFonts w:ascii="Arial" w:hAnsi="Arial" w:cs="Arial"/>
          <w:b/>
          <w:sz w:val="36"/>
          <w:szCs w:val="36"/>
        </w:rPr>
        <w:t xml:space="preserve"> Information sheet</w:t>
      </w:r>
    </w:p>
    <w:p w14:paraId="4092D5D6" w14:textId="1D79087D" w:rsidR="00C23BAA" w:rsidRPr="00103A0B" w:rsidRDefault="00C23BAA" w:rsidP="00CD5919">
      <w:pPr>
        <w:spacing w:after="200" w:line="276" w:lineRule="auto"/>
        <w:jc w:val="both"/>
        <w:rPr>
          <w:rFonts w:ascii="Arial" w:hAnsi="Arial" w:cs="Arial"/>
          <w:b/>
          <w:sz w:val="36"/>
          <w:szCs w:val="36"/>
        </w:rPr>
      </w:pPr>
      <w:r w:rsidRPr="00103A0B">
        <w:rPr>
          <w:rFonts w:ascii="Arial" w:hAnsi="Arial" w:cs="Arial"/>
        </w:rPr>
        <w:t xml:space="preserve">Thank you for taking the time to read this information sheet. We are </w:t>
      </w:r>
      <w:proofErr w:type="gramStart"/>
      <w:r w:rsidRPr="00103A0B">
        <w:rPr>
          <w:rFonts w:ascii="Arial" w:hAnsi="Arial" w:cs="Arial"/>
        </w:rPr>
        <w:t>researchers’</w:t>
      </w:r>
      <w:proofErr w:type="gramEnd"/>
      <w:r w:rsidRPr="00103A0B">
        <w:rPr>
          <w:rFonts w:ascii="Arial" w:hAnsi="Arial" w:cs="Arial"/>
        </w:rPr>
        <w:t xml:space="preserve"> from Staffordshire University, and would like to invite you to take part in some research we are conducting on the NHS Diabetes Prevention Programme.</w:t>
      </w:r>
    </w:p>
    <w:p w14:paraId="5C2236DA" w14:textId="77777777" w:rsidR="00C23BAA" w:rsidRPr="00103A0B" w:rsidRDefault="00C23BAA" w:rsidP="00CD5919">
      <w:pPr>
        <w:spacing w:before="120" w:after="120" w:line="276" w:lineRule="auto"/>
        <w:jc w:val="both"/>
        <w:rPr>
          <w:rFonts w:ascii="Arial" w:hAnsi="Arial" w:cs="Arial"/>
        </w:rPr>
      </w:pPr>
      <w:r w:rsidRPr="00103A0B">
        <w:rPr>
          <w:rFonts w:ascii="Arial" w:hAnsi="Arial" w:cs="Arial"/>
        </w:rPr>
        <w:t xml:space="preserve">This information sheet is designed to tell you why we are doing the research, why you have been invited to take part, and what would be involved. Please take your time to read the following information and feel free to contact us if you would like to discuss anything further. </w:t>
      </w:r>
    </w:p>
    <w:p w14:paraId="1FB3BA92" w14:textId="77777777" w:rsidR="00C23BAA" w:rsidRPr="00103A0B" w:rsidRDefault="00C23BAA" w:rsidP="00CD5919">
      <w:pPr>
        <w:spacing w:after="0" w:line="276" w:lineRule="auto"/>
        <w:jc w:val="both"/>
        <w:rPr>
          <w:rFonts w:ascii="Arial" w:hAnsi="Arial" w:cs="Arial"/>
          <w:b/>
          <w:sz w:val="26"/>
          <w:szCs w:val="26"/>
        </w:rPr>
      </w:pPr>
      <w:r w:rsidRPr="00103A0B">
        <w:rPr>
          <w:rFonts w:ascii="Arial" w:hAnsi="Arial" w:cs="Arial"/>
          <w:b/>
          <w:sz w:val="26"/>
          <w:szCs w:val="26"/>
        </w:rPr>
        <w:t>What is the purpose of the study?</w:t>
      </w:r>
    </w:p>
    <w:p w14:paraId="4D0947B5" w14:textId="77777777" w:rsidR="00C23BAA" w:rsidRPr="00103A0B" w:rsidRDefault="00C23BAA" w:rsidP="00CD5919">
      <w:pPr>
        <w:spacing w:after="0" w:line="276" w:lineRule="auto"/>
        <w:jc w:val="both"/>
        <w:rPr>
          <w:rFonts w:ascii="Arial" w:hAnsi="Arial" w:cs="Arial"/>
        </w:rPr>
      </w:pPr>
      <w:r w:rsidRPr="00103A0B">
        <w:rPr>
          <w:rFonts w:ascii="Arial" w:hAnsi="Arial" w:cs="Arial"/>
        </w:rPr>
        <w:t xml:space="preserve">The purpose of this work is to better understand how to make the NHS Diabetes Prevention Programme more accessible and appealing to adult patients. </w:t>
      </w:r>
    </w:p>
    <w:p w14:paraId="7810CE55" w14:textId="77777777" w:rsidR="00C23BAA" w:rsidRPr="00103A0B" w:rsidRDefault="00C23BAA" w:rsidP="00CD5919">
      <w:pPr>
        <w:spacing w:after="0" w:line="276" w:lineRule="auto"/>
        <w:jc w:val="both"/>
        <w:rPr>
          <w:rFonts w:ascii="Arial" w:hAnsi="Arial" w:cs="Arial"/>
          <w:b/>
          <w:sz w:val="26"/>
          <w:szCs w:val="26"/>
        </w:rPr>
      </w:pPr>
    </w:p>
    <w:p w14:paraId="37C87C14" w14:textId="77777777" w:rsidR="00C23BAA" w:rsidRPr="00103A0B" w:rsidRDefault="00C23BAA" w:rsidP="00CD5919">
      <w:pPr>
        <w:spacing w:after="0" w:line="276" w:lineRule="auto"/>
        <w:jc w:val="both"/>
        <w:rPr>
          <w:rFonts w:ascii="Arial" w:hAnsi="Arial" w:cs="Arial"/>
          <w:b/>
        </w:rPr>
      </w:pPr>
      <w:r w:rsidRPr="00103A0B">
        <w:rPr>
          <w:rFonts w:ascii="Arial" w:hAnsi="Arial" w:cs="Arial"/>
          <w:b/>
          <w:sz w:val="26"/>
          <w:szCs w:val="26"/>
        </w:rPr>
        <w:t>Why have I been chosen?</w:t>
      </w:r>
      <w:r w:rsidRPr="00103A0B">
        <w:rPr>
          <w:rFonts w:ascii="Arial" w:hAnsi="Arial" w:cs="Arial"/>
          <w:b/>
        </w:rPr>
        <w:t xml:space="preserve"> </w:t>
      </w:r>
    </w:p>
    <w:p w14:paraId="214CE602" w14:textId="77777777" w:rsidR="00C23BAA" w:rsidRPr="00103A0B" w:rsidRDefault="00C23BAA" w:rsidP="00CD5919">
      <w:pPr>
        <w:spacing w:after="0" w:line="276" w:lineRule="auto"/>
        <w:jc w:val="both"/>
        <w:rPr>
          <w:rFonts w:ascii="Arial" w:hAnsi="Arial" w:cs="Arial"/>
        </w:rPr>
      </w:pPr>
      <w:r w:rsidRPr="00103A0B">
        <w:rPr>
          <w:rFonts w:ascii="Arial" w:hAnsi="Arial" w:cs="Arial"/>
        </w:rPr>
        <w:t xml:space="preserve">You have been chosen because you have been offered a Diabetes Prevention Programme initially by your local Doctor’s surgery. </w:t>
      </w:r>
    </w:p>
    <w:p w14:paraId="1E208CEE" w14:textId="77777777" w:rsidR="00C23BAA" w:rsidRPr="00103A0B" w:rsidRDefault="00C23BAA" w:rsidP="00CD5919">
      <w:pPr>
        <w:spacing w:after="0" w:line="276" w:lineRule="auto"/>
        <w:jc w:val="both"/>
        <w:rPr>
          <w:rFonts w:ascii="Arial" w:hAnsi="Arial" w:cs="Arial"/>
          <w:b/>
          <w:sz w:val="26"/>
          <w:szCs w:val="26"/>
        </w:rPr>
      </w:pPr>
    </w:p>
    <w:p w14:paraId="61CB54C2" w14:textId="77777777" w:rsidR="00C23BAA" w:rsidRPr="00103A0B" w:rsidRDefault="00C23BAA" w:rsidP="00CD5919">
      <w:pPr>
        <w:spacing w:after="0" w:line="276" w:lineRule="auto"/>
        <w:jc w:val="both"/>
        <w:rPr>
          <w:rFonts w:ascii="Arial" w:hAnsi="Arial" w:cs="Arial"/>
          <w:b/>
        </w:rPr>
      </w:pPr>
      <w:r w:rsidRPr="00103A0B">
        <w:rPr>
          <w:rFonts w:ascii="Arial" w:hAnsi="Arial" w:cs="Arial"/>
          <w:b/>
          <w:sz w:val="26"/>
          <w:szCs w:val="26"/>
        </w:rPr>
        <w:t>What will I be asked to do if I decide to take part?</w:t>
      </w:r>
      <w:r w:rsidRPr="00103A0B">
        <w:rPr>
          <w:rFonts w:ascii="Arial" w:hAnsi="Arial" w:cs="Arial"/>
          <w:b/>
        </w:rPr>
        <w:t xml:space="preserve"> </w:t>
      </w:r>
    </w:p>
    <w:p w14:paraId="507F8F8F" w14:textId="77777777" w:rsidR="00C23BAA" w:rsidRPr="00103A0B" w:rsidRDefault="00C23BAA" w:rsidP="00CD5919">
      <w:pPr>
        <w:spacing w:after="0" w:line="276" w:lineRule="auto"/>
        <w:jc w:val="both"/>
        <w:rPr>
          <w:rFonts w:ascii="Arial" w:hAnsi="Arial" w:cs="Arial"/>
        </w:rPr>
      </w:pPr>
      <w:r w:rsidRPr="00103A0B">
        <w:rPr>
          <w:rFonts w:ascii="Arial" w:hAnsi="Arial" w:cs="Arial"/>
        </w:rPr>
        <w:t xml:space="preserve">If you agree to take part, you will be given the opportunity to speak to a member of the Staffordshire University research </w:t>
      </w:r>
      <w:proofErr w:type="gramStart"/>
      <w:r w:rsidRPr="00103A0B">
        <w:rPr>
          <w:rFonts w:ascii="Arial" w:hAnsi="Arial" w:cs="Arial"/>
        </w:rPr>
        <w:t>team, and</w:t>
      </w:r>
      <w:proofErr w:type="gramEnd"/>
      <w:r w:rsidRPr="00103A0B">
        <w:rPr>
          <w:rFonts w:ascii="Arial" w:hAnsi="Arial" w:cs="Arial"/>
        </w:rPr>
        <w:t xml:space="preserve"> ask the researcher any further questions you have about this work.</w:t>
      </w:r>
    </w:p>
    <w:p w14:paraId="48B34F2B" w14:textId="77777777" w:rsidR="00C23BAA" w:rsidRPr="00103A0B" w:rsidRDefault="00C23BAA" w:rsidP="00CD5919">
      <w:pPr>
        <w:spacing w:after="0" w:line="276" w:lineRule="auto"/>
        <w:jc w:val="both"/>
        <w:rPr>
          <w:rFonts w:ascii="Arial" w:hAnsi="Arial" w:cs="Arial"/>
        </w:rPr>
      </w:pPr>
      <w:r w:rsidRPr="00103A0B">
        <w:rPr>
          <w:rFonts w:ascii="Arial" w:hAnsi="Arial" w:cs="Arial"/>
        </w:rPr>
        <w:t xml:space="preserve">If you are happy to proceed, the researcher will arrange a convenient time and location to meet you to take part in a short informal interview/discussion. This can take place on the day you attend your individual </w:t>
      </w:r>
      <w:proofErr w:type="gramStart"/>
      <w:r w:rsidRPr="00103A0B">
        <w:rPr>
          <w:rFonts w:ascii="Arial" w:hAnsi="Arial" w:cs="Arial"/>
        </w:rPr>
        <w:t>assessment</w:t>
      </w:r>
      <w:proofErr w:type="gramEnd"/>
      <w:r w:rsidRPr="00103A0B">
        <w:rPr>
          <w:rFonts w:ascii="Arial" w:hAnsi="Arial" w:cs="Arial"/>
        </w:rPr>
        <w:t xml:space="preserve"> or an alternative day/time can be arranged. The interview would last approximately 30 to 60 minutes and you may be given a 5-10 minute follow up telephone call if this is required. If it is not possible to arrange an interview in person, the researcher may contact you to arrange a telephone interview instead. To ensure that we have an accurate account, the interview would be audio recorded. We </w:t>
      </w:r>
      <w:proofErr w:type="gramStart"/>
      <w:r w:rsidRPr="00103A0B">
        <w:rPr>
          <w:rFonts w:ascii="Arial" w:hAnsi="Arial" w:cs="Arial"/>
        </w:rPr>
        <w:t>would</w:t>
      </w:r>
      <w:proofErr w:type="gramEnd"/>
      <w:r w:rsidRPr="00103A0B">
        <w:rPr>
          <w:rFonts w:ascii="Arial" w:hAnsi="Arial" w:cs="Arial"/>
        </w:rPr>
        <w:t xml:space="preserve"> also ask you to fill out a short profile survey asking about things like if you have any health problems that you are aware of, your age and ethnic origin.</w:t>
      </w:r>
    </w:p>
    <w:p w14:paraId="21F105E1" w14:textId="77777777" w:rsidR="00C23BAA" w:rsidRPr="00103A0B" w:rsidRDefault="00C23BAA" w:rsidP="00CD5919">
      <w:pPr>
        <w:spacing w:after="0" w:line="276" w:lineRule="auto"/>
        <w:jc w:val="both"/>
        <w:rPr>
          <w:rFonts w:ascii="Arial" w:hAnsi="Arial" w:cs="Arial"/>
          <w:b/>
          <w:sz w:val="26"/>
          <w:szCs w:val="26"/>
        </w:rPr>
      </w:pPr>
    </w:p>
    <w:p w14:paraId="367B59BD" w14:textId="77777777" w:rsidR="00C23BAA" w:rsidRPr="00103A0B" w:rsidRDefault="00C23BAA" w:rsidP="00CD5919">
      <w:pPr>
        <w:spacing w:after="0" w:line="276" w:lineRule="auto"/>
        <w:jc w:val="both"/>
        <w:rPr>
          <w:rFonts w:ascii="Arial" w:hAnsi="Arial" w:cs="Arial"/>
          <w:b/>
          <w:sz w:val="26"/>
          <w:szCs w:val="26"/>
        </w:rPr>
      </w:pPr>
      <w:r w:rsidRPr="00103A0B">
        <w:rPr>
          <w:rFonts w:ascii="Arial" w:hAnsi="Arial" w:cs="Arial"/>
          <w:b/>
          <w:sz w:val="26"/>
          <w:szCs w:val="26"/>
        </w:rPr>
        <w:t>What are the benefits of taking part?</w:t>
      </w:r>
    </w:p>
    <w:p w14:paraId="0F2D1308" w14:textId="77777777" w:rsidR="00C23BAA" w:rsidRPr="00103A0B" w:rsidRDefault="00C23BAA" w:rsidP="00CD5919">
      <w:pPr>
        <w:spacing w:after="0" w:line="276" w:lineRule="auto"/>
        <w:jc w:val="both"/>
        <w:rPr>
          <w:rFonts w:ascii="Arial" w:hAnsi="Arial" w:cs="Arial"/>
          <w:b/>
          <w:sz w:val="26"/>
          <w:szCs w:val="26"/>
        </w:rPr>
      </w:pPr>
      <w:r w:rsidRPr="00103A0B">
        <w:rPr>
          <w:rFonts w:ascii="Arial" w:hAnsi="Arial" w:cs="Arial"/>
        </w:rPr>
        <w:t>If you take part, you will receive a</w:t>
      </w:r>
      <w:r w:rsidRPr="00103A0B">
        <w:rPr>
          <w:rFonts w:ascii="Arial" w:hAnsi="Arial" w:cs="Arial"/>
          <w:b/>
        </w:rPr>
        <w:t xml:space="preserve"> </w:t>
      </w:r>
      <w:r w:rsidRPr="00103A0B">
        <w:rPr>
          <w:rFonts w:ascii="Arial" w:hAnsi="Arial" w:cs="Arial"/>
          <w:b/>
          <w:color w:val="FF0000"/>
          <w:sz w:val="26"/>
          <w:szCs w:val="26"/>
        </w:rPr>
        <w:t>£20 Love2Shop voucher</w:t>
      </w:r>
      <w:r w:rsidRPr="00103A0B">
        <w:rPr>
          <w:rFonts w:ascii="Arial" w:hAnsi="Arial" w:cs="Arial"/>
          <w:sz w:val="26"/>
          <w:szCs w:val="26"/>
        </w:rPr>
        <w:t xml:space="preserve"> </w:t>
      </w:r>
      <w:r w:rsidRPr="00103A0B">
        <w:rPr>
          <w:rFonts w:ascii="Arial" w:hAnsi="Arial" w:cs="Arial"/>
        </w:rPr>
        <w:t>as a thank you for your time. These can be used at most high street shops (</w:t>
      </w:r>
      <w:hyperlink r:id="rId36" w:history="1">
        <w:r w:rsidRPr="00103A0B">
          <w:rPr>
            <w:rFonts w:ascii="Arial" w:hAnsi="Arial" w:cs="Arial"/>
            <w:color w:val="0563C1" w:themeColor="hyperlink"/>
            <w:u w:val="single"/>
          </w:rPr>
          <w:t>http://www.highstreetvouchers.com/gift-vouchers/love2shop</w:t>
        </w:r>
      </w:hyperlink>
      <w:r w:rsidRPr="00103A0B">
        <w:rPr>
          <w:rFonts w:ascii="Arial" w:hAnsi="Arial" w:cs="Arial"/>
        </w:rPr>
        <w:t xml:space="preserve">). </w:t>
      </w:r>
    </w:p>
    <w:p w14:paraId="43BA4001" w14:textId="77777777" w:rsidR="00811B15" w:rsidRPr="00103A0B" w:rsidRDefault="00811B15" w:rsidP="00CD5919">
      <w:pPr>
        <w:spacing w:after="0" w:line="276" w:lineRule="auto"/>
        <w:jc w:val="both"/>
        <w:rPr>
          <w:rFonts w:ascii="Arial" w:hAnsi="Arial" w:cs="Arial"/>
          <w:b/>
          <w:sz w:val="26"/>
          <w:szCs w:val="26"/>
        </w:rPr>
      </w:pPr>
    </w:p>
    <w:p w14:paraId="7668D090" w14:textId="0EBEAB31" w:rsidR="00C23BAA" w:rsidRPr="00103A0B" w:rsidRDefault="00C23BAA" w:rsidP="00CD5919">
      <w:pPr>
        <w:spacing w:after="0" w:line="276" w:lineRule="auto"/>
        <w:jc w:val="both"/>
        <w:rPr>
          <w:rFonts w:ascii="Arial" w:hAnsi="Arial" w:cs="Arial"/>
          <w:b/>
          <w:sz w:val="26"/>
          <w:szCs w:val="26"/>
        </w:rPr>
      </w:pPr>
      <w:r w:rsidRPr="00103A0B">
        <w:rPr>
          <w:rFonts w:ascii="Arial" w:hAnsi="Arial" w:cs="Arial"/>
          <w:b/>
          <w:sz w:val="26"/>
          <w:szCs w:val="26"/>
        </w:rPr>
        <w:lastRenderedPageBreak/>
        <w:t>Do I have to take part?</w:t>
      </w:r>
    </w:p>
    <w:p w14:paraId="2E160FFC" w14:textId="7507E825" w:rsidR="00C23BAA" w:rsidRPr="00103A0B" w:rsidRDefault="00C23BAA" w:rsidP="00CD5919">
      <w:pPr>
        <w:spacing w:after="0" w:line="276" w:lineRule="auto"/>
        <w:jc w:val="both"/>
        <w:rPr>
          <w:rFonts w:ascii="Arial" w:hAnsi="Arial" w:cs="Arial"/>
        </w:rPr>
      </w:pPr>
      <w:r w:rsidRPr="00103A0B">
        <w:rPr>
          <w:rFonts w:ascii="Arial" w:hAnsi="Arial" w:cs="Arial"/>
        </w:rPr>
        <w:t xml:space="preserve">Taking part is voluntary. It is up to you </w:t>
      </w:r>
      <w:proofErr w:type="gramStart"/>
      <w:r w:rsidRPr="00103A0B">
        <w:rPr>
          <w:rFonts w:ascii="Arial" w:hAnsi="Arial" w:cs="Arial"/>
        </w:rPr>
        <w:t>whether or not</w:t>
      </w:r>
      <w:proofErr w:type="gramEnd"/>
      <w:r w:rsidRPr="00103A0B">
        <w:rPr>
          <w:rFonts w:ascii="Arial" w:hAnsi="Arial" w:cs="Arial"/>
        </w:rPr>
        <w:t xml:space="preserve"> to take part. If you decide to </w:t>
      </w:r>
      <w:proofErr w:type="gramStart"/>
      <w:r w:rsidRPr="00103A0B">
        <w:rPr>
          <w:rFonts w:ascii="Arial" w:hAnsi="Arial" w:cs="Arial"/>
        </w:rPr>
        <w:t>participate</w:t>
      </w:r>
      <w:proofErr w:type="gramEnd"/>
      <w:r w:rsidRPr="00103A0B">
        <w:rPr>
          <w:rFonts w:ascii="Arial" w:hAnsi="Arial" w:cs="Arial"/>
        </w:rPr>
        <w:t xml:space="preserve"> then you are free to withdraw from the research for up to one week after the interview has taken place without stating a reason. You will not be disadvantaged in any way if you decide that you do not wish to take part. Also, taking part will not negatively affect the care you are offered by </w:t>
      </w:r>
      <w:r w:rsidR="005307BF" w:rsidRPr="00103A0B">
        <w:rPr>
          <w:rFonts w:ascii="Arial" w:hAnsi="Arial" w:cs="Arial"/>
        </w:rPr>
        <w:t>the local provider</w:t>
      </w:r>
      <w:r w:rsidRPr="00103A0B">
        <w:rPr>
          <w:rFonts w:ascii="Arial" w:hAnsi="Arial" w:cs="Arial"/>
        </w:rPr>
        <w:t xml:space="preserve"> or other NHS Services.</w:t>
      </w:r>
    </w:p>
    <w:p w14:paraId="1F701123" w14:textId="77777777" w:rsidR="00C23BAA" w:rsidRPr="00103A0B" w:rsidRDefault="00C23BAA" w:rsidP="00CD5919">
      <w:pPr>
        <w:spacing w:after="0" w:line="276" w:lineRule="auto"/>
        <w:jc w:val="both"/>
        <w:rPr>
          <w:rFonts w:ascii="Arial" w:hAnsi="Arial" w:cs="Arial"/>
          <w:b/>
          <w:sz w:val="26"/>
          <w:szCs w:val="26"/>
        </w:rPr>
      </w:pPr>
    </w:p>
    <w:p w14:paraId="294E3658" w14:textId="77777777" w:rsidR="00C23BAA" w:rsidRPr="00103A0B" w:rsidRDefault="00C23BAA" w:rsidP="00CD5919">
      <w:pPr>
        <w:spacing w:after="0" w:line="276" w:lineRule="auto"/>
        <w:jc w:val="both"/>
        <w:rPr>
          <w:rFonts w:ascii="Arial" w:hAnsi="Arial" w:cs="Arial"/>
          <w:b/>
          <w:sz w:val="26"/>
          <w:szCs w:val="26"/>
        </w:rPr>
      </w:pPr>
      <w:r w:rsidRPr="00103A0B">
        <w:rPr>
          <w:rFonts w:ascii="Arial" w:hAnsi="Arial" w:cs="Arial"/>
          <w:b/>
          <w:sz w:val="26"/>
          <w:szCs w:val="26"/>
        </w:rPr>
        <w:t>Are there any negative effects of taking part?</w:t>
      </w:r>
    </w:p>
    <w:p w14:paraId="3887A483" w14:textId="77777777" w:rsidR="00C23BAA" w:rsidRPr="00103A0B" w:rsidRDefault="00C23BAA" w:rsidP="00CD5919">
      <w:pPr>
        <w:spacing w:after="0" w:line="276" w:lineRule="auto"/>
        <w:jc w:val="both"/>
        <w:rPr>
          <w:rFonts w:ascii="Arial" w:hAnsi="Arial" w:cs="Arial"/>
        </w:rPr>
      </w:pPr>
      <w:r w:rsidRPr="00103A0B">
        <w:rPr>
          <w:rFonts w:ascii="Arial" w:hAnsi="Arial" w:cs="Arial"/>
        </w:rPr>
        <w:t xml:space="preserve">We do not expect any adverse effects </w:t>
      </w:r>
      <w:proofErr w:type="gramStart"/>
      <w:r w:rsidRPr="00103A0B">
        <w:rPr>
          <w:rFonts w:ascii="Arial" w:hAnsi="Arial" w:cs="Arial"/>
        </w:rPr>
        <w:t>as a result of</w:t>
      </w:r>
      <w:proofErr w:type="gramEnd"/>
      <w:r w:rsidRPr="00103A0B">
        <w:rPr>
          <w:rFonts w:ascii="Arial" w:hAnsi="Arial" w:cs="Arial"/>
        </w:rPr>
        <w:t xml:space="preserve"> taking part. However, if at any time you feel upset or distressed during the interview, please inform the researcher and the interview will be stopped and appropriate action taken.  If after participation, you have any questions relating to this research, you can contact the researcher using the details at the end of this information sheet. If you wish to speak to an external organization about your participation in this research or for further support, please contact Diabetes UK </w:t>
      </w:r>
      <w:r w:rsidRPr="00103A0B">
        <w:rPr>
          <w:rFonts w:ascii="Arial" w:hAnsi="Arial" w:cs="Arial"/>
          <w:bCs/>
          <w:lang w:val="en"/>
        </w:rPr>
        <w:t>Lambeth and Southwark Group,</w:t>
      </w:r>
      <w:r w:rsidRPr="00103A0B">
        <w:rPr>
          <w:rFonts w:ascii="Arial" w:hAnsi="Arial" w:cs="Arial"/>
          <w:b/>
          <w:bCs/>
          <w:lang w:val="en"/>
        </w:rPr>
        <w:t xml:space="preserve"> </w:t>
      </w:r>
      <w:r w:rsidRPr="00103A0B">
        <w:rPr>
          <w:rFonts w:ascii="Arial" w:hAnsi="Arial" w:cs="Arial"/>
        </w:rPr>
        <w:t xml:space="preserve">13 Great </w:t>
      </w:r>
      <w:proofErr w:type="spellStart"/>
      <w:r w:rsidRPr="00103A0B">
        <w:rPr>
          <w:rFonts w:ascii="Arial" w:hAnsi="Arial" w:cs="Arial"/>
        </w:rPr>
        <w:t>Spilmans</w:t>
      </w:r>
      <w:proofErr w:type="spellEnd"/>
      <w:r w:rsidRPr="00103A0B">
        <w:rPr>
          <w:rFonts w:ascii="Arial" w:hAnsi="Arial" w:cs="Arial"/>
        </w:rPr>
        <w:t xml:space="preserve">, East Dulwich, East Dulwich, SE22 8SZ, Greater London, Tel: 02086932372 or 0345 123 2399, Email: </w:t>
      </w:r>
      <w:hyperlink r:id="rId37" w:history="1">
        <w:r w:rsidRPr="00103A0B">
          <w:rPr>
            <w:rFonts w:ascii="Arial" w:hAnsi="Arial" w:cs="Arial"/>
            <w:color w:val="0563C1" w:themeColor="hyperlink"/>
            <w:u w:val="single"/>
          </w:rPr>
          <w:t>cokerb@btopenworld.com</w:t>
        </w:r>
      </w:hyperlink>
      <w:r w:rsidRPr="00103A0B">
        <w:rPr>
          <w:rFonts w:ascii="Arial" w:hAnsi="Arial" w:cs="Arial"/>
        </w:rPr>
        <w:t xml:space="preserve"> </w:t>
      </w:r>
    </w:p>
    <w:p w14:paraId="46BF0790" w14:textId="77777777" w:rsidR="00C23BAA" w:rsidRPr="00103A0B" w:rsidRDefault="00C23BAA" w:rsidP="00CD5919">
      <w:pPr>
        <w:spacing w:after="0" w:line="276" w:lineRule="auto"/>
        <w:jc w:val="both"/>
        <w:rPr>
          <w:rFonts w:ascii="Arial" w:hAnsi="Arial" w:cs="Arial"/>
          <w:b/>
          <w:sz w:val="26"/>
          <w:szCs w:val="26"/>
        </w:rPr>
      </w:pPr>
    </w:p>
    <w:p w14:paraId="2991EE37" w14:textId="77777777" w:rsidR="00C23BAA" w:rsidRPr="00103A0B" w:rsidRDefault="00C23BAA" w:rsidP="00CD5919">
      <w:pPr>
        <w:spacing w:after="0" w:line="276" w:lineRule="auto"/>
        <w:jc w:val="both"/>
        <w:rPr>
          <w:rFonts w:ascii="Arial" w:hAnsi="Arial" w:cs="Arial"/>
          <w:b/>
          <w:sz w:val="26"/>
          <w:szCs w:val="26"/>
        </w:rPr>
      </w:pPr>
      <w:r w:rsidRPr="00103A0B">
        <w:rPr>
          <w:rFonts w:ascii="Arial" w:hAnsi="Arial" w:cs="Arial"/>
          <w:b/>
          <w:sz w:val="26"/>
          <w:szCs w:val="26"/>
        </w:rPr>
        <w:t>What will happen to my information?</w:t>
      </w:r>
    </w:p>
    <w:p w14:paraId="5E6C71B8" w14:textId="77777777" w:rsidR="00C23BAA" w:rsidRPr="00103A0B" w:rsidRDefault="00C23BAA" w:rsidP="00CD5919">
      <w:pPr>
        <w:spacing w:after="0" w:line="276" w:lineRule="auto"/>
        <w:jc w:val="both"/>
        <w:rPr>
          <w:rFonts w:ascii="Arial" w:hAnsi="Arial" w:cs="Arial"/>
        </w:rPr>
      </w:pPr>
      <w:r w:rsidRPr="00103A0B">
        <w:rPr>
          <w:rFonts w:ascii="Arial" w:hAnsi="Arial" w:cs="Arial"/>
        </w:rPr>
        <w:t xml:space="preserve">All information you provide will be stored securely. Only members of the Staffordshire University research team will have access to the names of those taking part. All those taking part will be assigned a unique code, which will be used to identify them and ensure your anonymity. You will not be identifiable from any reports that are produced </w:t>
      </w:r>
      <w:proofErr w:type="gramStart"/>
      <w:r w:rsidRPr="00103A0B">
        <w:rPr>
          <w:rFonts w:ascii="Arial" w:hAnsi="Arial" w:cs="Arial"/>
        </w:rPr>
        <w:t>as a result of</w:t>
      </w:r>
      <w:proofErr w:type="gramEnd"/>
      <w:r w:rsidRPr="00103A0B">
        <w:rPr>
          <w:rFonts w:ascii="Arial" w:hAnsi="Arial" w:cs="Arial"/>
        </w:rPr>
        <w:t xml:space="preserve"> this work.</w:t>
      </w:r>
    </w:p>
    <w:p w14:paraId="01539376" w14:textId="77777777" w:rsidR="00C23BAA" w:rsidRPr="00103A0B" w:rsidRDefault="00C23BAA" w:rsidP="00CD5919">
      <w:pPr>
        <w:spacing w:after="0" w:line="276" w:lineRule="auto"/>
        <w:jc w:val="both"/>
        <w:rPr>
          <w:rFonts w:ascii="Arial" w:hAnsi="Arial" w:cs="Arial"/>
          <w:b/>
          <w:sz w:val="26"/>
          <w:szCs w:val="26"/>
        </w:rPr>
      </w:pPr>
    </w:p>
    <w:p w14:paraId="7E4CD3C1" w14:textId="77777777" w:rsidR="00C23BAA" w:rsidRPr="00103A0B" w:rsidRDefault="00C23BAA" w:rsidP="00CD5919">
      <w:pPr>
        <w:spacing w:after="0" w:line="276" w:lineRule="auto"/>
        <w:jc w:val="both"/>
        <w:rPr>
          <w:rFonts w:ascii="Arial" w:hAnsi="Arial" w:cs="Arial"/>
          <w:b/>
          <w:sz w:val="26"/>
          <w:szCs w:val="26"/>
        </w:rPr>
      </w:pPr>
      <w:r w:rsidRPr="00103A0B">
        <w:rPr>
          <w:rFonts w:ascii="Arial" w:hAnsi="Arial" w:cs="Arial"/>
          <w:b/>
          <w:sz w:val="26"/>
          <w:szCs w:val="26"/>
        </w:rPr>
        <w:t>What will happen with the results of the study?</w:t>
      </w:r>
    </w:p>
    <w:p w14:paraId="646494AA" w14:textId="5F57F474" w:rsidR="00C23BAA" w:rsidRPr="00103A0B" w:rsidRDefault="00C23BAA" w:rsidP="00CD5919">
      <w:pPr>
        <w:spacing w:after="0" w:line="276" w:lineRule="auto"/>
        <w:jc w:val="both"/>
        <w:rPr>
          <w:rFonts w:ascii="Arial" w:hAnsi="Arial" w:cs="Arial"/>
        </w:rPr>
      </w:pPr>
      <w:r w:rsidRPr="00103A0B">
        <w:rPr>
          <w:rFonts w:ascii="Arial" w:hAnsi="Arial" w:cs="Arial"/>
        </w:rPr>
        <w:t xml:space="preserve">It is hoped that finding out about your experiences of the programme will help the organisers to make improvements to the programme. The results of the study will be written up into a report provided to the organisers of the programme and publication in academic journals. The results will also be written up as chapters of a PhD thesis.  All results will be reported such that no individuals can be identified. </w:t>
      </w:r>
    </w:p>
    <w:p w14:paraId="01A82563" w14:textId="77777777" w:rsidR="00C23BAA" w:rsidRPr="00103A0B" w:rsidRDefault="00C23BAA" w:rsidP="00CD5919">
      <w:pPr>
        <w:spacing w:after="0" w:line="276" w:lineRule="auto"/>
        <w:jc w:val="both"/>
        <w:rPr>
          <w:rFonts w:ascii="Arial" w:hAnsi="Arial" w:cs="Arial"/>
        </w:rPr>
      </w:pPr>
    </w:p>
    <w:p w14:paraId="2AAF0276" w14:textId="77777777" w:rsidR="00C23BAA" w:rsidRPr="00103A0B" w:rsidRDefault="00C23BAA" w:rsidP="00CD5919">
      <w:pPr>
        <w:spacing w:after="0" w:line="276" w:lineRule="auto"/>
        <w:jc w:val="both"/>
        <w:rPr>
          <w:rFonts w:ascii="Arial" w:hAnsi="Arial" w:cs="Arial"/>
        </w:rPr>
      </w:pPr>
      <w:r w:rsidRPr="00103A0B">
        <w:rPr>
          <w:rFonts w:ascii="Arial" w:hAnsi="Arial" w:cs="Arial"/>
        </w:rPr>
        <w:t xml:space="preserve">If you wish, you can receive a copy of this report. Please contact Sonia Begum directly if you would like to receive a copy. </w:t>
      </w:r>
    </w:p>
    <w:p w14:paraId="16FE24E4" w14:textId="77777777" w:rsidR="00C23BAA" w:rsidRPr="00103A0B" w:rsidRDefault="00C23BAA" w:rsidP="00CD5919">
      <w:pPr>
        <w:spacing w:after="0" w:line="276" w:lineRule="auto"/>
        <w:jc w:val="both"/>
        <w:rPr>
          <w:rFonts w:ascii="Arial" w:hAnsi="Arial" w:cs="Arial"/>
          <w:b/>
          <w:sz w:val="20"/>
          <w:szCs w:val="20"/>
        </w:rPr>
      </w:pPr>
    </w:p>
    <w:p w14:paraId="6304BEA6" w14:textId="77777777" w:rsidR="00C23BAA" w:rsidRPr="00103A0B" w:rsidRDefault="00C23BAA" w:rsidP="00CD5919">
      <w:pPr>
        <w:spacing w:after="0" w:line="276" w:lineRule="auto"/>
        <w:jc w:val="both"/>
        <w:rPr>
          <w:rFonts w:ascii="Arial" w:hAnsi="Arial" w:cs="Arial"/>
        </w:rPr>
      </w:pPr>
      <w:r w:rsidRPr="00103A0B">
        <w:rPr>
          <w:rFonts w:ascii="Arial" w:hAnsi="Arial" w:cs="Arial"/>
          <w:b/>
        </w:rPr>
        <w:t xml:space="preserve">If you need further information, </w:t>
      </w:r>
      <w:r w:rsidRPr="00103A0B">
        <w:rPr>
          <w:rFonts w:ascii="Arial" w:hAnsi="Arial" w:cs="Arial"/>
        </w:rPr>
        <w:t xml:space="preserve">please </w:t>
      </w:r>
      <w:proofErr w:type="gramStart"/>
      <w:r w:rsidRPr="00103A0B">
        <w:rPr>
          <w:rFonts w:ascii="Arial" w:hAnsi="Arial" w:cs="Arial"/>
        </w:rPr>
        <w:t>contact</w:t>
      </w:r>
      <w:proofErr w:type="gramEnd"/>
    </w:p>
    <w:p w14:paraId="4812D9C5" w14:textId="77777777" w:rsidR="00C23BAA" w:rsidRPr="00103A0B" w:rsidRDefault="00C23BAA" w:rsidP="00CD5919">
      <w:pPr>
        <w:spacing w:after="0" w:line="276" w:lineRule="auto"/>
        <w:jc w:val="both"/>
        <w:rPr>
          <w:rFonts w:ascii="Arial" w:hAnsi="Arial" w:cs="Arial"/>
        </w:rPr>
      </w:pPr>
      <w:r w:rsidRPr="00103A0B">
        <w:rPr>
          <w:rFonts w:ascii="Arial" w:hAnsi="Arial" w:cs="Arial"/>
        </w:rPr>
        <w:t xml:space="preserve"> </w:t>
      </w:r>
    </w:p>
    <w:p w14:paraId="163930E3" w14:textId="77777777" w:rsidR="00C23BAA" w:rsidRPr="00103A0B" w:rsidRDefault="00C23BAA" w:rsidP="00CD5919">
      <w:pPr>
        <w:spacing w:after="0" w:line="276" w:lineRule="auto"/>
        <w:jc w:val="both"/>
        <w:rPr>
          <w:rFonts w:ascii="Arial" w:hAnsi="Arial" w:cs="Arial"/>
        </w:rPr>
      </w:pPr>
      <w:r w:rsidRPr="00103A0B">
        <w:rPr>
          <w:rFonts w:ascii="Arial" w:hAnsi="Arial" w:cs="Arial"/>
        </w:rPr>
        <w:t>Sonia Begum (PhD Student)</w:t>
      </w:r>
      <w:r w:rsidRPr="00103A0B">
        <w:rPr>
          <w:rFonts w:ascii="Arial" w:hAnsi="Arial" w:cs="Arial"/>
        </w:rPr>
        <w:tab/>
      </w:r>
      <w:r w:rsidRPr="00103A0B">
        <w:rPr>
          <w:rFonts w:ascii="Arial" w:hAnsi="Arial" w:cs="Arial"/>
        </w:rPr>
        <w:tab/>
      </w:r>
      <w:r w:rsidRPr="00103A0B">
        <w:rPr>
          <w:rFonts w:ascii="Arial" w:hAnsi="Arial" w:cs="Arial"/>
        </w:rPr>
        <w:tab/>
        <w:t>Dr Rachel Povey (Primary Supervisor)</w:t>
      </w:r>
    </w:p>
    <w:p w14:paraId="2B153188" w14:textId="3B1C8AE5" w:rsidR="00C23BAA" w:rsidRPr="00103A0B" w:rsidRDefault="00C23BAA" w:rsidP="00CD5919">
      <w:pPr>
        <w:spacing w:after="0" w:line="276" w:lineRule="auto"/>
        <w:jc w:val="both"/>
        <w:rPr>
          <w:rFonts w:ascii="Arial" w:hAnsi="Arial" w:cs="Arial"/>
        </w:rPr>
      </w:pPr>
      <w:r w:rsidRPr="00103A0B">
        <w:rPr>
          <w:rFonts w:ascii="Arial" w:hAnsi="Arial" w:cs="Arial"/>
        </w:rPr>
        <w:t>Staffordshire University</w:t>
      </w:r>
      <w:r w:rsidRPr="00103A0B">
        <w:rPr>
          <w:rFonts w:ascii="Arial" w:hAnsi="Arial" w:cs="Arial"/>
        </w:rPr>
        <w:tab/>
      </w:r>
      <w:r w:rsidRPr="00103A0B">
        <w:rPr>
          <w:rFonts w:ascii="Arial" w:hAnsi="Arial" w:cs="Arial"/>
        </w:rPr>
        <w:tab/>
      </w:r>
      <w:r w:rsidRPr="00103A0B">
        <w:rPr>
          <w:rFonts w:ascii="Arial" w:hAnsi="Arial" w:cs="Arial"/>
        </w:rPr>
        <w:tab/>
        <w:t>Staffordshire University</w:t>
      </w:r>
    </w:p>
    <w:p w14:paraId="671A09AB" w14:textId="77777777" w:rsidR="00C23BAA" w:rsidRPr="00103A0B" w:rsidRDefault="00C23BAA" w:rsidP="00CD5919">
      <w:pPr>
        <w:spacing w:after="0" w:line="240" w:lineRule="auto"/>
        <w:contextualSpacing/>
        <w:jc w:val="both"/>
        <w:rPr>
          <w:rFonts w:ascii="Arial" w:hAnsi="Arial" w:cs="Arial"/>
        </w:rPr>
      </w:pPr>
      <w:r w:rsidRPr="00103A0B">
        <w:rPr>
          <w:rFonts w:ascii="Arial" w:hAnsi="Arial" w:cs="Arial"/>
        </w:rPr>
        <w:t>Brindley Building, Leek Road</w:t>
      </w:r>
      <w:r w:rsidRPr="00103A0B">
        <w:rPr>
          <w:rFonts w:ascii="Arial" w:hAnsi="Arial" w:cs="Arial"/>
        </w:rPr>
        <w:tab/>
      </w:r>
      <w:r w:rsidRPr="00103A0B">
        <w:rPr>
          <w:rFonts w:ascii="Arial" w:hAnsi="Arial" w:cs="Arial"/>
        </w:rPr>
        <w:tab/>
      </w:r>
      <w:r w:rsidRPr="00103A0B">
        <w:rPr>
          <w:rFonts w:ascii="Arial" w:hAnsi="Arial" w:cs="Arial"/>
        </w:rPr>
        <w:tab/>
        <w:t>Science Centre, Leek Road</w:t>
      </w:r>
    </w:p>
    <w:p w14:paraId="6CF1C819" w14:textId="5109556C" w:rsidR="00C23BAA" w:rsidRPr="00103A0B" w:rsidRDefault="00C23BAA" w:rsidP="00CD5919">
      <w:pPr>
        <w:spacing w:after="0" w:line="240" w:lineRule="auto"/>
        <w:contextualSpacing/>
        <w:jc w:val="both"/>
        <w:rPr>
          <w:rFonts w:ascii="Arial" w:hAnsi="Arial" w:cs="Arial"/>
        </w:rPr>
      </w:pPr>
      <w:r w:rsidRPr="00103A0B">
        <w:rPr>
          <w:rFonts w:ascii="Arial" w:hAnsi="Arial" w:cs="Arial"/>
        </w:rPr>
        <w:t>Stoke-on-Trent, Staffordshire, ST4 2DF</w:t>
      </w:r>
      <w:r w:rsidRPr="00103A0B">
        <w:rPr>
          <w:rFonts w:ascii="Arial" w:hAnsi="Arial" w:cs="Arial"/>
        </w:rPr>
        <w:tab/>
        <w:t>Stoke-on-Trent, Staffordshire, ST4 2DF</w:t>
      </w:r>
    </w:p>
    <w:p w14:paraId="12966544" w14:textId="77777777" w:rsidR="00C23BAA" w:rsidRPr="00103A0B" w:rsidRDefault="00C23BAA" w:rsidP="00CD5919">
      <w:pPr>
        <w:tabs>
          <w:tab w:val="center" w:pos="4156"/>
        </w:tabs>
        <w:spacing w:after="0" w:line="240" w:lineRule="auto"/>
        <w:contextualSpacing/>
        <w:jc w:val="both"/>
        <w:rPr>
          <w:rFonts w:ascii="Arial" w:hAnsi="Arial" w:cs="Arial"/>
        </w:rPr>
      </w:pPr>
      <w:r w:rsidRPr="00103A0B">
        <w:rPr>
          <w:rFonts w:ascii="Arial" w:hAnsi="Arial" w:cs="Arial"/>
        </w:rPr>
        <w:t xml:space="preserve">+44(0)1782 294024 </w:t>
      </w:r>
      <w:proofErr w:type="gramStart"/>
      <w:r w:rsidRPr="00103A0B">
        <w:rPr>
          <w:rFonts w:ascii="Arial" w:hAnsi="Arial" w:cs="Arial"/>
        </w:rPr>
        <w:tab/>
        <w:t xml:space="preserve">  </w:t>
      </w:r>
      <w:r w:rsidRPr="00103A0B">
        <w:rPr>
          <w:rFonts w:ascii="Arial" w:hAnsi="Arial" w:cs="Arial"/>
        </w:rPr>
        <w:tab/>
      </w:r>
      <w:proofErr w:type="gramEnd"/>
      <w:r w:rsidRPr="00103A0B">
        <w:rPr>
          <w:rFonts w:ascii="Arial" w:hAnsi="Arial" w:cs="Arial"/>
        </w:rPr>
        <w:t>+44 (0)1782 294570</w:t>
      </w:r>
    </w:p>
    <w:p w14:paraId="2EB790AF" w14:textId="77777777" w:rsidR="00C23BAA" w:rsidRPr="00103A0B" w:rsidRDefault="00000000" w:rsidP="00CD5919">
      <w:pPr>
        <w:spacing w:after="0" w:line="240" w:lineRule="auto"/>
        <w:contextualSpacing/>
        <w:jc w:val="both"/>
        <w:rPr>
          <w:rFonts w:ascii="Arial" w:hAnsi="Arial" w:cs="Arial"/>
        </w:rPr>
      </w:pPr>
      <w:hyperlink r:id="rId38" w:history="1">
        <w:r w:rsidR="00C23BAA" w:rsidRPr="00103A0B">
          <w:rPr>
            <w:rFonts w:ascii="Arial" w:hAnsi="Arial" w:cs="Arial"/>
            <w:color w:val="0563C1" w:themeColor="hyperlink"/>
            <w:u w:val="single"/>
          </w:rPr>
          <w:t>sonia.begum@research.staffs.ac.uk</w:t>
        </w:r>
      </w:hyperlink>
      <w:r w:rsidR="00C23BAA" w:rsidRPr="00103A0B">
        <w:rPr>
          <w:rFonts w:ascii="Arial" w:hAnsi="Arial" w:cs="Arial"/>
        </w:rPr>
        <w:tab/>
      </w:r>
      <w:r w:rsidR="00C23BAA" w:rsidRPr="00103A0B">
        <w:rPr>
          <w:rFonts w:ascii="Arial" w:hAnsi="Arial" w:cs="Arial"/>
        </w:rPr>
        <w:tab/>
      </w:r>
      <w:hyperlink r:id="rId39" w:history="1">
        <w:r w:rsidR="00C23BAA" w:rsidRPr="00103A0B">
          <w:rPr>
            <w:rFonts w:ascii="Arial" w:hAnsi="Arial" w:cs="Arial"/>
            <w:color w:val="0563C1" w:themeColor="hyperlink"/>
            <w:u w:val="single"/>
          </w:rPr>
          <w:t>r.povey@staffs.ac.uk</w:t>
        </w:r>
      </w:hyperlink>
    </w:p>
    <w:p w14:paraId="53365F24" w14:textId="77777777" w:rsidR="00C23BAA" w:rsidRPr="00103A0B" w:rsidRDefault="00C23BAA" w:rsidP="00CD5919">
      <w:pPr>
        <w:tabs>
          <w:tab w:val="left" w:pos="2370"/>
        </w:tabs>
        <w:spacing w:after="0"/>
        <w:jc w:val="both"/>
        <w:rPr>
          <w:rFonts w:ascii="Arial" w:hAnsi="Arial" w:cs="Arial"/>
        </w:rPr>
      </w:pPr>
    </w:p>
    <w:p w14:paraId="3714FF3B" w14:textId="15991BD9" w:rsidR="00C23BAA" w:rsidRPr="00103A0B" w:rsidRDefault="00C23BAA" w:rsidP="00CD5919">
      <w:pPr>
        <w:jc w:val="both"/>
        <w:rPr>
          <w:lang w:eastAsia="en-GB" w:bidi="en-US"/>
        </w:rPr>
      </w:pPr>
    </w:p>
    <w:p w14:paraId="2DCE0FB4" w14:textId="77777777" w:rsidR="0048357F" w:rsidRPr="00103A0B" w:rsidRDefault="0048357F" w:rsidP="00CD5919">
      <w:pPr>
        <w:jc w:val="both"/>
        <w:rPr>
          <w:lang w:eastAsia="en-GB" w:bidi="en-US"/>
        </w:rPr>
      </w:pPr>
    </w:p>
    <w:p w14:paraId="765752AE" w14:textId="77777777" w:rsidR="00C13876" w:rsidRPr="00103A0B" w:rsidRDefault="00C13876" w:rsidP="00CD5919">
      <w:pPr>
        <w:jc w:val="both"/>
        <w:rPr>
          <w:rFonts w:ascii="Arial" w:hAnsi="Arial" w:cs="Arial"/>
          <w:b/>
          <w:bCs/>
          <w:sz w:val="24"/>
          <w:szCs w:val="24"/>
        </w:rPr>
      </w:pPr>
    </w:p>
    <w:p w14:paraId="33E13B22" w14:textId="6A76212B" w:rsidR="007C7CB4" w:rsidRPr="00103A0B" w:rsidRDefault="007C7CB4" w:rsidP="00A5142A">
      <w:pPr>
        <w:keepLines/>
        <w:jc w:val="both"/>
        <w:rPr>
          <w:rFonts w:ascii="Arial" w:hAnsi="Arial" w:cs="Arial"/>
          <w:b/>
          <w:bCs/>
          <w:sz w:val="28"/>
          <w:szCs w:val="28"/>
        </w:rPr>
      </w:pPr>
      <w:r w:rsidRPr="00103A0B">
        <w:rPr>
          <w:rFonts w:ascii="Arial" w:hAnsi="Arial" w:cs="Arial"/>
          <w:b/>
          <w:bCs/>
          <w:sz w:val="28"/>
          <w:szCs w:val="28"/>
        </w:rPr>
        <w:lastRenderedPageBreak/>
        <w:t>Appendix 1</w:t>
      </w:r>
      <w:r w:rsidR="00630873" w:rsidRPr="00103A0B">
        <w:rPr>
          <w:rFonts w:ascii="Arial" w:hAnsi="Arial" w:cs="Arial"/>
          <w:b/>
          <w:bCs/>
          <w:sz w:val="28"/>
          <w:szCs w:val="28"/>
        </w:rPr>
        <w:t>4</w:t>
      </w:r>
      <w:r w:rsidRPr="00103A0B">
        <w:rPr>
          <w:rFonts w:ascii="Arial" w:hAnsi="Arial" w:cs="Arial"/>
          <w:b/>
          <w:bCs/>
          <w:sz w:val="28"/>
          <w:szCs w:val="28"/>
        </w:rPr>
        <w:t>: Invitation letter (</w:t>
      </w:r>
      <w:r w:rsidR="00C13876" w:rsidRPr="00103A0B">
        <w:rPr>
          <w:rFonts w:ascii="Arial" w:hAnsi="Arial" w:cs="Arial"/>
          <w:b/>
          <w:bCs/>
          <w:sz w:val="28"/>
          <w:szCs w:val="28"/>
        </w:rPr>
        <w:t>C</w:t>
      </w:r>
      <w:r w:rsidRPr="00103A0B">
        <w:rPr>
          <w:rFonts w:ascii="Arial" w:hAnsi="Arial" w:cs="Arial"/>
          <w:b/>
          <w:bCs/>
          <w:sz w:val="28"/>
          <w:szCs w:val="28"/>
        </w:rPr>
        <w:t xml:space="preserve">hapter </w:t>
      </w:r>
      <w:r w:rsidR="00C23BAA" w:rsidRPr="00103A0B">
        <w:rPr>
          <w:rFonts w:ascii="Arial" w:hAnsi="Arial" w:cs="Arial"/>
          <w:b/>
          <w:bCs/>
          <w:sz w:val="28"/>
          <w:szCs w:val="28"/>
        </w:rPr>
        <w:t>6</w:t>
      </w:r>
      <w:r w:rsidRPr="00103A0B">
        <w:rPr>
          <w:rFonts w:ascii="Arial" w:hAnsi="Arial" w:cs="Arial"/>
          <w:b/>
          <w:bCs/>
          <w:sz w:val="28"/>
          <w:szCs w:val="28"/>
        </w:rPr>
        <w:t>)</w:t>
      </w:r>
    </w:p>
    <w:p w14:paraId="290BB581" w14:textId="77777777" w:rsidR="00C23BAA" w:rsidRPr="00103A0B" w:rsidRDefault="00C23BAA" w:rsidP="0048357F">
      <w:pPr>
        <w:jc w:val="right"/>
        <w:rPr>
          <w:rFonts w:ascii="Arial" w:hAnsi="Arial" w:cs="Arial"/>
          <w:lang w:eastAsia="en-GB" w:bidi="en-US"/>
        </w:rPr>
      </w:pPr>
      <w:r w:rsidRPr="00103A0B">
        <w:rPr>
          <w:rFonts w:ascii="Arial" w:hAnsi="Arial" w:cs="Arial"/>
          <w:lang w:eastAsia="en-GB" w:bidi="en-US"/>
        </w:rPr>
        <w:t xml:space="preserve">Date: 15/02/2018 </w:t>
      </w:r>
    </w:p>
    <w:p w14:paraId="413ED9F9" w14:textId="6CDA935F" w:rsidR="00C23BAA" w:rsidRPr="00103A0B" w:rsidRDefault="00C23BAA" w:rsidP="00CD5919">
      <w:pPr>
        <w:jc w:val="both"/>
        <w:rPr>
          <w:rFonts w:ascii="Arial" w:hAnsi="Arial" w:cs="Arial"/>
          <w:lang w:eastAsia="en-GB" w:bidi="en-US"/>
        </w:rPr>
      </w:pPr>
      <w:r w:rsidRPr="00103A0B">
        <w:rPr>
          <w:rFonts w:ascii="Arial" w:hAnsi="Arial" w:cs="Arial"/>
          <w:b/>
          <w:bCs/>
          <w:lang w:eastAsia="en-GB" w:bidi="en-US"/>
        </w:rPr>
        <w:t>Views and experiences of the NHS Diabetes Prevention Programme</w:t>
      </w:r>
    </w:p>
    <w:p w14:paraId="7FF18E0E" w14:textId="77777777" w:rsidR="00C23BAA" w:rsidRPr="00103A0B" w:rsidRDefault="00C23BAA" w:rsidP="00CD5919">
      <w:pPr>
        <w:jc w:val="both"/>
        <w:rPr>
          <w:rFonts w:ascii="Arial" w:hAnsi="Arial" w:cs="Arial"/>
          <w:lang w:eastAsia="en-GB" w:bidi="en-US"/>
        </w:rPr>
      </w:pPr>
    </w:p>
    <w:p w14:paraId="233D0392" w14:textId="18549555"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Dear Sir / Madam, </w:t>
      </w:r>
    </w:p>
    <w:p w14:paraId="76BEB0E8"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We are carrying out research into the views and experiences of adults’ who take part in the NHS Diabetes Prevention Programme. </w:t>
      </w:r>
    </w:p>
    <w:p w14:paraId="0C95AF51"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We really want to understand why some adults </w:t>
      </w:r>
      <w:proofErr w:type="gramStart"/>
      <w:r w:rsidRPr="00103A0B">
        <w:rPr>
          <w:rFonts w:ascii="Arial" w:hAnsi="Arial" w:cs="Arial"/>
          <w:lang w:eastAsia="en-GB" w:bidi="en-US"/>
        </w:rPr>
        <w:t>are able to</w:t>
      </w:r>
      <w:proofErr w:type="gramEnd"/>
      <w:r w:rsidRPr="00103A0B">
        <w:rPr>
          <w:rFonts w:ascii="Arial" w:hAnsi="Arial" w:cs="Arial"/>
          <w:lang w:eastAsia="en-GB" w:bidi="en-US"/>
        </w:rPr>
        <w:t xml:space="preserve"> take part in the full programme and others are unable to. This will help us plan our services and programmes so that more and more adults can benefit from this important intervention. </w:t>
      </w:r>
    </w:p>
    <w:p w14:paraId="657373CA"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We would be grateful if you would consider taking part in our study. Taking part will involve having a telephone interview with one of our researchers from Staffordshire University. </w:t>
      </w:r>
    </w:p>
    <w:p w14:paraId="192E0386"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The interview is likely to take between </w:t>
      </w:r>
      <w:r w:rsidRPr="00103A0B">
        <w:rPr>
          <w:rFonts w:ascii="Arial" w:hAnsi="Arial" w:cs="Arial"/>
          <w:b/>
          <w:bCs/>
          <w:lang w:eastAsia="en-GB" w:bidi="en-US"/>
        </w:rPr>
        <w:t>30 and 60 minutes</w:t>
      </w:r>
      <w:r w:rsidRPr="00103A0B">
        <w:rPr>
          <w:rFonts w:ascii="Arial" w:hAnsi="Arial" w:cs="Arial"/>
          <w:lang w:eastAsia="en-GB" w:bidi="en-US"/>
        </w:rPr>
        <w:t xml:space="preserve">. As a thank you for your time, you would be given a </w:t>
      </w:r>
      <w:r w:rsidRPr="00103A0B">
        <w:rPr>
          <w:rFonts w:ascii="Arial" w:hAnsi="Arial" w:cs="Arial"/>
          <w:b/>
          <w:bCs/>
          <w:lang w:eastAsia="en-GB" w:bidi="en-US"/>
        </w:rPr>
        <w:t xml:space="preserve">£20 </w:t>
      </w:r>
      <w:r w:rsidRPr="00103A0B">
        <w:rPr>
          <w:rFonts w:ascii="Arial" w:hAnsi="Arial" w:cs="Arial"/>
          <w:lang w:eastAsia="en-GB" w:bidi="en-US"/>
        </w:rPr>
        <w:t xml:space="preserve">Love2Shop voucher that can be spent at most high street shops. </w:t>
      </w:r>
    </w:p>
    <w:p w14:paraId="1549D7D1"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We would be grateful if you could read the enclosed information sheet. If you think you might be interested or would like to know more, please contact the researcher using the contact details provided on the attached information sheet. </w:t>
      </w:r>
    </w:p>
    <w:p w14:paraId="4CE91FE0" w14:textId="70E3A76B"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Yours Faithfully </w:t>
      </w:r>
    </w:p>
    <w:p w14:paraId="689AA948" w14:textId="34470239" w:rsidR="00C23BAA" w:rsidRPr="00103A0B" w:rsidRDefault="00C23BAA" w:rsidP="00CD5919">
      <w:pPr>
        <w:jc w:val="both"/>
        <w:rPr>
          <w:rFonts w:ascii="Arial" w:hAnsi="Arial" w:cs="Arial"/>
          <w:lang w:eastAsia="en-GB" w:bidi="en-US"/>
        </w:rPr>
      </w:pPr>
      <w:r w:rsidRPr="00103A0B">
        <w:rPr>
          <w:rFonts w:ascii="Arial" w:hAnsi="Arial" w:cs="Arial"/>
          <w:noProof/>
          <w:lang w:eastAsia="en-GB" w:bidi="en-US"/>
        </w:rPr>
        <w:drawing>
          <wp:inline distT="0" distB="0" distL="0" distR="0" wp14:anchorId="61C82246" wp14:editId="6CD99B7D">
            <wp:extent cx="1571625" cy="378411"/>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3005" cy="393190"/>
                    </a:xfrm>
                    <a:prstGeom prst="rect">
                      <a:avLst/>
                    </a:prstGeom>
                    <a:noFill/>
                    <a:ln>
                      <a:noFill/>
                    </a:ln>
                  </pic:spPr>
                </pic:pic>
              </a:graphicData>
            </a:graphic>
          </wp:inline>
        </w:drawing>
      </w:r>
    </w:p>
    <w:p w14:paraId="2678C1FF"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Dr Paul Chadwick </w:t>
      </w:r>
    </w:p>
    <w:p w14:paraId="609F78C7" w14:textId="1E13B936" w:rsidR="00C23BAA" w:rsidRPr="00103A0B" w:rsidRDefault="00C23BAA" w:rsidP="00CD5919">
      <w:pPr>
        <w:jc w:val="both"/>
        <w:rPr>
          <w:rFonts w:ascii="Arial" w:hAnsi="Arial" w:cs="Arial"/>
          <w:lang w:eastAsia="en-GB" w:bidi="en-US"/>
        </w:rPr>
      </w:pPr>
      <w:r w:rsidRPr="00103A0B">
        <w:rPr>
          <w:rFonts w:ascii="Arial" w:hAnsi="Arial" w:cs="Arial"/>
          <w:lang w:eastAsia="en-GB" w:bidi="en-US"/>
        </w:rPr>
        <w:t>Clinical Director</w:t>
      </w:r>
    </w:p>
    <w:p w14:paraId="6DCB4562" w14:textId="0A87ED0E" w:rsidR="00C23BAA" w:rsidRPr="00103A0B" w:rsidRDefault="00C23BAA" w:rsidP="00CD5919">
      <w:pPr>
        <w:jc w:val="both"/>
        <w:rPr>
          <w:lang w:eastAsia="en-GB" w:bidi="en-US"/>
        </w:rPr>
      </w:pPr>
    </w:p>
    <w:p w14:paraId="1B9DE4F7" w14:textId="77777777" w:rsidR="00C23BAA" w:rsidRPr="00103A0B" w:rsidRDefault="00C23BAA" w:rsidP="00CD5919">
      <w:pPr>
        <w:jc w:val="both"/>
        <w:rPr>
          <w:lang w:eastAsia="en-GB" w:bidi="en-US"/>
        </w:rPr>
      </w:pPr>
    </w:p>
    <w:p w14:paraId="51A1B1E0" w14:textId="77777777" w:rsidR="00C23BAA" w:rsidRPr="00103A0B" w:rsidRDefault="00C23BAA" w:rsidP="00CD5919">
      <w:pPr>
        <w:jc w:val="both"/>
        <w:rPr>
          <w:lang w:eastAsia="en-GB" w:bidi="en-US"/>
        </w:rPr>
      </w:pPr>
    </w:p>
    <w:p w14:paraId="2462B6EF" w14:textId="77777777" w:rsidR="00C13876" w:rsidRPr="00103A0B" w:rsidRDefault="00C13876" w:rsidP="00CD5919">
      <w:pPr>
        <w:jc w:val="both"/>
        <w:rPr>
          <w:rFonts w:ascii="Arial" w:hAnsi="Arial" w:cs="Arial"/>
          <w:b/>
          <w:bCs/>
          <w:sz w:val="24"/>
          <w:szCs w:val="24"/>
        </w:rPr>
      </w:pPr>
    </w:p>
    <w:p w14:paraId="6FAD01E9" w14:textId="77777777" w:rsidR="00C13876" w:rsidRPr="00103A0B" w:rsidRDefault="00C13876" w:rsidP="00CD5919">
      <w:pPr>
        <w:jc w:val="both"/>
        <w:rPr>
          <w:rFonts w:ascii="Arial" w:hAnsi="Arial" w:cs="Arial"/>
          <w:b/>
          <w:bCs/>
          <w:sz w:val="24"/>
          <w:szCs w:val="24"/>
        </w:rPr>
      </w:pPr>
    </w:p>
    <w:p w14:paraId="4006A007" w14:textId="77777777" w:rsidR="00C13876" w:rsidRPr="00103A0B" w:rsidRDefault="00C13876" w:rsidP="00CD5919">
      <w:pPr>
        <w:jc w:val="both"/>
        <w:rPr>
          <w:rFonts w:ascii="Arial" w:hAnsi="Arial" w:cs="Arial"/>
          <w:b/>
          <w:bCs/>
          <w:sz w:val="24"/>
          <w:szCs w:val="24"/>
        </w:rPr>
      </w:pPr>
    </w:p>
    <w:p w14:paraId="73AEB1AB" w14:textId="77777777" w:rsidR="00A5142A" w:rsidRPr="00103A0B" w:rsidRDefault="00A5142A" w:rsidP="00CD5919">
      <w:pPr>
        <w:jc w:val="both"/>
        <w:rPr>
          <w:rFonts w:ascii="Arial" w:hAnsi="Arial" w:cs="Arial"/>
          <w:b/>
          <w:bCs/>
          <w:sz w:val="28"/>
          <w:szCs w:val="28"/>
        </w:rPr>
      </w:pPr>
    </w:p>
    <w:p w14:paraId="0FDF9918" w14:textId="77777777" w:rsidR="00A5142A" w:rsidRPr="00103A0B" w:rsidRDefault="00A5142A" w:rsidP="00CD5919">
      <w:pPr>
        <w:jc w:val="both"/>
        <w:rPr>
          <w:rFonts w:ascii="Arial" w:hAnsi="Arial" w:cs="Arial"/>
          <w:b/>
          <w:bCs/>
          <w:sz w:val="28"/>
          <w:szCs w:val="28"/>
        </w:rPr>
      </w:pPr>
    </w:p>
    <w:p w14:paraId="0AE082F4" w14:textId="77777777" w:rsidR="00A5142A" w:rsidRPr="00103A0B" w:rsidRDefault="00A5142A" w:rsidP="00CD5919">
      <w:pPr>
        <w:jc w:val="both"/>
        <w:rPr>
          <w:rFonts w:ascii="Arial" w:hAnsi="Arial" w:cs="Arial"/>
          <w:b/>
          <w:bCs/>
          <w:sz w:val="28"/>
          <w:szCs w:val="28"/>
        </w:rPr>
      </w:pPr>
    </w:p>
    <w:p w14:paraId="165D1EE8" w14:textId="77777777" w:rsidR="00A5142A" w:rsidRPr="00103A0B" w:rsidRDefault="00A5142A" w:rsidP="00CD5919">
      <w:pPr>
        <w:jc w:val="both"/>
        <w:rPr>
          <w:rFonts w:ascii="Arial" w:hAnsi="Arial" w:cs="Arial"/>
          <w:b/>
          <w:bCs/>
          <w:sz w:val="28"/>
          <w:szCs w:val="28"/>
        </w:rPr>
      </w:pPr>
    </w:p>
    <w:p w14:paraId="393A774B" w14:textId="77777777" w:rsidR="00A5142A" w:rsidRPr="00103A0B" w:rsidRDefault="00A5142A" w:rsidP="00CD5919">
      <w:pPr>
        <w:jc w:val="both"/>
        <w:rPr>
          <w:rFonts w:ascii="Arial" w:hAnsi="Arial" w:cs="Arial"/>
          <w:b/>
          <w:bCs/>
          <w:sz w:val="28"/>
          <w:szCs w:val="28"/>
        </w:rPr>
      </w:pPr>
    </w:p>
    <w:p w14:paraId="62A66802" w14:textId="64AFD03E" w:rsidR="007C7CB4" w:rsidRPr="00103A0B" w:rsidRDefault="007C7CB4" w:rsidP="00A5142A">
      <w:pPr>
        <w:keepLines/>
        <w:jc w:val="both"/>
        <w:rPr>
          <w:rFonts w:ascii="Arial" w:hAnsi="Arial" w:cs="Arial"/>
          <w:b/>
          <w:bCs/>
          <w:sz w:val="28"/>
          <w:szCs w:val="28"/>
        </w:rPr>
      </w:pPr>
      <w:r w:rsidRPr="00103A0B">
        <w:rPr>
          <w:rFonts w:ascii="Arial" w:hAnsi="Arial" w:cs="Arial"/>
          <w:b/>
          <w:bCs/>
          <w:sz w:val="28"/>
          <w:szCs w:val="28"/>
        </w:rPr>
        <w:lastRenderedPageBreak/>
        <w:t>Appendix 1</w:t>
      </w:r>
      <w:r w:rsidR="00630873" w:rsidRPr="00103A0B">
        <w:rPr>
          <w:rFonts w:ascii="Arial" w:hAnsi="Arial" w:cs="Arial"/>
          <w:b/>
          <w:bCs/>
          <w:sz w:val="28"/>
          <w:szCs w:val="28"/>
        </w:rPr>
        <w:t>5</w:t>
      </w:r>
      <w:r w:rsidRPr="00103A0B">
        <w:rPr>
          <w:rFonts w:ascii="Arial" w:hAnsi="Arial" w:cs="Arial"/>
          <w:b/>
          <w:bCs/>
          <w:sz w:val="28"/>
          <w:szCs w:val="28"/>
        </w:rPr>
        <w:t>: Information sheet (</w:t>
      </w:r>
      <w:r w:rsidR="00C13876" w:rsidRPr="00103A0B">
        <w:rPr>
          <w:rFonts w:ascii="Arial" w:hAnsi="Arial" w:cs="Arial"/>
          <w:b/>
          <w:bCs/>
          <w:sz w:val="28"/>
          <w:szCs w:val="28"/>
        </w:rPr>
        <w:t>C</w:t>
      </w:r>
      <w:r w:rsidRPr="00103A0B">
        <w:rPr>
          <w:rFonts w:ascii="Arial" w:hAnsi="Arial" w:cs="Arial"/>
          <w:b/>
          <w:bCs/>
          <w:sz w:val="28"/>
          <w:szCs w:val="28"/>
        </w:rPr>
        <w:t xml:space="preserve">hapter </w:t>
      </w:r>
      <w:r w:rsidR="00C23BAA" w:rsidRPr="00103A0B">
        <w:rPr>
          <w:rFonts w:ascii="Arial" w:hAnsi="Arial" w:cs="Arial"/>
          <w:b/>
          <w:bCs/>
          <w:sz w:val="28"/>
          <w:szCs w:val="28"/>
        </w:rPr>
        <w:t>6</w:t>
      </w:r>
      <w:r w:rsidRPr="00103A0B">
        <w:rPr>
          <w:rFonts w:ascii="Arial" w:hAnsi="Arial" w:cs="Arial"/>
          <w:b/>
          <w:bCs/>
          <w:sz w:val="28"/>
          <w:szCs w:val="28"/>
        </w:rPr>
        <w:t>)</w:t>
      </w:r>
    </w:p>
    <w:p w14:paraId="02BBBDD8" w14:textId="58B589AC" w:rsidR="00C23BAA" w:rsidRPr="00103A0B" w:rsidRDefault="00C23BAA" w:rsidP="00CD5919">
      <w:pPr>
        <w:jc w:val="both"/>
        <w:rPr>
          <w:lang w:eastAsia="en-GB" w:bidi="en-US"/>
        </w:rPr>
      </w:pPr>
      <w:r w:rsidRPr="00103A0B">
        <w:rPr>
          <w:noProof/>
          <w:lang w:eastAsia="en-GB" w:bidi="en-US"/>
        </w:rPr>
        <w:drawing>
          <wp:anchor distT="0" distB="0" distL="114300" distR="114300" simplePos="0" relativeHeight="251669504" behindDoc="1" locked="0" layoutInCell="1" allowOverlap="1" wp14:anchorId="0CB72259" wp14:editId="37F221FC">
            <wp:simplePos x="0" y="0"/>
            <wp:positionH relativeFrom="column">
              <wp:posOffset>5200650</wp:posOffset>
            </wp:positionH>
            <wp:positionV relativeFrom="paragraph">
              <wp:posOffset>68580</wp:posOffset>
            </wp:positionV>
            <wp:extent cx="527685" cy="542925"/>
            <wp:effectExtent l="0" t="0" r="5715" b="9525"/>
            <wp:wrapTight wrapText="bothSides">
              <wp:wrapPolygon edited="0">
                <wp:start x="0" y="0"/>
                <wp:lineTo x="0" y="21221"/>
                <wp:lineTo x="21054" y="21221"/>
                <wp:lineTo x="21054"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 cy="542925"/>
                    </a:xfrm>
                    <a:prstGeom prst="rect">
                      <a:avLst/>
                    </a:prstGeom>
                    <a:noFill/>
                    <a:ln>
                      <a:noFill/>
                    </a:ln>
                  </pic:spPr>
                </pic:pic>
              </a:graphicData>
            </a:graphic>
          </wp:anchor>
        </w:drawing>
      </w:r>
      <w:r w:rsidRPr="00103A0B">
        <w:rPr>
          <w:noProof/>
        </w:rPr>
        <w:drawing>
          <wp:inline distT="0" distB="0" distL="0" distR="0" wp14:anchorId="2093E257" wp14:editId="5E760804">
            <wp:extent cx="1424126" cy="419100"/>
            <wp:effectExtent l="0" t="0" r="508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35576" cy="422470"/>
                    </a:xfrm>
                    <a:prstGeom prst="rect">
                      <a:avLst/>
                    </a:prstGeom>
                  </pic:spPr>
                </pic:pic>
              </a:graphicData>
            </a:graphic>
          </wp:inline>
        </w:drawing>
      </w:r>
    </w:p>
    <w:p w14:paraId="776EBF96" w14:textId="37CD2411" w:rsidR="00C23BAA" w:rsidRPr="00103A0B" w:rsidRDefault="00C23BAA" w:rsidP="00CD5919">
      <w:pPr>
        <w:jc w:val="both"/>
        <w:rPr>
          <w:rFonts w:ascii="Arial" w:hAnsi="Arial" w:cs="Arial"/>
          <w:sz w:val="28"/>
          <w:szCs w:val="28"/>
          <w:lang w:eastAsia="en-GB" w:bidi="en-US"/>
        </w:rPr>
      </w:pPr>
      <w:r w:rsidRPr="00103A0B">
        <w:rPr>
          <w:rFonts w:ascii="Arial" w:hAnsi="Arial" w:cs="Arial"/>
          <w:b/>
          <w:bCs/>
          <w:sz w:val="28"/>
          <w:szCs w:val="28"/>
          <w:lang w:eastAsia="en-GB" w:bidi="en-US"/>
        </w:rPr>
        <w:t>Views and experiences of the NHS Diabetes Prevention Programme:</w:t>
      </w:r>
    </w:p>
    <w:p w14:paraId="6EB8DF91" w14:textId="53ED7239" w:rsidR="00C23BAA" w:rsidRPr="00103A0B" w:rsidRDefault="00C23BAA" w:rsidP="00CD5919">
      <w:pPr>
        <w:jc w:val="both"/>
        <w:rPr>
          <w:rFonts w:ascii="Arial" w:hAnsi="Arial" w:cs="Arial"/>
          <w:sz w:val="28"/>
          <w:szCs w:val="28"/>
          <w:lang w:eastAsia="en-GB" w:bidi="en-US"/>
        </w:rPr>
      </w:pPr>
      <w:r w:rsidRPr="00103A0B">
        <w:rPr>
          <w:rFonts w:ascii="Arial" w:hAnsi="Arial" w:cs="Arial"/>
          <w:b/>
          <w:bCs/>
          <w:sz w:val="28"/>
          <w:szCs w:val="28"/>
          <w:lang w:eastAsia="en-GB" w:bidi="en-US"/>
        </w:rPr>
        <w:t>Information sheet</w:t>
      </w:r>
    </w:p>
    <w:p w14:paraId="4565BB2E"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Thank you for taking the time to read this information sheet. We are researchers` from Staffordshire </w:t>
      </w:r>
      <w:proofErr w:type="gramStart"/>
      <w:r w:rsidRPr="00103A0B">
        <w:rPr>
          <w:rFonts w:ascii="Arial" w:hAnsi="Arial" w:cs="Arial"/>
          <w:lang w:eastAsia="en-GB" w:bidi="en-US"/>
        </w:rPr>
        <w:t>University, and</w:t>
      </w:r>
      <w:proofErr w:type="gramEnd"/>
      <w:r w:rsidRPr="00103A0B">
        <w:rPr>
          <w:rFonts w:ascii="Arial" w:hAnsi="Arial" w:cs="Arial"/>
          <w:lang w:eastAsia="en-GB" w:bidi="en-US"/>
        </w:rPr>
        <w:t xml:space="preserve"> would like to invite you to take part in some research we are conducting on the NHS Diabetes Prevention Programme. </w:t>
      </w:r>
    </w:p>
    <w:p w14:paraId="6ACAB723"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This information sheet is designed to tell you why we are doing the research, why you have been invited to take part, and what would be involved. Please take your time to read the following information and feel free to contact us if you would like to discuss anything further. </w:t>
      </w:r>
    </w:p>
    <w:p w14:paraId="7DE0BB56" w14:textId="77777777" w:rsidR="00C23BAA" w:rsidRPr="00103A0B" w:rsidRDefault="00C23BAA" w:rsidP="00CD5919">
      <w:pPr>
        <w:jc w:val="both"/>
        <w:rPr>
          <w:rFonts w:ascii="Arial" w:hAnsi="Arial" w:cs="Arial"/>
          <w:sz w:val="24"/>
          <w:szCs w:val="24"/>
          <w:lang w:eastAsia="en-GB" w:bidi="en-US"/>
        </w:rPr>
      </w:pPr>
      <w:r w:rsidRPr="00103A0B">
        <w:rPr>
          <w:rFonts w:ascii="Arial" w:hAnsi="Arial" w:cs="Arial"/>
          <w:b/>
          <w:bCs/>
          <w:sz w:val="24"/>
          <w:szCs w:val="24"/>
          <w:lang w:eastAsia="en-GB" w:bidi="en-US"/>
        </w:rPr>
        <w:t xml:space="preserve">What is the purpose of the study? </w:t>
      </w:r>
    </w:p>
    <w:p w14:paraId="317FDBBD"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The purpose of this work is to better understand how to make the NHS Diabetes Prevention Programme more accessible and appealing to patients. </w:t>
      </w:r>
    </w:p>
    <w:p w14:paraId="111DA121" w14:textId="77777777" w:rsidR="00C23BAA" w:rsidRPr="00103A0B" w:rsidRDefault="00C23BAA" w:rsidP="00CD5919">
      <w:pPr>
        <w:jc w:val="both"/>
        <w:rPr>
          <w:rFonts w:ascii="Arial" w:hAnsi="Arial" w:cs="Arial"/>
          <w:sz w:val="24"/>
          <w:szCs w:val="24"/>
          <w:lang w:eastAsia="en-GB" w:bidi="en-US"/>
        </w:rPr>
      </w:pPr>
      <w:r w:rsidRPr="00103A0B">
        <w:rPr>
          <w:rFonts w:ascii="Arial" w:hAnsi="Arial" w:cs="Arial"/>
          <w:b/>
          <w:bCs/>
          <w:sz w:val="24"/>
          <w:szCs w:val="24"/>
          <w:lang w:eastAsia="en-GB" w:bidi="en-US"/>
        </w:rPr>
        <w:t xml:space="preserve">Why have I been chosen? </w:t>
      </w:r>
    </w:p>
    <w:p w14:paraId="38BB1CB2"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You have been chosen because you have been offered a Diabetes Prevention Programme initially by your local Doctor’s surgery. </w:t>
      </w:r>
    </w:p>
    <w:p w14:paraId="7D48AADB" w14:textId="77777777" w:rsidR="00C23BAA" w:rsidRPr="00103A0B" w:rsidRDefault="00C23BAA" w:rsidP="00CD5919">
      <w:pPr>
        <w:jc w:val="both"/>
        <w:rPr>
          <w:rFonts w:ascii="Arial" w:hAnsi="Arial" w:cs="Arial"/>
          <w:sz w:val="24"/>
          <w:szCs w:val="24"/>
          <w:lang w:eastAsia="en-GB" w:bidi="en-US"/>
        </w:rPr>
      </w:pPr>
      <w:r w:rsidRPr="00103A0B">
        <w:rPr>
          <w:rFonts w:ascii="Arial" w:hAnsi="Arial" w:cs="Arial"/>
          <w:b/>
          <w:bCs/>
          <w:sz w:val="24"/>
          <w:szCs w:val="24"/>
          <w:lang w:eastAsia="en-GB" w:bidi="en-US"/>
        </w:rPr>
        <w:t xml:space="preserve">What will I be asked to do if I decide to take part? </w:t>
      </w:r>
    </w:p>
    <w:p w14:paraId="67CF9DB9"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If you agree to take part, you will be given the opportunity to speak to a member of the Staffordshire University research </w:t>
      </w:r>
      <w:proofErr w:type="gramStart"/>
      <w:r w:rsidRPr="00103A0B">
        <w:rPr>
          <w:rFonts w:ascii="Arial" w:hAnsi="Arial" w:cs="Arial"/>
          <w:lang w:eastAsia="en-GB" w:bidi="en-US"/>
        </w:rPr>
        <w:t>team, and</w:t>
      </w:r>
      <w:proofErr w:type="gramEnd"/>
      <w:r w:rsidRPr="00103A0B">
        <w:rPr>
          <w:rFonts w:ascii="Arial" w:hAnsi="Arial" w:cs="Arial"/>
          <w:lang w:eastAsia="en-GB" w:bidi="en-US"/>
        </w:rPr>
        <w:t xml:space="preserve"> ask the researcher any further questions you have about this work. </w:t>
      </w:r>
    </w:p>
    <w:p w14:paraId="22E2C050"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If you are happy to proceed, the researcher will arrange a convenient date and time to arrange a short informal telephone interview/discussion. This would last approximately 30 to 60 minutes. To ensure that we have an accurate account, the interview would be audio recorded. </w:t>
      </w:r>
    </w:p>
    <w:p w14:paraId="6FF88B6F" w14:textId="77777777" w:rsidR="00C23BAA" w:rsidRPr="00103A0B" w:rsidRDefault="00C23BAA" w:rsidP="00CD5919">
      <w:pPr>
        <w:jc w:val="both"/>
        <w:rPr>
          <w:rFonts w:ascii="Arial" w:hAnsi="Arial" w:cs="Arial"/>
          <w:sz w:val="24"/>
          <w:szCs w:val="24"/>
          <w:lang w:eastAsia="en-GB" w:bidi="en-US"/>
        </w:rPr>
      </w:pPr>
      <w:r w:rsidRPr="00103A0B">
        <w:rPr>
          <w:rFonts w:ascii="Arial" w:hAnsi="Arial" w:cs="Arial"/>
          <w:b/>
          <w:bCs/>
          <w:sz w:val="24"/>
          <w:szCs w:val="24"/>
          <w:lang w:eastAsia="en-GB" w:bidi="en-US"/>
        </w:rPr>
        <w:t xml:space="preserve">What are the benefits of taking part? </w:t>
      </w:r>
    </w:p>
    <w:p w14:paraId="2D0A2161"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If you take part, you will receive a </w:t>
      </w:r>
      <w:r w:rsidRPr="00103A0B">
        <w:rPr>
          <w:rFonts w:ascii="Arial" w:hAnsi="Arial" w:cs="Arial"/>
          <w:b/>
          <w:bCs/>
          <w:color w:val="FF0000"/>
          <w:lang w:eastAsia="en-GB" w:bidi="en-US"/>
        </w:rPr>
        <w:t xml:space="preserve">£20 Love2Shop voucher </w:t>
      </w:r>
      <w:r w:rsidRPr="00103A0B">
        <w:rPr>
          <w:rFonts w:ascii="Arial" w:hAnsi="Arial" w:cs="Arial"/>
          <w:lang w:eastAsia="en-GB" w:bidi="en-US"/>
        </w:rPr>
        <w:t xml:space="preserve">as a thank you for your time. These can be used at most high street shops (http://www.highstreetvouchers.com/gift-vouchers/love2shop). </w:t>
      </w:r>
    </w:p>
    <w:p w14:paraId="78AF4A0C" w14:textId="77777777" w:rsidR="00C23BAA" w:rsidRPr="00103A0B" w:rsidRDefault="00C23BAA" w:rsidP="00CD5919">
      <w:pPr>
        <w:jc w:val="both"/>
        <w:rPr>
          <w:rFonts w:ascii="Arial" w:hAnsi="Arial" w:cs="Arial"/>
          <w:sz w:val="24"/>
          <w:szCs w:val="24"/>
          <w:lang w:eastAsia="en-GB" w:bidi="en-US"/>
        </w:rPr>
      </w:pPr>
      <w:r w:rsidRPr="00103A0B">
        <w:rPr>
          <w:rFonts w:ascii="Arial" w:hAnsi="Arial" w:cs="Arial"/>
          <w:b/>
          <w:bCs/>
          <w:sz w:val="24"/>
          <w:szCs w:val="24"/>
          <w:lang w:eastAsia="en-GB" w:bidi="en-US"/>
        </w:rPr>
        <w:t xml:space="preserve">Do I have to take part? </w:t>
      </w:r>
    </w:p>
    <w:p w14:paraId="77B896F5" w14:textId="20B2DC3C"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Taking part is voluntary. It is up to you </w:t>
      </w:r>
      <w:proofErr w:type="gramStart"/>
      <w:r w:rsidRPr="00103A0B">
        <w:rPr>
          <w:rFonts w:ascii="Arial" w:hAnsi="Arial" w:cs="Arial"/>
          <w:lang w:eastAsia="en-GB" w:bidi="en-US"/>
        </w:rPr>
        <w:t>whether or not</w:t>
      </w:r>
      <w:proofErr w:type="gramEnd"/>
      <w:r w:rsidRPr="00103A0B">
        <w:rPr>
          <w:rFonts w:ascii="Arial" w:hAnsi="Arial" w:cs="Arial"/>
          <w:lang w:eastAsia="en-GB" w:bidi="en-US"/>
        </w:rPr>
        <w:t xml:space="preserve"> to take part. If you decide to </w:t>
      </w:r>
      <w:proofErr w:type="gramStart"/>
      <w:r w:rsidRPr="00103A0B">
        <w:rPr>
          <w:rFonts w:ascii="Arial" w:hAnsi="Arial" w:cs="Arial"/>
          <w:lang w:eastAsia="en-GB" w:bidi="en-US"/>
        </w:rPr>
        <w:t>participate</w:t>
      </w:r>
      <w:proofErr w:type="gramEnd"/>
      <w:r w:rsidRPr="00103A0B">
        <w:rPr>
          <w:rFonts w:ascii="Arial" w:hAnsi="Arial" w:cs="Arial"/>
          <w:lang w:eastAsia="en-GB" w:bidi="en-US"/>
        </w:rPr>
        <w:t xml:space="preserve"> then you are free to withdraw from the research for up to one week after the interview has taken place without stating a reason. You will not be disadvantaged in any way if you decide that you do not wish to take part. Also, taking part will not negatively affect the care you are offered by </w:t>
      </w:r>
      <w:r w:rsidR="00C54363" w:rsidRPr="00103A0B">
        <w:rPr>
          <w:rFonts w:ascii="Arial" w:hAnsi="Arial" w:cs="Arial"/>
          <w:lang w:eastAsia="en-GB" w:bidi="en-US"/>
        </w:rPr>
        <w:t>the local provider</w:t>
      </w:r>
      <w:r w:rsidRPr="00103A0B">
        <w:rPr>
          <w:rFonts w:ascii="Arial" w:hAnsi="Arial" w:cs="Arial"/>
          <w:lang w:eastAsia="en-GB" w:bidi="en-US"/>
        </w:rPr>
        <w:t xml:space="preserve"> or other NHS Services. </w:t>
      </w:r>
    </w:p>
    <w:p w14:paraId="4D275EFB" w14:textId="77777777" w:rsidR="00811B15" w:rsidRPr="00103A0B" w:rsidRDefault="00811B15" w:rsidP="00CD5919">
      <w:pPr>
        <w:jc w:val="both"/>
        <w:rPr>
          <w:rFonts w:ascii="Arial" w:hAnsi="Arial" w:cs="Arial"/>
          <w:b/>
          <w:bCs/>
          <w:sz w:val="24"/>
          <w:szCs w:val="24"/>
          <w:lang w:eastAsia="en-GB" w:bidi="en-US"/>
        </w:rPr>
      </w:pPr>
    </w:p>
    <w:p w14:paraId="43A8DAD4" w14:textId="77777777" w:rsidR="00811B15" w:rsidRPr="00103A0B" w:rsidRDefault="00811B15" w:rsidP="00CD5919">
      <w:pPr>
        <w:jc w:val="both"/>
        <w:rPr>
          <w:rFonts w:ascii="Arial" w:hAnsi="Arial" w:cs="Arial"/>
          <w:b/>
          <w:bCs/>
          <w:sz w:val="24"/>
          <w:szCs w:val="24"/>
          <w:lang w:eastAsia="en-GB" w:bidi="en-US"/>
        </w:rPr>
      </w:pPr>
    </w:p>
    <w:p w14:paraId="7F8424B8" w14:textId="7A73B30C" w:rsidR="00C23BAA" w:rsidRPr="00103A0B" w:rsidRDefault="00C23BAA" w:rsidP="00CD5919">
      <w:pPr>
        <w:jc w:val="both"/>
        <w:rPr>
          <w:rFonts w:ascii="Arial" w:hAnsi="Arial" w:cs="Arial"/>
          <w:sz w:val="24"/>
          <w:szCs w:val="24"/>
          <w:lang w:eastAsia="en-GB" w:bidi="en-US"/>
        </w:rPr>
      </w:pPr>
      <w:r w:rsidRPr="00103A0B">
        <w:rPr>
          <w:rFonts w:ascii="Arial" w:hAnsi="Arial" w:cs="Arial"/>
          <w:b/>
          <w:bCs/>
          <w:sz w:val="24"/>
          <w:szCs w:val="24"/>
          <w:lang w:eastAsia="en-GB" w:bidi="en-US"/>
        </w:rPr>
        <w:lastRenderedPageBreak/>
        <w:t xml:space="preserve">Are there any negative effects of taking part? </w:t>
      </w:r>
    </w:p>
    <w:p w14:paraId="0B81A075"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We do not expect any adverse effects </w:t>
      </w:r>
      <w:proofErr w:type="gramStart"/>
      <w:r w:rsidRPr="00103A0B">
        <w:rPr>
          <w:rFonts w:ascii="Arial" w:hAnsi="Arial" w:cs="Arial"/>
          <w:lang w:eastAsia="en-GB" w:bidi="en-US"/>
        </w:rPr>
        <w:t>as a result of</w:t>
      </w:r>
      <w:proofErr w:type="gramEnd"/>
      <w:r w:rsidRPr="00103A0B">
        <w:rPr>
          <w:rFonts w:ascii="Arial" w:hAnsi="Arial" w:cs="Arial"/>
          <w:lang w:eastAsia="en-GB" w:bidi="en-US"/>
        </w:rPr>
        <w:t xml:space="preserve"> taking part. However, if at any time you feel upset or distressed during the interview, please inform the researcher and the interview will be stopped and appropriate action taken. If after participation, you have any questions relating to this research, you can contact the researcher using the details at the end of this information sheet. If you wish to speak to an external organization about your participation in this research or for further support, please contact Diabetes UK Lambeth and Southwark Group, 13 Great </w:t>
      </w:r>
      <w:proofErr w:type="spellStart"/>
      <w:r w:rsidRPr="00103A0B">
        <w:rPr>
          <w:rFonts w:ascii="Arial" w:hAnsi="Arial" w:cs="Arial"/>
          <w:lang w:eastAsia="en-GB" w:bidi="en-US"/>
        </w:rPr>
        <w:t>Spilmans</w:t>
      </w:r>
      <w:proofErr w:type="spellEnd"/>
      <w:r w:rsidRPr="00103A0B">
        <w:rPr>
          <w:rFonts w:ascii="Arial" w:hAnsi="Arial" w:cs="Arial"/>
          <w:lang w:eastAsia="en-GB" w:bidi="en-US"/>
        </w:rPr>
        <w:t xml:space="preserve">, East Dulwich, East Dulwich, SE22 8SZ, Greater London, Tel: 02086932372 or 0345 123 2399, Email: cokerb@btopenworld.com </w:t>
      </w:r>
    </w:p>
    <w:p w14:paraId="06F5547E" w14:textId="77777777" w:rsidR="00C23BAA" w:rsidRPr="00103A0B" w:rsidRDefault="00C23BAA" w:rsidP="00CD5919">
      <w:pPr>
        <w:jc w:val="both"/>
        <w:rPr>
          <w:rFonts w:ascii="Arial" w:hAnsi="Arial" w:cs="Arial"/>
          <w:sz w:val="24"/>
          <w:szCs w:val="24"/>
          <w:lang w:eastAsia="en-GB" w:bidi="en-US"/>
        </w:rPr>
      </w:pPr>
      <w:r w:rsidRPr="00103A0B">
        <w:rPr>
          <w:rFonts w:ascii="Arial" w:hAnsi="Arial" w:cs="Arial"/>
          <w:b/>
          <w:bCs/>
          <w:sz w:val="24"/>
          <w:szCs w:val="24"/>
          <w:lang w:eastAsia="en-GB" w:bidi="en-US"/>
        </w:rPr>
        <w:t xml:space="preserve">What will happen to my information? </w:t>
      </w:r>
    </w:p>
    <w:p w14:paraId="0CB70ACB" w14:textId="77777777"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All information you provide will be stored securely. Only members of the Staffordshire University research team will have access to the names of those taking part. All those taking part will be assigned a unique code, which will be used to identify them and ensure your anonymity. You will not be identifiable from any reports that are produced </w:t>
      </w:r>
      <w:proofErr w:type="gramStart"/>
      <w:r w:rsidRPr="00103A0B">
        <w:rPr>
          <w:rFonts w:ascii="Arial" w:hAnsi="Arial" w:cs="Arial"/>
          <w:lang w:eastAsia="en-GB" w:bidi="en-US"/>
        </w:rPr>
        <w:t>as a result of</w:t>
      </w:r>
      <w:proofErr w:type="gramEnd"/>
      <w:r w:rsidRPr="00103A0B">
        <w:rPr>
          <w:rFonts w:ascii="Arial" w:hAnsi="Arial" w:cs="Arial"/>
          <w:lang w:eastAsia="en-GB" w:bidi="en-US"/>
        </w:rPr>
        <w:t xml:space="preserve"> this work. </w:t>
      </w:r>
    </w:p>
    <w:p w14:paraId="6525B6E1" w14:textId="77777777" w:rsidR="00C23BAA" w:rsidRPr="00103A0B" w:rsidRDefault="00C23BAA" w:rsidP="00CD5919">
      <w:pPr>
        <w:jc w:val="both"/>
        <w:rPr>
          <w:rFonts w:ascii="Arial" w:hAnsi="Arial" w:cs="Arial"/>
          <w:sz w:val="24"/>
          <w:szCs w:val="24"/>
          <w:lang w:eastAsia="en-GB" w:bidi="en-US"/>
        </w:rPr>
      </w:pPr>
      <w:r w:rsidRPr="00103A0B">
        <w:rPr>
          <w:rFonts w:ascii="Arial" w:hAnsi="Arial" w:cs="Arial"/>
          <w:b/>
          <w:bCs/>
          <w:sz w:val="24"/>
          <w:szCs w:val="24"/>
          <w:lang w:eastAsia="en-GB" w:bidi="en-US"/>
        </w:rPr>
        <w:t xml:space="preserve">What will happen with the results of the study? </w:t>
      </w:r>
    </w:p>
    <w:p w14:paraId="72E5CB39" w14:textId="22EAA386"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It is hoped that finding out about your experiences of the programme will help the organisers to make improvements to the programme. The results of the study will be written up into a report provided to the organisers of the programme and publication in academic journals. The results will also be written up as chapters of a PhD thesis. All results will be reported such that no individuals can be identified. </w:t>
      </w:r>
    </w:p>
    <w:p w14:paraId="74B242B7" w14:textId="415AA3BA" w:rsidR="00C23BAA" w:rsidRPr="00103A0B" w:rsidRDefault="00C23BAA" w:rsidP="00CD5919">
      <w:pPr>
        <w:jc w:val="both"/>
        <w:rPr>
          <w:rFonts w:ascii="Arial" w:hAnsi="Arial" w:cs="Arial"/>
          <w:lang w:eastAsia="en-GB" w:bidi="en-US"/>
        </w:rPr>
      </w:pPr>
      <w:r w:rsidRPr="00103A0B">
        <w:rPr>
          <w:rFonts w:ascii="Arial" w:hAnsi="Arial" w:cs="Arial"/>
          <w:lang w:eastAsia="en-GB" w:bidi="en-US"/>
        </w:rPr>
        <w:t xml:space="preserve">If you wish, you can receive a copy of this report. Please contact Sonia Begum directly if you would like to receive a copy. </w:t>
      </w:r>
    </w:p>
    <w:p w14:paraId="3E5FD192" w14:textId="77777777" w:rsidR="00C23BAA" w:rsidRPr="00103A0B" w:rsidRDefault="00C23BAA" w:rsidP="00CD5919">
      <w:pPr>
        <w:spacing w:after="0" w:line="276" w:lineRule="auto"/>
        <w:jc w:val="both"/>
        <w:rPr>
          <w:rFonts w:ascii="Arial" w:hAnsi="Arial" w:cs="Arial"/>
          <w:b/>
        </w:rPr>
      </w:pPr>
    </w:p>
    <w:p w14:paraId="5CF87124" w14:textId="0B40573F" w:rsidR="00C23BAA" w:rsidRPr="00103A0B" w:rsidRDefault="00C23BAA" w:rsidP="00CD5919">
      <w:pPr>
        <w:spacing w:after="0" w:line="276" w:lineRule="auto"/>
        <w:jc w:val="both"/>
        <w:rPr>
          <w:rFonts w:ascii="Arial" w:hAnsi="Arial" w:cs="Arial"/>
        </w:rPr>
      </w:pPr>
      <w:r w:rsidRPr="00103A0B">
        <w:rPr>
          <w:rFonts w:ascii="Arial" w:hAnsi="Arial" w:cs="Arial"/>
          <w:b/>
        </w:rPr>
        <w:t xml:space="preserve">If you need further information, </w:t>
      </w:r>
      <w:r w:rsidRPr="00103A0B">
        <w:rPr>
          <w:rFonts w:ascii="Arial" w:hAnsi="Arial" w:cs="Arial"/>
        </w:rPr>
        <w:t xml:space="preserve">please </w:t>
      </w:r>
      <w:proofErr w:type="gramStart"/>
      <w:r w:rsidRPr="00103A0B">
        <w:rPr>
          <w:rFonts w:ascii="Arial" w:hAnsi="Arial" w:cs="Arial"/>
        </w:rPr>
        <w:t>contact</w:t>
      </w:r>
      <w:proofErr w:type="gramEnd"/>
    </w:p>
    <w:p w14:paraId="42195D9A" w14:textId="77777777" w:rsidR="00C23BAA" w:rsidRPr="00103A0B" w:rsidRDefault="00C23BAA" w:rsidP="00CD5919">
      <w:pPr>
        <w:spacing w:after="0" w:line="276" w:lineRule="auto"/>
        <w:jc w:val="both"/>
        <w:rPr>
          <w:rFonts w:ascii="Arial" w:hAnsi="Arial" w:cs="Arial"/>
        </w:rPr>
      </w:pPr>
      <w:r w:rsidRPr="00103A0B">
        <w:rPr>
          <w:rFonts w:ascii="Arial" w:hAnsi="Arial" w:cs="Arial"/>
        </w:rPr>
        <w:t xml:space="preserve"> </w:t>
      </w:r>
    </w:p>
    <w:p w14:paraId="6228A985" w14:textId="77777777" w:rsidR="00C23BAA" w:rsidRPr="00103A0B" w:rsidRDefault="00C23BAA" w:rsidP="00CD5919">
      <w:pPr>
        <w:spacing w:after="0" w:line="276" w:lineRule="auto"/>
        <w:jc w:val="both"/>
        <w:rPr>
          <w:rFonts w:ascii="Arial" w:hAnsi="Arial" w:cs="Arial"/>
        </w:rPr>
      </w:pPr>
      <w:r w:rsidRPr="00103A0B">
        <w:rPr>
          <w:rFonts w:ascii="Arial" w:hAnsi="Arial" w:cs="Arial"/>
        </w:rPr>
        <w:t>Sonia Begum (PhD Student)</w:t>
      </w:r>
      <w:r w:rsidRPr="00103A0B">
        <w:rPr>
          <w:rFonts w:ascii="Arial" w:hAnsi="Arial" w:cs="Arial"/>
        </w:rPr>
        <w:tab/>
      </w:r>
      <w:r w:rsidRPr="00103A0B">
        <w:rPr>
          <w:rFonts w:ascii="Arial" w:hAnsi="Arial" w:cs="Arial"/>
        </w:rPr>
        <w:tab/>
      </w:r>
      <w:r w:rsidRPr="00103A0B">
        <w:rPr>
          <w:rFonts w:ascii="Arial" w:hAnsi="Arial" w:cs="Arial"/>
        </w:rPr>
        <w:tab/>
        <w:t>Dr Rachel Povey (Primary Supervisor)</w:t>
      </w:r>
    </w:p>
    <w:p w14:paraId="4CFC4595" w14:textId="3FDFE071" w:rsidR="00C23BAA" w:rsidRPr="00103A0B" w:rsidRDefault="00C23BAA" w:rsidP="00CD5919">
      <w:pPr>
        <w:spacing w:after="0" w:line="276" w:lineRule="auto"/>
        <w:jc w:val="both"/>
        <w:rPr>
          <w:rFonts w:ascii="Arial" w:hAnsi="Arial" w:cs="Arial"/>
        </w:rPr>
      </w:pPr>
      <w:r w:rsidRPr="00103A0B">
        <w:rPr>
          <w:rFonts w:ascii="Arial" w:hAnsi="Arial" w:cs="Arial"/>
        </w:rPr>
        <w:t>Staffordshire University</w:t>
      </w:r>
      <w:r w:rsidRPr="00103A0B">
        <w:rPr>
          <w:rFonts w:ascii="Arial" w:hAnsi="Arial" w:cs="Arial"/>
        </w:rPr>
        <w:tab/>
      </w:r>
      <w:r w:rsidRPr="00103A0B">
        <w:rPr>
          <w:rFonts w:ascii="Arial" w:hAnsi="Arial" w:cs="Arial"/>
        </w:rPr>
        <w:tab/>
      </w:r>
      <w:r w:rsidRPr="00103A0B">
        <w:rPr>
          <w:rFonts w:ascii="Arial" w:hAnsi="Arial" w:cs="Arial"/>
        </w:rPr>
        <w:tab/>
        <w:t>Staffordshire University</w:t>
      </w:r>
    </w:p>
    <w:p w14:paraId="05063F0C" w14:textId="77777777" w:rsidR="00C23BAA" w:rsidRPr="00103A0B" w:rsidRDefault="00C23BAA" w:rsidP="00CD5919">
      <w:pPr>
        <w:spacing w:after="0" w:line="240" w:lineRule="auto"/>
        <w:contextualSpacing/>
        <w:jc w:val="both"/>
        <w:rPr>
          <w:rFonts w:ascii="Arial" w:hAnsi="Arial" w:cs="Arial"/>
        </w:rPr>
      </w:pPr>
      <w:r w:rsidRPr="00103A0B">
        <w:rPr>
          <w:rFonts w:ascii="Arial" w:hAnsi="Arial" w:cs="Arial"/>
        </w:rPr>
        <w:t>Brindley Building, Leek Road</w:t>
      </w:r>
      <w:r w:rsidRPr="00103A0B">
        <w:rPr>
          <w:rFonts w:ascii="Arial" w:hAnsi="Arial" w:cs="Arial"/>
        </w:rPr>
        <w:tab/>
      </w:r>
      <w:r w:rsidRPr="00103A0B">
        <w:rPr>
          <w:rFonts w:ascii="Arial" w:hAnsi="Arial" w:cs="Arial"/>
        </w:rPr>
        <w:tab/>
      </w:r>
      <w:r w:rsidRPr="00103A0B">
        <w:rPr>
          <w:rFonts w:ascii="Arial" w:hAnsi="Arial" w:cs="Arial"/>
        </w:rPr>
        <w:tab/>
        <w:t>Science Centre, Leek Road</w:t>
      </w:r>
    </w:p>
    <w:p w14:paraId="5BAD61A3" w14:textId="0AB21856" w:rsidR="00C23BAA" w:rsidRPr="00103A0B" w:rsidRDefault="00C23BAA" w:rsidP="00CD5919">
      <w:pPr>
        <w:spacing w:after="0" w:line="240" w:lineRule="auto"/>
        <w:contextualSpacing/>
        <w:jc w:val="both"/>
        <w:rPr>
          <w:rFonts w:ascii="Arial" w:hAnsi="Arial" w:cs="Arial"/>
        </w:rPr>
      </w:pPr>
      <w:r w:rsidRPr="00103A0B">
        <w:rPr>
          <w:rFonts w:ascii="Arial" w:hAnsi="Arial" w:cs="Arial"/>
        </w:rPr>
        <w:t>Stoke-on-Trent, Staffordshire, ST4 2DF</w:t>
      </w:r>
      <w:r w:rsidRPr="00103A0B">
        <w:rPr>
          <w:rFonts w:ascii="Arial" w:hAnsi="Arial" w:cs="Arial"/>
        </w:rPr>
        <w:tab/>
        <w:t>Stoke-on-Trent, Staffordshire, ST4 2DF</w:t>
      </w:r>
    </w:p>
    <w:p w14:paraId="25877F7C" w14:textId="77777777" w:rsidR="00C23BAA" w:rsidRPr="00103A0B" w:rsidRDefault="00C23BAA" w:rsidP="00CD5919">
      <w:pPr>
        <w:tabs>
          <w:tab w:val="center" w:pos="4156"/>
        </w:tabs>
        <w:spacing w:after="0" w:line="240" w:lineRule="auto"/>
        <w:contextualSpacing/>
        <w:jc w:val="both"/>
        <w:rPr>
          <w:rFonts w:ascii="Arial" w:hAnsi="Arial" w:cs="Arial"/>
        </w:rPr>
      </w:pPr>
      <w:r w:rsidRPr="00103A0B">
        <w:rPr>
          <w:rFonts w:ascii="Arial" w:hAnsi="Arial" w:cs="Arial"/>
        </w:rPr>
        <w:t xml:space="preserve">+44(0)1782 294024 </w:t>
      </w:r>
      <w:proofErr w:type="gramStart"/>
      <w:r w:rsidRPr="00103A0B">
        <w:rPr>
          <w:rFonts w:ascii="Arial" w:hAnsi="Arial" w:cs="Arial"/>
        </w:rPr>
        <w:tab/>
        <w:t xml:space="preserve">  </w:t>
      </w:r>
      <w:r w:rsidRPr="00103A0B">
        <w:rPr>
          <w:rFonts w:ascii="Arial" w:hAnsi="Arial" w:cs="Arial"/>
        </w:rPr>
        <w:tab/>
      </w:r>
      <w:proofErr w:type="gramEnd"/>
      <w:r w:rsidRPr="00103A0B">
        <w:rPr>
          <w:rFonts w:ascii="Arial" w:hAnsi="Arial" w:cs="Arial"/>
        </w:rPr>
        <w:t>+44 (0)1782 294570</w:t>
      </w:r>
    </w:p>
    <w:p w14:paraId="5A3286A5" w14:textId="77777777" w:rsidR="00C23BAA" w:rsidRPr="00103A0B" w:rsidRDefault="00000000" w:rsidP="00CD5919">
      <w:pPr>
        <w:spacing w:after="0" w:line="240" w:lineRule="auto"/>
        <w:contextualSpacing/>
        <w:jc w:val="both"/>
        <w:rPr>
          <w:rFonts w:ascii="Arial" w:hAnsi="Arial" w:cs="Arial"/>
        </w:rPr>
      </w:pPr>
      <w:hyperlink r:id="rId43" w:history="1">
        <w:r w:rsidR="00C23BAA" w:rsidRPr="00103A0B">
          <w:rPr>
            <w:rFonts w:ascii="Arial" w:hAnsi="Arial" w:cs="Arial"/>
            <w:color w:val="0563C1" w:themeColor="hyperlink"/>
            <w:u w:val="single"/>
          </w:rPr>
          <w:t>sonia.begum@research.staffs.ac.uk</w:t>
        </w:r>
      </w:hyperlink>
      <w:r w:rsidR="00C23BAA" w:rsidRPr="00103A0B">
        <w:rPr>
          <w:rFonts w:ascii="Arial" w:hAnsi="Arial" w:cs="Arial"/>
        </w:rPr>
        <w:tab/>
      </w:r>
      <w:r w:rsidR="00C23BAA" w:rsidRPr="00103A0B">
        <w:rPr>
          <w:rFonts w:ascii="Arial" w:hAnsi="Arial" w:cs="Arial"/>
        </w:rPr>
        <w:tab/>
      </w:r>
      <w:hyperlink r:id="rId44" w:history="1">
        <w:r w:rsidR="00C23BAA" w:rsidRPr="00103A0B">
          <w:rPr>
            <w:rFonts w:ascii="Arial" w:hAnsi="Arial" w:cs="Arial"/>
            <w:color w:val="0563C1" w:themeColor="hyperlink"/>
            <w:u w:val="single"/>
          </w:rPr>
          <w:t>r.povey@staffs.ac.uk</w:t>
        </w:r>
      </w:hyperlink>
    </w:p>
    <w:p w14:paraId="5F645689" w14:textId="77777777" w:rsidR="00C23BAA" w:rsidRPr="00103A0B" w:rsidRDefault="00C23BAA" w:rsidP="00CD5919">
      <w:pPr>
        <w:tabs>
          <w:tab w:val="left" w:pos="2370"/>
        </w:tabs>
        <w:spacing w:after="0"/>
        <w:jc w:val="both"/>
      </w:pPr>
    </w:p>
    <w:p w14:paraId="4D47F7C0" w14:textId="2758A382" w:rsidR="00C23BAA" w:rsidRPr="00103A0B" w:rsidRDefault="00C23BAA" w:rsidP="00CD5919">
      <w:pPr>
        <w:jc w:val="both"/>
        <w:rPr>
          <w:lang w:eastAsia="en-GB" w:bidi="en-US"/>
        </w:rPr>
      </w:pPr>
    </w:p>
    <w:p w14:paraId="0E856E9F" w14:textId="2FF18CAD" w:rsidR="00C23BAA" w:rsidRPr="00103A0B" w:rsidRDefault="00C23BAA" w:rsidP="00CD5919">
      <w:pPr>
        <w:jc w:val="both"/>
        <w:rPr>
          <w:lang w:eastAsia="en-GB" w:bidi="en-US"/>
        </w:rPr>
      </w:pPr>
    </w:p>
    <w:p w14:paraId="60AE8430" w14:textId="2212203F" w:rsidR="00C23BAA" w:rsidRPr="00103A0B" w:rsidRDefault="00C23BAA" w:rsidP="00CD5919">
      <w:pPr>
        <w:jc w:val="both"/>
        <w:rPr>
          <w:lang w:eastAsia="en-GB" w:bidi="en-US"/>
        </w:rPr>
      </w:pPr>
    </w:p>
    <w:p w14:paraId="2C6BDF90" w14:textId="416C6683" w:rsidR="00C23BAA" w:rsidRPr="00103A0B" w:rsidRDefault="00C23BAA" w:rsidP="00CD5919">
      <w:pPr>
        <w:jc w:val="both"/>
        <w:rPr>
          <w:lang w:eastAsia="en-GB" w:bidi="en-US"/>
        </w:rPr>
      </w:pPr>
    </w:p>
    <w:p w14:paraId="76A58933" w14:textId="478D7305" w:rsidR="00C23BAA" w:rsidRPr="00103A0B" w:rsidRDefault="00C23BAA" w:rsidP="00CD5919">
      <w:pPr>
        <w:jc w:val="both"/>
        <w:rPr>
          <w:lang w:eastAsia="en-GB" w:bidi="en-US"/>
        </w:rPr>
      </w:pPr>
    </w:p>
    <w:p w14:paraId="18826CA6" w14:textId="5E8ECA02" w:rsidR="00C23BAA" w:rsidRPr="00103A0B" w:rsidRDefault="00C23BAA" w:rsidP="00CD5919">
      <w:pPr>
        <w:jc w:val="both"/>
        <w:rPr>
          <w:lang w:eastAsia="en-GB" w:bidi="en-US"/>
        </w:rPr>
      </w:pPr>
    </w:p>
    <w:p w14:paraId="26E8A74A" w14:textId="46667F53" w:rsidR="00C23BAA" w:rsidRPr="00103A0B" w:rsidRDefault="00C23BAA" w:rsidP="00CD5919">
      <w:pPr>
        <w:jc w:val="both"/>
        <w:rPr>
          <w:lang w:eastAsia="en-GB" w:bidi="en-US"/>
        </w:rPr>
      </w:pPr>
    </w:p>
    <w:p w14:paraId="652F6AE4" w14:textId="77777777" w:rsidR="00C23BAA" w:rsidRPr="00103A0B" w:rsidRDefault="00C23BAA" w:rsidP="00CD5919">
      <w:pPr>
        <w:jc w:val="both"/>
        <w:rPr>
          <w:lang w:eastAsia="en-GB" w:bidi="en-US"/>
        </w:rPr>
      </w:pPr>
    </w:p>
    <w:p w14:paraId="0230D770" w14:textId="77777777" w:rsidR="0048357F" w:rsidRPr="00103A0B" w:rsidRDefault="0048357F" w:rsidP="00CD5919">
      <w:pPr>
        <w:jc w:val="both"/>
        <w:rPr>
          <w:rFonts w:ascii="Arial" w:hAnsi="Arial" w:cs="Arial"/>
          <w:b/>
          <w:bCs/>
          <w:sz w:val="24"/>
          <w:szCs w:val="24"/>
        </w:rPr>
      </w:pPr>
    </w:p>
    <w:p w14:paraId="63DD17A7" w14:textId="385D4C5E" w:rsidR="007C7CB4" w:rsidRPr="00103A0B" w:rsidRDefault="00485B40" w:rsidP="00CD5919">
      <w:pPr>
        <w:jc w:val="both"/>
        <w:rPr>
          <w:rFonts w:ascii="Arial" w:hAnsi="Arial" w:cs="Arial"/>
          <w:b/>
          <w:bCs/>
          <w:sz w:val="28"/>
          <w:szCs w:val="28"/>
        </w:rPr>
      </w:pPr>
      <w:r w:rsidRPr="00103A0B">
        <w:rPr>
          <w:rFonts w:ascii="Arial" w:hAnsi="Arial" w:cs="Arial"/>
          <w:b/>
          <w:bCs/>
          <w:sz w:val="28"/>
          <w:szCs w:val="28"/>
        </w:rPr>
        <w:t>Appendix 1</w:t>
      </w:r>
      <w:r w:rsidR="00630873" w:rsidRPr="00103A0B">
        <w:rPr>
          <w:rFonts w:ascii="Arial" w:hAnsi="Arial" w:cs="Arial"/>
          <w:b/>
          <w:bCs/>
          <w:sz w:val="28"/>
          <w:szCs w:val="28"/>
        </w:rPr>
        <w:t>6</w:t>
      </w:r>
      <w:r w:rsidRPr="00103A0B">
        <w:rPr>
          <w:rFonts w:ascii="Arial" w:hAnsi="Arial" w:cs="Arial"/>
          <w:b/>
          <w:bCs/>
          <w:sz w:val="28"/>
          <w:szCs w:val="28"/>
        </w:rPr>
        <w:t>: Consent form (</w:t>
      </w:r>
      <w:r w:rsidR="00C13876" w:rsidRPr="00103A0B">
        <w:rPr>
          <w:rFonts w:ascii="Arial" w:hAnsi="Arial" w:cs="Arial"/>
          <w:b/>
          <w:bCs/>
          <w:sz w:val="28"/>
          <w:szCs w:val="28"/>
        </w:rPr>
        <w:t>C</w:t>
      </w:r>
      <w:r w:rsidRPr="00103A0B">
        <w:rPr>
          <w:rFonts w:ascii="Arial" w:hAnsi="Arial" w:cs="Arial"/>
          <w:b/>
          <w:bCs/>
          <w:sz w:val="28"/>
          <w:szCs w:val="28"/>
        </w:rPr>
        <w:t>hapter 5)</w:t>
      </w:r>
    </w:p>
    <w:p w14:paraId="4E1CFCD7" w14:textId="77777777" w:rsidR="00485B40" w:rsidRPr="00103A0B" w:rsidRDefault="00485B40" w:rsidP="00CD5919">
      <w:pPr>
        <w:tabs>
          <w:tab w:val="left" w:pos="2370"/>
        </w:tabs>
        <w:spacing w:after="0"/>
        <w:jc w:val="both"/>
      </w:pPr>
    </w:p>
    <w:p w14:paraId="491CB03A" w14:textId="77777777" w:rsidR="00485B40" w:rsidRPr="00103A0B" w:rsidRDefault="00485B40" w:rsidP="00CD5919">
      <w:pPr>
        <w:spacing w:after="0" w:line="240" w:lineRule="auto"/>
        <w:jc w:val="both"/>
        <w:rPr>
          <w:rFonts w:ascii="Arial" w:eastAsia="Times New Roman" w:hAnsi="Arial" w:cs="Arial"/>
          <w:b/>
          <w:sz w:val="28"/>
          <w:szCs w:val="28"/>
          <w:lang w:eastAsia="en-GB"/>
        </w:rPr>
      </w:pPr>
      <w:r w:rsidRPr="00103A0B">
        <w:rPr>
          <w:rFonts w:ascii="Arial" w:eastAsia="Times New Roman" w:hAnsi="Arial" w:cs="Arial"/>
          <w:b/>
          <w:sz w:val="28"/>
          <w:szCs w:val="28"/>
          <w:lang w:eastAsia="en-GB"/>
        </w:rPr>
        <w:t>CONSENT FORM</w:t>
      </w:r>
    </w:p>
    <w:p w14:paraId="6CA17F07"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0A932735" w14:textId="77777777" w:rsidR="00485B40" w:rsidRPr="00103A0B" w:rsidRDefault="00485B40" w:rsidP="00CD5919">
      <w:pPr>
        <w:spacing w:after="0" w:line="240" w:lineRule="auto"/>
        <w:jc w:val="both"/>
        <w:rPr>
          <w:rFonts w:ascii="Arial" w:eastAsia="Times New Roman" w:hAnsi="Arial" w:cs="Arial"/>
          <w:sz w:val="28"/>
          <w:szCs w:val="28"/>
          <w:lang w:eastAsia="en-GB"/>
        </w:rPr>
      </w:pPr>
      <w:r w:rsidRPr="00103A0B">
        <w:rPr>
          <w:rFonts w:ascii="Arial" w:eastAsia="Times New Roman" w:hAnsi="Arial" w:cs="Arial"/>
          <w:b/>
          <w:sz w:val="28"/>
          <w:szCs w:val="28"/>
          <w:lang w:eastAsia="en-GB"/>
        </w:rPr>
        <w:t xml:space="preserve">Title of Project: </w:t>
      </w:r>
      <w:r w:rsidRPr="00103A0B">
        <w:rPr>
          <w:rFonts w:ascii="Arial" w:eastAsia="Times New Roman" w:hAnsi="Arial" w:cs="Arial"/>
          <w:sz w:val="28"/>
          <w:szCs w:val="28"/>
          <w:lang w:eastAsia="en-GB"/>
        </w:rPr>
        <w:t>Study of uptake of the NHS Diabetes Prevention Programme</w:t>
      </w:r>
    </w:p>
    <w:p w14:paraId="4A53D2E0" w14:textId="77777777" w:rsidR="00485B40" w:rsidRPr="00103A0B" w:rsidRDefault="00485B40" w:rsidP="00CD5919">
      <w:pPr>
        <w:spacing w:after="0" w:line="240" w:lineRule="auto"/>
        <w:jc w:val="both"/>
        <w:rPr>
          <w:rFonts w:ascii="Arial" w:eastAsia="Times New Roman" w:hAnsi="Arial" w:cs="Arial"/>
          <w:b/>
          <w:sz w:val="28"/>
          <w:szCs w:val="28"/>
          <w:lang w:eastAsia="en-GB"/>
        </w:rPr>
      </w:pPr>
    </w:p>
    <w:p w14:paraId="0CCDC52D" w14:textId="77777777" w:rsidR="00485B40" w:rsidRPr="00103A0B" w:rsidRDefault="00485B40" w:rsidP="00CD5919">
      <w:pPr>
        <w:spacing w:after="0" w:line="240" w:lineRule="auto"/>
        <w:jc w:val="both"/>
        <w:rPr>
          <w:rFonts w:ascii="Arial" w:eastAsia="Times New Roman" w:hAnsi="Arial" w:cs="Arial"/>
          <w:b/>
          <w:sz w:val="28"/>
          <w:szCs w:val="28"/>
          <w:lang w:eastAsia="en-GB"/>
        </w:rPr>
      </w:pPr>
    </w:p>
    <w:p w14:paraId="4D12151B" w14:textId="77777777" w:rsidR="00485B40" w:rsidRPr="00103A0B" w:rsidRDefault="00485B40" w:rsidP="00CD5919">
      <w:pPr>
        <w:spacing w:after="0" w:line="240" w:lineRule="auto"/>
        <w:ind w:right="-428"/>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Please tick the appropriate box(es) on the right if you agree with the correspondent statement(s):</w:t>
      </w:r>
    </w:p>
    <w:p w14:paraId="49C08AC5" w14:textId="77777777" w:rsidR="00485B40" w:rsidRPr="00103A0B" w:rsidRDefault="00485B40" w:rsidP="00CD5919">
      <w:pPr>
        <w:spacing w:after="0" w:line="240" w:lineRule="auto"/>
        <w:ind w:right="-428"/>
        <w:jc w:val="both"/>
        <w:rPr>
          <w:rFonts w:ascii="Arial" w:eastAsia="Times New Roman" w:hAnsi="Arial" w:cs="Arial"/>
          <w:sz w:val="24"/>
          <w:szCs w:val="24"/>
          <w:lang w:eastAsia="en-GB"/>
        </w:rPr>
      </w:pPr>
    </w:p>
    <w:p w14:paraId="7A9878DC" w14:textId="77777777" w:rsidR="00485B40" w:rsidRPr="00103A0B" w:rsidRDefault="00485B40" w:rsidP="00CD5919">
      <w:pPr>
        <w:spacing w:after="0" w:line="240" w:lineRule="auto"/>
        <w:jc w:val="both"/>
        <w:rPr>
          <w:rFonts w:ascii="Arial" w:eastAsia="Times New Roman" w:hAnsi="Arial" w:cs="Arial"/>
          <w:b/>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907"/>
      </w:tblGrid>
      <w:tr w:rsidR="00485B40" w:rsidRPr="00103A0B" w14:paraId="4046E48A" w14:textId="77777777" w:rsidTr="00BB2420">
        <w:tc>
          <w:tcPr>
            <w:tcW w:w="7621" w:type="dxa"/>
          </w:tcPr>
          <w:p w14:paraId="46619332" w14:textId="77777777" w:rsidR="00485B40" w:rsidRPr="00103A0B" w:rsidRDefault="00485B40" w:rsidP="00CD5919">
            <w:pPr>
              <w:pStyle w:val="ListParagraph"/>
              <w:numPr>
                <w:ilvl w:val="0"/>
                <w:numId w:val="14"/>
              </w:numPr>
              <w:spacing w:line="276" w:lineRule="auto"/>
              <w:jc w:val="both"/>
              <w:rPr>
                <w:rFonts w:ascii="Arial" w:hAnsi="Arial" w:cs="Arial"/>
                <w:sz w:val="24"/>
                <w:szCs w:val="24"/>
              </w:rPr>
            </w:pPr>
            <w:r w:rsidRPr="00103A0B">
              <w:rPr>
                <w:rFonts w:ascii="Arial" w:hAnsi="Arial" w:cs="Arial"/>
                <w:sz w:val="24"/>
                <w:szCs w:val="24"/>
              </w:rPr>
              <w:t>I confirm that I have read and understood the information sheet for the above study and have had the opportunity to ask questions.</w:t>
            </w:r>
          </w:p>
          <w:p w14:paraId="2858C7FF" w14:textId="77777777" w:rsidR="00485B40" w:rsidRPr="00103A0B" w:rsidRDefault="00485B40" w:rsidP="00CD5919">
            <w:pPr>
              <w:spacing w:line="276" w:lineRule="auto"/>
              <w:jc w:val="both"/>
              <w:rPr>
                <w:rFonts w:ascii="Arial" w:hAnsi="Arial" w:cs="Arial"/>
                <w:b/>
                <w:sz w:val="24"/>
                <w:szCs w:val="24"/>
              </w:rPr>
            </w:pPr>
          </w:p>
        </w:tc>
        <w:tc>
          <w:tcPr>
            <w:tcW w:w="907" w:type="dxa"/>
          </w:tcPr>
          <w:p w14:paraId="70FD4B83" w14:textId="0FAC2BAA" w:rsidR="00485B40" w:rsidRPr="00103A0B" w:rsidRDefault="00C84E3F" w:rsidP="00CD5919">
            <w:pPr>
              <w:jc w:val="both"/>
              <w:rPr>
                <w:rFonts w:ascii="Arial" w:hAnsi="Arial" w:cs="Arial"/>
                <w:b/>
                <w:sz w:val="24"/>
                <w:szCs w:val="24"/>
              </w:rPr>
            </w:pPr>
            <w:r w:rsidRPr="00103A0B">
              <w:rPr>
                <w:rFonts w:ascii="Arial" w:hAnsi="Arial" w:cs="Arial"/>
                <w:noProof/>
              </w:rPr>
              <mc:AlternateContent>
                <mc:Choice Requires="wps">
                  <w:drawing>
                    <wp:inline distT="0" distB="0" distL="0" distR="0" wp14:anchorId="7E179001" wp14:editId="40120DE7">
                      <wp:extent cx="97155" cy="130175"/>
                      <wp:effectExtent l="19050" t="19050" r="17145" b="22225"/>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30175"/>
                              </a:xfrm>
                              <a:prstGeom prst="rect">
                                <a:avLst/>
                              </a:prstGeom>
                              <a:solidFill>
                                <a:srgbClr val="FFFFFF"/>
                              </a:solidFill>
                              <a:ln w="25400">
                                <a:solidFill>
                                  <a:srgbClr val="000000"/>
                                </a:solidFill>
                                <a:miter lim="800000"/>
                                <a:headEnd/>
                                <a:tailEnd/>
                              </a:ln>
                            </wps:spPr>
                            <wps:txbx>
                              <w:txbxContent>
                                <w:p w14:paraId="730D6CB4" w14:textId="77777777" w:rsidR="00F47203" w:rsidRDefault="00F47203" w:rsidP="00485B40"/>
                              </w:txbxContent>
                            </wps:txbx>
                            <wps:bodyPr rot="0" vert="horz" wrap="square" lIns="91440" tIns="45720" rIns="91440" bIns="45720" anchor="t" anchorCtr="0" upright="1">
                              <a:noAutofit/>
                            </wps:bodyPr>
                          </wps:wsp>
                        </a:graphicData>
                      </a:graphic>
                    </wp:inline>
                  </w:drawing>
                </mc:Choice>
                <mc:Fallback>
                  <w:pict>
                    <v:rect w14:anchorId="7E179001" id="Rectangle 5" o:spid="_x0000_s1092" style="width:7.6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n2FQIAACgEAAAOAAAAZHJzL2Uyb0RvYy54bWysU9uO2yAQfa/Uf0C8N7bTpNlYcVarbFNV&#10;2l6kbT+AYGyjYoYOJHb69R1INptenqrygBgGzpw5M7O6HXvDDgq9BlvxYpJzpqyEWtu24l+/bF/d&#10;cOaDsLUwYFXFj8rz2/XLF6vBlWoKHZhaISMQ68vBVbwLwZVZ5mWneuEn4JQlZwPYi0AmtlmNYiD0&#10;3mTTPH+TDYC1Q5DKe7q9Pzn5OuE3jZLhU9N4FZipOHELace07+KerVeibFG4TsszDfEPLHqhLQW9&#10;QN2LINge9R9QvZYIHpowkdBn0DRaqpQDZVPkv2Xz2AmnUi4kjncXmfz/g5UfD4/uM0bq3j2A/OaZ&#10;hU0nbKvuEGHolKgpXBGFygbny8uHaHj6ynbDB6iptGIfIGkwNthHQMqOjUnq40VqNQYm6XK5KOZz&#10;ziR5itd5sZinAKJ8+uvQh3cKehYPFUcqZMIWhwcfIhdRPj1J3MHoequNSQa2u41BdhBU9G1aZ3R/&#10;/cxYNlR8Op/leYL+xemvMfK0/obR60Dta3Rf8ZvLI1FG1d7aOjVXENqczsTZ2LOMUbnYpL4M425k&#10;uiYmyxghXu2gPpKwCKd2pfGiQwf4g7OBWrXi/vteoOLMvLdUnGUxm8XeTsZsvpiSgdee3bVHWElQ&#10;FQ+cnY6bcJqHvUPddhSpSHJYuKOCNjqp/czqzJ/aMRXhPDqx36/t9Op5wNc/AQAA//8DAFBLAwQU&#10;AAYACAAAACEAd0D8FNoAAAADAQAADwAAAGRycy9kb3ducmV2LnhtbEyPQUvDQBCF74L/YRnBm90Y&#10;iZaYTSmCeChCrXqfZsckmJ1Ndzft6q/v1ku9DDze471vqkU0g9iT871lBbezDARxY3XPrYKP9+eb&#10;OQgfkDUOlknBD3lY1JcXFZbaHviN9pvQilTCvkQFXQhjKaVvOjLoZ3YkTt6XdQZDkq6V2uEhlZtB&#10;5ll2Lw32nBY6HOmpo+Z7MxkF42sxvTzsVu73cz6tG1xFG/Ko1PVVXD6CCBTDOQwn/IQOdWLa2om1&#10;F4OC9Ej4uyevuAOxVZBnBci6kv/Z6yMAAAD//wMAUEsBAi0AFAAGAAgAAAAhALaDOJL+AAAA4QEA&#10;ABMAAAAAAAAAAAAAAAAAAAAAAFtDb250ZW50X1R5cGVzXS54bWxQSwECLQAUAAYACAAAACEAOP0h&#10;/9YAAACUAQAACwAAAAAAAAAAAAAAAAAvAQAAX3JlbHMvLnJlbHNQSwECLQAUAAYACAAAACEAxhUZ&#10;9hUCAAAoBAAADgAAAAAAAAAAAAAAAAAuAgAAZHJzL2Uyb0RvYy54bWxQSwECLQAUAAYACAAAACEA&#10;d0D8FNoAAAADAQAADwAAAAAAAAAAAAAAAABvBAAAZHJzL2Rvd25yZXYueG1sUEsFBgAAAAAEAAQA&#10;8wAAAHYFAAAAAA==&#10;" strokeweight="2pt">
                      <v:textbox>
                        <w:txbxContent>
                          <w:p w14:paraId="730D6CB4" w14:textId="77777777" w:rsidR="00F47203" w:rsidRDefault="00F47203" w:rsidP="00485B40"/>
                        </w:txbxContent>
                      </v:textbox>
                      <w10:anchorlock/>
                    </v:rect>
                  </w:pict>
                </mc:Fallback>
              </mc:AlternateContent>
            </w:r>
          </w:p>
        </w:tc>
      </w:tr>
      <w:tr w:rsidR="00485B40" w:rsidRPr="00103A0B" w14:paraId="7439E214" w14:textId="77777777" w:rsidTr="00BB2420">
        <w:tc>
          <w:tcPr>
            <w:tcW w:w="7621" w:type="dxa"/>
          </w:tcPr>
          <w:p w14:paraId="7ABA5706" w14:textId="77777777" w:rsidR="00485B40" w:rsidRPr="00103A0B" w:rsidRDefault="00485B40" w:rsidP="00CD5919">
            <w:pPr>
              <w:pStyle w:val="ListParagraph"/>
              <w:numPr>
                <w:ilvl w:val="0"/>
                <w:numId w:val="14"/>
              </w:numPr>
              <w:spacing w:line="276" w:lineRule="auto"/>
              <w:jc w:val="both"/>
              <w:rPr>
                <w:rFonts w:ascii="Arial" w:hAnsi="Arial" w:cs="Arial"/>
                <w:sz w:val="24"/>
                <w:szCs w:val="24"/>
              </w:rPr>
            </w:pPr>
            <w:r w:rsidRPr="00103A0B">
              <w:rPr>
                <w:rFonts w:ascii="Arial" w:hAnsi="Arial" w:cs="Arial"/>
                <w:sz w:val="24"/>
                <w:szCs w:val="24"/>
              </w:rPr>
              <w:t>I understand that my participation is voluntary and that I am free to withdraw at any time</w:t>
            </w:r>
            <w:r w:rsidRPr="00103A0B">
              <w:rPr>
                <w:rFonts w:ascii="Arial" w:hAnsi="Arial" w:cs="Arial"/>
              </w:rPr>
              <w:t xml:space="preserve"> </w:t>
            </w:r>
            <w:r w:rsidRPr="00103A0B">
              <w:rPr>
                <w:rFonts w:ascii="Arial" w:hAnsi="Arial" w:cs="Arial"/>
                <w:sz w:val="24"/>
                <w:szCs w:val="24"/>
              </w:rPr>
              <w:t>from the research up to one week after the interview, without giving any reason, without my legal rights being affected.</w:t>
            </w:r>
          </w:p>
          <w:p w14:paraId="59A979AA" w14:textId="77777777" w:rsidR="00485B40" w:rsidRPr="00103A0B" w:rsidRDefault="00485B40" w:rsidP="00CD5919">
            <w:pPr>
              <w:spacing w:line="276" w:lineRule="auto"/>
              <w:jc w:val="both"/>
              <w:rPr>
                <w:rFonts w:ascii="Arial" w:hAnsi="Arial" w:cs="Arial"/>
                <w:b/>
                <w:sz w:val="24"/>
                <w:szCs w:val="24"/>
              </w:rPr>
            </w:pPr>
          </w:p>
        </w:tc>
        <w:tc>
          <w:tcPr>
            <w:tcW w:w="907" w:type="dxa"/>
          </w:tcPr>
          <w:p w14:paraId="55AD4B98" w14:textId="0CC4C18C" w:rsidR="00485B40" w:rsidRPr="00103A0B" w:rsidRDefault="00C84E3F" w:rsidP="00CD5919">
            <w:pPr>
              <w:jc w:val="both"/>
              <w:rPr>
                <w:rFonts w:ascii="Arial" w:hAnsi="Arial" w:cs="Arial"/>
              </w:rPr>
            </w:pPr>
            <w:r w:rsidRPr="00103A0B">
              <w:rPr>
                <w:rFonts w:ascii="Arial" w:hAnsi="Arial" w:cs="Arial"/>
                <w:noProof/>
              </w:rPr>
              <mc:AlternateContent>
                <mc:Choice Requires="wps">
                  <w:drawing>
                    <wp:inline distT="0" distB="0" distL="0" distR="0" wp14:anchorId="72E91E49" wp14:editId="03E53F94">
                      <wp:extent cx="97155" cy="130175"/>
                      <wp:effectExtent l="19050" t="19050" r="17145" b="22225"/>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30175"/>
                              </a:xfrm>
                              <a:prstGeom prst="rect">
                                <a:avLst/>
                              </a:prstGeom>
                              <a:solidFill>
                                <a:srgbClr val="FFFFFF"/>
                              </a:solidFill>
                              <a:ln w="25400">
                                <a:solidFill>
                                  <a:srgbClr val="000000"/>
                                </a:solidFill>
                                <a:miter lim="800000"/>
                                <a:headEnd/>
                                <a:tailEnd/>
                              </a:ln>
                            </wps:spPr>
                            <wps:txbx>
                              <w:txbxContent>
                                <w:p w14:paraId="394F60B1" w14:textId="77777777" w:rsidR="00F47203" w:rsidRDefault="00F47203" w:rsidP="00485B40"/>
                              </w:txbxContent>
                            </wps:txbx>
                            <wps:bodyPr rot="0" vert="horz" wrap="square" lIns="91440" tIns="45720" rIns="91440" bIns="45720" anchor="t" anchorCtr="0" upright="1">
                              <a:noAutofit/>
                            </wps:bodyPr>
                          </wps:wsp>
                        </a:graphicData>
                      </a:graphic>
                    </wp:inline>
                  </w:drawing>
                </mc:Choice>
                <mc:Fallback>
                  <w:pict>
                    <v:rect w14:anchorId="72E91E49" id="Rectangle 4" o:spid="_x0000_s1093" style="width:7.6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jGFQIAACgEAAAOAAAAZHJzL2Uyb0RvYy54bWysU9uO2yAQfa/Uf0C8N7azSbNrxVmtsk1V&#10;abuttO0HEIxtVMzQgcROv74DyWbTy1NVHhDDwOHMmcPyduwN2yv0GmzFi0nOmbISam3bin/9snlz&#10;zZkPwtbCgFUVPyjPb1evXy0HV6opdGBqhYxArC8HV/EuBFdmmZed6oWfgFOWkg1gLwKF2GY1ioHQ&#10;e5NN8/xtNgDWDkEq72n3/pjkq4TfNEqGT03jVWCm4sQtpBnTvI1ztlqKskXhOi1PNMQ/sOiFtvTo&#10;GepeBMF2qP+A6rVE8NCEiYQ+g6bRUqUaqJoi/62ap044lWohcbw7y+T/H6x83D+5zxipe/cA8ptn&#10;FtadsK26Q4ShU6Km54ooVDY4X54vxMDTVbYdPkJNrRW7AEmDscE+AlJ1bExSH85SqzEwSZs3i2I+&#10;50xSprjKi8U8PSDK57sOfXivoGdxUXGkRiZssX/wIXIR5fORxB2MrjfamBRgu10bZHtBTd+kcUL3&#10;l8eMZUPFp/NZnifoX5L+EiNP428YvQ5kX6P7il+fD4kyqvbO1slcQWhzXBNnY08yRuWiSX0Zxu3I&#10;dF3xq+TGuLWF+kDCIhztSt+LFh3gD84GsmrF/fedQMWZ+WCpOTfFbBa9nYLZfDGlAC8z28uMsJKg&#10;Kh44Oy7X4fgfdg5129FLRZLDwh01tNFJ7RdWJ/5kx9SE09eJfr+M06mXD776CQAA//8DAFBLAwQU&#10;AAYACAAAACEAd0D8FNoAAAADAQAADwAAAGRycy9kb3ducmV2LnhtbEyPQUvDQBCF74L/YRnBm90Y&#10;iZaYTSmCeChCrXqfZsckmJ1Ndzft6q/v1ku9DDze471vqkU0g9iT871lBbezDARxY3XPrYKP9+eb&#10;OQgfkDUOlknBD3lY1JcXFZbaHviN9pvQilTCvkQFXQhjKaVvOjLoZ3YkTt6XdQZDkq6V2uEhlZtB&#10;5ll2Lw32nBY6HOmpo+Z7MxkF42sxvTzsVu73cz6tG1xFG/Ko1PVVXD6CCBTDOQwn/IQOdWLa2om1&#10;F4OC9Ej4uyevuAOxVZBnBci6kv/Z6yMAAAD//wMAUEsBAi0AFAAGAAgAAAAhALaDOJL+AAAA4QEA&#10;ABMAAAAAAAAAAAAAAAAAAAAAAFtDb250ZW50X1R5cGVzXS54bWxQSwECLQAUAAYACAAAACEAOP0h&#10;/9YAAACUAQAACwAAAAAAAAAAAAAAAAAvAQAAX3JlbHMvLnJlbHNQSwECLQAUAAYACAAAACEAxGG4&#10;xhUCAAAoBAAADgAAAAAAAAAAAAAAAAAuAgAAZHJzL2Uyb0RvYy54bWxQSwECLQAUAAYACAAAACEA&#10;d0D8FNoAAAADAQAADwAAAAAAAAAAAAAAAABvBAAAZHJzL2Rvd25yZXYueG1sUEsFBgAAAAAEAAQA&#10;8wAAAHYFAAAAAA==&#10;" strokeweight="2pt">
                      <v:textbox>
                        <w:txbxContent>
                          <w:p w14:paraId="394F60B1" w14:textId="77777777" w:rsidR="00F47203" w:rsidRDefault="00F47203" w:rsidP="00485B40"/>
                        </w:txbxContent>
                      </v:textbox>
                      <w10:anchorlock/>
                    </v:rect>
                  </w:pict>
                </mc:Fallback>
              </mc:AlternateContent>
            </w:r>
          </w:p>
        </w:tc>
      </w:tr>
      <w:tr w:rsidR="00485B40" w:rsidRPr="00103A0B" w14:paraId="5F5A44AB" w14:textId="77777777" w:rsidTr="00BB2420">
        <w:tc>
          <w:tcPr>
            <w:tcW w:w="7621" w:type="dxa"/>
          </w:tcPr>
          <w:p w14:paraId="6BA30DA0" w14:textId="77777777" w:rsidR="00485B40" w:rsidRPr="00103A0B" w:rsidRDefault="00485B40" w:rsidP="00CD5919">
            <w:pPr>
              <w:pStyle w:val="ListParagraph"/>
              <w:numPr>
                <w:ilvl w:val="0"/>
                <w:numId w:val="14"/>
              </w:numPr>
              <w:spacing w:line="276" w:lineRule="auto"/>
              <w:jc w:val="both"/>
              <w:rPr>
                <w:rFonts w:ascii="Arial" w:hAnsi="Arial" w:cs="Arial"/>
                <w:sz w:val="24"/>
                <w:szCs w:val="24"/>
              </w:rPr>
            </w:pPr>
            <w:r w:rsidRPr="00103A0B">
              <w:rPr>
                <w:rFonts w:ascii="Arial" w:hAnsi="Arial" w:cs="Arial"/>
                <w:sz w:val="24"/>
                <w:szCs w:val="24"/>
              </w:rPr>
              <w:t xml:space="preserve">I agree to be contacted again to take part in an interview via letter, </w:t>
            </w:r>
            <w:proofErr w:type="gramStart"/>
            <w:r w:rsidRPr="00103A0B">
              <w:rPr>
                <w:rFonts w:ascii="Arial" w:hAnsi="Arial" w:cs="Arial"/>
                <w:sz w:val="24"/>
                <w:szCs w:val="24"/>
              </w:rPr>
              <w:t>email</w:t>
            </w:r>
            <w:proofErr w:type="gramEnd"/>
            <w:r w:rsidRPr="00103A0B">
              <w:rPr>
                <w:rFonts w:ascii="Arial" w:hAnsi="Arial" w:cs="Arial"/>
                <w:sz w:val="24"/>
                <w:szCs w:val="24"/>
              </w:rPr>
              <w:t xml:space="preserve"> or telephone.</w:t>
            </w:r>
          </w:p>
          <w:p w14:paraId="694EB6C6" w14:textId="77777777" w:rsidR="00485B40" w:rsidRPr="00103A0B" w:rsidRDefault="00485B40" w:rsidP="00CD5919">
            <w:pPr>
              <w:spacing w:line="276" w:lineRule="auto"/>
              <w:jc w:val="both"/>
              <w:rPr>
                <w:rFonts w:ascii="Arial" w:hAnsi="Arial" w:cs="Arial"/>
                <w:sz w:val="24"/>
                <w:szCs w:val="24"/>
              </w:rPr>
            </w:pPr>
          </w:p>
        </w:tc>
        <w:tc>
          <w:tcPr>
            <w:tcW w:w="907" w:type="dxa"/>
          </w:tcPr>
          <w:p w14:paraId="0BC6A951" w14:textId="44607201" w:rsidR="00485B40" w:rsidRPr="00103A0B" w:rsidRDefault="00C84E3F" w:rsidP="00CD5919">
            <w:pPr>
              <w:jc w:val="both"/>
              <w:rPr>
                <w:rFonts w:ascii="Arial" w:hAnsi="Arial" w:cs="Arial"/>
              </w:rPr>
            </w:pPr>
            <w:r w:rsidRPr="00103A0B">
              <w:rPr>
                <w:rFonts w:ascii="Arial" w:hAnsi="Arial" w:cs="Arial"/>
                <w:noProof/>
              </w:rPr>
              <mc:AlternateContent>
                <mc:Choice Requires="wps">
                  <w:drawing>
                    <wp:inline distT="0" distB="0" distL="0" distR="0" wp14:anchorId="0C04895E" wp14:editId="2D201F60">
                      <wp:extent cx="97155" cy="130175"/>
                      <wp:effectExtent l="19050" t="19050" r="17145" b="22225"/>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30175"/>
                              </a:xfrm>
                              <a:prstGeom prst="rect">
                                <a:avLst/>
                              </a:prstGeom>
                              <a:solidFill>
                                <a:srgbClr val="FFFFFF"/>
                              </a:solidFill>
                              <a:ln w="25400">
                                <a:solidFill>
                                  <a:srgbClr val="000000"/>
                                </a:solidFill>
                                <a:miter lim="800000"/>
                                <a:headEnd/>
                                <a:tailEnd/>
                              </a:ln>
                            </wps:spPr>
                            <wps:txbx>
                              <w:txbxContent>
                                <w:p w14:paraId="086B26EB" w14:textId="77777777" w:rsidR="00F47203" w:rsidRDefault="00F47203" w:rsidP="00485B40"/>
                              </w:txbxContent>
                            </wps:txbx>
                            <wps:bodyPr rot="0" vert="horz" wrap="square" lIns="91440" tIns="45720" rIns="91440" bIns="45720" anchor="t" anchorCtr="0" upright="1">
                              <a:noAutofit/>
                            </wps:bodyPr>
                          </wps:wsp>
                        </a:graphicData>
                      </a:graphic>
                    </wp:inline>
                  </w:drawing>
                </mc:Choice>
                <mc:Fallback>
                  <w:pict>
                    <v:rect w14:anchorId="0C04895E" id="Rectangle 3" o:spid="_x0000_s1094" style="width:7.6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0qFQIAACgEAAAOAAAAZHJzL2Uyb0RvYy54bWysU9tu2zAMfR+wfxD0vthOk6U14hRFugwD&#10;um5Atw9QZNkWJosapcTOvn6UkqbZ5WmYHgRSpI4OD6nl7dgbtlfoNdiKF5OcM2Ul1Nq2Ff/6ZfPm&#10;mjMfhK2FAasqflCe365ev1oOrlRT6MDUChmBWF8OruJdCK7MMi871Qs/AacsBRvAXgRysc1qFAOh&#10;9yab5vnbbACsHYJU3tPp/THIVwm/aZQMn5rGq8BMxYlbSDumfRv3bLUUZYvCdVqeaIh/YNELbenR&#10;M9S9CILtUP8B1WuJ4KEJEwl9Bk2jpUo1UDVF/ls1T51wKtVC4nh3lsn/P1j5uH9ynzFS9+4B5DfP&#10;LKw7YVt1hwhDp0RNzxVRqGxwvjxfiI6nq2w7fISaWit2AZIGY4N9BKTq2JikPpylVmNgkg5vFsV8&#10;zpmkSHGVF4t5ekCUz3cd+vBeQc+iUXGkRiZssX/wIXIR5XNK4g5G1xttTHKw3a4Nsr2gpm/SOqH7&#10;yzRj2VDx6XyW5wn6l6C/xMjT+htGrwONr9F9xa/PSaKMqr2zdRquILQ52sTZ2JOMUbk4pL4M43Zk&#10;uq74VRI5Hm2hPpCwCMdxpe9FRgf4g7OBRrXi/vtOoOLMfLDUnJtiNouznZzZfDElBy8j28uIsJKg&#10;Kh44O5rrcPwPO4e67eilIslh4Y4a2uik9gurE38ax9SE09eJ837pp6yXD776CQAA//8DAFBLAwQU&#10;AAYACAAAACEAd0D8FNoAAAADAQAADwAAAGRycy9kb3ducmV2LnhtbEyPQUvDQBCF74L/YRnBm90Y&#10;iZaYTSmCeChCrXqfZsckmJ1Ndzft6q/v1ku9DDze471vqkU0g9iT871lBbezDARxY3XPrYKP9+eb&#10;OQgfkDUOlknBD3lY1JcXFZbaHviN9pvQilTCvkQFXQhjKaVvOjLoZ3YkTt6XdQZDkq6V2uEhlZtB&#10;5ll2Lw32nBY6HOmpo+Z7MxkF42sxvTzsVu73cz6tG1xFG/Ko1PVVXD6CCBTDOQwn/IQOdWLa2om1&#10;F4OC9Ej4uyevuAOxVZBnBci6kv/Z6yMAAAD//wMAUEsBAi0AFAAGAAgAAAAhALaDOJL+AAAA4QEA&#10;ABMAAAAAAAAAAAAAAAAAAAAAAFtDb250ZW50X1R5cGVzXS54bWxQSwECLQAUAAYACAAAACEAOP0h&#10;/9YAAACUAQAACwAAAAAAAAAAAAAAAAAvAQAAX3JlbHMvLnJlbHNQSwECLQAUAAYACAAAACEAZC9N&#10;KhUCAAAoBAAADgAAAAAAAAAAAAAAAAAuAgAAZHJzL2Uyb0RvYy54bWxQSwECLQAUAAYACAAAACEA&#10;d0D8FNoAAAADAQAADwAAAAAAAAAAAAAAAABvBAAAZHJzL2Rvd25yZXYueG1sUEsFBgAAAAAEAAQA&#10;8wAAAHYFAAAAAA==&#10;" strokeweight="2pt">
                      <v:textbox>
                        <w:txbxContent>
                          <w:p w14:paraId="086B26EB" w14:textId="77777777" w:rsidR="00F47203" w:rsidRDefault="00F47203" w:rsidP="00485B40"/>
                        </w:txbxContent>
                      </v:textbox>
                      <w10:anchorlock/>
                    </v:rect>
                  </w:pict>
                </mc:Fallback>
              </mc:AlternateContent>
            </w:r>
          </w:p>
        </w:tc>
      </w:tr>
      <w:tr w:rsidR="00485B40" w:rsidRPr="00103A0B" w14:paraId="7DBA366A" w14:textId="77777777" w:rsidTr="00BB2420">
        <w:tc>
          <w:tcPr>
            <w:tcW w:w="7621" w:type="dxa"/>
          </w:tcPr>
          <w:p w14:paraId="25092F76" w14:textId="77777777" w:rsidR="00485B40" w:rsidRPr="00103A0B" w:rsidRDefault="00485B40" w:rsidP="00CD5919">
            <w:pPr>
              <w:pStyle w:val="ListParagraph"/>
              <w:numPr>
                <w:ilvl w:val="0"/>
                <w:numId w:val="14"/>
              </w:numPr>
              <w:spacing w:line="276" w:lineRule="auto"/>
              <w:jc w:val="both"/>
              <w:rPr>
                <w:rFonts w:ascii="Arial" w:hAnsi="Arial" w:cs="Arial"/>
                <w:sz w:val="24"/>
                <w:szCs w:val="24"/>
              </w:rPr>
            </w:pPr>
            <w:r w:rsidRPr="00103A0B">
              <w:rPr>
                <w:rFonts w:ascii="Arial" w:hAnsi="Arial" w:cs="Arial"/>
                <w:sz w:val="24"/>
                <w:szCs w:val="24"/>
              </w:rPr>
              <w:t>I agree to take part in the above study.</w:t>
            </w:r>
          </w:p>
          <w:p w14:paraId="6C6E8573" w14:textId="77777777" w:rsidR="00485B40" w:rsidRPr="00103A0B" w:rsidRDefault="00485B40" w:rsidP="00CD5919">
            <w:pPr>
              <w:pStyle w:val="ListParagraph"/>
              <w:ind w:left="1080"/>
              <w:jc w:val="both"/>
              <w:rPr>
                <w:rFonts w:ascii="Arial" w:hAnsi="Arial" w:cs="Arial"/>
                <w:sz w:val="24"/>
                <w:szCs w:val="24"/>
              </w:rPr>
            </w:pPr>
          </w:p>
          <w:p w14:paraId="670286D5" w14:textId="77777777" w:rsidR="00485B40" w:rsidRPr="00103A0B" w:rsidRDefault="00485B40" w:rsidP="00CD5919">
            <w:pPr>
              <w:pStyle w:val="ListParagraph"/>
              <w:numPr>
                <w:ilvl w:val="0"/>
                <w:numId w:val="14"/>
              </w:numPr>
              <w:spacing w:line="276" w:lineRule="auto"/>
              <w:jc w:val="both"/>
              <w:rPr>
                <w:rFonts w:ascii="Arial" w:hAnsi="Arial" w:cs="Arial"/>
                <w:sz w:val="24"/>
                <w:szCs w:val="24"/>
              </w:rPr>
            </w:pPr>
            <w:r w:rsidRPr="00103A0B">
              <w:rPr>
                <w:rFonts w:ascii="Arial" w:hAnsi="Arial" w:cs="Arial"/>
                <w:sz w:val="24"/>
                <w:szCs w:val="24"/>
              </w:rPr>
              <w:t>I agree to the data being used for a final report, in a PhD thesis and in publications.</w:t>
            </w:r>
          </w:p>
        </w:tc>
        <w:tc>
          <w:tcPr>
            <w:tcW w:w="907" w:type="dxa"/>
          </w:tcPr>
          <w:p w14:paraId="66FB9588" w14:textId="6811B16D" w:rsidR="00485B40" w:rsidRPr="00103A0B" w:rsidRDefault="00C84E3F" w:rsidP="00CD5919">
            <w:pPr>
              <w:jc w:val="both"/>
              <w:rPr>
                <w:rFonts w:ascii="Arial" w:hAnsi="Arial" w:cs="Arial"/>
              </w:rPr>
            </w:pPr>
            <w:r w:rsidRPr="00103A0B">
              <w:rPr>
                <w:rFonts w:ascii="Arial" w:hAnsi="Arial" w:cs="Arial"/>
                <w:noProof/>
              </w:rPr>
              <mc:AlternateContent>
                <mc:Choice Requires="wps">
                  <w:drawing>
                    <wp:inline distT="0" distB="0" distL="0" distR="0" wp14:anchorId="0D123A22" wp14:editId="4A84E9FF">
                      <wp:extent cx="97155" cy="130175"/>
                      <wp:effectExtent l="19050" t="19050" r="17145" b="22225"/>
                      <wp:docPr id="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30175"/>
                              </a:xfrm>
                              <a:prstGeom prst="rect">
                                <a:avLst/>
                              </a:prstGeom>
                              <a:solidFill>
                                <a:srgbClr val="FFFFFF"/>
                              </a:solidFill>
                              <a:ln w="25400">
                                <a:solidFill>
                                  <a:srgbClr val="000000"/>
                                </a:solidFill>
                                <a:miter lim="800000"/>
                                <a:headEnd/>
                                <a:tailEnd/>
                              </a:ln>
                            </wps:spPr>
                            <wps:txbx>
                              <w:txbxContent>
                                <w:p w14:paraId="2BE472F6" w14:textId="77777777" w:rsidR="00F47203" w:rsidRDefault="00F47203" w:rsidP="00485B40"/>
                              </w:txbxContent>
                            </wps:txbx>
                            <wps:bodyPr rot="0" vert="horz" wrap="square" lIns="91440" tIns="45720" rIns="91440" bIns="45720" anchor="t" anchorCtr="0" upright="1">
                              <a:noAutofit/>
                            </wps:bodyPr>
                          </wps:wsp>
                        </a:graphicData>
                      </a:graphic>
                    </wp:inline>
                  </w:drawing>
                </mc:Choice>
                <mc:Fallback>
                  <w:pict>
                    <v:rect w14:anchorId="0D123A22" id="Rectangle 32" o:spid="_x0000_s1095" style="width:7.6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EFgIAACgEAAAOAAAAZHJzL2Uyb0RvYy54bWysU9tu2zAMfR+wfxD0vthOk6U14hRFugwD&#10;um5Atw9QZNkWJosapcTOvn6UkqbZ5WmYHgRRlA4PD8nl7dgbtlfoNdiKF5OcM2Ul1Nq2Ff/6ZfPm&#10;mjMfhK2FAasqflCe365ev1oOrlRT6MDUChmBWF8OruJdCK7MMi871Qs/AacsORvAXgQysc1qFAOh&#10;9yab5vnbbACsHYJU3tPt/dHJVwm/aZQMn5rGq8BMxYlbSDumfRv3bLUUZYvCdVqeaIh/YNELbSno&#10;GepeBMF2qP+A6rVE8NCEiYQ+g6bRUqUcKJsi/y2bp044lXIhcbw7y+T/H6x83D+5zxipe/cA8ptn&#10;FtadsK26Q4ShU6KmcEUUKhucL88fouHpK9sOH6Gm0opdgKTB2GAfASk7NiapD2ep1RiYpMubRTGf&#10;cybJU1zlxWKeAojy+a9DH94r6Fk8VBypkAlb7B98iFxE+fwkcQej6402JhnYbtcG2V5Q0TdpndD9&#10;5TNj2VDx6XyW5wn6F6e/xMjT+htGrwO1r9F9xa/Pj0QZVXtn69RcQWhzPBNnY08yRuVik/oyjNuR&#10;6briV9MYIV5toT6QsAjHdqXxokMH+IOzgVq14v77TqDizHywVJybYjaLvZ2M2XwxJQMvPdtLj7CS&#10;oCoeODse1+E4DzuHuu0oUpHksHBHBW10UvuF1Yk/tWMqwml0Yr9f2unVy4CvfgIAAP//AwBQSwME&#10;FAAGAAgAAAAhAHdA/BTaAAAAAwEAAA8AAABkcnMvZG93bnJldi54bWxMj0FLw0AQhe+C/2EZwZvd&#10;GImWmE0pgngoQq16n2bHJJidTXc37eqv79ZLvQw83uO9b6pFNIPYk/O9ZQW3swwEcWN1z62Cj/fn&#10;mzkIH5A1DpZJwQ95WNSXFxWW2h74jfab0IpUwr5EBV0IYymlbzoy6Gd2JE7el3UGQ5KuldrhIZWb&#10;QeZZdi8N9pwWOhzpqaPmezMZBeNrMb087Fbu93M+rRtcRRvyqNT1VVw+gggUwzkMJ/yEDnVi2tqJ&#10;tReDgvRI+Lsnr7gDsVWQZwXIupL/2esjAAAA//8DAFBLAQItABQABgAIAAAAIQC2gziS/gAAAOEB&#10;AAATAAAAAAAAAAAAAAAAAAAAAABbQ29udGVudF9UeXBlc10ueG1sUEsBAi0AFAAGAAgAAAAhADj9&#10;If/WAAAAlAEAAAsAAAAAAAAAAAAAAAAALwEAAF9yZWxzLy5yZWxzUEsBAi0AFAAGAAgAAAAhAMX6&#10;I8QWAgAAKAQAAA4AAAAAAAAAAAAAAAAALgIAAGRycy9lMm9Eb2MueG1sUEsBAi0AFAAGAAgAAAAh&#10;AHdA/BTaAAAAAwEAAA8AAAAAAAAAAAAAAAAAcAQAAGRycy9kb3ducmV2LnhtbFBLBQYAAAAABAAE&#10;APMAAAB3BQAAAAA=&#10;" strokeweight="2pt">
                      <v:textbox>
                        <w:txbxContent>
                          <w:p w14:paraId="2BE472F6" w14:textId="77777777" w:rsidR="00F47203" w:rsidRDefault="00F47203" w:rsidP="00485B40"/>
                        </w:txbxContent>
                      </v:textbox>
                      <w10:anchorlock/>
                    </v:rect>
                  </w:pict>
                </mc:Fallback>
              </mc:AlternateContent>
            </w:r>
          </w:p>
          <w:p w14:paraId="5CA481C8" w14:textId="18171ED3" w:rsidR="00485B40" w:rsidRPr="00103A0B" w:rsidRDefault="00C84E3F" w:rsidP="00CD5919">
            <w:pPr>
              <w:jc w:val="both"/>
              <w:rPr>
                <w:rFonts w:ascii="Arial" w:hAnsi="Arial" w:cs="Arial"/>
              </w:rPr>
            </w:pPr>
            <w:r w:rsidRPr="00103A0B">
              <w:rPr>
                <w:rFonts w:ascii="Arial" w:hAnsi="Arial" w:cs="Arial"/>
                <w:noProof/>
              </w:rPr>
              <mc:AlternateContent>
                <mc:Choice Requires="wps">
                  <w:drawing>
                    <wp:anchor distT="0" distB="0" distL="114300" distR="114300" simplePos="0" relativeHeight="251671552" behindDoc="1" locked="0" layoutInCell="1" allowOverlap="1" wp14:anchorId="78D73A18" wp14:editId="261894F4">
                      <wp:simplePos x="0" y="0"/>
                      <wp:positionH relativeFrom="column">
                        <wp:posOffset>162560</wp:posOffset>
                      </wp:positionH>
                      <wp:positionV relativeFrom="paragraph">
                        <wp:posOffset>288290</wp:posOffset>
                      </wp:positionV>
                      <wp:extent cx="97155" cy="130175"/>
                      <wp:effectExtent l="0" t="0" r="0" b="3175"/>
                      <wp:wrapTight wrapText="bothSides">
                        <wp:wrapPolygon edited="0">
                          <wp:start x="0" y="0"/>
                          <wp:lineTo x="0" y="22127"/>
                          <wp:lineTo x="21176" y="22127"/>
                          <wp:lineTo x="21176" y="0"/>
                          <wp:lineTo x="0" y="0"/>
                        </wp:wrapPolygon>
                      </wp:wrapTight>
                      <wp:docPr id="16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30175"/>
                              </a:xfrm>
                              <a:prstGeom prst="rect">
                                <a:avLst/>
                              </a:prstGeom>
                              <a:solidFill>
                                <a:srgbClr val="FFFFFF"/>
                              </a:solidFill>
                              <a:ln w="25400">
                                <a:solidFill>
                                  <a:srgbClr val="000000"/>
                                </a:solidFill>
                                <a:miter lim="800000"/>
                                <a:headEnd/>
                                <a:tailEnd/>
                              </a:ln>
                            </wps:spPr>
                            <wps:txbx>
                              <w:txbxContent>
                                <w:p w14:paraId="04B41B08" w14:textId="77777777" w:rsidR="00F47203" w:rsidRDefault="00F47203" w:rsidP="00485B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73A18" id="_x0000_s1096" style="position:absolute;left:0;text-align:left;margin-left:12.8pt;margin-top:22.7pt;width:7.65pt;height:1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YoFgIAACgEAAAOAAAAZHJzL2Uyb0RvYy54bWysU9tu2zAMfR+wfxD0vtjOZW2NOEWRLsOA&#10;rhvQ7QMUWbaFyaJGKbGzrx+lpGl2eRqmB0EUpcPDQ3J5O/aG7RV6DbbixSTnTFkJtbZtxb9+2by5&#10;5swHYWthwKqKH5Tnt6vXr5aDK9UUOjC1QkYg1peDq3gXgiuzzMtO9cJPwClLzgawF4FMbLMaxUDo&#10;vcmmef42GwBrhyCV93R7f3TyVcJvGiXDp6bxKjBTceIW0o5p38Y9Wy1F2aJwnZYnGuIfWPRCWwp6&#10;hroXQbAd6j+gei0RPDRhIqHPoGm0VCkHyqbIf8vmqRNOpVxIHO/OMvn/Bysf90/uM0bq3j2A/OaZ&#10;hXUnbKvuEGHolKgpXBGFygbny/OHaHj6yrbDR6iptGIXIGkwNthHQMqOjUnqw1lqNQYm6fLmqlgs&#10;OJPkKWZ5cbVIAUT5/NehD+8V9CweKo5UyIQt9g8+RC6ifH6SuIPR9UYbkwxst2uDbC+o6Ju0Tuj+&#10;8pmxbKj4dDHP8wT9i9NfYuRp/Q2j14Ha1+i+4tfnR6KMqr2zdWquILQ5nomzsScZo3KxSX0Zxu3I&#10;dF3x2SxGiFdbqA8kLMKxXWm86NAB/uBsoFatuP++E6g4Mx8sFeemmM9jbydjvriakoGXnu2lR1hJ&#10;UBUPnB2P63Cch51D3XYUqUhyWLijgjY6qf3C6sSf2jEV4TQ6sd8v7fTqZcBXPwEAAP//AwBQSwME&#10;FAAGAAgAAAAhANDhj/TdAAAABwEAAA8AAABkcnMvZG93bnJldi54bWxMjsFOwzAQRO9I/IO1SNyo&#10;Q5SENo1TISTEoUKihd638ZJExOsQO63h6zEnOI5m9OZVm2AGcaLJ9ZYV3C4SEMSN1T23Ct5eH2+W&#10;IJxH1jhYJgVf5GBTX15UWGp75h2d9r4VEcKuRAWd92MppWs6MugWdiSO3budDPoYp1bqCc8RbgaZ&#10;JkkhDfYcHzoc6aGj5mM/GwXjcz4/3X1up+/Dcn5pcBusT4NS11fhfg3CU/B/Y/jVj+pQR6ejnVk7&#10;MShI8yIuFWR5BiL2WbICcVRQ5CuQdSX/+9c/AAAA//8DAFBLAQItABQABgAIAAAAIQC2gziS/gAA&#10;AOEBAAATAAAAAAAAAAAAAAAAAAAAAABbQ29udGVudF9UeXBlc10ueG1sUEsBAi0AFAAGAAgAAAAh&#10;ADj9If/WAAAAlAEAAAsAAAAAAAAAAAAAAAAALwEAAF9yZWxzLy5yZWxzUEsBAi0AFAAGAAgAAAAh&#10;AGW01igWAgAAKAQAAA4AAAAAAAAAAAAAAAAALgIAAGRycy9lMm9Eb2MueG1sUEsBAi0AFAAGAAgA&#10;AAAhANDhj/TdAAAABwEAAA8AAAAAAAAAAAAAAAAAcAQAAGRycy9kb3ducmV2LnhtbFBLBQYAAAAA&#10;BAAEAPMAAAB6BQAAAAA=&#10;" strokeweight="2pt">
                      <v:textbox>
                        <w:txbxContent>
                          <w:p w14:paraId="04B41B08" w14:textId="77777777" w:rsidR="00F47203" w:rsidRDefault="00F47203" w:rsidP="00485B40"/>
                        </w:txbxContent>
                      </v:textbox>
                      <w10:wrap type="tight"/>
                    </v:rect>
                  </w:pict>
                </mc:Fallback>
              </mc:AlternateContent>
            </w:r>
          </w:p>
          <w:p w14:paraId="2E13CDC5" w14:textId="77777777" w:rsidR="00485B40" w:rsidRPr="00103A0B" w:rsidRDefault="00485B40" w:rsidP="00CD5919">
            <w:pPr>
              <w:jc w:val="both"/>
              <w:rPr>
                <w:rFonts w:ascii="Arial" w:hAnsi="Arial" w:cs="Arial"/>
              </w:rPr>
            </w:pPr>
          </w:p>
          <w:p w14:paraId="48C9B890" w14:textId="77777777" w:rsidR="00485B40" w:rsidRPr="00103A0B" w:rsidRDefault="00485B40" w:rsidP="00CD5919">
            <w:pPr>
              <w:jc w:val="both"/>
              <w:rPr>
                <w:rFonts w:ascii="Arial" w:hAnsi="Arial" w:cs="Arial"/>
              </w:rPr>
            </w:pPr>
          </w:p>
        </w:tc>
      </w:tr>
    </w:tbl>
    <w:p w14:paraId="6BC672FF"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37368F75"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432A47DB"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t>Name of participant:</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Date:</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Signature:</w:t>
      </w:r>
    </w:p>
    <w:p w14:paraId="481379EB"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2E3912A6"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_____________________</w:t>
      </w:r>
      <w:r w:rsidRPr="00103A0B">
        <w:rPr>
          <w:rFonts w:ascii="Arial" w:eastAsia="Times New Roman" w:hAnsi="Arial" w:cs="Arial"/>
          <w:sz w:val="24"/>
          <w:szCs w:val="24"/>
          <w:lang w:eastAsia="en-GB"/>
        </w:rPr>
        <w:tab/>
        <w:t>_________</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________________</w:t>
      </w:r>
    </w:p>
    <w:p w14:paraId="5E8D41D2"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6C22F51F"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Participant Contact Number (optional):</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Participant Email (optional):</w:t>
      </w:r>
    </w:p>
    <w:p w14:paraId="14228C51"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0C6DC231"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______________________________</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______________________</w:t>
      </w:r>
    </w:p>
    <w:p w14:paraId="69BF7F35"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727FF0F0"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314B1B7A"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Researcher Name:</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Date:</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Signature:</w:t>
      </w:r>
    </w:p>
    <w:p w14:paraId="2969ED91"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5FCB89C6"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_____________________</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_________</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________________</w:t>
      </w:r>
    </w:p>
    <w:p w14:paraId="517BDBB7" w14:textId="77777777" w:rsidR="00C13876" w:rsidRPr="00103A0B" w:rsidRDefault="00C13876" w:rsidP="00CD5919">
      <w:pPr>
        <w:jc w:val="both"/>
        <w:rPr>
          <w:rFonts w:ascii="Arial" w:hAnsi="Arial" w:cs="Arial"/>
          <w:b/>
          <w:bCs/>
          <w:sz w:val="24"/>
          <w:szCs w:val="24"/>
          <w:lang w:val="en-US"/>
        </w:rPr>
      </w:pPr>
    </w:p>
    <w:p w14:paraId="4510AF20" w14:textId="77777777" w:rsidR="0048357F" w:rsidRPr="00103A0B" w:rsidRDefault="0048357F" w:rsidP="00CD5919">
      <w:pPr>
        <w:jc w:val="both"/>
        <w:rPr>
          <w:rFonts w:ascii="Arial" w:hAnsi="Arial" w:cs="Arial"/>
          <w:b/>
          <w:bCs/>
          <w:sz w:val="24"/>
          <w:szCs w:val="24"/>
          <w:lang w:val="en-US"/>
        </w:rPr>
      </w:pPr>
    </w:p>
    <w:p w14:paraId="1E715051" w14:textId="0B730E41" w:rsidR="00485B40" w:rsidRPr="00103A0B" w:rsidRDefault="00485B40" w:rsidP="00CD5919">
      <w:pPr>
        <w:jc w:val="both"/>
        <w:rPr>
          <w:rFonts w:ascii="Arial" w:hAnsi="Arial" w:cs="Arial"/>
          <w:b/>
          <w:bCs/>
          <w:sz w:val="28"/>
          <w:szCs w:val="28"/>
          <w:lang w:val="en-US"/>
        </w:rPr>
      </w:pPr>
      <w:r w:rsidRPr="00103A0B">
        <w:rPr>
          <w:rFonts w:ascii="Arial" w:hAnsi="Arial" w:cs="Arial"/>
          <w:b/>
          <w:bCs/>
          <w:sz w:val="28"/>
          <w:szCs w:val="28"/>
          <w:lang w:val="en-US"/>
        </w:rPr>
        <w:t>Appendix 1</w:t>
      </w:r>
      <w:r w:rsidR="00630873" w:rsidRPr="00103A0B">
        <w:rPr>
          <w:rFonts w:ascii="Arial" w:hAnsi="Arial" w:cs="Arial"/>
          <w:b/>
          <w:bCs/>
          <w:sz w:val="28"/>
          <w:szCs w:val="28"/>
          <w:lang w:val="en-US"/>
        </w:rPr>
        <w:t>7</w:t>
      </w:r>
      <w:r w:rsidRPr="00103A0B">
        <w:rPr>
          <w:rFonts w:ascii="Arial" w:hAnsi="Arial" w:cs="Arial"/>
          <w:b/>
          <w:bCs/>
          <w:sz w:val="28"/>
          <w:szCs w:val="28"/>
          <w:lang w:val="en-US"/>
        </w:rPr>
        <w:t>: Consent form (</w:t>
      </w:r>
      <w:r w:rsidR="00C13876" w:rsidRPr="00103A0B">
        <w:rPr>
          <w:rFonts w:ascii="Arial" w:hAnsi="Arial" w:cs="Arial"/>
          <w:b/>
          <w:bCs/>
          <w:sz w:val="28"/>
          <w:szCs w:val="28"/>
          <w:lang w:val="en-US"/>
        </w:rPr>
        <w:t>C</w:t>
      </w:r>
      <w:r w:rsidRPr="00103A0B">
        <w:rPr>
          <w:rFonts w:ascii="Arial" w:hAnsi="Arial" w:cs="Arial"/>
          <w:b/>
          <w:bCs/>
          <w:sz w:val="28"/>
          <w:szCs w:val="28"/>
          <w:lang w:val="en-US"/>
        </w:rPr>
        <w:t>hapter 6)</w:t>
      </w:r>
    </w:p>
    <w:p w14:paraId="3D48F33E" w14:textId="77777777" w:rsidR="00485B40" w:rsidRPr="00103A0B" w:rsidRDefault="00485B40" w:rsidP="00CD5919">
      <w:pPr>
        <w:tabs>
          <w:tab w:val="left" w:pos="2370"/>
        </w:tabs>
        <w:spacing w:after="0"/>
        <w:jc w:val="both"/>
      </w:pPr>
    </w:p>
    <w:p w14:paraId="32A86837" w14:textId="77777777" w:rsidR="00485B40" w:rsidRPr="00103A0B" w:rsidRDefault="00485B40" w:rsidP="00CD5919">
      <w:pPr>
        <w:spacing w:after="0" w:line="240" w:lineRule="auto"/>
        <w:jc w:val="both"/>
        <w:rPr>
          <w:rFonts w:ascii="Arial" w:eastAsia="Times New Roman" w:hAnsi="Arial" w:cs="Arial"/>
          <w:b/>
          <w:sz w:val="28"/>
          <w:szCs w:val="28"/>
          <w:lang w:eastAsia="en-GB"/>
        </w:rPr>
      </w:pPr>
      <w:r w:rsidRPr="00103A0B">
        <w:rPr>
          <w:rFonts w:ascii="Arial" w:eastAsia="Times New Roman" w:hAnsi="Arial" w:cs="Arial"/>
          <w:b/>
          <w:sz w:val="28"/>
          <w:szCs w:val="28"/>
          <w:lang w:eastAsia="en-GB"/>
        </w:rPr>
        <w:t>CONSENT FORM</w:t>
      </w:r>
    </w:p>
    <w:p w14:paraId="01B2E5E5"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472A227C" w14:textId="77777777" w:rsidR="00485B40" w:rsidRPr="00103A0B" w:rsidRDefault="00485B40" w:rsidP="00CD5919">
      <w:pPr>
        <w:spacing w:after="0" w:line="240" w:lineRule="auto"/>
        <w:jc w:val="both"/>
        <w:rPr>
          <w:rFonts w:ascii="Arial" w:eastAsia="Times New Roman" w:hAnsi="Arial" w:cs="Arial"/>
          <w:sz w:val="28"/>
          <w:szCs w:val="28"/>
          <w:lang w:eastAsia="en-GB"/>
        </w:rPr>
      </w:pPr>
      <w:r w:rsidRPr="00103A0B">
        <w:rPr>
          <w:rFonts w:ascii="Arial" w:eastAsia="Times New Roman" w:hAnsi="Arial" w:cs="Arial"/>
          <w:b/>
          <w:sz w:val="28"/>
          <w:szCs w:val="28"/>
          <w:lang w:eastAsia="en-GB"/>
        </w:rPr>
        <w:t xml:space="preserve">Title of Project: </w:t>
      </w:r>
      <w:r w:rsidRPr="00103A0B">
        <w:rPr>
          <w:rFonts w:ascii="Arial" w:eastAsia="Times New Roman" w:hAnsi="Arial" w:cs="Arial"/>
          <w:sz w:val="28"/>
          <w:szCs w:val="28"/>
          <w:lang w:eastAsia="en-GB"/>
        </w:rPr>
        <w:t xml:space="preserve">Views and experiences of the NHS Diabetes Prevention Programme </w:t>
      </w:r>
    </w:p>
    <w:p w14:paraId="3679D3E7" w14:textId="77777777" w:rsidR="00485B40" w:rsidRPr="00103A0B" w:rsidRDefault="00485B40" w:rsidP="00CD5919">
      <w:pPr>
        <w:spacing w:after="0" w:line="240" w:lineRule="auto"/>
        <w:jc w:val="both"/>
        <w:rPr>
          <w:rFonts w:ascii="Arial" w:eastAsia="Times New Roman" w:hAnsi="Arial" w:cs="Arial"/>
          <w:b/>
          <w:sz w:val="28"/>
          <w:szCs w:val="28"/>
          <w:lang w:eastAsia="en-GB"/>
        </w:rPr>
      </w:pPr>
    </w:p>
    <w:p w14:paraId="7AC32220" w14:textId="77777777" w:rsidR="00485B40" w:rsidRPr="00103A0B" w:rsidRDefault="00485B40" w:rsidP="00CD5919">
      <w:pPr>
        <w:spacing w:after="0" w:line="240" w:lineRule="auto"/>
        <w:jc w:val="both"/>
        <w:rPr>
          <w:rFonts w:ascii="Arial" w:eastAsia="Times New Roman" w:hAnsi="Arial" w:cs="Arial"/>
          <w:b/>
          <w:sz w:val="28"/>
          <w:szCs w:val="28"/>
          <w:lang w:eastAsia="en-GB"/>
        </w:rPr>
      </w:pPr>
    </w:p>
    <w:p w14:paraId="2B012455" w14:textId="77777777" w:rsidR="00485B40" w:rsidRPr="00103A0B" w:rsidRDefault="00485B40" w:rsidP="00CD5919">
      <w:pPr>
        <w:spacing w:after="0" w:line="240" w:lineRule="auto"/>
        <w:ind w:right="-428"/>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Please tick the appropriate box(es) on the right if you agree with the correspondent statement(s):</w:t>
      </w:r>
    </w:p>
    <w:p w14:paraId="65DB8A59" w14:textId="77777777" w:rsidR="00485B40" w:rsidRPr="00103A0B" w:rsidRDefault="00485B40" w:rsidP="00CD5919">
      <w:pPr>
        <w:spacing w:after="0" w:line="240" w:lineRule="auto"/>
        <w:ind w:right="-428"/>
        <w:jc w:val="both"/>
        <w:rPr>
          <w:rFonts w:ascii="Arial" w:eastAsia="Times New Roman" w:hAnsi="Arial" w:cs="Arial"/>
          <w:sz w:val="24"/>
          <w:szCs w:val="24"/>
          <w:lang w:eastAsia="en-GB"/>
        </w:rPr>
      </w:pPr>
    </w:p>
    <w:p w14:paraId="32575E63" w14:textId="77777777" w:rsidR="00485B40" w:rsidRPr="00103A0B" w:rsidRDefault="00485B40" w:rsidP="00CD5919">
      <w:pPr>
        <w:spacing w:after="0" w:line="240" w:lineRule="auto"/>
        <w:jc w:val="both"/>
        <w:rPr>
          <w:rFonts w:ascii="Arial" w:eastAsia="Times New Roman" w:hAnsi="Arial" w:cs="Arial"/>
          <w:b/>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907"/>
      </w:tblGrid>
      <w:tr w:rsidR="00485B40" w:rsidRPr="00103A0B" w14:paraId="0F9739C5" w14:textId="77777777" w:rsidTr="00BB2420">
        <w:tc>
          <w:tcPr>
            <w:tcW w:w="7621" w:type="dxa"/>
          </w:tcPr>
          <w:p w14:paraId="5CCCBE93" w14:textId="77777777" w:rsidR="00485B40" w:rsidRPr="00103A0B" w:rsidRDefault="00485B40" w:rsidP="00CD5919">
            <w:pPr>
              <w:pStyle w:val="ListParagraph"/>
              <w:numPr>
                <w:ilvl w:val="0"/>
                <w:numId w:val="15"/>
              </w:numPr>
              <w:spacing w:line="276" w:lineRule="auto"/>
              <w:jc w:val="both"/>
              <w:rPr>
                <w:rFonts w:ascii="Arial" w:hAnsi="Arial" w:cs="Arial"/>
                <w:sz w:val="24"/>
                <w:szCs w:val="24"/>
              </w:rPr>
            </w:pPr>
            <w:r w:rsidRPr="00103A0B">
              <w:rPr>
                <w:rFonts w:ascii="Arial" w:hAnsi="Arial" w:cs="Arial"/>
                <w:sz w:val="24"/>
                <w:szCs w:val="24"/>
              </w:rPr>
              <w:t>I confirm that I have read and understood the information sheet for the above study and have had the opportunity to ask questions.</w:t>
            </w:r>
          </w:p>
          <w:p w14:paraId="35B7F99A" w14:textId="77777777" w:rsidR="00485B40" w:rsidRPr="00103A0B" w:rsidRDefault="00485B40" w:rsidP="00CD5919">
            <w:pPr>
              <w:spacing w:line="276" w:lineRule="auto"/>
              <w:jc w:val="both"/>
              <w:rPr>
                <w:rFonts w:ascii="Arial" w:hAnsi="Arial" w:cs="Arial"/>
                <w:b/>
                <w:sz w:val="24"/>
                <w:szCs w:val="24"/>
              </w:rPr>
            </w:pPr>
          </w:p>
        </w:tc>
        <w:tc>
          <w:tcPr>
            <w:tcW w:w="907" w:type="dxa"/>
          </w:tcPr>
          <w:p w14:paraId="6DEF4782" w14:textId="1C82DBA3" w:rsidR="00485B40" w:rsidRPr="00103A0B" w:rsidRDefault="00C84E3F" w:rsidP="00CD5919">
            <w:pPr>
              <w:jc w:val="both"/>
              <w:rPr>
                <w:rFonts w:ascii="Arial" w:hAnsi="Arial" w:cs="Arial"/>
                <w:b/>
                <w:sz w:val="24"/>
                <w:szCs w:val="24"/>
              </w:rPr>
            </w:pPr>
            <w:r w:rsidRPr="00103A0B">
              <w:rPr>
                <w:rFonts w:ascii="Arial" w:hAnsi="Arial" w:cs="Arial"/>
                <w:noProof/>
              </w:rPr>
              <mc:AlternateContent>
                <mc:Choice Requires="wps">
                  <w:drawing>
                    <wp:inline distT="0" distB="0" distL="0" distR="0" wp14:anchorId="61B52318" wp14:editId="1CE1C658">
                      <wp:extent cx="97155" cy="130175"/>
                      <wp:effectExtent l="19050" t="19050" r="17145" b="22225"/>
                      <wp:docPr id="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30175"/>
                              </a:xfrm>
                              <a:prstGeom prst="rect">
                                <a:avLst/>
                              </a:prstGeom>
                              <a:solidFill>
                                <a:srgbClr val="FFFFFF"/>
                              </a:solidFill>
                              <a:ln w="25400">
                                <a:solidFill>
                                  <a:srgbClr val="000000"/>
                                </a:solidFill>
                                <a:miter lim="800000"/>
                                <a:headEnd/>
                                <a:tailEnd/>
                              </a:ln>
                            </wps:spPr>
                            <wps:txbx>
                              <w:txbxContent>
                                <w:p w14:paraId="5517E99D" w14:textId="77777777" w:rsidR="00F47203" w:rsidRDefault="00F47203" w:rsidP="00485B40"/>
                              </w:txbxContent>
                            </wps:txbx>
                            <wps:bodyPr rot="0" vert="horz" wrap="square" lIns="91440" tIns="45720" rIns="91440" bIns="45720" anchor="t" anchorCtr="0" upright="1">
                              <a:noAutofit/>
                            </wps:bodyPr>
                          </wps:wsp>
                        </a:graphicData>
                      </a:graphic>
                    </wp:inline>
                  </w:drawing>
                </mc:Choice>
                <mc:Fallback>
                  <w:pict>
                    <v:rect w14:anchorId="61B52318" id="Rectangle 182" o:spid="_x0000_s1097" style="width:7.6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DFgIAACgEAAAOAAAAZHJzL2Uyb0RvYy54bWysU9tu2zAMfR+wfxD0vthOk6U14hRFugwD&#10;um5Atw9QZNkWJosapcTOvn6UkqbZ5WmYHgRRlA4PD8nl7dgbtlfoNdiKF5OcM2Ul1Nq2Ff/6ZfPm&#10;mjMfhK2FAasqflCe365ev1oOrlRT6MDUChmBWF8OruJdCK7MMi871Qs/AacsORvAXgQysc1qFAOh&#10;9yab5vnbbACsHYJU3tPt/dHJVwm/aZQMn5rGq8BMxYlbSDumfRv3bLUUZYvCdVqeaIh/YNELbSno&#10;GepeBMF2qP+A6rVE8NCEiYQ+g6bRUqUcKJsi/y2bp044lXIhcbw7y+T/H6x83D+5zxipe/cA8ptn&#10;FtadsK26Q4ShU6KmcEUUKhucL88fouHpK9sOH6Gm0opdgKTB2GAfASk7NiapD2ep1RiYpMubRTGf&#10;cybJU1zlxWKeAojy+a9DH94r6Fk8VBypkAlb7B98iFxE+fwkcQej6402JhnYbtcG2V5Q0TdpndD9&#10;5TNj2VDx6XyW5wn6F6e/xMjT+htGrwO1r9F9xa/Pj0QZVXtn69RcQWhzPBNnY08yRuVik/oyjNuR&#10;6briV7MYIV5toT6QsAjHdqXxokMH+IOzgVq14v77TqDizHywVJybYjaLvZ2M2XwxJQMvPdtLj7CS&#10;oCoeODse1+E4DzuHuu0oUpHksHBHBW10UvuF1Yk/tWMqwml0Yr9f2unVy4CvfgIAAP//AwBQSwME&#10;FAAGAAgAAAAhAHdA/BTaAAAAAwEAAA8AAABkcnMvZG93bnJldi54bWxMj0FLw0AQhe+C/2EZwZvd&#10;GImWmE0pgngoQq16n2bHJJidTXc37eqv79ZLvQw83uO9b6pFNIPYk/O9ZQW3swwEcWN1z62Cj/fn&#10;mzkIH5A1DpZJwQ95WNSXFxWW2h74jfab0IpUwr5EBV0IYymlbzoy6Gd2JE7el3UGQ5KuldrhIZWb&#10;QeZZdi8N9pwWOhzpqaPmezMZBeNrMb087Fbu93M+rRtcRRvyqNT1VVw+gggUwzkMJ/yEDnVi2tqJ&#10;tReDgvRI+Lsnr7gDsVWQZwXIupL/2esjAAAA//8DAFBLAQItABQABgAIAAAAIQC2gziS/gAAAOEB&#10;AAATAAAAAAAAAAAAAAAAAAAAAABbQ29udGVudF9UeXBlc10ueG1sUEsBAi0AFAAGAAgAAAAhADj9&#10;If/WAAAAlAEAAAsAAAAAAAAAAAAAAAAALwEAAF9yZWxzLy5yZWxzUEsBAi0AFAAGAAgAAAAhAMZX&#10;j8MWAgAAKAQAAA4AAAAAAAAAAAAAAAAALgIAAGRycy9lMm9Eb2MueG1sUEsBAi0AFAAGAAgAAAAh&#10;AHdA/BTaAAAAAwEAAA8AAAAAAAAAAAAAAAAAcAQAAGRycy9kb3ducmV2LnhtbFBLBQYAAAAABAAE&#10;APMAAAB3BQAAAAA=&#10;" strokeweight="2pt">
                      <v:textbox>
                        <w:txbxContent>
                          <w:p w14:paraId="5517E99D" w14:textId="77777777" w:rsidR="00F47203" w:rsidRDefault="00F47203" w:rsidP="00485B40"/>
                        </w:txbxContent>
                      </v:textbox>
                      <w10:anchorlock/>
                    </v:rect>
                  </w:pict>
                </mc:Fallback>
              </mc:AlternateContent>
            </w:r>
          </w:p>
        </w:tc>
      </w:tr>
      <w:tr w:rsidR="00485B40" w:rsidRPr="00103A0B" w14:paraId="3355838D" w14:textId="77777777" w:rsidTr="00BB2420">
        <w:tc>
          <w:tcPr>
            <w:tcW w:w="7621" w:type="dxa"/>
          </w:tcPr>
          <w:p w14:paraId="378FF1A4" w14:textId="77777777" w:rsidR="00485B40" w:rsidRPr="00103A0B" w:rsidRDefault="00485B40" w:rsidP="00CD5919">
            <w:pPr>
              <w:pStyle w:val="ListParagraph"/>
              <w:numPr>
                <w:ilvl w:val="0"/>
                <w:numId w:val="15"/>
              </w:numPr>
              <w:spacing w:line="276" w:lineRule="auto"/>
              <w:jc w:val="both"/>
              <w:rPr>
                <w:rFonts w:ascii="Arial" w:hAnsi="Arial" w:cs="Arial"/>
                <w:sz w:val="24"/>
                <w:szCs w:val="24"/>
              </w:rPr>
            </w:pPr>
            <w:r w:rsidRPr="00103A0B">
              <w:rPr>
                <w:rFonts w:ascii="Arial" w:hAnsi="Arial" w:cs="Arial"/>
                <w:sz w:val="24"/>
                <w:szCs w:val="24"/>
              </w:rPr>
              <w:t>I understand that my participation is voluntary and that I am free to withdraw at any time</w:t>
            </w:r>
            <w:r w:rsidRPr="00103A0B">
              <w:rPr>
                <w:rFonts w:ascii="Arial" w:hAnsi="Arial" w:cs="Arial"/>
              </w:rPr>
              <w:t xml:space="preserve"> </w:t>
            </w:r>
            <w:r w:rsidRPr="00103A0B">
              <w:rPr>
                <w:rFonts w:ascii="Arial" w:hAnsi="Arial" w:cs="Arial"/>
                <w:sz w:val="24"/>
                <w:szCs w:val="24"/>
              </w:rPr>
              <w:t>from the research up to one week after the interview, without giving any reason, without my legal rights being affected.</w:t>
            </w:r>
          </w:p>
          <w:p w14:paraId="2835E776" w14:textId="77777777" w:rsidR="00485B40" w:rsidRPr="00103A0B" w:rsidRDefault="00485B40" w:rsidP="00CD5919">
            <w:pPr>
              <w:spacing w:line="276" w:lineRule="auto"/>
              <w:jc w:val="both"/>
              <w:rPr>
                <w:rFonts w:ascii="Arial" w:hAnsi="Arial" w:cs="Arial"/>
                <w:b/>
                <w:sz w:val="24"/>
                <w:szCs w:val="24"/>
              </w:rPr>
            </w:pPr>
          </w:p>
        </w:tc>
        <w:tc>
          <w:tcPr>
            <w:tcW w:w="907" w:type="dxa"/>
          </w:tcPr>
          <w:p w14:paraId="36FD6D43" w14:textId="31FD5ECB" w:rsidR="00485B40" w:rsidRPr="00103A0B" w:rsidRDefault="00C84E3F" w:rsidP="00CD5919">
            <w:pPr>
              <w:jc w:val="both"/>
              <w:rPr>
                <w:rFonts w:ascii="Arial" w:hAnsi="Arial" w:cs="Arial"/>
              </w:rPr>
            </w:pPr>
            <w:r w:rsidRPr="00103A0B">
              <w:rPr>
                <w:rFonts w:ascii="Arial" w:hAnsi="Arial" w:cs="Arial"/>
                <w:noProof/>
              </w:rPr>
              <mc:AlternateContent>
                <mc:Choice Requires="wps">
                  <w:drawing>
                    <wp:inline distT="0" distB="0" distL="0" distR="0" wp14:anchorId="06E26987" wp14:editId="6FC34A11">
                      <wp:extent cx="97155" cy="130175"/>
                      <wp:effectExtent l="19050" t="19050" r="17145" b="22225"/>
                      <wp:docPr id="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30175"/>
                              </a:xfrm>
                              <a:prstGeom prst="rect">
                                <a:avLst/>
                              </a:prstGeom>
                              <a:solidFill>
                                <a:srgbClr val="FFFFFF"/>
                              </a:solidFill>
                              <a:ln w="25400">
                                <a:solidFill>
                                  <a:srgbClr val="000000"/>
                                </a:solidFill>
                                <a:miter lim="800000"/>
                                <a:headEnd/>
                                <a:tailEnd/>
                              </a:ln>
                            </wps:spPr>
                            <wps:txbx>
                              <w:txbxContent>
                                <w:p w14:paraId="2B399681" w14:textId="77777777" w:rsidR="00F47203" w:rsidRDefault="00F47203" w:rsidP="00485B40"/>
                              </w:txbxContent>
                            </wps:txbx>
                            <wps:bodyPr rot="0" vert="horz" wrap="square" lIns="91440" tIns="45720" rIns="91440" bIns="45720" anchor="t" anchorCtr="0" upright="1">
                              <a:noAutofit/>
                            </wps:bodyPr>
                          </wps:wsp>
                        </a:graphicData>
                      </a:graphic>
                    </wp:inline>
                  </w:drawing>
                </mc:Choice>
                <mc:Fallback>
                  <w:pict>
                    <v:rect w14:anchorId="06E26987" id="Rectangle 181" o:spid="_x0000_s1098" style="width:7.6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ovFQIAACgEAAAOAAAAZHJzL2Uyb0RvYy54bWysU9tu2zAMfR+wfxD0vthOk6U14hRFugwD&#10;um5Atw9QZNkWJosapcTOvn6UkqbZ5WmYHgRSpI4OD6nl7dgbtlfoNdiKF5OcM2Ul1Nq2Ff/6ZfPm&#10;mjMfhK2FAasqflCe365ev1oOrlRT6MDUChmBWF8OruJdCK7MMi871Qs/AacsBRvAXgRysc1qFAOh&#10;9yab5vnbbACsHYJU3tPp/THIVwm/aZQMn5rGq8BMxYlbSDumfRv3bLUUZYvCdVqeaIh/YNELbenR&#10;M9S9CILtUP8B1WuJ4KEJEwl9Bk2jpUo1UDVF/ls1T51wKtVC4nh3lsn/P1j5uH9ynzFS9+4B5DfP&#10;LKw7YVt1hwhDp0RNzxVRqGxwvjxfiI6nq2w7fISaWit2AZIGY4N9BKTq2JikPpylVmNgkg5vFsV8&#10;zpmkSHGVF4t5ekCUz3cd+vBeQc+iUXGkRiZssX/wIXIR5XNK4g5G1xttTHKw3a4Nsr2gpm/SOqH7&#10;yzRj2VDx6XyW5wn6l6C/xMjT+htGrwONr9F9xa/PSaKMqr2zdRquILQ52sTZ2JOMUbk4pL4M43Zk&#10;uq74VdIgHm2hPpCwCMdxpe9FRgf4g7OBRrXi/vtOoOLMfLDUnJtiNouznZzZfDElBy8j28uIsJKg&#10;Kh44O5rrcPwPO4e67eilIslh4Y4a2uik9gurE38ax9SE09eJ837pp6yXD776CQAA//8DAFBLAwQU&#10;AAYACAAAACEAd0D8FNoAAAADAQAADwAAAGRycy9kb3ducmV2LnhtbEyPQUvDQBCF74L/YRnBm90Y&#10;iZaYTSmCeChCrXqfZsckmJ1Ndzft6q/v1ku9DDze471vqkU0g9iT871lBbezDARxY3XPrYKP9+eb&#10;OQgfkDUOlknBD3lY1JcXFZbaHviN9pvQilTCvkQFXQhjKaVvOjLoZ3YkTt6XdQZDkq6V2uEhlZtB&#10;5ll2Lw32nBY6HOmpo+Z7MxkF42sxvTzsVu73cz6tG1xFG/Ko1PVVXD6CCBTDOQwn/IQOdWLa2om1&#10;F4OC9Ej4uyevuAOxVZBnBci6kv/Z6yMAAAD//wMAUEsBAi0AFAAGAAgAAAAhALaDOJL+AAAA4QEA&#10;ABMAAAAAAAAAAAAAAAAAAAAAAFtDb250ZW50X1R5cGVzXS54bWxQSwECLQAUAAYACAAAACEAOP0h&#10;/9YAAACUAQAACwAAAAAAAAAAAAAAAAAvAQAAX3JlbHMvLnJlbHNQSwECLQAUAAYACAAAACEAZhl6&#10;LxUCAAAoBAAADgAAAAAAAAAAAAAAAAAuAgAAZHJzL2Uyb0RvYy54bWxQSwECLQAUAAYACAAAACEA&#10;d0D8FNoAAAADAQAADwAAAAAAAAAAAAAAAABvBAAAZHJzL2Rvd25yZXYueG1sUEsFBgAAAAAEAAQA&#10;8wAAAHYFAAAAAA==&#10;" strokeweight="2pt">
                      <v:textbox>
                        <w:txbxContent>
                          <w:p w14:paraId="2B399681" w14:textId="77777777" w:rsidR="00F47203" w:rsidRDefault="00F47203" w:rsidP="00485B40"/>
                        </w:txbxContent>
                      </v:textbox>
                      <w10:anchorlock/>
                    </v:rect>
                  </w:pict>
                </mc:Fallback>
              </mc:AlternateContent>
            </w:r>
          </w:p>
        </w:tc>
      </w:tr>
      <w:tr w:rsidR="00485B40" w:rsidRPr="00103A0B" w14:paraId="171020FC" w14:textId="77777777" w:rsidTr="00BB2420">
        <w:tc>
          <w:tcPr>
            <w:tcW w:w="7621" w:type="dxa"/>
          </w:tcPr>
          <w:p w14:paraId="72A47463" w14:textId="77777777" w:rsidR="00485B40" w:rsidRPr="00103A0B" w:rsidRDefault="00485B40" w:rsidP="00CD5919">
            <w:pPr>
              <w:pStyle w:val="ListParagraph"/>
              <w:numPr>
                <w:ilvl w:val="0"/>
                <w:numId w:val="15"/>
              </w:numPr>
              <w:spacing w:line="276" w:lineRule="auto"/>
              <w:jc w:val="both"/>
              <w:rPr>
                <w:rFonts w:ascii="Arial" w:hAnsi="Arial" w:cs="Arial"/>
                <w:sz w:val="24"/>
                <w:szCs w:val="24"/>
              </w:rPr>
            </w:pPr>
            <w:r w:rsidRPr="00103A0B">
              <w:rPr>
                <w:rFonts w:ascii="Arial" w:hAnsi="Arial" w:cs="Arial"/>
                <w:sz w:val="24"/>
                <w:szCs w:val="24"/>
              </w:rPr>
              <w:t>I agree to take part in the above study.</w:t>
            </w:r>
          </w:p>
          <w:p w14:paraId="2A11F4B3" w14:textId="77777777" w:rsidR="00485B40" w:rsidRPr="00103A0B" w:rsidRDefault="00485B40" w:rsidP="00CD5919">
            <w:pPr>
              <w:pStyle w:val="ListParagraph"/>
              <w:ind w:left="1080"/>
              <w:jc w:val="both"/>
              <w:rPr>
                <w:rFonts w:ascii="Arial" w:hAnsi="Arial" w:cs="Arial"/>
                <w:sz w:val="24"/>
                <w:szCs w:val="24"/>
              </w:rPr>
            </w:pPr>
          </w:p>
          <w:p w14:paraId="0DE53EE3" w14:textId="77777777" w:rsidR="00485B40" w:rsidRPr="00103A0B" w:rsidRDefault="00485B40" w:rsidP="00CD5919">
            <w:pPr>
              <w:pStyle w:val="ListParagraph"/>
              <w:numPr>
                <w:ilvl w:val="0"/>
                <w:numId w:val="15"/>
              </w:numPr>
              <w:spacing w:line="276" w:lineRule="auto"/>
              <w:jc w:val="both"/>
              <w:rPr>
                <w:rFonts w:ascii="Arial" w:hAnsi="Arial" w:cs="Arial"/>
                <w:sz w:val="24"/>
                <w:szCs w:val="24"/>
              </w:rPr>
            </w:pPr>
            <w:r w:rsidRPr="00103A0B">
              <w:rPr>
                <w:rFonts w:ascii="Arial" w:hAnsi="Arial" w:cs="Arial"/>
                <w:sz w:val="24"/>
                <w:szCs w:val="24"/>
              </w:rPr>
              <w:t>I agree to the data being used for a final report, in a PhD thesis and in publications.</w:t>
            </w:r>
          </w:p>
        </w:tc>
        <w:tc>
          <w:tcPr>
            <w:tcW w:w="907" w:type="dxa"/>
          </w:tcPr>
          <w:p w14:paraId="2EAA455C" w14:textId="63588609" w:rsidR="00485B40" w:rsidRPr="00103A0B" w:rsidRDefault="00C84E3F" w:rsidP="00CD5919">
            <w:pPr>
              <w:jc w:val="both"/>
              <w:rPr>
                <w:rFonts w:ascii="Arial" w:hAnsi="Arial" w:cs="Arial"/>
              </w:rPr>
            </w:pPr>
            <w:r w:rsidRPr="00103A0B">
              <w:rPr>
                <w:rFonts w:ascii="Arial" w:hAnsi="Arial" w:cs="Arial"/>
                <w:noProof/>
              </w:rPr>
              <mc:AlternateContent>
                <mc:Choice Requires="wps">
                  <w:drawing>
                    <wp:inline distT="0" distB="0" distL="0" distR="0" wp14:anchorId="13B1074A" wp14:editId="72EC03BE">
                      <wp:extent cx="97155" cy="130175"/>
                      <wp:effectExtent l="19050" t="19050" r="17145" b="22225"/>
                      <wp:docPr id="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30175"/>
                              </a:xfrm>
                              <a:prstGeom prst="rect">
                                <a:avLst/>
                              </a:prstGeom>
                              <a:solidFill>
                                <a:srgbClr val="FFFFFF"/>
                              </a:solidFill>
                              <a:ln w="25400">
                                <a:solidFill>
                                  <a:srgbClr val="000000"/>
                                </a:solidFill>
                                <a:miter lim="800000"/>
                                <a:headEnd/>
                                <a:tailEnd/>
                              </a:ln>
                            </wps:spPr>
                            <wps:txbx>
                              <w:txbxContent>
                                <w:p w14:paraId="1ACC6520" w14:textId="77777777" w:rsidR="00F47203" w:rsidRDefault="00F47203" w:rsidP="00485B40"/>
                              </w:txbxContent>
                            </wps:txbx>
                            <wps:bodyPr rot="0" vert="horz" wrap="square" lIns="91440" tIns="45720" rIns="91440" bIns="45720" anchor="t" anchorCtr="0" upright="1">
                              <a:noAutofit/>
                            </wps:bodyPr>
                          </wps:wsp>
                        </a:graphicData>
                      </a:graphic>
                    </wp:inline>
                  </w:drawing>
                </mc:Choice>
                <mc:Fallback>
                  <w:pict>
                    <v:rect w14:anchorId="13B1074A" id="Rectangle 180" o:spid="_x0000_s1099" style="width:7.6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TBFgIAACgEAAAOAAAAZHJzL2Uyb0RvYy54bWysU9tu2zAMfR+wfxD0vthOk6Y14hRFugwD&#10;ugvQ7QMUWbaFyaJGKbGzrx+lpGl2eRqmB0EUpcPDQ3J5N/aG7RV6DbbixSTnTFkJtbZtxb9+2by5&#10;4cwHYWthwKqKH5Tnd6vXr5aDK9UUOjC1QkYg1peDq3gXgiuzzMtO9cJPwClLzgawF4FMbLMaxUDo&#10;vcmmeX6dDYC1Q5DKe7p9ODr5KuE3jZLhU9N4FZipOHELace0b+OerZaibFG4TssTDfEPLHqhLQU9&#10;Qz2IINgO9R9QvZYIHpowkdBn0DRaqpQDZVPkv2Xz1AmnUi4kjndnmfz/g5Uf90/uM0bq3j2C/OaZ&#10;hXUnbKvuEWHolKgpXBGFygbny/OHaHj6yrbDB6iptGIXIGkwNthHQMqOjUnqw1lqNQYm6fJ2Uczn&#10;nEnyFFd5sZinAKJ8/uvQh3cKehYPFUcqZMIW+0cfIhdRPj9J3MHoeqONSQa227VBthdU9E1aJ3R/&#10;+cxYNlR8Op/leYL+xekvMfK0/obR60Dta3Rf8ZvzI1FG1d7aOjVXENocz8TZ2JOMUbnYpL4M43Zk&#10;uq741XWMEK+2UB9IWIRju9J40aED/MHZQK1acf99J1BxZt5bKs5tMZvF3k7GbL6YkoGXnu2lR1hJ&#10;UBUPnB2P63Cch51D3XYUqUhyWLingjY6qf3C6sSf2jEV4TQ6sd8v7fTqZcBXPwEAAP//AwBQSwME&#10;FAAGAAgAAAAhAHdA/BTaAAAAAwEAAA8AAABkcnMvZG93bnJldi54bWxMj0FLw0AQhe+C/2EZwZvd&#10;GImWmE0pgngoQq16n2bHJJidTXc37eqv79ZLvQw83uO9b6pFNIPYk/O9ZQW3swwEcWN1z62Cj/fn&#10;mzkIH5A1DpZJwQ95WNSXFxWW2h74jfab0IpUwr5EBV0IYymlbzoy6Gd2JE7el3UGQ5KuldrhIZWb&#10;QeZZdi8N9pwWOhzpqaPmezMZBeNrMb087Fbu93M+rRtcRRvyqNT1VVw+gggUwzkMJ/yEDnVi2tqJ&#10;tReDgvRI+Lsnr7gDsVWQZwXIupL/2esjAAAA//8DAFBLAQItABQABgAIAAAAIQC2gziS/gAAAOEB&#10;AAATAAAAAAAAAAAAAAAAAAAAAABbQ29udGVudF9UeXBlc10ueG1sUEsBAi0AFAAGAAgAAAAhADj9&#10;If/WAAAAlAEAAAsAAAAAAAAAAAAAAAAALwEAAF9yZWxzLy5yZWxzUEsBAi0AFAAGAAgAAAAhAMfM&#10;FMEWAgAAKAQAAA4AAAAAAAAAAAAAAAAALgIAAGRycy9lMm9Eb2MueG1sUEsBAi0AFAAGAAgAAAAh&#10;AHdA/BTaAAAAAwEAAA8AAAAAAAAAAAAAAAAAcAQAAGRycy9kb3ducmV2LnhtbFBLBQYAAAAABAAE&#10;APMAAAB3BQAAAAA=&#10;" strokeweight="2pt">
                      <v:textbox>
                        <w:txbxContent>
                          <w:p w14:paraId="1ACC6520" w14:textId="77777777" w:rsidR="00F47203" w:rsidRDefault="00F47203" w:rsidP="00485B40"/>
                        </w:txbxContent>
                      </v:textbox>
                      <w10:anchorlock/>
                    </v:rect>
                  </w:pict>
                </mc:Fallback>
              </mc:AlternateContent>
            </w:r>
          </w:p>
          <w:p w14:paraId="5533AB6B" w14:textId="091A9259" w:rsidR="00485B40" w:rsidRPr="00103A0B" w:rsidRDefault="00C84E3F" w:rsidP="00CD5919">
            <w:pPr>
              <w:jc w:val="both"/>
              <w:rPr>
                <w:rFonts w:ascii="Arial" w:hAnsi="Arial" w:cs="Arial"/>
              </w:rPr>
            </w:pPr>
            <w:r w:rsidRPr="00103A0B">
              <w:rPr>
                <w:rFonts w:ascii="Arial" w:hAnsi="Arial" w:cs="Arial"/>
                <w:noProof/>
              </w:rPr>
              <mc:AlternateContent>
                <mc:Choice Requires="wps">
                  <w:drawing>
                    <wp:anchor distT="0" distB="0" distL="114300" distR="114300" simplePos="0" relativeHeight="251673600" behindDoc="1" locked="0" layoutInCell="1" allowOverlap="1" wp14:anchorId="207162C8" wp14:editId="018C941B">
                      <wp:simplePos x="0" y="0"/>
                      <wp:positionH relativeFrom="column">
                        <wp:posOffset>162560</wp:posOffset>
                      </wp:positionH>
                      <wp:positionV relativeFrom="paragraph">
                        <wp:posOffset>288290</wp:posOffset>
                      </wp:positionV>
                      <wp:extent cx="97155" cy="130175"/>
                      <wp:effectExtent l="0" t="0" r="0" b="3175"/>
                      <wp:wrapTight wrapText="bothSides">
                        <wp:wrapPolygon edited="0">
                          <wp:start x="0" y="0"/>
                          <wp:lineTo x="0" y="22127"/>
                          <wp:lineTo x="21176" y="22127"/>
                          <wp:lineTo x="21176" y="0"/>
                          <wp:lineTo x="0" y="0"/>
                        </wp:wrapPolygon>
                      </wp:wrapTight>
                      <wp:docPr id="1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30175"/>
                              </a:xfrm>
                              <a:prstGeom prst="rect">
                                <a:avLst/>
                              </a:prstGeom>
                              <a:solidFill>
                                <a:srgbClr val="FFFFFF"/>
                              </a:solidFill>
                              <a:ln w="25400">
                                <a:solidFill>
                                  <a:srgbClr val="000000"/>
                                </a:solidFill>
                                <a:miter lim="800000"/>
                                <a:headEnd/>
                                <a:tailEnd/>
                              </a:ln>
                            </wps:spPr>
                            <wps:txbx>
                              <w:txbxContent>
                                <w:p w14:paraId="577CEE28" w14:textId="77777777" w:rsidR="00F47203" w:rsidRDefault="00F47203" w:rsidP="00485B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162C8" id="_x0000_s1100" style="position:absolute;left:0;text-align:left;margin-left:12.8pt;margin-top:22.7pt;width:7.65pt;height:1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EtFgIAACgEAAAOAAAAZHJzL2Uyb0RvYy54bWysU9tu2zAMfR+wfxD0vthOk6U14hRFugwD&#10;um5Atw9QZNkWJosapcTOvn6UkqbZ5WmYHgRRlA4PD8nl7dgbtlfoNdiKF5OcM2Ul1Nq2Ff/6ZfPm&#10;mjMfhK2FAasqflCe365ev1oOrlRT6MDUChmBWF8OruJdCK7MMi871Qs/AacsORvAXgQysc1qFAOh&#10;9yab5vnbbACsHYJU3tPt/dHJVwm/aZQMn5rGq8BMxYlbSDumfRv3bLUUZYvCdVqeaIh/YNELbSno&#10;GepeBMF2qP+A6rVE8NCEiYQ+g6bRUqUcKJsi/y2bp044lXIhcbw7y+T/H6x83D+5zxipe/cA8ptn&#10;FtadsK26Q4ShU6KmcEUUKhucL88fouHpK9sOH6Gm0opdgKTB2GAfASk7NiapD2ep1RiYpMubRTGf&#10;cybJU1zlxWKeAojy+a9DH94r6Fk8VBypkAlb7B98iFxE+fwkcQej6402JhnYbtcG2V5Q0TdpndD9&#10;5TNj2VDx6XyW5wn6F6e/xMjT+htGrwO1r9F9xa/Pj0QZVXtn69RcQWhzPBNnY08yRuVik/oyjNuR&#10;6briV4sYIV5toT6QsAjHdqXxokMH+IOzgVq14v77TqDizHywVJybYjaLvZ2M2XwxJQMvPdtLj7CS&#10;oCoeODse1+E4DzuHuu0oUpHksHBHBW10UvuF1Yk/tWMqwml0Yr9f2unVy4CvfgIAAP//AwBQSwME&#10;FAAGAAgAAAAhANDhj/TdAAAABwEAAA8AAABkcnMvZG93bnJldi54bWxMjsFOwzAQRO9I/IO1SNyo&#10;Q5SENo1TISTEoUKihd638ZJExOsQO63h6zEnOI5m9OZVm2AGcaLJ9ZYV3C4SEMSN1T23Ct5eH2+W&#10;IJxH1jhYJgVf5GBTX15UWGp75h2d9r4VEcKuRAWd92MppWs6MugWdiSO3budDPoYp1bqCc8RbgaZ&#10;JkkhDfYcHzoc6aGj5mM/GwXjcz4/3X1up+/Dcn5pcBusT4NS11fhfg3CU/B/Y/jVj+pQR6ejnVk7&#10;MShI8yIuFWR5BiL2WbICcVRQ5CuQdSX/+9c/AAAA//8DAFBLAQItABQABgAIAAAAIQC2gziS/gAA&#10;AOEBAAATAAAAAAAAAAAAAAAAAAAAAABbQ29udGVudF9UeXBlc10ueG1sUEsBAi0AFAAGAAgAAAAh&#10;ADj9If/WAAAAlAEAAAsAAAAAAAAAAAAAAAAALwEAAF9yZWxzLy5yZWxzUEsBAi0AFAAGAAgAAAAh&#10;AGeC4S0WAgAAKAQAAA4AAAAAAAAAAAAAAAAALgIAAGRycy9lMm9Eb2MueG1sUEsBAi0AFAAGAAgA&#10;AAAhANDhj/TdAAAABwEAAA8AAAAAAAAAAAAAAAAAcAQAAGRycy9kb3ducmV2LnhtbFBLBQYAAAAA&#10;BAAEAPMAAAB6BQAAAAA=&#10;" strokeweight="2pt">
                      <v:textbox>
                        <w:txbxContent>
                          <w:p w14:paraId="577CEE28" w14:textId="77777777" w:rsidR="00F47203" w:rsidRDefault="00F47203" w:rsidP="00485B40"/>
                        </w:txbxContent>
                      </v:textbox>
                      <w10:wrap type="tight"/>
                    </v:rect>
                  </w:pict>
                </mc:Fallback>
              </mc:AlternateContent>
            </w:r>
          </w:p>
          <w:p w14:paraId="3A440F46" w14:textId="77777777" w:rsidR="00485B40" w:rsidRPr="00103A0B" w:rsidRDefault="00485B40" w:rsidP="00CD5919">
            <w:pPr>
              <w:jc w:val="both"/>
              <w:rPr>
                <w:rFonts w:ascii="Arial" w:hAnsi="Arial" w:cs="Arial"/>
              </w:rPr>
            </w:pPr>
          </w:p>
          <w:p w14:paraId="600ABD61" w14:textId="77777777" w:rsidR="00485B40" w:rsidRPr="00103A0B" w:rsidRDefault="00485B40" w:rsidP="00CD5919">
            <w:pPr>
              <w:jc w:val="both"/>
              <w:rPr>
                <w:rFonts w:ascii="Arial" w:hAnsi="Arial" w:cs="Arial"/>
              </w:rPr>
            </w:pPr>
          </w:p>
        </w:tc>
      </w:tr>
    </w:tbl>
    <w:p w14:paraId="60CE28DB"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60023412"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4F948090"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r>
      <w:r w:rsidRPr="00103A0B">
        <w:rPr>
          <w:rFonts w:ascii="Arial" w:eastAsia="Times New Roman" w:hAnsi="Arial" w:cs="Arial"/>
          <w:sz w:val="24"/>
          <w:szCs w:val="24"/>
          <w:lang w:eastAsia="en-GB"/>
        </w:rPr>
        <w:softHyphen/>
        <w:t>Name of participant:</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Date:</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Signature:</w:t>
      </w:r>
    </w:p>
    <w:p w14:paraId="0F14EEFB"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3120BE6B"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_____________________</w:t>
      </w:r>
      <w:r w:rsidRPr="00103A0B">
        <w:rPr>
          <w:rFonts w:ascii="Arial" w:eastAsia="Times New Roman" w:hAnsi="Arial" w:cs="Arial"/>
          <w:sz w:val="24"/>
          <w:szCs w:val="24"/>
          <w:lang w:eastAsia="en-GB"/>
        </w:rPr>
        <w:tab/>
        <w:t>_________</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________________</w:t>
      </w:r>
    </w:p>
    <w:p w14:paraId="5035E14B"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3E10CC98"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2585AE99"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Researcher Name:</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Date:</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Signature:</w:t>
      </w:r>
    </w:p>
    <w:p w14:paraId="1487F315" w14:textId="77777777" w:rsidR="00485B40" w:rsidRPr="00103A0B" w:rsidRDefault="00485B40" w:rsidP="00CD5919">
      <w:pPr>
        <w:spacing w:after="0" w:line="240" w:lineRule="auto"/>
        <w:jc w:val="both"/>
        <w:rPr>
          <w:rFonts w:ascii="Arial" w:eastAsia="Times New Roman" w:hAnsi="Arial" w:cs="Arial"/>
          <w:sz w:val="24"/>
          <w:szCs w:val="24"/>
          <w:lang w:eastAsia="en-GB"/>
        </w:rPr>
      </w:pPr>
    </w:p>
    <w:p w14:paraId="3E853BC1" w14:textId="77777777" w:rsidR="00485B40" w:rsidRPr="00103A0B" w:rsidRDefault="00485B40" w:rsidP="00CD5919">
      <w:pPr>
        <w:spacing w:after="0"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_____________________</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_________</w:t>
      </w:r>
      <w:r w:rsidRPr="00103A0B">
        <w:rPr>
          <w:rFonts w:ascii="Arial" w:eastAsia="Times New Roman" w:hAnsi="Arial" w:cs="Arial"/>
          <w:sz w:val="24"/>
          <w:szCs w:val="24"/>
          <w:lang w:eastAsia="en-GB"/>
        </w:rPr>
        <w:tab/>
      </w:r>
      <w:r w:rsidRPr="00103A0B">
        <w:rPr>
          <w:rFonts w:ascii="Arial" w:eastAsia="Times New Roman" w:hAnsi="Arial" w:cs="Arial"/>
          <w:sz w:val="24"/>
          <w:szCs w:val="24"/>
          <w:lang w:eastAsia="en-GB"/>
        </w:rPr>
        <w:tab/>
        <w:t>________________</w:t>
      </w:r>
    </w:p>
    <w:p w14:paraId="18522DC3" w14:textId="77777777" w:rsidR="00485B40" w:rsidRPr="00103A0B" w:rsidRDefault="00485B40" w:rsidP="00CD5919">
      <w:pPr>
        <w:jc w:val="both"/>
        <w:rPr>
          <w:lang w:val="en-US" w:eastAsia="ja-JP"/>
        </w:rPr>
      </w:pPr>
    </w:p>
    <w:p w14:paraId="43D22C4D" w14:textId="77777777" w:rsidR="00485B40" w:rsidRPr="00103A0B" w:rsidRDefault="00485B40" w:rsidP="00CD5919">
      <w:pPr>
        <w:jc w:val="both"/>
        <w:rPr>
          <w:lang w:val="en-US" w:eastAsia="en-GB" w:bidi="en-US"/>
        </w:rPr>
      </w:pPr>
    </w:p>
    <w:p w14:paraId="77A0E8BC" w14:textId="77777777" w:rsidR="00485B40" w:rsidRPr="00103A0B" w:rsidRDefault="00485B40" w:rsidP="00CD5919">
      <w:pPr>
        <w:jc w:val="both"/>
        <w:rPr>
          <w:lang w:eastAsia="en-GB" w:bidi="en-US"/>
        </w:rPr>
      </w:pPr>
    </w:p>
    <w:p w14:paraId="7A4A1B73" w14:textId="080BFE2C" w:rsidR="00587808" w:rsidRPr="00103A0B" w:rsidRDefault="00587808" w:rsidP="00CD5919">
      <w:pPr>
        <w:spacing w:line="360" w:lineRule="auto"/>
        <w:jc w:val="both"/>
        <w:rPr>
          <w:rFonts w:ascii="Arial" w:hAnsi="Arial" w:cs="Arial"/>
          <w:lang w:bidi="en-US"/>
        </w:rPr>
      </w:pPr>
    </w:p>
    <w:p w14:paraId="617C6654" w14:textId="77777777" w:rsidR="00C13876" w:rsidRPr="00103A0B" w:rsidRDefault="00C13876" w:rsidP="00CD5919">
      <w:pPr>
        <w:jc w:val="both"/>
        <w:rPr>
          <w:rFonts w:ascii="Arial" w:hAnsi="Arial" w:cs="Arial"/>
          <w:b/>
          <w:bCs/>
          <w:sz w:val="24"/>
          <w:szCs w:val="24"/>
        </w:rPr>
      </w:pPr>
    </w:p>
    <w:p w14:paraId="67FC3719" w14:textId="77777777" w:rsidR="0048357F" w:rsidRPr="00103A0B" w:rsidRDefault="0048357F" w:rsidP="00CD5919">
      <w:pPr>
        <w:jc w:val="both"/>
        <w:rPr>
          <w:rFonts w:ascii="Arial" w:hAnsi="Arial" w:cs="Arial"/>
          <w:b/>
          <w:bCs/>
          <w:sz w:val="24"/>
          <w:szCs w:val="24"/>
        </w:rPr>
      </w:pPr>
    </w:p>
    <w:p w14:paraId="4F2286F8" w14:textId="73C224D6" w:rsidR="00587808" w:rsidRPr="00103A0B" w:rsidRDefault="00485B40" w:rsidP="00CD5919">
      <w:pPr>
        <w:jc w:val="both"/>
        <w:rPr>
          <w:rFonts w:ascii="Arial" w:hAnsi="Arial" w:cs="Arial"/>
          <w:b/>
          <w:bCs/>
          <w:sz w:val="28"/>
          <w:szCs w:val="28"/>
        </w:rPr>
      </w:pPr>
      <w:r w:rsidRPr="00103A0B">
        <w:rPr>
          <w:rFonts w:ascii="Arial" w:hAnsi="Arial" w:cs="Arial"/>
          <w:b/>
          <w:bCs/>
          <w:sz w:val="28"/>
          <w:szCs w:val="28"/>
        </w:rPr>
        <w:t>Appendix 1</w:t>
      </w:r>
      <w:r w:rsidR="00630873" w:rsidRPr="00103A0B">
        <w:rPr>
          <w:rFonts w:ascii="Arial" w:hAnsi="Arial" w:cs="Arial"/>
          <w:b/>
          <w:bCs/>
          <w:sz w:val="28"/>
          <w:szCs w:val="28"/>
        </w:rPr>
        <w:t>8</w:t>
      </w:r>
      <w:r w:rsidRPr="00103A0B">
        <w:rPr>
          <w:rFonts w:ascii="Arial" w:hAnsi="Arial" w:cs="Arial"/>
          <w:b/>
          <w:bCs/>
          <w:sz w:val="28"/>
          <w:szCs w:val="28"/>
        </w:rPr>
        <w:t>: Debrief form (</w:t>
      </w:r>
      <w:r w:rsidR="00C13876" w:rsidRPr="00103A0B">
        <w:rPr>
          <w:rFonts w:ascii="Arial" w:hAnsi="Arial" w:cs="Arial"/>
          <w:b/>
          <w:bCs/>
          <w:sz w:val="28"/>
          <w:szCs w:val="28"/>
        </w:rPr>
        <w:t>C</w:t>
      </w:r>
      <w:r w:rsidRPr="00103A0B">
        <w:rPr>
          <w:rFonts w:ascii="Arial" w:hAnsi="Arial" w:cs="Arial"/>
          <w:b/>
          <w:bCs/>
          <w:sz w:val="28"/>
          <w:szCs w:val="28"/>
        </w:rPr>
        <w:t>hapter 5)</w:t>
      </w:r>
    </w:p>
    <w:p w14:paraId="6BE06242" w14:textId="77777777" w:rsidR="00485B40" w:rsidRPr="00103A0B" w:rsidRDefault="00485B40" w:rsidP="00CD5919">
      <w:pPr>
        <w:jc w:val="both"/>
        <w:rPr>
          <w:rFonts w:ascii="Arial" w:hAnsi="Arial" w:cs="Arial"/>
          <w:b/>
          <w:bCs/>
          <w:sz w:val="32"/>
          <w:szCs w:val="32"/>
        </w:rPr>
      </w:pPr>
      <w:bookmarkStart w:id="426" w:name="_Toc465083858"/>
      <w:bookmarkEnd w:id="426"/>
      <w:r w:rsidRPr="00103A0B">
        <w:rPr>
          <w:rFonts w:ascii="Arial" w:hAnsi="Arial" w:cs="Arial"/>
          <w:b/>
          <w:bCs/>
          <w:noProof/>
          <w:sz w:val="32"/>
          <w:szCs w:val="32"/>
          <w:lang w:eastAsia="en-GB"/>
        </w:rPr>
        <w:drawing>
          <wp:anchor distT="0" distB="0" distL="114300" distR="114300" simplePos="0" relativeHeight="251658752" behindDoc="1" locked="0" layoutInCell="1" allowOverlap="1" wp14:anchorId="12C896F0" wp14:editId="345322E5">
            <wp:simplePos x="0" y="0"/>
            <wp:positionH relativeFrom="margin">
              <wp:align>right</wp:align>
            </wp:positionH>
            <wp:positionV relativeFrom="paragraph">
              <wp:posOffset>0</wp:posOffset>
            </wp:positionV>
            <wp:extent cx="640080" cy="676910"/>
            <wp:effectExtent l="0" t="0" r="7620" b="8890"/>
            <wp:wrapTight wrapText="bothSides">
              <wp:wrapPolygon edited="0">
                <wp:start x="0" y="0"/>
                <wp:lineTo x="0" y="21276"/>
                <wp:lineTo x="21214" y="21276"/>
                <wp:lineTo x="21214"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 cy="676910"/>
                    </a:xfrm>
                    <a:prstGeom prst="rect">
                      <a:avLst/>
                    </a:prstGeom>
                    <a:noFill/>
                  </pic:spPr>
                </pic:pic>
              </a:graphicData>
            </a:graphic>
          </wp:anchor>
        </w:drawing>
      </w:r>
      <w:r w:rsidRPr="00103A0B">
        <w:rPr>
          <w:rFonts w:ascii="Arial" w:hAnsi="Arial" w:cs="Arial"/>
          <w:b/>
          <w:bCs/>
          <w:sz w:val="32"/>
          <w:szCs w:val="32"/>
        </w:rPr>
        <w:t>Study of uptake of the NHS Diabetes Prevention Programme: Debrief Form</w:t>
      </w:r>
    </w:p>
    <w:p w14:paraId="1A2660BC"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proofErr w:type="gramStart"/>
      <w:r w:rsidRPr="00103A0B">
        <w:rPr>
          <w:rFonts w:ascii="Arial" w:eastAsia="Times New Roman" w:hAnsi="Arial" w:cs="Arial"/>
          <w:sz w:val="24"/>
          <w:szCs w:val="24"/>
          <w:lang w:eastAsia="en-GB"/>
        </w:rPr>
        <w:t>Date:…</w:t>
      </w:r>
      <w:proofErr w:type="gramEnd"/>
      <w:r w:rsidRPr="00103A0B">
        <w:rPr>
          <w:rFonts w:ascii="Arial" w:eastAsia="Times New Roman" w:hAnsi="Arial" w:cs="Arial"/>
          <w:sz w:val="24"/>
          <w:szCs w:val="24"/>
          <w:lang w:eastAsia="en-GB"/>
        </w:rPr>
        <w:t>……………</w:t>
      </w:r>
    </w:p>
    <w:p w14:paraId="4D59CF5B"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Dear Participant, </w:t>
      </w:r>
    </w:p>
    <w:p w14:paraId="0974C5B5"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Thank you for participating in this study. The purpose of this study is to better understand how to make the NHS Diabetes Prevention Programme more accessible and appealing to patients.  </w:t>
      </w:r>
    </w:p>
    <w:p w14:paraId="5FD15697"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You completed an audio recorded interview to look at your views and opinions of this prevention programme. The reason for asking you to complete this task is because this project is looking at the views and experiences of participants who were offered this programme.  </w:t>
      </w:r>
    </w:p>
    <w:p w14:paraId="7CF3D4A4"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Your name will be replaced with a pseudonym (replacement name) where appropriate. Your details of participation will not be shared with anyone else. If the research is published, the pseudonym will be used in placement of your real name so that you are not identifiable. </w:t>
      </w:r>
    </w:p>
    <w:p w14:paraId="31318619"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As stated in the participant information sheet, you still have a right to withdraw from the research up to one week after the date on this form. If you would like to withdraw from the research, please email the researcher on the contact details below and your information will be destroyed.  </w:t>
      </w:r>
    </w:p>
    <w:p w14:paraId="53F243EC"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Whilst a lot is being done and will be done to encourage people to attend the NHS Diabetes Prevention Programme, more research is needed to find the most effective way of encouraging people to attend this programme. Data collected will be used to improve practice in this area. </w:t>
      </w:r>
    </w:p>
    <w:p w14:paraId="1024A295"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If you would like to know more about my results or if you have any questions or concerns about the research, you can email me on: Sonia.Begum@research.staffs.ac.uk </w:t>
      </w:r>
    </w:p>
    <w:p w14:paraId="687DEC8B" w14:textId="5AA33FA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If you would like to discuss the programme in more detail, or would like more information or support, please see the links below, or speak to your GP or </w:t>
      </w:r>
      <w:r w:rsidR="00C54363" w:rsidRPr="00103A0B">
        <w:rPr>
          <w:rFonts w:ascii="Arial" w:eastAsia="Times New Roman" w:hAnsi="Arial" w:cs="Arial"/>
          <w:sz w:val="24"/>
          <w:szCs w:val="24"/>
          <w:lang w:eastAsia="en-GB"/>
        </w:rPr>
        <w:t>local provider</w:t>
      </w:r>
      <w:r w:rsidRPr="00103A0B">
        <w:rPr>
          <w:rFonts w:ascii="Arial" w:eastAsia="Times New Roman" w:hAnsi="Arial" w:cs="Arial"/>
          <w:sz w:val="24"/>
          <w:szCs w:val="24"/>
          <w:lang w:eastAsia="en-GB"/>
        </w:rPr>
        <w:t>. </w:t>
      </w:r>
    </w:p>
    <w:p w14:paraId="41E87619"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Information about the NHS Diabetes Prevention programme:</w:t>
      </w:r>
    </w:p>
    <w:p w14:paraId="0E07829D" w14:textId="77777777" w:rsidR="00485B40" w:rsidRPr="00103A0B" w:rsidRDefault="00000000" w:rsidP="00CD5919">
      <w:pPr>
        <w:spacing w:before="100" w:beforeAutospacing="1" w:after="100" w:afterAutospacing="1" w:line="240" w:lineRule="auto"/>
        <w:jc w:val="both"/>
        <w:rPr>
          <w:rFonts w:ascii="Arial" w:eastAsia="Times New Roman" w:hAnsi="Arial" w:cs="Arial"/>
          <w:sz w:val="24"/>
          <w:szCs w:val="24"/>
          <w:lang w:eastAsia="en-GB"/>
        </w:rPr>
      </w:pPr>
      <w:hyperlink r:id="rId46" w:history="1">
        <w:r w:rsidR="00485B40" w:rsidRPr="00103A0B">
          <w:rPr>
            <w:rStyle w:val="Hyperlink"/>
            <w:rFonts w:ascii="Arial" w:eastAsia="Times New Roman" w:hAnsi="Arial" w:cs="Arial"/>
            <w:szCs w:val="24"/>
            <w:lang w:eastAsia="en-GB"/>
          </w:rPr>
          <w:t>https://www.england.nhs.uk/ourwork/qual-clin-lead/diabetes-prevention/</w:t>
        </w:r>
      </w:hyperlink>
      <w:r w:rsidR="00485B40" w:rsidRPr="00103A0B">
        <w:rPr>
          <w:rFonts w:ascii="Arial" w:eastAsia="Times New Roman" w:hAnsi="Arial" w:cs="Arial"/>
          <w:sz w:val="24"/>
          <w:szCs w:val="24"/>
          <w:lang w:eastAsia="en-GB"/>
        </w:rPr>
        <w:t xml:space="preserve"> </w:t>
      </w:r>
    </w:p>
    <w:p w14:paraId="512A793B" w14:textId="77777777" w:rsidR="00485B40" w:rsidRPr="00103A0B" w:rsidRDefault="00485B40"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Information and support about Type 2 Diabetes:  </w:t>
      </w:r>
    </w:p>
    <w:p w14:paraId="5F9B823E" w14:textId="0028953B" w:rsidR="00485B40" w:rsidRPr="00103A0B" w:rsidRDefault="00000000" w:rsidP="00CD5919">
      <w:pPr>
        <w:jc w:val="both"/>
        <w:rPr>
          <w:rFonts w:ascii="Arial" w:hAnsi="Arial" w:cs="Arial"/>
          <w:lang w:val="en-US" w:eastAsia="ja-JP"/>
        </w:rPr>
      </w:pPr>
      <w:hyperlink r:id="rId47" w:history="1">
        <w:r w:rsidR="00485B40" w:rsidRPr="00103A0B">
          <w:rPr>
            <w:rStyle w:val="Hyperlink"/>
            <w:rFonts w:ascii="Arial" w:eastAsia="Times New Roman" w:hAnsi="Arial" w:cs="Arial"/>
            <w:szCs w:val="24"/>
            <w:lang w:eastAsia="en-GB"/>
          </w:rPr>
          <w:t>https://www.diabetes.org.uk/</w:t>
        </w:r>
      </w:hyperlink>
      <w:r w:rsidR="00485B40" w:rsidRPr="00103A0B">
        <w:rPr>
          <w:rFonts w:ascii="Arial" w:eastAsia="Times New Roman" w:hAnsi="Arial" w:cs="Arial"/>
          <w:sz w:val="24"/>
          <w:szCs w:val="24"/>
          <w:lang w:eastAsia="en-GB"/>
        </w:rPr>
        <w:t xml:space="preserve"> </w:t>
      </w:r>
    </w:p>
    <w:p w14:paraId="15051FCA" w14:textId="77777777" w:rsidR="00C13876" w:rsidRPr="00103A0B" w:rsidRDefault="00474FC2" w:rsidP="00CD5919">
      <w:pPr>
        <w:jc w:val="both"/>
      </w:pPr>
      <w:r w:rsidRPr="00103A0B">
        <w:lastRenderedPageBreak/>
        <w:t xml:space="preserve"> </w:t>
      </w:r>
    </w:p>
    <w:p w14:paraId="77C5AF9C" w14:textId="3DCC93D3" w:rsidR="00485B40" w:rsidRPr="00103A0B" w:rsidRDefault="00485B40" w:rsidP="00CD5919">
      <w:pPr>
        <w:jc w:val="both"/>
        <w:rPr>
          <w:rFonts w:ascii="Arial" w:hAnsi="Arial" w:cs="Arial"/>
          <w:b/>
          <w:bCs/>
          <w:sz w:val="28"/>
          <w:szCs w:val="28"/>
        </w:rPr>
      </w:pPr>
      <w:r w:rsidRPr="00103A0B">
        <w:rPr>
          <w:rFonts w:ascii="Arial" w:hAnsi="Arial" w:cs="Arial"/>
          <w:b/>
          <w:bCs/>
          <w:sz w:val="28"/>
          <w:szCs w:val="28"/>
        </w:rPr>
        <w:t>Appendix 1</w:t>
      </w:r>
      <w:r w:rsidR="00630873" w:rsidRPr="00103A0B">
        <w:rPr>
          <w:rFonts w:ascii="Arial" w:hAnsi="Arial" w:cs="Arial"/>
          <w:b/>
          <w:bCs/>
          <w:sz w:val="28"/>
          <w:szCs w:val="28"/>
        </w:rPr>
        <w:t>9</w:t>
      </w:r>
      <w:r w:rsidRPr="00103A0B">
        <w:rPr>
          <w:rFonts w:ascii="Arial" w:hAnsi="Arial" w:cs="Arial"/>
          <w:b/>
          <w:bCs/>
          <w:sz w:val="28"/>
          <w:szCs w:val="28"/>
        </w:rPr>
        <w:t>: Debrief form (</w:t>
      </w:r>
      <w:r w:rsidR="00C13876" w:rsidRPr="00103A0B">
        <w:rPr>
          <w:rFonts w:ascii="Arial" w:hAnsi="Arial" w:cs="Arial"/>
          <w:b/>
          <w:bCs/>
          <w:sz w:val="28"/>
          <w:szCs w:val="28"/>
        </w:rPr>
        <w:t>C</w:t>
      </w:r>
      <w:r w:rsidRPr="00103A0B">
        <w:rPr>
          <w:rFonts w:ascii="Arial" w:hAnsi="Arial" w:cs="Arial"/>
          <w:b/>
          <w:bCs/>
          <w:sz w:val="28"/>
          <w:szCs w:val="28"/>
        </w:rPr>
        <w:t>hapter 6)</w:t>
      </w:r>
    </w:p>
    <w:p w14:paraId="43AAEB25" w14:textId="77777777" w:rsidR="00474FC2" w:rsidRPr="00103A0B" w:rsidRDefault="00474FC2" w:rsidP="00CD5919">
      <w:pPr>
        <w:jc w:val="both"/>
        <w:rPr>
          <w:rFonts w:ascii="Arial" w:hAnsi="Arial" w:cs="Arial"/>
          <w:b/>
          <w:bCs/>
          <w:sz w:val="36"/>
          <w:szCs w:val="36"/>
        </w:rPr>
      </w:pPr>
      <w:bookmarkStart w:id="427" w:name="_Toc465083859"/>
      <w:r w:rsidRPr="00103A0B">
        <w:rPr>
          <w:rFonts w:ascii="Arial" w:hAnsi="Arial" w:cs="Arial"/>
          <w:b/>
          <w:bCs/>
          <w:noProof/>
          <w:sz w:val="36"/>
          <w:szCs w:val="36"/>
          <w:lang w:eastAsia="en-GB"/>
        </w:rPr>
        <w:drawing>
          <wp:anchor distT="0" distB="0" distL="114300" distR="114300" simplePos="0" relativeHeight="251657728" behindDoc="1" locked="0" layoutInCell="1" allowOverlap="1" wp14:anchorId="38C0E34E" wp14:editId="5ADCF2A3">
            <wp:simplePos x="0" y="0"/>
            <wp:positionH relativeFrom="column">
              <wp:posOffset>5478780</wp:posOffset>
            </wp:positionH>
            <wp:positionV relativeFrom="paragraph">
              <wp:posOffset>19050</wp:posOffset>
            </wp:positionV>
            <wp:extent cx="640080" cy="676910"/>
            <wp:effectExtent l="0" t="0" r="7620" b="8890"/>
            <wp:wrapTight wrapText="bothSides">
              <wp:wrapPolygon edited="0">
                <wp:start x="0" y="0"/>
                <wp:lineTo x="0" y="21276"/>
                <wp:lineTo x="21214" y="21276"/>
                <wp:lineTo x="21214"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 cy="676910"/>
                    </a:xfrm>
                    <a:prstGeom prst="rect">
                      <a:avLst/>
                    </a:prstGeom>
                    <a:noFill/>
                  </pic:spPr>
                </pic:pic>
              </a:graphicData>
            </a:graphic>
          </wp:anchor>
        </w:drawing>
      </w:r>
      <w:bookmarkEnd w:id="427"/>
      <w:r w:rsidRPr="00103A0B">
        <w:rPr>
          <w:rFonts w:ascii="Arial" w:hAnsi="Arial" w:cs="Arial"/>
          <w:b/>
          <w:bCs/>
          <w:sz w:val="36"/>
          <w:szCs w:val="36"/>
        </w:rPr>
        <w:t>Views and experiences of the NHS Diabetes Prevention Programme:</w:t>
      </w:r>
    </w:p>
    <w:p w14:paraId="627135FD" w14:textId="77777777" w:rsidR="00474FC2" w:rsidRPr="00103A0B" w:rsidRDefault="00474FC2" w:rsidP="00CD5919">
      <w:pPr>
        <w:jc w:val="both"/>
        <w:rPr>
          <w:rFonts w:ascii="Arial" w:hAnsi="Arial" w:cs="Arial"/>
          <w:b/>
          <w:sz w:val="28"/>
          <w:szCs w:val="28"/>
        </w:rPr>
      </w:pPr>
      <w:r w:rsidRPr="00103A0B">
        <w:rPr>
          <w:rFonts w:ascii="Arial" w:hAnsi="Arial" w:cs="Arial"/>
          <w:b/>
          <w:sz w:val="28"/>
          <w:szCs w:val="28"/>
        </w:rPr>
        <w:t>Debrief Form</w:t>
      </w:r>
    </w:p>
    <w:p w14:paraId="5005E062" w14:textId="6FA9DC31" w:rsidR="00474FC2" w:rsidRPr="00103A0B" w:rsidRDefault="00474FC2" w:rsidP="00CD5919">
      <w:pPr>
        <w:jc w:val="both"/>
        <w:rPr>
          <w:rFonts w:ascii="Arial" w:hAnsi="Arial" w:cs="Arial"/>
          <w:b/>
          <w:sz w:val="28"/>
          <w:szCs w:val="28"/>
        </w:rPr>
      </w:pPr>
      <w:r w:rsidRPr="00103A0B">
        <w:rPr>
          <w:rFonts w:ascii="Arial" w:eastAsia="Times New Roman" w:hAnsi="Arial" w:cs="Arial"/>
          <w:sz w:val="24"/>
          <w:szCs w:val="24"/>
          <w:lang w:eastAsia="en-GB"/>
        </w:rPr>
        <w:t>Date: 11/12/2018</w:t>
      </w:r>
    </w:p>
    <w:p w14:paraId="1AD466FB" w14:textId="77777777"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Dear Participant,  </w:t>
      </w:r>
    </w:p>
    <w:p w14:paraId="53F0370D" w14:textId="38471A9A"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Thank you for participating in this study. The purpose of this study is to better understand how to make the NHS Diabetes Prevention Programme more accessible and appealing to patients.  </w:t>
      </w:r>
    </w:p>
    <w:p w14:paraId="417CD63F" w14:textId="77777777"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You completed an audio recorded interview to look at your views and opinions of this prevention programme. The reason for asking you to complete this task is because this project is looking at the views and experiences of participants who were offered this programme.  </w:t>
      </w:r>
    </w:p>
    <w:p w14:paraId="6D3417A2" w14:textId="77777777"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Your name will be replaced with a pseudonym (replacement name) where appropriate. Your details of participation will not be shared with anyone else. If the research is published, the pseudonym will be used in placement of your real name so that you are not identifiable. </w:t>
      </w:r>
    </w:p>
    <w:p w14:paraId="027B9F83" w14:textId="77777777"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As stated in the participant information sheet, you still have a right to withdraw from the research up to one week after the date on this form. If you would like to withdraw from the research, please email the researcher on the contact details below and your information will be destroyed.  </w:t>
      </w:r>
    </w:p>
    <w:p w14:paraId="5BA3093A" w14:textId="77777777"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Whilst a lot is being done and will be done to encourage people to complete the NHS Diabetes Prevention Programme, more research is needed to find the most effective way of encouraging people to complete this programme. Data collected will be used to improve practice in this area. </w:t>
      </w:r>
    </w:p>
    <w:p w14:paraId="18A5EF76" w14:textId="77777777"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If you would like to know more about my results or if you have any questions or concerns about the research, you can email me on: Sonia.Begum@research.staffs.ac.uk </w:t>
      </w:r>
    </w:p>
    <w:p w14:paraId="30E02FE0" w14:textId="332CB00A"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If you would like to discuss the programme in more detail, or would like more information or support, please see the links below, or speak to your GP or </w:t>
      </w:r>
      <w:r w:rsidR="00C54363" w:rsidRPr="00103A0B">
        <w:rPr>
          <w:rFonts w:ascii="Arial" w:eastAsia="Times New Roman" w:hAnsi="Arial" w:cs="Arial"/>
          <w:sz w:val="24"/>
          <w:szCs w:val="24"/>
          <w:lang w:eastAsia="en-GB"/>
        </w:rPr>
        <w:t>local provider</w:t>
      </w:r>
      <w:r w:rsidRPr="00103A0B">
        <w:rPr>
          <w:rFonts w:ascii="Arial" w:eastAsia="Times New Roman" w:hAnsi="Arial" w:cs="Arial"/>
          <w:sz w:val="24"/>
          <w:szCs w:val="24"/>
          <w:lang w:eastAsia="en-GB"/>
        </w:rPr>
        <w:t xml:space="preserve">.  </w:t>
      </w:r>
    </w:p>
    <w:p w14:paraId="4FD434F3" w14:textId="375560F3"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Information about the NHS Diabetes Prevention programme: </w:t>
      </w:r>
      <w:hyperlink r:id="rId48" w:history="1">
        <w:r w:rsidRPr="00103A0B">
          <w:rPr>
            <w:rStyle w:val="Hyperlink"/>
            <w:rFonts w:ascii="Arial" w:eastAsia="Times New Roman" w:hAnsi="Arial" w:cs="Arial"/>
            <w:sz w:val="24"/>
            <w:szCs w:val="24"/>
          </w:rPr>
          <w:t>https://www.england.nhs.uk/ourwork/qual-clin-lead/diabetes-prevention/</w:t>
        </w:r>
      </w:hyperlink>
      <w:r w:rsidRPr="00103A0B">
        <w:rPr>
          <w:rFonts w:ascii="Arial" w:eastAsia="Times New Roman" w:hAnsi="Arial" w:cs="Arial"/>
          <w:sz w:val="24"/>
          <w:szCs w:val="24"/>
          <w:lang w:eastAsia="en-GB"/>
        </w:rPr>
        <w:t xml:space="preserve"> </w:t>
      </w:r>
    </w:p>
    <w:p w14:paraId="6FF8D99A" w14:textId="2AEA97E2" w:rsidR="00474FC2" w:rsidRPr="00103A0B" w:rsidRDefault="00474FC2" w:rsidP="00CD5919">
      <w:pPr>
        <w:spacing w:before="100" w:beforeAutospacing="1" w:after="100" w:afterAutospacing="1" w:line="240" w:lineRule="auto"/>
        <w:jc w:val="both"/>
        <w:rPr>
          <w:rFonts w:ascii="Arial" w:eastAsia="Times New Roman" w:hAnsi="Arial" w:cs="Arial"/>
          <w:sz w:val="24"/>
          <w:szCs w:val="24"/>
          <w:lang w:eastAsia="en-GB"/>
        </w:rPr>
      </w:pPr>
      <w:r w:rsidRPr="00103A0B">
        <w:rPr>
          <w:rFonts w:ascii="Arial" w:eastAsia="Times New Roman" w:hAnsi="Arial" w:cs="Arial"/>
          <w:sz w:val="24"/>
          <w:szCs w:val="24"/>
          <w:lang w:eastAsia="en-GB"/>
        </w:rPr>
        <w:t xml:space="preserve">Information and support about Type 2 Diabetes:  </w:t>
      </w:r>
      <w:hyperlink r:id="rId49" w:history="1">
        <w:r w:rsidRPr="00103A0B">
          <w:rPr>
            <w:rStyle w:val="Hyperlink"/>
            <w:rFonts w:ascii="Arial" w:eastAsia="Times New Roman" w:hAnsi="Arial" w:cs="Arial"/>
            <w:sz w:val="24"/>
            <w:szCs w:val="24"/>
          </w:rPr>
          <w:t>https://www.diabetes.org.uk/</w:t>
        </w:r>
      </w:hyperlink>
      <w:r w:rsidRPr="00103A0B">
        <w:rPr>
          <w:rFonts w:ascii="Arial" w:eastAsia="Times New Roman" w:hAnsi="Arial" w:cs="Arial"/>
          <w:sz w:val="24"/>
          <w:szCs w:val="24"/>
          <w:lang w:eastAsia="en-GB"/>
        </w:rPr>
        <w:t xml:space="preserve"> </w:t>
      </w:r>
    </w:p>
    <w:p w14:paraId="04D18C0D" w14:textId="75F6851E" w:rsidR="00474FC2" w:rsidRPr="00103A0B" w:rsidRDefault="00474FC2" w:rsidP="00CD5919">
      <w:pPr>
        <w:spacing w:before="100" w:beforeAutospacing="1" w:after="100" w:afterAutospacing="1" w:line="240" w:lineRule="auto"/>
        <w:jc w:val="both"/>
        <w:rPr>
          <w:rFonts w:eastAsia="Times New Roman" w:cs="Times New Roman"/>
          <w:sz w:val="24"/>
          <w:szCs w:val="24"/>
          <w:lang w:eastAsia="en-GB"/>
        </w:rPr>
      </w:pPr>
    </w:p>
    <w:p w14:paraId="770ED35D" w14:textId="2505EA3C" w:rsidR="00E45914" w:rsidRPr="00103A0B" w:rsidRDefault="00474FC2" w:rsidP="00E45914">
      <w:pPr>
        <w:keepNext/>
        <w:keepLines/>
        <w:jc w:val="both"/>
        <w:rPr>
          <w:rFonts w:ascii="Arial" w:hAnsi="Arial" w:cs="Arial"/>
          <w:b/>
          <w:bCs/>
          <w:sz w:val="28"/>
          <w:szCs w:val="28"/>
        </w:rPr>
      </w:pPr>
      <w:r w:rsidRPr="00103A0B">
        <w:rPr>
          <w:rFonts w:ascii="Arial" w:hAnsi="Arial" w:cs="Arial"/>
          <w:b/>
          <w:bCs/>
          <w:sz w:val="28"/>
          <w:szCs w:val="28"/>
        </w:rPr>
        <w:t xml:space="preserve">Appendix </w:t>
      </w:r>
      <w:r w:rsidR="00630873" w:rsidRPr="00103A0B">
        <w:rPr>
          <w:rFonts w:ascii="Arial" w:hAnsi="Arial" w:cs="Arial"/>
          <w:b/>
          <w:bCs/>
          <w:sz w:val="28"/>
          <w:szCs w:val="28"/>
        </w:rPr>
        <w:t>20</w:t>
      </w:r>
      <w:r w:rsidRPr="00103A0B">
        <w:rPr>
          <w:rFonts w:ascii="Arial" w:hAnsi="Arial" w:cs="Arial"/>
          <w:b/>
          <w:bCs/>
          <w:sz w:val="28"/>
          <w:szCs w:val="28"/>
        </w:rPr>
        <w:t>: Letter of support (</w:t>
      </w:r>
      <w:r w:rsidR="00C13876" w:rsidRPr="00103A0B">
        <w:rPr>
          <w:rFonts w:ascii="Arial" w:hAnsi="Arial" w:cs="Arial"/>
          <w:b/>
          <w:bCs/>
          <w:sz w:val="28"/>
          <w:szCs w:val="28"/>
        </w:rPr>
        <w:t>C</w:t>
      </w:r>
      <w:r w:rsidRPr="00103A0B">
        <w:rPr>
          <w:rFonts w:ascii="Arial" w:hAnsi="Arial" w:cs="Arial"/>
          <w:b/>
          <w:bCs/>
          <w:sz w:val="28"/>
          <w:szCs w:val="28"/>
        </w:rPr>
        <w:t>hapter 7)</w:t>
      </w:r>
    </w:p>
    <w:p w14:paraId="4C4F8812" w14:textId="59A4FFE2" w:rsidR="00474FC2" w:rsidRPr="00103A0B" w:rsidRDefault="00474FC2" w:rsidP="00CD5919">
      <w:pPr>
        <w:jc w:val="both"/>
        <w:rPr>
          <w:lang w:eastAsia="en-GB" w:bidi="en-US"/>
        </w:rPr>
      </w:pPr>
      <w:r w:rsidRPr="00103A0B">
        <w:rPr>
          <w:noProof/>
        </w:rPr>
        <w:drawing>
          <wp:inline distT="0" distB="0" distL="0" distR="0" wp14:anchorId="128AB1F2" wp14:editId="0C8A4A20">
            <wp:extent cx="5038725" cy="7784332"/>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742" r="31863"/>
                    <a:stretch/>
                  </pic:blipFill>
                  <pic:spPr bwMode="auto">
                    <a:xfrm>
                      <a:off x="0" y="0"/>
                      <a:ext cx="5040591" cy="7787214"/>
                    </a:xfrm>
                    <a:prstGeom prst="rect">
                      <a:avLst/>
                    </a:prstGeom>
                    <a:ln>
                      <a:noFill/>
                    </a:ln>
                    <a:extLst>
                      <a:ext uri="{53640926-AAD7-44D8-BBD7-CCE9431645EC}">
                        <a14:shadowObscured xmlns:a14="http://schemas.microsoft.com/office/drawing/2010/main"/>
                      </a:ext>
                    </a:extLst>
                  </pic:spPr>
                </pic:pic>
              </a:graphicData>
            </a:graphic>
          </wp:inline>
        </w:drawing>
      </w:r>
    </w:p>
    <w:p w14:paraId="5A20D570" w14:textId="77777777" w:rsidR="00C13876" w:rsidRPr="00103A0B" w:rsidRDefault="00C13876" w:rsidP="00CD5919">
      <w:pPr>
        <w:jc w:val="both"/>
        <w:rPr>
          <w:rFonts w:ascii="Arial" w:hAnsi="Arial" w:cs="Arial"/>
          <w:b/>
          <w:bCs/>
          <w:sz w:val="24"/>
          <w:szCs w:val="24"/>
        </w:rPr>
      </w:pPr>
    </w:p>
    <w:p w14:paraId="6450373C" w14:textId="5CC41143" w:rsidR="00474FC2" w:rsidRPr="00103A0B" w:rsidRDefault="00474FC2" w:rsidP="00E45914">
      <w:pPr>
        <w:keepNext/>
        <w:keepLines/>
        <w:jc w:val="both"/>
        <w:rPr>
          <w:rFonts w:ascii="Arial" w:hAnsi="Arial" w:cs="Arial"/>
          <w:b/>
          <w:bCs/>
          <w:sz w:val="28"/>
          <w:szCs w:val="28"/>
        </w:rPr>
      </w:pPr>
      <w:r w:rsidRPr="00103A0B">
        <w:rPr>
          <w:rFonts w:ascii="Arial" w:hAnsi="Arial" w:cs="Arial"/>
          <w:b/>
          <w:bCs/>
          <w:sz w:val="28"/>
          <w:szCs w:val="28"/>
        </w:rPr>
        <w:lastRenderedPageBreak/>
        <w:t xml:space="preserve">Appendix </w:t>
      </w:r>
      <w:r w:rsidR="00630873" w:rsidRPr="00103A0B">
        <w:rPr>
          <w:rFonts w:ascii="Arial" w:hAnsi="Arial" w:cs="Arial"/>
          <w:b/>
          <w:bCs/>
          <w:sz w:val="28"/>
          <w:szCs w:val="28"/>
        </w:rPr>
        <w:t>21</w:t>
      </w:r>
      <w:r w:rsidRPr="00103A0B">
        <w:rPr>
          <w:rFonts w:ascii="Arial" w:hAnsi="Arial" w:cs="Arial"/>
          <w:b/>
          <w:bCs/>
          <w:sz w:val="28"/>
          <w:szCs w:val="28"/>
        </w:rPr>
        <w:t>: Data agreement sharing form</w:t>
      </w:r>
      <w:r w:rsidR="00C13876" w:rsidRPr="00103A0B">
        <w:rPr>
          <w:rFonts w:ascii="Arial" w:hAnsi="Arial" w:cs="Arial"/>
          <w:b/>
          <w:bCs/>
          <w:sz w:val="28"/>
          <w:szCs w:val="28"/>
        </w:rPr>
        <w:t xml:space="preserve"> (Chapter 7)</w:t>
      </w:r>
      <w:r w:rsidRPr="00103A0B">
        <w:rPr>
          <w:rFonts w:ascii="Arial" w:hAnsi="Arial" w:cs="Arial"/>
          <w:b/>
          <w:bCs/>
          <w:sz w:val="28"/>
          <w:szCs w:val="28"/>
        </w:rPr>
        <w:t xml:space="preserve"> </w:t>
      </w:r>
    </w:p>
    <w:p w14:paraId="3FF7804A" w14:textId="77777777" w:rsidR="00E23313" w:rsidRPr="00103A0B" w:rsidRDefault="00E23313" w:rsidP="00CD5919">
      <w:pPr>
        <w:jc w:val="both"/>
        <w:rPr>
          <w:rFonts w:ascii="Arial" w:hAnsi="Arial" w:cs="Arial"/>
          <w:b/>
          <w:bCs/>
          <w:sz w:val="28"/>
          <w:szCs w:val="28"/>
        </w:rPr>
      </w:pPr>
      <w:bookmarkStart w:id="428" w:name="_Toc461801341"/>
      <w:r w:rsidRPr="00103A0B">
        <w:rPr>
          <w:rFonts w:ascii="Arial" w:hAnsi="Arial" w:cs="Arial"/>
          <w:b/>
          <w:bCs/>
          <w:sz w:val="28"/>
          <w:szCs w:val="28"/>
        </w:rPr>
        <w:t>Third party data sharing agreement</w:t>
      </w:r>
      <w:bookmarkEnd w:id="428"/>
    </w:p>
    <w:p w14:paraId="150169FB" w14:textId="77777777" w:rsidR="00E23313" w:rsidRPr="00103A0B" w:rsidRDefault="00E23313" w:rsidP="00CD5919">
      <w:pPr>
        <w:contextualSpacing/>
        <w:jc w:val="both"/>
        <w:rPr>
          <w:rFonts w:ascii="Arial" w:hAnsi="Arial" w:cs="Arial"/>
          <w:sz w:val="20"/>
          <w:lang w:val="en-US" w:eastAsia="ja-JP"/>
        </w:rPr>
      </w:pPr>
    </w:p>
    <w:p w14:paraId="567468F8" w14:textId="68CDFAED" w:rsidR="00E23313" w:rsidRPr="00103A0B" w:rsidRDefault="008D5501" w:rsidP="00CD5919">
      <w:pPr>
        <w:contextualSpacing/>
        <w:jc w:val="both"/>
        <w:rPr>
          <w:rFonts w:ascii="Arial" w:hAnsi="Arial" w:cs="Arial"/>
          <w:b/>
        </w:rPr>
      </w:pPr>
      <w:r w:rsidRPr="00103A0B">
        <w:rPr>
          <w:rFonts w:ascii="Arial" w:hAnsi="Arial" w:cs="Arial"/>
          <w:b/>
        </w:rPr>
        <w:t xml:space="preserve">Local Provider </w:t>
      </w:r>
    </w:p>
    <w:p w14:paraId="41203542" w14:textId="3EFDC4D2" w:rsidR="008D5501" w:rsidRPr="00103A0B" w:rsidRDefault="008D5501" w:rsidP="00CD5919">
      <w:pPr>
        <w:contextualSpacing/>
        <w:jc w:val="both"/>
        <w:rPr>
          <w:rFonts w:ascii="Arial" w:hAnsi="Arial" w:cs="Arial"/>
          <w:b/>
        </w:rPr>
      </w:pPr>
      <w:r w:rsidRPr="00103A0B">
        <w:rPr>
          <w:rFonts w:ascii="Arial" w:hAnsi="Arial" w:cs="Arial"/>
          <w:b/>
        </w:rPr>
        <w:t xml:space="preserve">[name and address removed] </w:t>
      </w:r>
    </w:p>
    <w:p w14:paraId="4AEBC50A" w14:textId="77777777" w:rsidR="00E23313" w:rsidRPr="00103A0B" w:rsidRDefault="00E23313" w:rsidP="00CD5919">
      <w:pPr>
        <w:jc w:val="both"/>
        <w:rPr>
          <w:rFonts w:ascii="Arial" w:hAnsi="Arial" w:cs="Arial"/>
          <w:b/>
        </w:rPr>
      </w:pPr>
    </w:p>
    <w:p w14:paraId="51F2ED65" w14:textId="0C156493" w:rsidR="00E23313" w:rsidRPr="00103A0B" w:rsidRDefault="00E23313" w:rsidP="00CD5919">
      <w:pPr>
        <w:ind w:right="-694"/>
        <w:jc w:val="both"/>
        <w:rPr>
          <w:rFonts w:ascii="Arial" w:hAnsi="Arial" w:cs="Arial"/>
          <w:sz w:val="20"/>
          <w:szCs w:val="20"/>
        </w:rPr>
      </w:pPr>
      <w:r w:rsidRPr="00103A0B">
        <w:rPr>
          <w:rFonts w:ascii="Arial" w:hAnsi="Arial" w:cs="Arial"/>
          <w:sz w:val="20"/>
          <w:szCs w:val="20"/>
        </w:rPr>
        <w:t xml:space="preserve">Background: This </w:t>
      </w:r>
      <w:proofErr w:type="gramStart"/>
      <w:r w:rsidRPr="00103A0B">
        <w:rPr>
          <w:rFonts w:ascii="Arial" w:hAnsi="Arial" w:cs="Arial"/>
          <w:sz w:val="20"/>
          <w:szCs w:val="20"/>
        </w:rPr>
        <w:t>third party</w:t>
      </w:r>
      <w:proofErr w:type="gramEnd"/>
      <w:r w:rsidRPr="00103A0B">
        <w:rPr>
          <w:rFonts w:ascii="Arial" w:hAnsi="Arial" w:cs="Arial"/>
          <w:sz w:val="20"/>
          <w:szCs w:val="20"/>
        </w:rPr>
        <w:t xml:space="preserve"> data sharing agreement is between the </w:t>
      </w:r>
      <w:r w:rsidR="008D5501" w:rsidRPr="00103A0B">
        <w:rPr>
          <w:rFonts w:ascii="Arial" w:hAnsi="Arial" w:cs="Arial"/>
          <w:sz w:val="20"/>
          <w:szCs w:val="20"/>
        </w:rPr>
        <w:t>Local Provider (LP)</w:t>
      </w:r>
      <w:r w:rsidRPr="00103A0B">
        <w:rPr>
          <w:rFonts w:ascii="Arial" w:hAnsi="Arial" w:cs="Arial"/>
          <w:sz w:val="20"/>
          <w:szCs w:val="20"/>
        </w:rPr>
        <w:t xml:space="preserve"> and Staffordshire University study team to facilitate the analysis of secondary anonymised data from </w:t>
      </w:r>
      <w:r w:rsidR="008D5501" w:rsidRPr="00103A0B">
        <w:rPr>
          <w:rFonts w:ascii="Arial" w:hAnsi="Arial" w:cs="Arial"/>
          <w:sz w:val="20"/>
          <w:szCs w:val="20"/>
        </w:rPr>
        <w:t>LP</w:t>
      </w:r>
      <w:r w:rsidRPr="00103A0B">
        <w:rPr>
          <w:rFonts w:ascii="Arial" w:hAnsi="Arial" w:cs="Arial"/>
          <w:sz w:val="20"/>
          <w:szCs w:val="20"/>
        </w:rPr>
        <w:t xml:space="preserve"> as part of their service evaluation of the National Diabetes Prevention Programme (NDPP). These data will be used to identify predictors of uptake.</w:t>
      </w:r>
    </w:p>
    <w:p w14:paraId="6F8A1095" w14:textId="77777777" w:rsidR="00E23313" w:rsidRPr="00103A0B" w:rsidRDefault="00E23313" w:rsidP="00CD5919">
      <w:pPr>
        <w:ind w:right="-694"/>
        <w:jc w:val="both"/>
        <w:rPr>
          <w:rFonts w:ascii="Arial" w:hAnsi="Arial" w:cs="Arial"/>
          <w:sz w:val="20"/>
          <w:szCs w:val="20"/>
        </w:rPr>
      </w:pPr>
      <w:r w:rsidRPr="00103A0B">
        <w:rPr>
          <w:rFonts w:ascii="Arial" w:hAnsi="Arial" w:cs="Arial"/>
          <w:sz w:val="20"/>
          <w:szCs w:val="20"/>
        </w:rPr>
        <w:t xml:space="preserve">This anonymised data of the NDPP participants will include of the following measures of health perceptions, health, diabetes risk and demographic information. </w:t>
      </w:r>
    </w:p>
    <w:p w14:paraId="1EAB1C9E" w14:textId="77777777" w:rsidR="00E23313" w:rsidRPr="00103A0B" w:rsidRDefault="00E23313" w:rsidP="00CD5919">
      <w:pPr>
        <w:ind w:right="-694"/>
        <w:jc w:val="both"/>
        <w:rPr>
          <w:rFonts w:ascii="Arial" w:hAnsi="Arial" w:cs="Arial"/>
          <w:sz w:val="20"/>
          <w:szCs w:val="20"/>
        </w:rPr>
      </w:pPr>
      <w:r w:rsidRPr="00103A0B">
        <w:rPr>
          <w:rFonts w:ascii="Arial" w:hAnsi="Arial" w:cs="Arial"/>
          <w:sz w:val="20"/>
          <w:szCs w:val="20"/>
        </w:rPr>
        <w:t xml:space="preserve">Data analysis: Primary analysis of the anonymised data will include conducting a logistic regression to identify if 3 factors (scores on the Brief IPQ-R, New General Self-efficacy and WEMWBS scales) predict uptake of the NDPP programme, independent of other possible confounders (including age, ethnicity, HbA1C levels and deprivation). </w:t>
      </w:r>
    </w:p>
    <w:p w14:paraId="25758FE0" w14:textId="4AC68D88" w:rsidR="00E23313" w:rsidRPr="00103A0B" w:rsidRDefault="00E23313" w:rsidP="00CD5919">
      <w:pPr>
        <w:ind w:right="-694"/>
        <w:jc w:val="both"/>
        <w:rPr>
          <w:rFonts w:ascii="Arial" w:hAnsi="Arial" w:cs="Arial"/>
          <w:sz w:val="20"/>
          <w:szCs w:val="20"/>
        </w:rPr>
      </w:pPr>
      <w:r w:rsidRPr="00103A0B">
        <w:rPr>
          <w:rFonts w:ascii="Arial" w:hAnsi="Arial" w:cs="Arial"/>
          <w:sz w:val="20"/>
          <w:szCs w:val="20"/>
        </w:rPr>
        <w:t>Data storage: The anonymised data will be given electronically by</w:t>
      </w:r>
      <w:r w:rsidR="008D5501" w:rsidRPr="00103A0B">
        <w:rPr>
          <w:rFonts w:ascii="Arial" w:hAnsi="Arial" w:cs="Arial"/>
          <w:sz w:val="20"/>
          <w:szCs w:val="20"/>
        </w:rPr>
        <w:t xml:space="preserve"> the</w:t>
      </w:r>
      <w:r w:rsidRPr="00103A0B">
        <w:rPr>
          <w:rFonts w:ascii="Arial" w:hAnsi="Arial" w:cs="Arial"/>
          <w:sz w:val="20"/>
          <w:szCs w:val="20"/>
        </w:rPr>
        <w:t xml:space="preserve"> </w:t>
      </w:r>
      <w:r w:rsidR="008D5501" w:rsidRPr="00103A0B">
        <w:rPr>
          <w:rFonts w:ascii="Arial" w:hAnsi="Arial" w:cs="Arial"/>
          <w:sz w:val="20"/>
          <w:szCs w:val="20"/>
        </w:rPr>
        <w:t>LP</w:t>
      </w:r>
      <w:r w:rsidRPr="00103A0B">
        <w:rPr>
          <w:rFonts w:ascii="Arial" w:hAnsi="Arial" w:cs="Arial"/>
          <w:sz w:val="20"/>
          <w:szCs w:val="20"/>
        </w:rPr>
        <w:t xml:space="preserve"> and stored on a password protected, university computer.  The processing of data will comply with the Data Protection Act (1998) and will be processed only for the purposes of this research project with all data received anonymously. Access to the data will be limited to the research team for the purpose of this research only. Data will be stored for 10-years in accordance with the Staffordshire University Code of Conduct for Research. At the end of this storage period, all original and back up files will be deleted from </w:t>
      </w:r>
      <w:proofErr w:type="gramStart"/>
      <w:r w:rsidRPr="00103A0B">
        <w:rPr>
          <w:rFonts w:ascii="Arial" w:hAnsi="Arial" w:cs="Arial"/>
          <w:sz w:val="20"/>
          <w:szCs w:val="20"/>
        </w:rPr>
        <w:t>University</w:t>
      </w:r>
      <w:proofErr w:type="gramEnd"/>
      <w:r w:rsidRPr="00103A0B">
        <w:rPr>
          <w:rFonts w:ascii="Arial" w:hAnsi="Arial" w:cs="Arial"/>
          <w:sz w:val="20"/>
          <w:szCs w:val="20"/>
        </w:rPr>
        <w:t xml:space="preserve"> computers.</w:t>
      </w:r>
    </w:p>
    <w:p w14:paraId="3E421460" w14:textId="7D062F68" w:rsidR="00E23313" w:rsidRPr="00103A0B" w:rsidRDefault="00E23313" w:rsidP="00E45914">
      <w:pPr>
        <w:ind w:right="-694"/>
        <w:jc w:val="both"/>
        <w:rPr>
          <w:rFonts w:ascii="Arial" w:hAnsi="Arial" w:cs="Arial"/>
          <w:sz w:val="20"/>
          <w:szCs w:val="20"/>
        </w:rPr>
      </w:pPr>
      <w:r w:rsidRPr="00103A0B">
        <w:rPr>
          <w:rFonts w:ascii="Arial" w:hAnsi="Arial" w:cs="Arial"/>
          <w:sz w:val="20"/>
          <w:szCs w:val="20"/>
        </w:rPr>
        <w:t>By signing below, both parties agree to the above.</w:t>
      </w:r>
    </w:p>
    <w:p w14:paraId="08148417" w14:textId="77777777" w:rsidR="00E23313" w:rsidRPr="00103A0B" w:rsidRDefault="00E23313" w:rsidP="00CD5919">
      <w:pPr>
        <w:jc w:val="both"/>
        <w:rPr>
          <w:rFonts w:ascii="Arial" w:hAnsi="Arial" w:cs="Arial"/>
          <w:b/>
          <w:i/>
        </w:rPr>
      </w:pPr>
      <w:r w:rsidRPr="00103A0B">
        <w:rPr>
          <w:rFonts w:ascii="Arial" w:hAnsi="Arial" w:cs="Arial"/>
          <w:b/>
          <w:i/>
        </w:rPr>
        <w:t>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542"/>
      </w:tblGrid>
      <w:tr w:rsidR="00E23313" w:rsidRPr="00103A0B" w14:paraId="4EDE54A3" w14:textId="77777777" w:rsidTr="00BB2420">
        <w:tc>
          <w:tcPr>
            <w:tcW w:w="8522" w:type="dxa"/>
            <w:gridSpan w:val="2"/>
          </w:tcPr>
          <w:p w14:paraId="161C1856" w14:textId="7715923B" w:rsidR="00E23313" w:rsidRPr="00103A0B" w:rsidRDefault="00E23313" w:rsidP="00CD5919">
            <w:pPr>
              <w:spacing w:line="240" w:lineRule="auto"/>
              <w:contextualSpacing/>
              <w:jc w:val="both"/>
              <w:rPr>
                <w:rFonts w:ascii="Arial" w:hAnsi="Arial" w:cs="Arial"/>
                <w:sz w:val="20"/>
                <w:szCs w:val="20"/>
              </w:rPr>
            </w:pPr>
            <w:r w:rsidRPr="00103A0B">
              <w:rPr>
                <w:rFonts w:ascii="Arial" w:hAnsi="Arial" w:cs="Arial"/>
                <w:b/>
                <w:sz w:val="20"/>
                <w:szCs w:val="20"/>
              </w:rPr>
              <w:t xml:space="preserve">Signed on behalf of </w:t>
            </w:r>
            <w:r w:rsidR="008D5501" w:rsidRPr="00103A0B">
              <w:rPr>
                <w:rFonts w:ascii="Arial" w:hAnsi="Arial" w:cs="Arial"/>
                <w:b/>
                <w:sz w:val="20"/>
                <w:szCs w:val="20"/>
              </w:rPr>
              <w:t>the Local Provider</w:t>
            </w:r>
            <w:r w:rsidRPr="00103A0B">
              <w:rPr>
                <w:rFonts w:ascii="Arial" w:hAnsi="Arial" w:cs="Arial"/>
                <w:b/>
                <w:sz w:val="20"/>
                <w:szCs w:val="20"/>
              </w:rPr>
              <w:t>:</w:t>
            </w:r>
          </w:p>
        </w:tc>
      </w:tr>
      <w:tr w:rsidR="00E23313" w:rsidRPr="00103A0B" w14:paraId="14394537" w14:textId="77777777" w:rsidTr="00BB2420">
        <w:trPr>
          <w:trHeight w:hRule="exact" w:val="510"/>
        </w:trPr>
        <w:tc>
          <w:tcPr>
            <w:tcW w:w="1980" w:type="dxa"/>
          </w:tcPr>
          <w:p w14:paraId="4261D04D" w14:textId="77777777" w:rsidR="00E23313" w:rsidRPr="00103A0B" w:rsidRDefault="00E23313" w:rsidP="00CD5919">
            <w:pPr>
              <w:spacing w:line="240" w:lineRule="auto"/>
              <w:contextualSpacing/>
              <w:jc w:val="both"/>
              <w:rPr>
                <w:rFonts w:ascii="Arial" w:hAnsi="Arial" w:cs="Arial"/>
                <w:b/>
                <w:sz w:val="20"/>
                <w:szCs w:val="20"/>
              </w:rPr>
            </w:pPr>
            <w:r w:rsidRPr="00103A0B">
              <w:rPr>
                <w:rFonts w:ascii="Arial" w:hAnsi="Arial" w:cs="Arial"/>
                <w:b/>
                <w:sz w:val="20"/>
                <w:szCs w:val="20"/>
              </w:rPr>
              <w:t xml:space="preserve">Name </w:t>
            </w:r>
          </w:p>
        </w:tc>
        <w:tc>
          <w:tcPr>
            <w:tcW w:w="6542" w:type="dxa"/>
          </w:tcPr>
          <w:p w14:paraId="3D80E0B5" w14:textId="77777777" w:rsidR="00E23313" w:rsidRPr="00103A0B" w:rsidRDefault="00E23313" w:rsidP="00CD5919">
            <w:pPr>
              <w:spacing w:line="240" w:lineRule="auto"/>
              <w:contextualSpacing/>
              <w:jc w:val="both"/>
              <w:rPr>
                <w:rFonts w:ascii="Arial" w:hAnsi="Arial" w:cs="Arial"/>
                <w:sz w:val="20"/>
                <w:szCs w:val="20"/>
              </w:rPr>
            </w:pPr>
          </w:p>
        </w:tc>
      </w:tr>
      <w:tr w:rsidR="00E23313" w:rsidRPr="00103A0B" w14:paraId="007D847F" w14:textId="77777777" w:rsidTr="00BB2420">
        <w:trPr>
          <w:trHeight w:hRule="exact" w:val="510"/>
        </w:trPr>
        <w:tc>
          <w:tcPr>
            <w:tcW w:w="1980" w:type="dxa"/>
          </w:tcPr>
          <w:p w14:paraId="74211110" w14:textId="77777777" w:rsidR="00E23313" w:rsidRPr="00103A0B" w:rsidRDefault="00E23313" w:rsidP="00CD5919">
            <w:pPr>
              <w:spacing w:line="240" w:lineRule="auto"/>
              <w:contextualSpacing/>
              <w:jc w:val="both"/>
              <w:rPr>
                <w:rFonts w:ascii="Arial" w:hAnsi="Arial" w:cs="Arial"/>
                <w:b/>
                <w:sz w:val="20"/>
                <w:szCs w:val="20"/>
              </w:rPr>
            </w:pPr>
            <w:r w:rsidRPr="00103A0B">
              <w:rPr>
                <w:rFonts w:ascii="Arial" w:hAnsi="Arial" w:cs="Arial"/>
                <w:b/>
                <w:sz w:val="20"/>
                <w:szCs w:val="20"/>
              </w:rPr>
              <w:t>Job Title</w:t>
            </w:r>
          </w:p>
        </w:tc>
        <w:tc>
          <w:tcPr>
            <w:tcW w:w="6542" w:type="dxa"/>
          </w:tcPr>
          <w:p w14:paraId="33989AF5" w14:textId="77777777" w:rsidR="00E23313" w:rsidRPr="00103A0B" w:rsidRDefault="00E23313" w:rsidP="00CD5919">
            <w:pPr>
              <w:spacing w:line="240" w:lineRule="auto"/>
              <w:contextualSpacing/>
              <w:jc w:val="both"/>
              <w:rPr>
                <w:rFonts w:ascii="Arial" w:hAnsi="Arial" w:cs="Arial"/>
                <w:sz w:val="20"/>
                <w:szCs w:val="20"/>
              </w:rPr>
            </w:pPr>
          </w:p>
        </w:tc>
      </w:tr>
      <w:tr w:rsidR="00E23313" w:rsidRPr="00103A0B" w14:paraId="277079BF" w14:textId="77777777" w:rsidTr="00BB2420">
        <w:trPr>
          <w:trHeight w:hRule="exact" w:val="510"/>
        </w:trPr>
        <w:tc>
          <w:tcPr>
            <w:tcW w:w="1980" w:type="dxa"/>
          </w:tcPr>
          <w:p w14:paraId="6A50A74B" w14:textId="77777777" w:rsidR="00E23313" w:rsidRPr="00103A0B" w:rsidRDefault="00E23313" w:rsidP="00CD5919">
            <w:pPr>
              <w:spacing w:line="240" w:lineRule="auto"/>
              <w:contextualSpacing/>
              <w:jc w:val="both"/>
              <w:rPr>
                <w:rFonts w:ascii="Arial" w:hAnsi="Arial" w:cs="Arial"/>
                <w:b/>
                <w:sz w:val="20"/>
                <w:szCs w:val="20"/>
              </w:rPr>
            </w:pPr>
            <w:r w:rsidRPr="00103A0B">
              <w:rPr>
                <w:rFonts w:ascii="Arial" w:hAnsi="Arial" w:cs="Arial"/>
                <w:b/>
                <w:sz w:val="20"/>
                <w:szCs w:val="20"/>
              </w:rPr>
              <w:t xml:space="preserve">Date </w:t>
            </w:r>
          </w:p>
        </w:tc>
        <w:tc>
          <w:tcPr>
            <w:tcW w:w="6542" w:type="dxa"/>
          </w:tcPr>
          <w:p w14:paraId="332EDA10" w14:textId="77777777" w:rsidR="00E23313" w:rsidRPr="00103A0B" w:rsidRDefault="00E23313" w:rsidP="00CD5919">
            <w:pPr>
              <w:spacing w:line="240" w:lineRule="auto"/>
              <w:contextualSpacing/>
              <w:jc w:val="both"/>
              <w:rPr>
                <w:rFonts w:ascii="Arial" w:hAnsi="Arial" w:cs="Arial"/>
                <w:sz w:val="20"/>
                <w:szCs w:val="20"/>
              </w:rPr>
            </w:pPr>
          </w:p>
        </w:tc>
      </w:tr>
      <w:tr w:rsidR="00E23313" w:rsidRPr="00103A0B" w14:paraId="5900C1C2" w14:textId="77777777" w:rsidTr="00BB2420">
        <w:trPr>
          <w:trHeight w:hRule="exact" w:val="510"/>
        </w:trPr>
        <w:tc>
          <w:tcPr>
            <w:tcW w:w="1980" w:type="dxa"/>
          </w:tcPr>
          <w:p w14:paraId="20FB5760" w14:textId="77777777" w:rsidR="00E23313" w:rsidRPr="00103A0B" w:rsidRDefault="00E23313" w:rsidP="00CD5919">
            <w:pPr>
              <w:spacing w:line="240" w:lineRule="auto"/>
              <w:contextualSpacing/>
              <w:jc w:val="both"/>
              <w:rPr>
                <w:rFonts w:ascii="Arial" w:hAnsi="Arial" w:cs="Arial"/>
                <w:b/>
                <w:sz w:val="20"/>
                <w:szCs w:val="20"/>
              </w:rPr>
            </w:pPr>
            <w:r w:rsidRPr="00103A0B">
              <w:rPr>
                <w:rFonts w:ascii="Arial" w:hAnsi="Arial" w:cs="Arial"/>
                <w:b/>
                <w:sz w:val="20"/>
                <w:szCs w:val="20"/>
              </w:rPr>
              <w:t xml:space="preserve">Signature </w:t>
            </w:r>
          </w:p>
        </w:tc>
        <w:tc>
          <w:tcPr>
            <w:tcW w:w="6542" w:type="dxa"/>
          </w:tcPr>
          <w:p w14:paraId="6553C02F" w14:textId="77777777" w:rsidR="00E23313" w:rsidRPr="00103A0B" w:rsidRDefault="00E23313" w:rsidP="00CD5919">
            <w:pPr>
              <w:spacing w:line="240" w:lineRule="auto"/>
              <w:contextualSpacing/>
              <w:jc w:val="both"/>
              <w:rPr>
                <w:rFonts w:ascii="Arial" w:hAnsi="Arial" w:cs="Arial"/>
                <w:sz w:val="20"/>
                <w:szCs w:val="20"/>
              </w:rPr>
            </w:pPr>
          </w:p>
        </w:tc>
      </w:tr>
      <w:tr w:rsidR="00E23313" w:rsidRPr="00103A0B" w14:paraId="0658FCCE" w14:textId="77777777" w:rsidTr="00BB2420">
        <w:trPr>
          <w:trHeight w:hRule="exact" w:val="510"/>
        </w:trPr>
        <w:tc>
          <w:tcPr>
            <w:tcW w:w="1980" w:type="dxa"/>
          </w:tcPr>
          <w:p w14:paraId="0D1624E5" w14:textId="77777777" w:rsidR="00E23313" w:rsidRPr="00103A0B" w:rsidRDefault="00E23313" w:rsidP="00CD5919">
            <w:pPr>
              <w:spacing w:line="240" w:lineRule="auto"/>
              <w:contextualSpacing/>
              <w:jc w:val="both"/>
              <w:rPr>
                <w:rFonts w:ascii="Arial" w:hAnsi="Arial" w:cs="Arial"/>
                <w:b/>
                <w:sz w:val="20"/>
                <w:szCs w:val="20"/>
              </w:rPr>
            </w:pPr>
          </w:p>
          <w:p w14:paraId="25920A82" w14:textId="77777777" w:rsidR="00E23313" w:rsidRPr="00103A0B" w:rsidRDefault="00E23313" w:rsidP="00CD5919">
            <w:pPr>
              <w:spacing w:line="240" w:lineRule="auto"/>
              <w:contextualSpacing/>
              <w:jc w:val="both"/>
              <w:rPr>
                <w:rFonts w:ascii="Arial" w:hAnsi="Arial" w:cs="Arial"/>
                <w:b/>
                <w:sz w:val="20"/>
                <w:szCs w:val="20"/>
              </w:rPr>
            </w:pPr>
          </w:p>
        </w:tc>
        <w:tc>
          <w:tcPr>
            <w:tcW w:w="6542" w:type="dxa"/>
          </w:tcPr>
          <w:p w14:paraId="6EA9E23C" w14:textId="77777777" w:rsidR="00E23313" w:rsidRPr="00103A0B" w:rsidRDefault="00E23313" w:rsidP="00CD5919">
            <w:pPr>
              <w:spacing w:line="240" w:lineRule="auto"/>
              <w:contextualSpacing/>
              <w:jc w:val="both"/>
              <w:rPr>
                <w:rFonts w:ascii="Arial" w:hAnsi="Arial" w:cs="Arial"/>
                <w:sz w:val="20"/>
                <w:szCs w:val="20"/>
              </w:rPr>
            </w:pPr>
          </w:p>
        </w:tc>
      </w:tr>
      <w:tr w:rsidR="00E23313" w:rsidRPr="00103A0B" w14:paraId="22A83E91" w14:textId="77777777" w:rsidTr="00BB2420">
        <w:trPr>
          <w:trHeight w:hRule="exact" w:val="510"/>
        </w:trPr>
        <w:tc>
          <w:tcPr>
            <w:tcW w:w="8522" w:type="dxa"/>
            <w:gridSpan w:val="2"/>
          </w:tcPr>
          <w:p w14:paraId="1EE7189F" w14:textId="77777777" w:rsidR="00E23313" w:rsidRPr="00103A0B" w:rsidRDefault="00E23313" w:rsidP="00CD5919">
            <w:pPr>
              <w:spacing w:line="240" w:lineRule="auto"/>
              <w:contextualSpacing/>
              <w:jc w:val="both"/>
              <w:rPr>
                <w:rFonts w:ascii="Arial" w:hAnsi="Arial" w:cs="Arial"/>
                <w:sz w:val="20"/>
                <w:szCs w:val="20"/>
              </w:rPr>
            </w:pPr>
            <w:r w:rsidRPr="00103A0B">
              <w:rPr>
                <w:rFonts w:ascii="Arial" w:hAnsi="Arial" w:cs="Arial"/>
                <w:b/>
                <w:sz w:val="20"/>
                <w:szCs w:val="20"/>
              </w:rPr>
              <w:t>Signed on behalf of Staffordshire University Research Study team:</w:t>
            </w:r>
          </w:p>
        </w:tc>
      </w:tr>
      <w:tr w:rsidR="00E23313" w:rsidRPr="00103A0B" w14:paraId="52764DF7" w14:textId="77777777" w:rsidTr="00BB2420">
        <w:trPr>
          <w:trHeight w:hRule="exact" w:val="510"/>
        </w:trPr>
        <w:tc>
          <w:tcPr>
            <w:tcW w:w="1980" w:type="dxa"/>
          </w:tcPr>
          <w:p w14:paraId="2B74F9FF" w14:textId="77777777" w:rsidR="00E23313" w:rsidRPr="00103A0B" w:rsidRDefault="00E23313" w:rsidP="00CD5919">
            <w:pPr>
              <w:spacing w:line="240" w:lineRule="auto"/>
              <w:contextualSpacing/>
              <w:jc w:val="both"/>
              <w:rPr>
                <w:rFonts w:ascii="Arial" w:hAnsi="Arial" w:cs="Arial"/>
                <w:b/>
                <w:sz w:val="20"/>
                <w:szCs w:val="20"/>
              </w:rPr>
            </w:pPr>
            <w:r w:rsidRPr="00103A0B">
              <w:rPr>
                <w:rFonts w:ascii="Arial" w:hAnsi="Arial" w:cs="Arial"/>
                <w:b/>
                <w:sz w:val="20"/>
                <w:szCs w:val="20"/>
              </w:rPr>
              <w:t xml:space="preserve">Name </w:t>
            </w:r>
          </w:p>
        </w:tc>
        <w:tc>
          <w:tcPr>
            <w:tcW w:w="6542" w:type="dxa"/>
          </w:tcPr>
          <w:p w14:paraId="41A783C1" w14:textId="77777777" w:rsidR="00E23313" w:rsidRPr="00103A0B" w:rsidRDefault="00E23313" w:rsidP="00CD5919">
            <w:pPr>
              <w:spacing w:line="240" w:lineRule="auto"/>
              <w:contextualSpacing/>
              <w:jc w:val="both"/>
              <w:rPr>
                <w:rFonts w:ascii="Arial" w:hAnsi="Arial" w:cs="Arial"/>
                <w:sz w:val="20"/>
                <w:szCs w:val="20"/>
              </w:rPr>
            </w:pPr>
          </w:p>
        </w:tc>
      </w:tr>
      <w:tr w:rsidR="00E23313" w:rsidRPr="00103A0B" w14:paraId="649903D0" w14:textId="77777777" w:rsidTr="00BB2420">
        <w:trPr>
          <w:trHeight w:hRule="exact" w:val="510"/>
        </w:trPr>
        <w:tc>
          <w:tcPr>
            <w:tcW w:w="1980" w:type="dxa"/>
          </w:tcPr>
          <w:p w14:paraId="1F99E82E" w14:textId="77777777" w:rsidR="00E23313" w:rsidRPr="00103A0B" w:rsidRDefault="00E23313" w:rsidP="00CD5919">
            <w:pPr>
              <w:spacing w:line="240" w:lineRule="auto"/>
              <w:contextualSpacing/>
              <w:jc w:val="both"/>
              <w:rPr>
                <w:rFonts w:ascii="Arial" w:hAnsi="Arial" w:cs="Arial"/>
                <w:b/>
                <w:sz w:val="20"/>
                <w:szCs w:val="20"/>
              </w:rPr>
            </w:pPr>
            <w:r w:rsidRPr="00103A0B">
              <w:rPr>
                <w:rFonts w:ascii="Arial" w:hAnsi="Arial" w:cs="Arial"/>
                <w:b/>
                <w:sz w:val="20"/>
                <w:szCs w:val="20"/>
              </w:rPr>
              <w:t>Job Title</w:t>
            </w:r>
          </w:p>
        </w:tc>
        <w:tc>
          <w:tcPr>
            <w:tcW w:w="6542" w:type="dxa"/>
          </w:tcPr>
          <w:p w14:paraId="6E6CF251" w14:textId="77777777" w:rsidR="00E23313" w:rsidRPr="00103A0B" w:rsidRDefault="00E23313" w:rsidP="00CD5919">
            <w:pPr>
              <w:spacing w:line="240" w:lineRule="auto"/>
              <w:contextualSpacing/>
              <w:jc w:val="both"/>
              <w:rPr>
                <w:rFonts w:ascii="Arial" w:hAnsi="Arial" w:cs="Arial"/>
                <w:sz w:val="20"/>
                <w:szCs w:val="20"/>
              </w:rPr>
            </w:pPr>
          </w:p>
        </w:tc>
      </w:tr>
      <w:tr w:rsidR="00E23313" w:rsidRPr="00103A0B" w14:paraId="77763D2E" w14:textId="77777777" w:rsidTr="00BB2420">
        <w:trPr>
          <w:trHeight w:hRule="exact" w:val="510"/>
        </w:trPr>
        <w:tc>
          <w:tcPr>
            <w:tcW w:w="1980" w:type="dxa"/>
          </w:tcPr>
          <w:p w14:paraId="5D341C1A" w14:textId="77777777" w:rsidR="00E23313" w:rsidRPr="00103A0B" w:rsidRDefault="00E23313" w:rsidP="00CD5919">
            <w:pPr>
              <w:spacing w:line="240" w:lineRule="auto"/>
              <w:contextualSpacing/>
              <w:jc w:val="both"/>
              <w:rPr>
                <w:rFonts w:ascii="Arial" w:hAnsi="Arial" w:cs="Arial"/>
                <w:b/>
                <w:sz w:val="20"/>
                <w:szCs w:val="20"/>
              </w:rPr>
            </w:pPr>
            <w:r w:rsidRPr="00103A0B">
              <w:rPr>
                <w:rFonts w:ascii="Arial" w:hAnsi="Arial" w:cs="Arial"/>
                <w:b/>
                <w:sz w:val="20"/>
                <w:szCs w:val="20"/>
              </w:rPr>
              <w:t xml:space="preserve">Date </w:t>
            </w:r>
          </w:p>
        </w:tc>
        <w:tc>
          <w:tcPr>
            <w:tcW w:w="6542" w:type="dxa"/>
          </w:tcPr>
          <w:p w14:paraId="3326ED9C" w14:textId="77777777" w:rsidR="00E23313" w:rsidRPr="00103A0B" w:rsidRDefault="00E23313" w:rsidP="00CD5919">
            <w:pPr>
              <w:spacing w:line="240" w:lineRule="auto"/>
              <w:contextualSpacing/>
              <w:jc w:val="both"/>
              <w:rPr>
                <w:rFonts w:ascii="Arial" w:hAnsi="Arial" w:cs="Arial"/>
                <w:b/>
                <w:sz w:val="20"/>
                <w:szCs w:val="20"/>
              </w:rPr>
            </w:pPr>
          </w:p>
        </w:tc>
      </w:tr>
      <w:tr w:rsidR="00E23313" w:rsidRPr="00103A0B" w14:paraId="3EDED8BC" w14:textId="77777777" w:rsidTr="00BB2420">
        <w:trPr>
          <w:trHeight w:hRule="exact" w:val="510"/>
        </w:trPr>
        <w:tc>
          <w:tcPr>
            <w:tcW w:w="1980" w:type="dxa"/>
            <w:tcBorders>
              <w:top w:val="single" w:sz="4" w:space="0" w:color="auto"/>
              <w:left w:val="single" w:sz="4" w:space="0" w:color="auto"/>
              <w:bottom w:val="single" w:sz="4" w:space="0" w:color="auto"/>
              <w:right w:val="single" w:sz="4" w:space="0" w:color="auto"/>
            </w:tcBorders>
          </w:tcPr>
          <w:p w14:paraId="0E1600CE" w14:textId="77777777" w:rsidR="00E23313" w:rsidRPr="00103A0B" w:rsidRDefault="00E23313" w:rsidP="00CD5919">
            <w:pPr>
              <w:spacing w:line="240" w:lineRule="auto"/>
              <w:contextualSpacing/>
              <w:jc w:val="both"/>
              <w:rPr>
                <w:rFonts w:ascii="Arial" w:hAnsi="Arial" w:cs="Arial"/>
                <w:b/>
                <w:sz w:val="20"/>
                <w:szCs w:val="20"/>
              </w:rPr>
            </w:pPr>
            <w:r w:rsidRPr="00103A0B">
              <w:rPr>
                <w:rFonts w:ascii="Arial" w:hAnsi="Arial" w:cs="Arial"/>
                <w:b/>
                <w:sz w:val="20"/>
                <w:szCs w:val="20"/>
              </w:rPr>
              <w:t xml:space="preserve">Signature </w:t>
            </w:r>
          </w:p>
        </w:tc>
        <w:tc>
          <w:tcPr>
            <w:tcW w:w="6542" w:type="dxa"/>
            <w:tcBorders>
              <w:top w:val="single" w:sz="4" w:space="0" w:color="auto"/>
              <w:left w:val="single" w:sz="4" w:space="0" w:color="auto"/>
              <w:bottom w:val="single" w:sz="4" w:space="0" w:color="auto"/>
              <w:right w:val="single" w:sz="4" w:space="0" w:color="auto"/>
            </w:tcBorders>
          </w:tcPr>
          <w:p w14:paraId="7D29924F" w14:textId="77777777" w:rsidR="00E23313" w:rsidRPr="00103A0B" w:rsidRDefault="00E23313" w:rsidP="00CD5919">
            <w:pPr>
              <w:spacing w:line="240" w:lineRule="auto"/>
              <w:contextualSpacing/>
              <w:jc w:val="both"/>
              <w:rPr>
                <w:rFonts w:ascii="Arial" w:hAnsi="Arial" w:cs="Arial"/>
                <w:b/>
                <w:sz w:val="20"/>
                <w:szCs w:val="20"/>
              </w:rPr>
            </w:pPr>
          </w:p>
        </w:tc>
      </w:tr>
    </w:tbl>
    <w:p w14:paraId="0226484B" w14:textId="77777777" w:rsidR="00E45914" w:rsidRPr="00103A0B" w:rsidRDefault="00E45914" w:rsidP="008D5501">
      <w:pPr>
        <w:jc w:val="both"/>
        <w:rPr>
          <w:rFonts w:ascii="Arial" w:hAnsi="Arial" w:cs="Arial"/>
          <w:b/>
          <w:bCs/>
          <w:sz w:val="28"/>
          <w:szCs w:val="28"/>
        </w:rPr>
      </w:pPr>
    </w:p>
    <w:p w14:paraId="2B18E9BD" w14:textId="77777777" w:rsidR="00E45914" w:rsidRPr="00103A0B" w:rsidRDefault="00E45914" w:rsidP="008D5501">
      <w:pPr>
        <w:jc w:val="both"/>
        <w:rPr>
          <w:rFonts w:ascii="Arial" w:hAnsi="Arial" w:cs="Arial"/>
          <w:b/>
          <w:bCs/>
          <w:sz w:val="28"/>
          <w:szCs w:val="28"/>
        </w:rPr>
      </w:pPr>
    </w:p>
    <w:p w14:paraId="3A621838" w14:textId="4B14BA3C" w:rsidR="00A35E83" w:rsidRPr="00103A0B" w:rsidRDefault="00A35E83" w:rsidP="00E45914">
      <w:pPr>
        <w:keepNext/>
        <w:keepLines/>
        <w:jc w:val="both"/>
      </w:pPr>
      <w:r w:rsidRPr="00103A0B">
        <w:rPr>
          <w:rFonts w:ascii="Arial" w:hAnsi="Arial" w:cs="Arial"/>
          <w:b/>
          <w:bCs/>
          <w:sz w:val="28"/>
          <w:szCs w:val="28"/>
        </w:rPr>
        <w:lastRenderedPageBreak/>
        <w:t>Appendix 2</w:t>
      </w:r>
      <w:r w:rsidR="00630873" w:rsidRPr="00103A0B">
        <w:rPr>
          <w:rFonts w:ascii="Arial" w:hAnsi="Arial" w:cs="Arial"/>
          <w:b/>
          <w:bCs/>
          <w:sz w:val="28"/>
          <w:szCs w:val="28"/>
        </w:rPr>
        <w:t>2</w:t>
      </w:r>
      <w:r w:rsidRPr="00103A0B">
        <w:rPr>
          <w:rFonts w:ascii="Arial" w:hAnsi="Arial" w:cs="Arial"/>
          <w:b/>
          <w:bCs/>
          <w:sz w:val="28"/>
          <w:szCs w:val="28"/>
        </w:rPr>
        <w:t>: Recruitment process (</w:t>
      </w:r>
      <w:r w:rsidR="00C13876" w:rsidRPr="00103A0B">
        <w:rPr>
          <w:rFonts w:ascii="Arial" w:hAnsi="Arial" w:cs="Arial"/>
          <w:b/>
          <w:bCs/>
          <w:sz w:val="28"/>
          <w:szCs w:val="28"/>
        </w:rPr>
        <w:t>C</w:t>
      </w:r>
      <w:r w:rsidRPr="00103A0B">
        <w:rPr>
          <w:rFonts w:ascii="Arial" w:hAnsi="Arial" w:cs="Arial"/>
          <w:b/>
          <w:bCs/>
          <w:sz w:val="28"/>
          <w:szCs w:val="28"/>
        </w:rPr>
        <w:t>hapter 5)</w:t>
      </w:r>
    </w:p>
    <w:p w14:paraId="41413D7A" w14:textId="286C9489" w:rsidR="00A35E83" w:rsidRPr="00103A0B" w:rsidRDefault="00C84E3F" w:rsidP="00CD5919">
      <w:pPr>
        <w:spacing w:line="360" w:lineRule="auto"/>
        <w:jc w:val="both"/>
        <w:rPr>
          <w:rFonts w:ascii="Arial" w:hAnsi="Arial" w:cs="Arial"/>
          <w:sz w:val="24"/>
          <w:szCs w:val="24"/>
        </w:rPr>
      </w:pPr>
      <w:r w:rsidRPr="00103A0B">
        <w:rPr>
          <w:noProof/>
        </w:rPr>
        <mc:AlternateContent>
          <mc:Choice Requires="wpg">
            <w:drawing>
              <wp:anchor distT="0" distB="0" distL="114300" distR="114300" simplePos="0" relativeHeight="251679744" behindDoc="0" locked="0" layoutInCell="1" allowOverlap="1" wp14:anchorId="57A08498" wp14:editId="5AE1EDCC">
                <wp:simplePos x="0" y="0"/>
                <wp:positionH relativeFrom="margin">
                  <wp:posOffset>-457200</wp:posOffset>
                </wp:positionH>
                <wp:positionV relativeFrom="paragraph">
                  <wp:posOffset>446405</wp:posOffset>
                </wp:positionV>
                <wp:extent cx="6638925" cy="4572000"/>
                <wp:effectExtent l="0" t="0" r="9525"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4572000"/>
                          <a:chOff x="0" y="0"/>
                          <a:chExt cx="6638925" cy="4572000"/>
                        </a:xfrm>
                      </wpg:grpSpPr>
                      <wps:wsp>
                        <wps:cNvPr id="180" name="Straight Arrow Connector 180"/>
                        <wps:cNvCnPr>
                          <a:cxnSpLocks noChangeShapeType="1"/>
                        </wps:cNvCnPr>
                        <wps:spPr bwMode="auto">
                          <a:xfrm flipH="1">
                            <a:off x="3181350" y="2695575"/>
                            <a:ext cx="0" cy="561600"/>
                          </a:xfrm>
                          <a:prstGeom prst="straightConnector1">
                            <a:avLst/>
                          </a:prstGeom>
                          <a:noFill/>
                          <a:ln w="9525">
                            <a:solidFill>
                              <a:srgbClr val="000000"/>
                            </a:solidFill>
                            <a:round/>
                            <a:headEnd/>
                            <a:tailEnd type="triangle" w="med" len="med"/>
                          </a:ln>
                          <a:effectLst/>
                        </wps:spPr>
                        <wps:bodyPr/>
                      </wps:wsp>
                      <wpg:grpSp>
                        <wpg:cNvPr id="181" name="Group 181"/>
                        <wpg:cNvGrpSpPr/>
                        <wpg:grpSpPr>
                          <a:xfrm>
                            <a:off x="0" y="0"/>
                            <a:ext cx="6638925" cy="4572000"/>
                            <a:chOff x="0" y="0"/>
                            <a:chExt cx="6638925" cy="4572000"/>
                          </a:xfrm>
                        </wpg:grpSpPr>
                        <wps:wsp>
                          <wps:cNvPr id="182" name="Rectangle: Rounded Corners 182"/>
                          <wps:cNvSpPr>
                            <a:spLocks noChangeArrowheads="1"/>
                          </wps:cNvSpPr>
                          <wps:spPr bwMode="auto">
                            <a:xfrm rot="16200000">
                              <a:off x="-537210" y="2137410"/>
                              <a:ext cx="1371600" cy="297180"/>
                            </a:xfrm>
                            <a:prstGeom prst="roundRect">
                              <a:avLst>
                                <a:gd name="adj" fmla="val 16667"/>
                              </a:avLst>
                            </a:prstGeom>
                            <a:solidFill>
                              <a:srgbClr val="CCECFF"/>
                            </a:solidFill>
                            <a:ln w="9525">
                              <a:solidFill>
                                <a:srgbClr val="000000"/>
                              </a:solidFill>
                              <a:round/>
                              <a:headEnd/>
                              <a:tailEnd/>
                            </a:ln>
                          </wps:spPr>
                          <wps:txbx>
                            <w:txbxContent>
                              <w:p w14:paraId="55FE71B6" w14:textId="51827341" w:rsidR="00F47203" w:rsidRPr="002178B6" w:rsidRDefault="00F47203" w:rsidP="004D3D5E">
                                <w:pPr>
                                  <w:rPr>
                                    <w:lang w:val="en"/>
                                  </w:rPr>
                                </w:pPr>
                                <w:r w:rsidRPr="002178B6">
                                  <w:rPr>
                                    <w:lang w:val="en"/>
                                  </w:rPr>
                                  <w:t>IA Day</w:t>
                                </w:r>
                              </w:p>
                            </w:txbxContent>
                          </wps:txbx>
                          <wps:bodyPr rot="0" vert="vert270" wrap="square" lIns="45720" tIns="45720" rIns="45720" bIns="45720" anchor="t" anchorCtr="0" upright="1">
                            <a:noAutofit/>
                          </wps:bodyPr>
                        </wps:wsp>
                        <wps:wsp>
                          <wps:cNvPr id="183" name="Rectangle: Rounded Corners 183"/>
                          <wps:cNvSpPr>
                            <a:spLocks noChangeArrowheads="1"/>
                          </wps:cNvSpPr>
                          <wps:spPr bwMode="auto">
                            <a:xfrm rot="16200000">
                              <a:off x="-537210" y="3737610"/>
                              <a:ext cx="1371600" cy="297180"/>
                            </a:xfrm>
                            <a:prstGeom prst="roundRect">
                              <a:avLst>
                                <a:gd name="adj" fmla="val 16667"/>
                              </a:avLst>
                            </a:prstGeom>
                            <a:solidFill>
                              <a:srgbClr val="CCECFF"/>
                            </a:solidFill>
                            <a:ln w="9525">
                              <a:solidFill>
                                <a:srgbClr val="000000"/>
                              </a:solidFill>
                              <a:round/>
                              <a:headEnd/>
                              <a:tailEnd/>
                            </a:ln>
                          </wps:spPr>
                          <wps:txbx>
                            <w:txbxContent>
                              <w:p w14:paraId="1DC00014" w14:textId="77777777" w:rsidR="00F47203" w:rsidRPr="00DF1CA6" w:rsidRDefault="00F47203" w:rsidP="004D3D5E">
                                <w:pPr>
                                  <w:rPr>
                                    <w:lang w:val="en"/>
                                  </w:rPr>
                                </w:pPr>
                                <w:r w:rsidRPr="00DF1CA6">
                                  <w:rPr>
                                    <w:lang w:val="en"/>
                                  </w:rPr>
                                  <w:t>Post-IA</w:t>
                                </w:r>
                              </w:p>
                            </w:txbxContent>
                          </wps:txbx>
                          <wps:bodyPr rot="0" vert="vert270" wrap="square" lIns="45720" tIns="45720" rIns="45720" bIns="45720" anchor="t" anchorCtr="0" upright="1">
                            <a:noAutofit/>
                          </wps:bodyPr>
                        </wps:wsp>
                        <wps:wsp>
                          <wps:cNvPr id="184" name="Rectangle: Rounded Corners 184"/>
                          <wps:cNvSpPr>
                            <a:spLocks noChangeArrowheads="1"/>
                          </wps:cNvSpPr>
                          <wps:spPr bwMode="auto">
                            <a:xfrm rot="16200000">
                              <a:off x="-537210" y="537210"/>
                              <a:ext cx="1371600" cy="297180"/>
                            </a:xfrm>
                            <a:prstGeom prst="roundRect">
                              <a:avLst>
                                <a:gd name="adj" fmla="val 16667"/>
                              </a:avLst>
                            </a:prstGeom>
                            <a:solidFill>
                              <a:srgbClr val="CCECFF"/>
                            </a:solidFill>
                            <a:ln w="9525">
                              <a:solidFill>
                                <a:srgbClr val="000000"/>
                              </a:solidFill>
                              <a:round/>
                              <a:headEnd/>
                              <a:tailEnd/>
                            </a:ln>
                          </wps:spPr>
                          <wps:txbx>
                            <w:txbxContent>
                              <w:p w14:paraId="636A2DC4" w14:textId="63621D7D" w:rsidR="00F47203" w:rsidRPr="00DF1CA6" w:rsidRDefault="00F47203" w:rsidP="004D3D5E">
                                <w:pPr>
                                  <w:rPr>
                                    <w:lang w:val="en"/>
                                  </w:rPr>
                                </w:pPr>
                                <w:r>
                                  <w:rPr>
                                    <w:lang w:val="en"/>
                                  </w:rPr>
                                  <w:t>P</w:t>
                                </w:r>
                                <w:r w:rsidRPr="00DF1CA6">
                                  <w:rPr>
                                    <w:lang w:val="en"/>
                                  </w:rPr>
                                  <w:t>re-</w:t>
                                </w:r>
                                <w:r>
                                  <w:rPr>
                                    <w:lang w:val="en"/>
                                  </w:rPr>
                                  <w:t>I</w:t>
                                </w:r>
                                <w:r w:rsidRPr="00DF1CA6">
                                  <w:rPr>
                                    <w:lang w:val="en"/>
                                  </w:rPr>
                                  <w:t>A</w:t>
                                </w:r>
                              </w:p>
                            </w:txbxContent>
                          </wps:txbx>
                          <wps:bodyPr rot="0" vert="vert270" wrap="square" lIns="45720" tIns="45720" rIns="45720" bIns="45720" anchor="t" anchorCtr="0" upright="1">
                            <a:noAutofit/>
                          </wps:bodyPr>
                        </wps:wsp>
                        <wpg:grpSp>
                          <wpg:cNvPr id="185" name="Group 185"/>
                          <wpg:cNvGrpSpPr/>
                          <wpg:grpSpPr>
                            <a:xfrm>
                              <a:off x="1866900" y="388620"/>
                              <a:ext cx="2657475" cy="3964305"/>
                              <a:chOff x="0" y="0"/>
                              <a:chExt cx="2657475" cy="3964305"/>
                            </a:xfrm>
                          </wpg:grpSpPr>
                          <wps:wsp>
                            <wps:cNvPr id="186" name="Rectangle 186"/>
                            <wps:cNvSpPr>
                              <a:spLocks noChangeArrowheads="1"/>
                            </wps:cNvSpPr>
                            <wps:spPr bwMode="auto">
                              <a:xfrm>
                                <a:off x="219075" y="0"/>
                                <a:ext cx="2228850" cy="760730"/>
                              </a:xfrm>
                              <a:prstGeom prst="rect">
                                <a:avLst/>
                              </a:prstGeom>
                              <a:solidFill>
                                <a:srgbClr val="FFFFFF"/>
                              </a:solidFill>
                              <a:ln w="9525">
                                <a:solidFill>
                                  <a:srgbClr val="000000"/>
                                </a:solidFill>
                                <a:miter lim="800000"/>
                                <a:headEnd/>
                                <a:tailEnd/>
                              </a:ln>
                            </wps:spPr>
                            <wps:txbx>
                              <w:txbxContent>
                                <w:p w14:paraId="46347658" w14:textId="77777777" w:rsidR="00F47203" w:rsidRPr="002178B6" w:rsidRDefault="00F47203" w:rsidP="00A35E83">
                                  <w:pPr>
                                    <w:rPr>
                                      <w:rFonts w:ascii="Arial" w:hAnsi="Arial" w:cs="Arial"/>
                                      <w:sz w:val="20"/>
                                      <w:szCs w:val="20"/>
                                    </w:rPr>
                                  </w:pPr>
                                  <w:r w:rsidRPr="002178B6">
                                    <w:rPr>
                                      <w:rFonts w:ascii="Arial" w:hAnsi="Arial" w:cs="Arial"/>
                                      <w:sz w:val="20"/>
                                      <w:szCs w:val="20"/>
                                    </w:rPr>
                                    <w:t xml:space="preserve">Consent forms &amp; information sheets posted to Ps by </w:t>
                                  </w:r>
                                  <w:r>
                                    <w:rPr>
                                      <w:rFonts w:ascii="Arial" w:hAnsi="Arial" w:cs="Arial"/>
                                      <w:sz w:val="20"/>
                                      <w:szCs w:val="20"/>
                                    </w:rPr>
                                    <w:t xml:space="preserve">LP </w:t>
                                  </w:r>
                                  <w:r w:rsidRPr="002178B6">
                                    <w:rPr>
                                      <w:rFonts w:ascii="Arial" w:hAnsi="Arial" w:cs="Arial"/>
                                      <w:sz w:val="20"/>
                                      <w:szCs w:val="20"/>
                                    </w:rPr>
                                    <w:t xml:space="preserve">on our behalf </w:t>
                                  </w:r>
                                </w:p>
                                <w:p w14:paraId="65ACE7F5" w14:textId="77777777" w:rsidR="00F47203" w:rsidRPr="002178B6" w:rsidRDefault="00F47203" w:rsidP="00A35E83">
                                  <w:pPr>
                                    <w:jc w:val="center"/>
                                    <w:rPr>
                                      <w:rFonts w:ascii="Arial" w:hAnsi="Arial" w:cs="Arial"/>
                                      <w:sz w:val="20"/>
                                      <w:szCs w:val="20"/>
                                      <w:lang w:val="en"/>
                                    </w:rPr>
                                  </w:pPr>
                                </w:p>
                              </w:txbxContent>
                            </wps:txbx>
                            <wps:bodyPr rot="0" vert="horz" wrap="square" lIns="91440" tIns="91440" rIns="91440" bIns="91440" anchor="t" anchorCtr="0" upright="1">
                              <a:noAutofit/>
                            </wps:bodyPr>
                          </wps:wsp>
                          <wps:wsp>
                            <wps:cNvPr id="187" name="Straight Arrow Connector 187"/>
                            <wps:cNvCnPr>
                              <a:cxnSpLocks noChangeShapeType="1"/>
                            </wps:cNvCnPr>
                            <wps:spPr bwMode="auto">
                              <a:xfrm flipH="1">
                                <a:off x="1381125" y="781050"/>
                                <a:ext cx="0" cy="360000"/>
                              </a:xfrm>
                              <a:prstGeom prst="straightConnector1">
                                <a:avLst/>
                              </a:prstGeom>
                              <a:noFill/>
                              <a:ln w="9525">
                                <a:solidFill>
                                  <a:srgbClr val="000000"/>
                                </a:solidFill>
                                <a:round/>
                                <a:headEnd/>
                                <a:tailEnd type="triangle" w="med" len="med"/>
                              </a:ln>
                              <a:effectLst/>
                            </wps:spPr>
                            <wps:bodyPr/>
                          </wps:wsp>
                          <wps:wsp>
                            <wps:cNvPr id="188" name="Rectangle 188"/>
                            <wps:cNvSpPr>
                              <a:spLocks noChangeArrowheads="1"/>
                            </wps:cNvSpPr>
                            <wps:spPr bwMode="auto">
                              <a:xfrm>
                                <a:off x="0" y="1190626"/>
                                <a:ext cx="2657475" cy="1116330"/>
                              </a:xfrm>
                              <a:prstGeom prst="rect">
                                <a:avLst/>
                              </a:prstGeom>
                              <a:solidFill>
                                <a:srgbClr val="FFFFFF"/>
                              </a:solidFill>
                              <a:ln w="9525">
                                <a:solidFill>
                                  <a:srgbClr val="000000"/>
                                </a:solidFill>
                                <a:miter lim="800000"/>
                                <a:headEnd/>
                                <a:tailEnd/>
                              </a:ln>
                            </wps:spPr>
                            <wps:txbx>
                              <w:txbxContent>
                                <w:p w14:paraId="2CB8352F" w14:textId="77777777" w:rsidR="00F47203" w:rsidRPr="002178B6" w:rsidRDefault="00F47203" w:rsidP="000B715D">
                                  <w:pPr>
                                    <w:numPr>
                                      <w:ilvl w:val="0"/>
                                      <w:numId w:val="16"/>
                                    </w:numPr>
                                    <w:spacing w:after="0" w:line="240" w:lineRule="auto"/>
                                    <w:rPr>
                                      <w:rFonts w:ascii="Arial" w:hAnsi="Arial" w:cs="Arial"/>
                                      <w:sz w:val="20"/>
                                      <w:szCs w:val="20"/>
                                    </w:rPr>
                                  </w:pPr>
                                  <w:r w:rsidRPr="002178B6">
                                    <w:rPr>
                                      <w:rFonts w:ascii="Arial" w:hAnsi="Arial" w:cs="Arial"/>
                                      <w:sz w:val="20"/>
                                      <w:szCs w:val="20"/>
                                    </w:rPr>
                                    <w:t>Ps attended the IA (~15mins)</w:t>
                                  </w:r>
                                </w:p>
                                <w:p w14:paraId="31DD1B0D" w14:textId="77777777" w:rsidR="00F47203" w:rsidRPr="002178B6" w:rsidRDefault="00F47203" w:rsidP="000B715D">
                                  <w:pPr>
                                    <w:numPr>
                                      <w:ilvl w:val="0"/>
                                      <w:numId w:val="16"/>
                                    </w:numPr>
                                    <w:spacing w:after="0" w:line="240" w:lineRule="auto"/>
                                    <w:rPr>
                                      <w:rFonts w:ascii="Arial" w:hAnsi="Arial" w:cs="Arial"/>
                                      <w:sz w:val="20"/>
                                      <w:szCs w:val="20"/>
                                    </w:rPr>
                                  </w:pPr>
                                  <w:r w:rsidRPr="002178B6">
                                    <w:rPr>
                                      <w:rFonts w:ascii="Arial" w:hAnsi="Arial" w:cs="Arial"/>
                                      <w:sz w:val="20"/>
                                      <w:szCs w:val="20"/>
                                    </w:rPr>
                                    <w:t>Researcher promote</w:t>
                                  </w:r>
                                  <w:r>
                                    <w:rPr>
                                      <w:rFonts w:ascii="Arial" w:hAnsi="Arial" w:cs="Arial"/>
                                      <w:sz w:val="20"/>
                                      <w:szCs w:val="20"/>
                                    </w:rPr>
                                    <w:t>d</w:t>
                                  </w:r>
                                  <w:r w:rsidRPr="002178B6">
                                    <w:rPr>
                                      <w:rFonts w:ascii="Arial" w:hAnsi="Arial" w:cs="Arial"/>
                                      <w:sz w:val="20"/>
                                      <w:szCs w:val="20"/>
                                    </w:rPr>
                                    <w:t xml:space="preserve"> study to Ps before</w:t>
                                  </w:r>
                                  <w:r>
                                    <w:rPr>
                                      <w:rFonts w:ascii="Arial" w:hAnsi="Arial" w:cs="Arial"/>
                                      <w:sz w:val="20"/>
                                      <w:szCs w:val="20"/>
                                    </w:rPr>
                                    <w:t xml:space="preserve"> and</w:t>
                                  </w:r>
                                  <w:r w:rsidRPr="002178B6">
                                    <w:rPr>
                                      <w:rFonts w:ascii="Arial" w:hAnsi="Arial" w:cs="Arial"/>
                                      <w:sz w:val="20"/>
                                      <w:szCs w:val="20"/>
                                    </w:rPr>
                                    <w:t>/</w:t>
                                  </w:r>
                                  <w:r>
                                    <w:rPr>
                                      <w:rFonts w:ascii="Arial" w:hAnsi="Arial" w:cs="Arial"/>
                                      <w:sz w:val="20"/>
                                      <w:szCs w:val="20"/>
                                    </w:rPr>
                                    <w:t xml:space="preserve">or </w:t>
                                  </w:r>
                                  <w:r w:rsidRPr="002178B6">
                                    <w:rPr>
                                      <w:rFonts w:ascii="Arial" w:hAnsi="Arial" w:cs="Arial"/>
                                      <w:sz w:val="20"/>
                                      <w:szCs w:val="20"/>
                                    </w:rPr>
                                    <w:t xml:space="preserve">after their IA </w:t>
                                  </w:r>
                                </w:p>
                                <w:p w14:paraId="0A63866F" w14:textId="77777777" w:rsidR="00F47203" w:rsidRPr="002178B6" w:rsidRDefault="00F47203" w:rsidP="000B715D">
                                  <w:pPr>
                                    <w:numPr>
                                      <w:ilvl w:val="0"/>
                                      <w:numId w:val="16"/>
                                    </w:numPr>
                                    <w:spacing w:after="0" w:line="240" w:lineRule="auto"/>
                                    <w:rPr>
                                      <w:rFonts w:ascii="Arial" w:hAnsi="Arial" w:cs="Arial"/>
                                      <w:sz w:val="20"/>
                                      <w:szCs w:val="20"/>
                                    </w:rPr>
                                  </w:pPr>
                                  <w:r w:rsidRPr="002178B6">
                                    <w:rPr>
                                      <w:rFonts w:ascii="Arial" w:hAnsi="Arial" w:cs="Arial"/>
                                      <w:sz w:val="20"/>
                                      <w:szCs w:val="20"/>
                                    </w:rPr>
                                    <w:t>Researcher</w:t>
                                  </w:r>
                                  <w:r>
                                    <w:rPr>
                                      <w:rFonts w:ascii="Arial" w:hAnsi="Arial" w:cs="Arial"/>
                                      <w:sz w:val="20"/>
                                      <w:szCs w:val="20"/>
                                    </w:rPr>
                                    <w:t xml:space="preserve"> </w:t>
                                  </w:r>
                                  <w:r w:rsidRPr="002178B6">
                                    <w:rPr>
                                      <w:rFonts w:ascii="Arial" w:hAnsi="Arial" w:cs="Arial"/>
                                      <w:sz w:val="20"/>
                                      <w:szCs w:val="20"/>
                                    </w:rPr>
                                    <w:t>conduct</w:t>
                                  </w:r>
                                  <w:r>
                                    <w:rPr>
                                      <w:rFonts w:ascii="Arial" w:hAnsi="Arial" w:cs="Arial"/>
                                      <w:sz w:val="20"/>
                                      <w:szCs w:val="20"/>
                                    </w:rPr>
                                    <w:t>ed</w:t>
                                  </w:r>
                                  <w:r w:rsidRPr="002178B6">
                                    <w:rPr>
                                      <w:rFonts w:ascii="Arial" w:hAnsi="Arial" w:cs="Arial"/>
                                      <w:sz w:val="20"/>
                                      <w:szCs w:val="20"/>
                                    </w:rPr>
                                    <w:t xml:space="preserve"> face-to-face semi-structured interviews (~30-60mins) after </w:t>
                                  </w:r>
                                  <w:r>
                                    <w:rPr>
                                      <w:rFonts w:ascii="Arial" w:hAnsi="Arial" w:cs="Arial"/>
                                      <w:sz w:val="20"/>
                                      <w:szCs w:val="20"/>
                                    </w:rPr>
                                    <w:t xml:space="preserve">Ps </w:t>
                                  </w:r>
                                  <w:r w:rsidRPr="002178B6">
                                    <w:rPr>
                                      <w:rFonts w:ascii="Arial" w:hAnsi="Arial" w:cs="Arial"/>
                                      <w:sz w:val="20"/>
                                      <w:szCs w:val="20"/>
                                    </w:rPr>
                                    <w:t xml:space="preserve">attended their IA  </w:t>
                                  </w:r>
                                </w:p>
                                <w:p w14:paraId="27291975" w14:textId="77777777" w:rsidR="00F47203" w:rsidRPr="002178B6" w:rsidRDefault="00F47203" w:rsidP="00A35E83">
                                  <w:pPr>
                                    <w:jc w:val="center"/>
                                    <w:rPr>
                                      <w:rFonts w:ascii="Arial" w:hAnsi="Arial" w:cs="Arial"/>
                                      <w:sz w:val="20"/>
                                      <w:szCs w:val="20"/>
                                      <w:lang w:val="en"/>
                                    </w:rPr>
                                  </w:pPr>
                                </w:p>
                              </w:txbxContent>
                            </wps:txbx>
                            <wps:bodyPr rot="0" vert="horz" wrap="square" lIns="91440" tIns="91440" rIns="91440" bIns="91440" anchor="t" anchorCtr="0" upright="1">
                              <a:noAutofit/>
                            </wps:bodyPr>
                          </wps:wsp>
                          <wps:wsp>
                            <wps:cNvPr id="189" name="Rectangle 189"/>
                            <wps:cNvSpPr>
                              <a:spLocks noChangeArrowheads="1"/>
                            </wps:cNvSpPr>
                            <wps:spPr bwMode="auto">
                              <a:xfrm>
                                <a:off x="0" y="2945130"/>
                                <a:ext cx="2628900" cy="1019175"/>
                              </a:xfrm>
                              <a:prstGeom prst="rect">
                                <a:avLst/>
                              </a:prstGeom>
                              <a:solidFill>
                                <a:srgbClr val="FFFFFF"/>
                              </a:solidFill>
                              <a:ln w="9525">
                                <a:solidFill>
                                  <a:srgbClr val="000000"/>
                                </a:solidFill>
                                <a:miter lim="800000"/>
                                <a:headEnd/>
                                <a:tailEnd/>
                              </a:ln>
                            </wps:spPr>
                            <wps:txbx>
                              <w:txbxContent>
                                <w:p w14:paraId="31476C3C" w14:textId="77777777" w:rsidR="00F47203" w:rsidRPr="002178B6" w:rsidRDefault="00F47203" w:rsidP="000B715D">
                                  <w:pPr>
                                    <w:numPr>
                                      <w:ilvl w:val="0"/>
                                      <w:numId w:val="17"/>
                                    </w:numPr>
                                    <w:spacing w:after="0" w:line="240" w:lineRule="auto"/>
                                    <w:rPr>
                                      <w:rFonts w:ascii="Arial" w:hAnsi="Arial" w:cs="Arial"/>
                                      <w:sz w:val="20"/>
                                      <w:szCs w:val="20"/>
                                    </w:rPr>
                                  </w:pPr>
                                  <w:r w:rsidRPr="002178B6">
                                    <w:rPr>
                                      <w:rFonts w:ascii="Arial" w:hAnsi="Arial" w:cs="Arial"/>
                                      <w:sz w:val="20"/>
                                      <w:szCs w:val="20"/>
                                    </w:rPr>
                                    <w:t>Researcher</w:t>
                                  </w:r>
                                  <w:r>
                                    <w:rPr>
                                      <w:rFonts w:ascii="Arial" w:hAnsi="Arial" w:cs="Arial"/>
                                      <w:sz w:val="20"/>
                                      <w:szCs w:val="20"/>
                                    </w:rPr>
                                    <w:t xml:space="preserve"> </w:t>
                                  </w:r>
                                  <w:r w:rsidRPr="002178B6">
                                    <w:rPr>
                                      <w:rFonts w:ascii="Arial" w:hAnsi="Arial" w:cs="Arial"/>
                                      <w:sz w:val="20"/>
                                      <w:szCs w:val="20"/>
                                    </w:rPr>
                                    <w:t xml:space="preserve">received regular, monthly updates from </w:t>
                                  </w:r>
                                  <w:r>
                                    <w:rPr>
                                      <w:rFonts w:ascii="Arial" w:hAnsi="Arial" w:cs="Arial"/>
                                      <w:sz w:val="20"/>
                                      <w:szCs w:val="20"/>
                                    </w:rPr>
                                    <w:t>LP</w:t>
                                  </w:r>
                                  <w:r w:rsidRPr="002178B6">
                                    <w:rPr>
                                      <w:rFonts w:ascii="Arial" w:hAnsi="Arial" w:cs="Arial"/>
                                      <w:sz w:val="20"/>
                                      <w:szCs w:val="20"/>
                                    </w:rPr>
                                    <w:t xml:space="preserve"> as whether Ps started</w:t>
                                  </w:r>
                                  <w:r>
                                    <w:rPr>
                                      <w:rFonts w:ascii="Arial" w:hAnsi="Arial" w:cs="Arial"/>
                                      <w:sz w:val="20"/>
                                      <w:szCs w:val="20"/>
                                    </w:rPr>
                                    <w:t xml:space="preserve"> the NHSDPP</w:t>
                                  </w:r>
                                </w:p>
                                <w:p w14:paraId="1C10015B" w14:textId="77777777" w:rsidR="00F47203" w:rsidRPr="002178B6" w:rsidRDefault="00F47203" w:rsidP="000B715D">
                                  <w:pPr>
                                    <w:numPr>
                                      <w:ilvl w:val="0"/>
                                      <w:numId w:val="17"/>
                                    </w:numPr>
                                    <w:spacing w:after="0" w:line="240" w:lineRule="auto"/>
                                    <w:rPr>
                                      <w:rFonts w:ascii="Arial" w:hAnsi="Arial" w:cs="Arial"/>
                                      <w:sz w:val="20"/>
                                      <w:szCs w:val="20"/>
                                    </w:rPr>
                                  </w:pPr>
                                  <w:r w:rsidRPr="002178B6">
                                    <w:rPr>
                                      <w:rFonts w:ascii="Arial" w:hAnsi="Arial" w:cs="Arial"/>
                                      <w:sz w:val="20"/>
                                      <w:szCs w:val="20"/>
                                    </w:rPr>
                                    <w:t xml:space="preserve">Ps were then </w:t>
                                  </w:r>
                                  <w:r>
                                    <w:rPr>
                                      <w:rFonts w:ascii="Arial" w:hAnsi="Arial" w:cs="Arial"/>
                                      <w:sz w:val="20"/>
                                      <w:szCs w:val="20"/>
                                    </w:rPr>
                                    <w:t>categorised</w:t>
                                  </w:r>
                                  <w:r w:rsidRPr="002178B6">
                                    <w:rPr>
                                      <w:rFonts w:ascii="Arial" w:hAnsi="Arial" w:cs="Arial"/>
                                      <w:sz w:val="20"/>
                                      <w:szCs w:val="20"/>
                                    </w:rPr>
                                    <w:t xml:space="preserve"> as "attenders" or "non-attenders"</w:t>
                                  </w:r>
                                </w:p>
                                <w:p w14:paraId="2D10C572" w14:textId="77777777" w:rsidR="00F47203" w:rsidRPr="002178B6" w:rsidRDefault="00F47203" w:rsidP="00A35E83">
                                  <w:pPr>
                                    <w:rPr>
                                      <w:rFonts w:ascii="Arial" w:hAnsi="Arial" w:cs="Arial"/>
                                      <w:sz w:val="20"/>
                                      <w:szCs w:val="20"/>
                                      <w:lang w:val="en"/>
                                    </w:rPr>
                                  </w:pPr>
                                </w:p>
                              </w:txbxContent>
                            </wps:txbx>
                            <wps:bodyPr rot="0" vert="horz" wrap="square" lIns="91440" tIns="91440" rIns="91440" bIns="91440" anchor="t" anchorCtr="0" upright="1">
                              <a:noAutofit/>
                            </wps:bodyPr>
                          </wps:wsp>
                        </wpg:grpSp>
                        <wpg:grpSp>
                          <wpg:cNvPr id="190" name="Group 190"/>
                          <wpg:cNvGrpSpPr/>
                          <wpg:grpSpPr>
                            <a:xfrm>
                              <a:off x="4495800" y="3379470"/>
                              <a:ext cx="2143125" cy="1000125"/>
                              <a:chOff x="0" y="0"/>
                              <a:chExt cx="2143125" cy="857250"/>
                            </a:xfrm>
                          </wpg:grpSpPr>
                          <wps:wsp>
                            <wps:cNvPr id="191" name="Rectangle 191"/>
                            <wps:cNvSpPr>
                              <a:spLocks noChangeArrowheads="1"/>
                            </wps:cNvSpPr>
                            <wps:spPr bwMode="auto">
                              <a:xfrm>
                                <a:off x="333375" y="0"/>
                                <a:ext cx="1809750" cy="857250"/>
                              </a:xfrm>
                              <a:prstGeom prst="rect">
                                <a:avLst/>
                              </a:prstGeom>
                              <a:solidFill>
                                <a:srgbClr val="FFFFFF"/>
                              </a:solidFill>
                              <a:ln w="9525">
                                <a:solidFill>
                                  <a:srgbClr val="000000"/>
                                </a:solidFill>
                                <a:miter lim="800000"/>
                                <a:headEnd/>
                                <a:tailEnd/>
                              </a:ln>
                            </wps:spPr>
                            <wps:txbx>
                              <w:txbxContent>
                                <w:p w14:paraId="20718450" w14:textId="77777777" w:rsidR="00F47203" w:rsidRPr="002178B6" w:rsidRDefault="00F47203" w:rsidP="00A35E83">
                                  <w:pPr>
                                    <w:rPr>
                                      <w:rFonts w:ascii="Arial" w:hAnsi="Arial" w:cs="Arial"/>
                                      <w:sz w:val="20"/>
                                      <w:szCs w:val="20"/>
                                    </w:rPr>
                                  </w:pPr>
                                  <w:r w:rsidRPr="002178B6">
                                    <w:rPr>
                                      <w:rFonts w:ascii="Arial" w:hAnsi="Arial" w:cs="Arial"/>
                                      <w:sz w:val="20"/>
                                      <w:szCs w:val="20"/>
                                    </w:rPr>
                                    <w:t>Researcher</w:t>
                                  </w:r>
                                  <w:r>
                                    <w:rPr>
                                      <w:rFonts w:ascii="Arial" w:hAnsi="Arial" w:cs="Arial"/>
                                      <w:sz w:val="20"/>
                                      <w:szCs w:val="20"/>
                                    </w:rPr>
                                    <w:t xml:space="preserve"> </w:t>
                                  </w:r>
                                  <w:r w:rsidRPr="002178B6">
                                    <w:rPr>
                                      <w:rFonts w:ascii="Arial" w:hAnsi="Arial" w:cs="Arial"/>
                                      <w:sz w:val="20"/>
                                      <w:szCs w:val="20"/>
                                    </w:rPr>
                                    <w:t>conducted follow-up telephone calls with attenders and non-attenders (~15mins)</w:t>
                                  </w:r>
                                </w:p>
                                <w:p w14:paraId="3DEDA5BD" w14:textId="77777777" w:rsidR="00F47203" w:rsidRPr="002178B6" w:rsidRDefault="00F47203" w:rsidP="00A35E83">
                                  <w:pPr>
                                    <w:jc w:val="center"/>
                                    <w:rPr>
                                      <w:rFonts w:ascii="Arial" w:hAnsi="Arial" w:cs="Arial"/>
                                      <w:sz w:val="20"/>
                                      <w:szCs w:val="20"/>
                                      <w:lang w:val="en"/>
                                    </w:rPr>
                                  </w:pPr>
                                </w:p>
                              </w:txbxContent>
                            </wps:txbx>
                            <wps:bodyPr rot="0" vert="horz" wrap="square" lIns="91440" tIns="91440" rIns="91440" bIns="91440" anchor="t" anchorCtr="0" upright="1">
                              <a:noAutofit/>
                            </wps:bodyPr>
                          </wps:wsp>
                          <wps:wsp>
                            <wps:cNvPr id="192" name="Straight Arrow Connector 192"/>
                            <wps:cNvCnPr>
                              <a:cxnSpLocks noChangeShapeType="1"/>
                            </wps:cNvCnPr>
                            <wps:spPr bwMode="auto">
                              <a:xfrm flipV="1">
                                <a:off x="0" y="438150"/>
                                <a:ext cx="334800" cy="0"/>
                              </a:xfrm>
                              <a:prstGeom prst="straightConnector1">
                                <a:avLst/>
                              </a:prstGeom>
                              <a:noFill/>
                              <a:ln w="9525">
                                <a:solidFill>
                                  <a:srgbClr val="000000"/>
                                </a:solidFill>
                                <a:round/>
                                <a:headEnd/>
                                <a:tailEnd type="triangle" w="med" len="me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7A08498" id="Group 179" o:spid="_x0000_s1101" style="position:absolute;left:0;text-align:left;margin-left:-36pt;margin-top:35.15pt;width:522.75pt;height:5in;z-index:251679744;mso-position-horizontal-relative:margin;mso-position-vertical-relative:text" coordsize="66389,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NqAUAALogAAAOAAAAZHJzL2Uyb0RvYy54bWzsWm1v2zYQ/j5g/4HQ98am3mXEKQo36Qa0&#10;W9B0+07rxdYmkRqlxM5+/e5IipZdO0nbOUGQ5IMhSny9u+fuuWNO367ritzksi0Fnzr0ZOyQnKci&#10;K/li6vzx5eJN7JC2YzxjleD51LnNW+ft2c8/na6aSe6KpaiyXBKYhLeTVTN1ll3XTEajNl3mNWtP&#10;RJNz+FgIWbMOmnIxyiRbwex1NXLH43C0EjJrpEjztoW37/VH50zNXxR52v1eFG3ekWrqwN469SvV&#10;7xx/R2enbLKQrFmWqdkG+45d1KzksKid6j3rGLmW5VdT1WUqRSuK7iQV9UgURZnm6gxwGjreOc0H&#10;Ka4bdZbFZLVorJhAtDty+u5p099uPsjmqrmUevfw+FGkf7cgl9GqWUyG37G92HReF7LGQXAIslYS&#10;vbUSzdcdSeFlGHpx4gYOSeGbH0SgMiPzdAmK+Wpcujy/Z+SITfTCant2O6sG7KfdiKj9MRFdLVmT&#10;K8m3KIJLScoMzDsGE+KsBju+6iQrF8uOvJNSrMhMcA62JiTBPiA83A8MnHEt2HTNjWAJF7Ml44tc&#10;LfHltoHJKI6A8wyGYKMFrZD56pPIoA+77oSyMDw9Kaqy+QUHDhTg0Zh6AewQRO2GSRBEgTbvXhnw&#10;CdUQhDTUWrCyZJNGtt2HXNQEH6ZOa45nz6VXYjcf2w73uhmAG+DioqwqeM8mFSerqZMEoHNstqIq&#10;M/yoGnIxn1WS3DAEo/pTB9/pBkbPMzXZMmfZuXnuWFnBM+mUxDpZggyr3MHV6jxzSJWD/8Envb2K&#10;44q58gBmz71ItXLmIru9lNgZ34Pp4Gtj3/pxqHfa611BEpSsVLYNEJjLzqC1/hIR4vaS+gx4UDqa&#10;kM+o0TwDlEgOoQLE56KajMH3zqfVnscCRCELTQCwvIUQPaBX5wGESAFmTEN0OGDsaAzGT70JvMil&#10;BibUi3x4hs2AsRjPA+8UQBRY3CQyiD4MFmWweFy1jMIIzrfIjK9g2V8OKeoKAguYPqFhGEbGTE3n&#10;HTwdRs1sdj67uDCDt7odG3iIFIS3AQz6Jq3Bbj1fK+/oxb1SNbaIUgEIGugB6AJ/3QiaK4i24GH+&#10;uWYS8Fv9ykG/KjRAeB425LAxHzYYT5cCgnjnEP0463RIv24kOuXeMXLxDrxmUSqXhfaiN7aN+UeJ&#10;G96DUOH1AgTX84So8CIvCl9RYaLWneHoAahIeqW+osI4fMum/Aehwu8F+LSoMGHjNVRgbPtBUPiW&#10;Iz8rUBykh5Dg6LSgp4eKeX8jPaRxGCbAVZC/e3EM1AUNf8NL3DCIfOD0ipd4Seh7Y0Pw78ulDo20&#10;lOZJcqmwF5plikAMw2ODHSVqmKBLkzHKE+S9K2rXjWNMpTBfisJx5KkOVl6b9MfkS3KL/emo0KdU&#10;uOIWVWuHedCF+sNTw+xb3f4HRleXHVRXqrKeOrHNt9hkT16l17+L3vkm5elZ1A69A0L2735ul1Af&#10;8G64nWlobmcamtuZxvPjdlFvx3fUBBTfN+HvMWsC1IspxfoL2nFMx2DTWz7FmLgHBYHXkoCORYgE&#10;1JQpCTxKegBFUh0/hq7QplPH4j0DV6ijDgWHGLrKBR8IO5TS0Ht1ho5vCxh7CczLdYbJPku2KdCj&#10;WbKb+AHVdjq0ZDdWBAujOh3ThOoK6csO67bo8FwseUNWBwVX/Qj21SeXCbi0LU4OL8C1fyMn9/0k&#10;AOakObkXJT4UsLYCqEt9TwVYbVPjMTZUj3tJ+XBkDFcjOjZbY9wcs6+0Hf9+I7F17kEggpdKcOp2&#10;4ihlqUEg8uBvPyeHMmwS9Zx8j7xeJCe3tZHnAl7DrOxV5nHu6RJ7C3GYk0OfjVkfk5P/2Zejty5K&#10;fWDmu2zc83zlbNCX3JNwti/xgm7jEhVHt+UY9R4uyFUObS7z8QZ+2FYjNv9ycPYfAAAA//8DAFBL&#10;AwQUAAYACAAAACEAvgATsuEAAAAKAQAADwAAAGRycy9kb3ducmV2LnhtbEyPQUvDQBCF74L/YRnB&#10;W7tJQ42N2ZRS1FMRbAXxts1Ok9DsbMhuk/TfO57scd483vtevp5sKwbsfeNIQTyPQCCVzjRUKfg6&#10;vM2eQfigyejWESq4ood1cX+X68y4kT5x2IdKcAj5TCuoQ+gyKX1Zo9V+7jok/p1cb3Xgs6+k6fXI&#10;4baViyh6klY3xA217nBbY3neX6yC91GPmyR+HXbn0/b6c1h+fO9iVOrxYdq8gAg4hX8z/OEzOhTM&#10;dHQXMl60CmbpgrcEBWmUgGDDKk2WII4srFiRRS5vJxS/AAAA//8DAFBLAQItABQABgAIAAAAIQC2&#10;gziS/gAAAOEBAAATAAAAAAAAAAAAAAAAAAAAAABbQ29udGVudF9UeXBlc10ueG1sUEsBAi0AFAAG&#10;AAgAAAAhADj9If/WAAAAlAEAAAsAAAAAAAAAAAAAAAAALwEAAF9yZWxzLy5yZWxzUEsBAi0AFAAG&#10;AAgAAAAhAL6ZGc2oBQAAuiAAAA4AAAAAAAAAAAAAAAAALgIAAGRycy9lMm9Eb2MueG1sUEsBAi0A&#10;FAAGAAgAAAAhAL4AE7LhAAAACgEAAA8AAAAAAAAAAAAAAAAAAggAAGRycy9kb3ducmV2LnhtbFBL&#10;BQYAAAAABAAEAPMAAAAQCQAAAAA=&#10;">
                <v:shape id="Straight Arrow Connector 180" o:spid="_x0000_s1102" type="#_x0000_t32" style="position:absolute;left:31813;top:26955;width:0;height:5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aNwwAAANwAAAAPAAAAZHJzL2Rvd25yZXYueG1sRI9Ba8Mw&#10;DIXvg/4Ho8Fui7NCR8nqlq1QKL2MtYXuKGItMYvlELtx+u+nw6A3iff03qfVZvKdGmmILrCBl6IE&#10;RVwH67gxcD7tnpegYkK22AUmAzeKsFnPHlZY2ZD5i8ZjapSEcKzQQJtSX2kd65Y8xiL0xKL9hMFj&#10;knVotB0wS7jv9LwsX7VHx9LQYk/blurf49UbcPnTjf1+mz8Ol+9oM7nbIjhjnh6n9zdQiaZ0N/9f&#10;763gLwVfnpEJ9PoPAAD//wMAUEsBAi0AFAAGAAgAAAAhANvh9svuAAAAhQEAABMAAAAAAAAAAAAA&#10;AAAAAAAAAFtDb250ZW50X1R5cGVzXS54bWxQSwECLQAUAAYACAAAACEAWvQsW78AAAAVAQAACwAA&#10;AAAAAAAAAAAAAAAfAQAAX3JlbHMvLnJlbHNQSwECLQAUAAYACAAAACEAi31mjcMAAADcAAAADwAA&#10;AAAAAAAAAAAAAAAHAgAAZHJzL2Rvd25yZXYueG1sUEsFBgAAAAADAAMAtwAAAPcCAAAAAA==&#10;">
                  <v:stroke endarrow="block"/>
                </v:shape>
                <v:group id="Group 181" o:spid="_x0000_s1103" style="position:absolute;width:66389;height:45720" coordsize="6638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oundrect id="Rectangle: Rounded Corners 182" o:spid="_x0000_s1104" style="position:absolute;left:-5372;top:21374;width:13716;height:2971;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sZwgAAANwAAAAPAAAAZHJzL2Rvd25yZXYueG1sRE9Na8JA&#10;EL0X/A/LCN7qrkGCpK4iYqHgybQo3qbZMYlmZ2N21fjvu4VCb/N4nzNf9rYRd+p87VjDZKxAEBfO&#10;1Fxq+Pp8f52B8AHZYOOYNDzJw3IxeJljZtyDd3TPQyliCPsMNVQhtJmUvqjIoh+7ljhyJ9dZDBF2&#10;pTQdPmK4bWSiVCot1hwbKmxpXVFxyW9WQ5k0u5yv5/Sw3kyP51v6rdR+q/Vo2K/eQATqw7/4z/1h&#10;4vxZAr/PxAvk4gcAAP//AwBQSwECLQAUAAYACAAAACEA2+H2y+4AAACFAQAAEwAAAAAAAAAAAAAA&#10;AAAAAAAAW0NvbnRlbnRfVHlwZXNdLnhtbFBLAQItABQABgAIAAAAIQBa9CxbvwAAABUBAAALAAAA&#10;AAAAAAAAAAAAAB8BAABfcmVscy8ucmVsc1BLAQItABQABgAIAAAAIQDCb7sZwgAAANwAAAAPAAAA&#10;AAAAAAAAAAAAAAcCAABkcnMvZG93bnJldi54bWxQSwUGAAAAAAMAAwC3AAAA9gIAAAAA&#10;" fillcolor="#ccecff">
                    <v:textbox style="layout-flow:vertical;mso-layout-flow-alt:bottom-to-top" inset="3.6pt,,3.6pt">
                      <w:txbxContent>
                        <w:p w14:paraId="55FE71B6" w14:textId="51827341" w:rsidR="00F47203" w:rsidRPr="002178B6" w:rsidRDefault="00F47203" w:rsidP="004D3D5E">
                          <w:pPr>
                            <w:rPr>
                              <w:lang w:val="en"/>
                            </w:rPr>
                          </w:pPr>
                          <w:r w:rsidRPr="002178B6">
                            <w:rPr>
                              <w:lang w:val="en"/>
                            </w:rPr>
                            <w:t>IA Day</w:t>
                          </w:r>
                        </w:p>
                      </w:txbxContent>
                    </v:textbox>
                  </v:roundrect>
                  <v:roundrect id="Rectangle: Rounded Corners 183" o:spid="_x0000_s1105" style="position:absolute;left:-5372;top:37376;width:13716;height:2971;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6CwwAAANwAAAAPAAAAZHJzL2Rvd25yZXYueG1sRE9LawIx&#10;EL4X+h/CFHqrSW1ZZDUuRSoIPbmKpbdxM+7DzWS7ibr+eyMUepuP7zmzbLCtOFPva8caXkcKBHHh&#10;TM2lhu1m+TIB4QOywdYxabiSh2z++DDD1LgLr+mch1LEEPYpaqhC6FIpfVGRRT9yHXHkDq63GCLs&#10;S2l6vMRw28qxUom0WHNsqLCjRUXFMT9ZDeW4Xef82yTfi8/3n+aU7JXafWn9/DR8TEEEGsK/+M+9&#10;MnH+5A3uz8QL5PwGAAD//wMAUEsBAi0AFAAGAAgAAAAhANvh9svuAAAAhQEAABMAAAAAAAAAAAAA&#10;AAAAAAAAAFtDb250ZW50X1R5cGVzXS54bWxQSwECLQAUAAYACAAAACEAWvQsW78AAAAVAQAACwAA&#10;AAAAAAAAAAAAAAAfAQAAX3JlbHMvLnJlbHNQSwECLQAUAAYACAAAACEArSMegsMAAADcAAAADwAA&#10;AAAAAAAAAAAAAAAHAgAAZHJzL2Rvd25yZXYueG1sUEsFBgAAAAADAAMAtwAAAPcCAAAAAA==&#10;" fillcolor="#ccecff">
                    <v:textbox style="layout-flow:vertical;mso-layout-flow-alt:bottom-to-top" inset="3.6pt,,3.6pt">
                      <w:txbxContent>
                        <w:p w14:paraId="1DC00014" w14:textId="77777777" w:rsidR="00F47203" w:rsidRPr="00DF1CA6" w:rsidRDefault="00F47203" w:rsidP="004D3D5E">
                          <w:pPr>
                            <w:rPr>
                              <w:lang w:val="en"/>
                            </w:rPr>
                          </w:pPr>
                          <w:r w:rsidRPr="00DF1CA6">
                            <w:rPr>
                              <w:lang w:val="en"/>
                            </w:rPr>
                            <w:t>Post-IA</w:t>
                          </w:r>
                        </w:p>
                      </w:txbxContent>
                    </v:textbox>
                  </v:roundrect>
                  <v:roundrect id="Rectangle: Rounded Corners 184" o:spid="_x0000_s1106" style="position:absolute;left:-5372;top:5372;width:13716;height:2971;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b2wwAAANwAAAAPAAAAZHJzL2Rvd25yZXYueG1sRE9LawIx&#10;EL4X/A9hhN5qosgiq3EpYqHQk2tRvE030310M9luom7/vRGE3ubje84qG2wrLtT72rGG6USBIC6c&#10;qbnU8Ll/e1mA8AHZYOuYNPyRh2w9elphatyVd3TJQyliCPsUNVQhdKmUvqjIop+4jjhy3663GCLs&#10;S2l6vMZw28qZUom0WHNsqLCjTUXFT362GspZu8v5t0mOm+381JyTL6UOH1o/j4fXJYhAQ/gXP9zv&#10;Js5fzOH+TLxArm8AAAD//wMAUEsBAi0AFAAGAAgAAAAhANvh9svuAAAAhQEAABMAAAAAAAAAAAAA&#10;AAAAAAAAAFtDb250ZW50X1R5cGVzXS54bWxQSwECLQAUAAYACAAAACEAWvQsW78AAAAVAQAACwAA&#10;AAAAAAAAAAAAAAAfAQAAX3JlbHMvLnJlbHNQSwECLQAUAAYACAAAACEAIsqG9sMAAADcAAAADwAA&#10;AAAAAAAAAAAAAAAHAgAAZHJzL2Rvd25yZXYueG1sUEsFBgAAAAADAAMAtwAAAPcCAAAAAA==&#10;" fillcolor="#ccecff">
                    <v:textbox style="layout-flow:vertical;mso-layout-flow-alt:bottom-to-top" inset="3.6pt,,3.6pt">
                      <w:txbxContent>
                        <w:p w14:paraId="636A2DC4" w14:textId="63621D7D" w:rsidR="00F47203" w:rsidRPr="00DF1CA6" w:rsidRDefault="00F47203" w:rsidP="004D3D5E">
                          <w:pPr>
                            <w:rPr>
                              <w:lang w:val="en"/>
                            </w:rPr>
                          </w:pPr>
                          <w:r>
                            <w:rPr>
                              <w:lang w:val="en"/>
                            </w:rPr>
                            <w:t>P</w:t>
                          </w:r>
                          <w:r w:rsidRPr="00DF1CA6">
                            <w:rPr>
                              <w:lang w:val="en"/>
                            </w:rPr>
                            <w:t>re-</w:t>
                          </w:r>
                          <w:r>
                            <w:rPr>
                              <w:lang w:val="en"/>
                            </w:rPr>
                            <w:t>I</w:t>
                          </w:r>
                          <w:r w:rsidRPr="00DF1CA6">
                            <w:rPr>
                              <w:lang w:val="en"/>
                            </w:rPr>
                            <w:t>A</w:t>
                          </w:r>
                        </w:p>
                      </w:txbxContent>
                    </v:textbox>
                  </v:roundrect>
                  <v:group id="Group 185" o:spid="_x0000_s1107" style="position:absolute;left:18669;top:3886;width:26574;height:39643" coordsize="26574,3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186" o:spid="_x0000_s1108" style="position:absolute;left:2190;width:22289;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plwwAAANwAAAAPAAAAZHJzL2Rvd25yZXYueG1sRE9NawIx&#10;EL0L/ocwQm+a1VJdt0axLYVC8eBa6nVIppvFzWTZpLr++6YgeJvH+5zVpneNOFMXas8KppMMBLH2&#10;puZKwdfhfZyDCBHZYOOZFFwpwGY9HKywMP7CezqXsRIphEOBCmyMbSFl0JYcholviRP34zuHMcGu&#10;kqbDSwp3jZxl2Vw6rDk1WGzp1ZI+lb9OwaKKb6V+edLfO3vNP5f9Y9iXR6UeRv32GUSkPt7FN/eH&#10;SfPzOfw/ky6Q6z8AAAD//wMAUEsBAi0AFAAGAAgAAAAhANvh9svuAAAAhQEAABMAAAAAAAAAAAAA&#10;AAAAAAAAAFtDb250ZW50X1R5cGVzXS54bWxQSwECLQAUAAYACAAAACEAWvQsW78AAAAVAQAACwAA&#10;AAAAAAAAAAAAAAAfAQAAX3JlbHMvLnJlbHNQSwECLQAUAAYACAAAACEANAlaZcMAAADcAAAADwAA&#10;AAAAAAAAAAAAAAAHAgAAZHJzL2Rvd25yZXYueG1sUEsFBgAAAAADAAMAtwAAAPcCAAAAAA==&#10;">
                      <v:textbox inset=",7.2pt,,7.2pt">
                        <w:txbxContent>
                          <w:p w14:paraId="46347658" w14:textId="77777777" w:rsidR="00F47203" w:rsidRPr="002178B6" w:rsidRDefault="00F47203" w:rsidP="00A35E83">
                            <w:pPr>
                              <w:rPr>
                                <w:rFonts w:ascii="Arial" w:hAnsi="Arial" w:cs="Arial"/>
                                <w:sz w:val="20"/>
                                <w:szCs w:val="20"/>
                              </w:rPr>
                            </w:pPr>
                            <w:r w:rsidRPr="002178B6">
                              <w:rPr>
                                <w:rFonts w:ascii="Arial" w:hAnsi="Arial" w:cs="Arial"/>
                                <w:sz w:val="20"/>
                                <w:szCs w:val="20"/>
                              </w:rPr>
                              <w:t xml:space="preserve">Consent forms &amp; information sheets posted to Ps by </w:t>
                            </w:r>
                            <w:r>
                              <w:rPr>
                                <w:rFonts w:ascii="Arial" w:hAnsi="Arial" w:cs="Arial"/>
                                <w:sz w:val="20"/>
                                <w:szCs w:val="20"/>
                              </w:rPr>
                              <w:t xml:space="preserve">LP </w:t>
                            </w:r>
                            <w:r w:rsidRPr="002178B6">
                              <w:rPr>
                                <w:rFonts w:ascii="Arial" w:hAnsi="Arial" w:cs="Arial"/>
                                <w:sz w:val="20"/>
                                <w:szCs w:val="20"/>
                              </w:rPr>
                              <w:t xml:space="preserve">on our behalf </w:t>
                            </w:r>
                          </w:p>
                          <w:p w14:paraId="65ACE7F5" w14:textId="77777777" w:rsidR="00F47203" w:rsidRPr="002178B6" w:rsidRDefault="00F47203" w:rsidP="00A35E83">
                            <w:pPr>
                              <w:jc w:val="center"/>
                              <w:rPr>
                                <w:rFonts w:ascii="Arial" w:hAnsi="Arial" w:cs="Arial"/>
                                <w:sz w:val="20"/>
                                <w:szCs w:val="20"/>
                                <w:lang w:val="en"/>
                              </w:rPr>
                            </w:pPr>
                          </w:p>
                        </w:txbxContent>
                      </v:textbox>
                    </v:rect>
                    <v:shape id="Straight Arrow Connector 187" o:spid="_x0000_s1109" type="#_x0000_t32" style="position:absolute;left:13811;top:7810;width: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75wQAAANwAAAAPAAAAZHJzL2Rvd25yZXYueG1sRE9LawIx&#10;EL4X/A9hhN5qVqHtshpFhYL0UnyAHofNuBvcTJZN3Kz/vikIvc3H95zFarCN6KnzxrGC6SQDQVw6&#10;bbhScDp+veUgfEDW2DgmBQ/ysFqOXhZYaBd5T/0hVCKFsC9QQR1CW0jpy5os+olriRN3dZ3FkGBX&#10;Sd1hTOG2kbMs+5AWDaeGGlva1lTeDnerwMQf07e7bdx8ny9eRzKPd2eUeh0P6zmIQEP4Fz/dO53m&#10;55/w90y6QC5/AQAA//8DAFBLAQItABQABgAIAAAAIQDb4fbL7gAAAIUBAAATAAAAAAAAAAAAAAAA&#10;AAAAAABbQ29udGVudF9UeXBlc10ueG1sUEsBAi0AFAAGAAgAAAAhAFr0LFu/AAAAFQEAAAsAAAAA&#10;AAAAAAAAAAAAHwEAAF9yZWxzLy5yZWxzUEsBAi0AFAAGAAgAAAAhAASU/vnBAAAA3AAAAA8AAAAA&#10;AAAAAAAAAAAABwIAAGRycy9kb3ducmV2LnhtbFBLBQYAAAAAAwADALcAAAD1AgAAAAA=&#10;">
                      <v:stroke endarrow="block"/>
                    </v:shape>
                    <v:rect id="Rectangle 188" o:spid="_x0000_s1110" style="position:absolute;top:11906;width:26574;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uMxgAAANwAAAAPAAAAZHJzL2Rvd25yZXYueG1sRI9Pa8Mw&#10;DMXvhX0Ho8FurdONdVlWt+wPg8LoodnYrsLW4tBYDrHXpt++Ogx6k3hP7/20XI+hUwcaUhvZwHxW&#10;gCK20bXcGPj6fJ+WoFJGdthFJgMnSrBeXU2WWLl45B0d6twoCeFUoQGfc19pnayngGkWe2LRfuMQ&#10;MMs6NNoNeJTw0OnboljogC1Lg8eeXj3Zff0XDDw0+a22L/f2e+tP5cfjeJd29Y8xN9fj8xOoTGO+&#10;mP+vN07wS6GVZ2QCvToDAAD//wMAUEsBAi0AFAAGAAgAAAAhANvh9svuAAAAhQEAABMAAAAAAAAA&#10;AAAAAAAAAAAAAFtDb250ZW50X1R5cGVzXS54bWxQSwECLQAUAAYACAAAACEAWvQsW78AAAAVAQAA&#10;CwAAAAAAAAAAAAAAAAAfAQAAX3JlbHMvLnJlbHNQSwECLQAUAAYACAAAACEAKtprjMYAAADcAAAA&#10;DwAAAAAAAAAAAAAAAAAHAgAAZHJzL2Rvd25yZXYueG1sUEsFBgAAAAADAAMAtwAAAPoCAAAAAA==&#10;">
                      <v:textbox inset=",7.2pt,,7.2pt">
                        <w:txbxContent>
                          <w:p w14:paraId="2CB8352F" w14:textId="77777777" w:rsidR="00F47203" w:rsidRPr="002178B6" w:rsidRDefault="00F47203" w:rsidP="000B715D">
                            <w:pPr>
                              <w:numPr>
                                <w:ilvl w:val="0"/>
                                <w:numId w:val="16"/>
                              </w:numPr>
                              <w:spacing w:after="0" w:line="240" w:lineRule="auto"/>
                              <w:rPr>
                                <w:rFonts w:ascii="Arial" w:hAnsi="Arial" w:cs="Arial"/>
                                <w:sz w:val="20"/>
                                <w:szCs w:val="20"/>
                              </w:rPr>
                            </w:pPr>
                            <w:r w:rsidRPr="002178B6">
                              <w:rPr>
                                <w:rFonts w:ascii="Arial" w:hAnsi="Arial" w:cs="Arial"/>
                                <w:sz w:val="20"/>
                                <w:szCs w:val="20"/>
                              </w:rPr>
                              <w:t>Ps attended the IA (~15mins)</w:t>
                            </w:r>
                          </w:p>
                          <w:p w14:paraId="31DD1B0D" w14:textId="77777777" w:rsidR="00F47203" w:rsidRPr="002178B6" w:rsidRDefault="00F47203" w:rsidP="000B715D">
                            <w:pPr>
                              <w:numPr>
                                <w:ilvl w:val="0"/>
                                <w:numId w:val="16"/>
                              </w:numPr>
                              <w:spacing w:after="0" w:line="240" w:lineRule="auto"/>
                              <w:rPr>
                                <w:rFonts w:ascii="Arial" w:hAnsi="Arial" w:cs="Arial"/>
                                <w:sz w:val="20"/>
                                <w:szCs w:val="20"/>
                              </w:rPr>
                            </w:pPr>
                            <w:r w:rsidRPr="002178B6">
                              <w:rPr>
                                <w:rFonts w:ascii="Arial" w:hAnsi="Arial" w:cs="Arial"/>
                                <w:sz w:val="20"/>
                                <w:szCs w:val="20"/>
                              </w:rPr>
                              <w:t>Researcher promote</w:t>
                            </w:r>
                            <w:r>
                              <w:rPr>
                                <w:rFonts w:ascii="Arial" w:hAnsi="Arial" w:cs="Arial"/>
                                <w:sz w:val="20"/>
                                <w:szCs w:val="20"/>
                              </w:rPr>
                              <w:t>d</w:t>
                            </w:r>
                            <w:r w:rsidRPr="002178B6">
                              <w:rPr>
                                <w:rFonts w:ascii="Arial" w:hAnsi="Arial" w:cs="Arial"/>
                                <w:sz w:val="20"/>
                                <w:szCs w:val="20"/>
                              </w:rPr>
                              <w:t xml:space="preserve"> study to Ps before</w:t>
                            </w:r>
                            <w:r>
                              <w:rPr>
                                <w:rFonts w:ascii="Arial" w:hAnsi="Arial" w:cs="Arial"/>
                                <w:sz w:val="20"/>
                                <w:szCs w:val="20"/>
                              </w:rPr>
                              <w:t xml:space="preserve"> and</w:t>
                            </w:r>
                            <w:r w:rsidRPr="002178B6">
                              <w:rPr>
                                <w:rFonts w:ascii="Arial" w:hAnsi="Arial" w:cs="Arial"/>
                                <w:sz w:val="20"/>
                                <w:szCs w:val="20"/>
                              </w:rPr>
                              <w:t>/</w:t>
                            </w:r>
                            <w:r>
                              <w:rPr>
                                <w:rFonts w:ascii="Arial" w:hAnsi="Arial" w:cs="Arial"/>
                                <w:sz w:val="20"/>
                                <w:szCs w:val="20"/>
                              </w:rPr>
                              <w:t xml:space="preserve">or </w:t>
                            </w:r>
                            <w:r w:rsidRPr="002178B6">
                              <w:rPr>
                                <w:rFonts w:ascii="Arial" w:hAnsi="Arial" w:cs="Arial"/>
                                <w:sz w:val="20"/>
                                <w:szCs w:val="20"/>
                              </w:rPr>
                              <w:t xml:space="preserve">after their IA </w:t>
                            </w:r>
                          </w:p>
                          <w:p w14:paraId="0A63866F" w14:textId="77777777" w:rsidR="00F47203" w:rsidRPr="002178B6" w:rsidRDefault="00F47203" w:rsidP="000B715D">
                            <w:pPr>
                              <w:numPr>
                                <w:ilvl w:val="0"/>
                                <w:numId w:val="16"/>
                              </w:numPr>
                              <w:spacing w:after="0" w:line="240" w:lineRule="auto"/>
                              <w:rPr>
                                <w:rFonts w:ascii="Arial" w:hAnsi="Arial" w:cs="Arial"/>
                                <w:sz w:val="20"/>
                                <w:szCs w:val="20"/>
                              </w:rPr>
                            </w:pPr>
                            <w:r w:rsidRPr="002178B6">
                              <w:rPr>
                                <w:rFonts w:ascii="Arial" w:hAnsi="Arial" w:cs="Arial"/>
                                <w:sz w:val="20"/>
                                <w:szCs w:val="20"/>
                              </w:rPr>
                              <w:t>Researcher</w:t>
                            </w:r>
                            <w:r>
                              <w:rPr>
                                <w:rFonts w:ascii="Arial" w:hAnsi="Arial" w:cs="Arial"/>
                                <w:sz w:val="20"/>
                                <w:szCs w:val="20"/>
                              </w:rPr>
                              <w:t xml:space="preserve"> </w:t>
                            </w:r>
                            <w:r w:rsidRPr="002178B6">
                              <w:rPr>
                                <w:rFonts w:ascii="Arial" w:hAnsi="Arial" w:cs="Arial"/>
                                <w:sz w:val="20"/>
                                <w:szCs w:val="20"/>
                              </w:rPr>
                              <w:t>conduct</w:t>
                            </w:r>
                            <w:r>
                              <w:rPr>
                                <w:rFonts w:ascii="Arial" w:hAnsi="Arial" w:cs="Arial"/>
                                <w:sz w:val="20"/>
                                <w:szCs w:val="20"/>
                              </w:rPr>
                              <w:t>ed</w:t>
                            </w:r>
                            <w:r w:rsidRPr="002178B6">
                              <w:rPr>
                                <w:rFonts w:ascii="Arial" w:hAnsi="Arial" w:cs="Arial"/>
                                <w:sz w:val="20"/>
                                <w:szCs w:val="20"/>
                              </w:rPr>
                              <w:t xml:space="preserve"> face-to-face semi-structured interviews (~30-60mins) after </w:t>
                            </w:r>
                            <w:r>
                              <w:rPr>
                                <w:rFonts w:ascii="Arial" w:hAnsi="Arial" w:cs="Arial"/>
                                <w:sz w:val="20"/>
                                <w:szCs w:val="20"/>
                              </w:rPr>
                              <w:t xml:space="preserve">Ps </w:t>
                            </w:r>
                            <w:r w:rsidRPr="002178B6">
                              <w:rPr>
                                <w:rFonts w:ascii="Arial" w:hAnsi="Arial" w:cs="Arial"/>
                                <w:sz w:val="20"/>
                                <w:szCs w:val="20"/>
                              </w:rPr>
                              <w:t xml:space="preserve">attended their IA  </w:t>
                            </w:r>
                          </w:p>
                          <w:p w14:paraId="27291975" w14:textId="77777777" w:rsidR="00F47203" w:rsidRPr="002178B6" w:rsidRDefault="00F47203" w:rsidP="00A35E83">
                            <w:pPr>
                              <w:jc w:val="center"/>
                              <w:rPr>
                                <w:rFonts w:ascii="Arial" w:hAnsi="Arial" w:cs="Arial"/>
                                <w:sz w:val="20"/>
                                <w:szCs w:val="20"/>
                                <w:lang w:val="en"/>
                              </w:rPr>
                            </w:pPr>
                          </w:p>
                        </w:txbxContent>
                      </v:textbox>
                    </v:rect>
                    <v:rect id="Rectangle 189" o:spid="_x0000_s1111" style="position:absolute;top:29451;width:26289;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4XwwAAANwAAAAPAAAAZHJzL2Rvd25yZXYueG1sRE9NawIx&#10;EL0L/Q9hBG81a0t1XY3SVoSCeHAt9Tok083SzWTZRF3/fVMoeJvH+5zluneNuFAXas8KJuMMBLH2&#10;puZKwedx+5iDCBHZYOOZFNwowHr1MFhiYfyVD3QpYyVSCIcCFdgY20LKoC05DGPfEifu23cOY4Jd&#10;JU2H1xTuGvmUZVPpsObUYLGld0v6pzw7BbMqbkr99qK/9vaW7+b9cziUJ6VGw/51ASJSH+/if/eH&#10;SfPzOfw9ky6Qq18AAAD//wMAUEsBAi0AFAAGAAgAAAAhANvh9svuAAAAhQEAABMAAAAAAAAAAAAA&#10;AAAAAAAAAFtDb250ZW50X1R5cGVzXS54bWxQSwECLQAUAAYACAAAACEAWvQsW78AAAAVAQAACwAA&#10;AAAAAAAAAAAAAAAfAQAAX3JlbHMvLnJlbHNQSwECLQAUAAYACAAAACEARZbOF8MAAADcAAAADwAA&#10;AAAAAAAAAAAAAAAHAgAAZHJzL2Rvd25yZXYueG1sUEsFBgAAAAADAAMAtwAAAPcCAAAAAA==&#10;">
                      <v:textbox inset=",7.2pt,,7.2pt">
                        <w:txbxContent>
                          <w:p w14:paraId="31476C3C" w14:textId="77777777" w:rsidR="00F47203" w:rsidRPr="002178B6" w:rsidRDefault="00F47203" w:rsidP="000B715D">
                            <w:pPr>
                              <w:numPr>
                                <w:ilvl w:val="0"/>
                                <w:numId w:val="17"/>
                              </w:numPr>
                              <w:spacing w:after="0" w:line="240" w:lineRule="auto"/>
                              <w:rPr>
                                <w:rFonts w:ascii="Arial" w:hAnsi="Arial" w:cs="Arial"/>
                                <w:sz w:val="20"/>
                                <w:szCs w:val="20"/>
                              </w:rPr>
                            </w:pPr>
                            <w:r w:rsidRPr="002178B6">
                              <w:rPr>
                                <w:rFonts w:ascii="Arial" w:hAnsi="Arial" w:cs="Arial"/>
                                <w:sz w:val="20"/>
                                <w:szCs w:val="20"/>
                              </w:rPr>
                              <w:t>Researcher</w:t>
                            </w:r>
                            <w:r>
                              <w:rPr>
                                <w:rFonts w:ascii="Arial" w:hAnsi="Arial" w:cs="Arial"/>
                                <w:sz w:val="20"/>
                                <w:szCs w:val="20"/>
                              </w:rPr>
                              <w:t xml:space="preserve"> </w:t>
                            </w:r>
                            <w:r w:rsidRPr="002178B6">
                              <w:rPr>
                                <w:rFonts w:ascii="Arial" w:hAnsi="Arial" w:cs="Arial"/>
                                <w:sz w:val="20"/>
                                <w:szCs w:val="20"/>
                              </w:rPr>
                              <w:t xml:space="preserve">received regular, monthly updates from </w:t>
                            </w:r>
                            <w:r>
                              <w:rPr>
                                <w:rFonts w:ascii="Arial" w:hAnsi="Arial" w:cs="Arial"/>
                                <w:sz w:val="20"/>
                                <w:szCs w:val="20"/>
                              </w:rPr>
                              <w:t>LP</w:t>
                            </w:r>
                            <w:r w:rsidRPr="002178B6">
                              <w:rPr>
                                <w:rFonts w:ascii="Arial" w:hAnsi="Arial" w:cs="Arial"/>
                                <w:sz w:val="20"/>
                                <w:szCs w:val="20"/>
                              </w:rPr>
                              <w:t xml:space="preserve"> as whether Ps started</w:t>
                            </w:r>
                            <w:r>
                              <w:rPr>
                                <w:rFonts w:ascii="Arial" w:hAnsi="Arial" w:cs="Arial"/>
                                <w:sz w:val="20"/>
                                <w:szCs w:val="20"/>
                              </w:rPr>
                              <w:t xml:space="preserve"> the NHSDPP</w:t>
                            </w:r>
                          </w:p>
                          <w:p w14:paraId="1C10015B" w14:textId="77777777" w:rsidR="00F47203" w:rsidRPr="002178B6" w:rsidRDefault="00F47203" w:rsidP="000B715D">
                            <w:pPr>
                              <w:numPr>
                                <w:ilvl w:val="0"/>
                                <w:numId w:val="17"/>
                              </w:numPr>
                              <w:spacing w:after="0" w:line="240" w:lineRule="auto"/>
                              <w:rPr>
                                <w:rFonts w:ascii="Arial" w:hAnsi="Arial" w:cs="Arial"/>
                                <w:sz w:val="20"/>
                                <w:szCs w:val="20"/>
                              </w:rPr>
                            </w:pPr>
                            <w:r w:rsidRPr="002178B6">
                              <w:rPr>
                                <w:rFonts w:ascii="Arial" w:hAnsi="Arial" w:cs="Arial"/>
                                <w:sz w:val="20"/>
                                <w:szCs w:val="20"/>
                              </w:rPr>
                              <w:t xml:space="preserve">Ps were then </w:t>
                            </w:r>
                            <w:r>
                              <w:rPr>
                                <w:rFonts w:ascii="Arial" w:hAnsi="Arial" w:cs="Arial"/>
                                <w:sz w:val="20"/>
                                <w:szCs w:val="20"/>
                              </w:rPr>
                              <w:t>categorised</w:t>
                            </w:r>
                            <w:r w:rsidRPr="002178B6">
                              <w:rPr>
                                <w:rFonts w:ascii="Arial" w:hAnsi="Arial" w:cs="Arial"/>
                                <w:sz w:val="20"/>
                                <w:szCs w:val="20"/>
                              </w:rPr>
                              <w:t xml:space="preserve"> as "attenders" or "non-attenders"</w:t>
                            </w:r>
                          </w:p>
                          <w:p w14:paraId="2D10C572" w14:textId="77777777" w:rsidR="00F47203" w:rsidRPr="002178B6" w:rsidRDefault="00F47203" w:rsidP="00A35E83">
                            <w:pPr>
                              <w:rPr>
                                <w:rFonts w:ascii="Arial" w:hAnsi="Arial" w:cs="Arial"/>
                                <w:sz w:val="20"/>
                                <w:szCs w:val="20"/>
                                <w:lang w:val="en"/>
                              </w:rPr>
                            </w:pPr>
                          </w:p>
                        </w:txbxContent>
                      </v:textbox>
                    </v:rect>
                  </v:group>
                  <v:group id="Group 190" o:spid="_x0000_s1112" style="position:absolute;left:44958;top:33794;width:21431;height:10001" coordsize="21431,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191" o:spid="_x0000_s1113" style="position:absolute;left:3333;width:18098;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MwgAAANwAAAAPAAAAZHJzL2Rvd25yZXYueG1sRE9NawIx&#10;EL0X+h/CFLxpVsVWV6NURSiUHtwWvQ7JuFm6mSybqOu/NwWht3m8z1msOleLC7Wh8qxgOMhAEGtv&#10;Ki4V/Hzv+lMQISIbrD2TghsFWC2fnxaYG3/lPV2KWIoUwiFHBTbGJpcyaEsOw8A3xIk7+dZhTLAt&#10;pWnxmsJdLUdZ9iodVpwaLDa0saR/i7NT8FbGbaHXE334srfp56wbh31xVKr30r3PQUTq4r/44f4w&#10;af5sCH/PpAvk8g4AAP//AwBQSwECLQAUAAYACAAAACEA2+H2y+4AAACFAQAAEwAAAAAAAAAAAAAA&#10;AAAAAAAAW0NvbnRlbnRfVHlwZXNdLnhtbFBLAQItABQABgAIAAAAIQBa9CxbvwAAABUBAAALAAAA&#10;AAAAAAAAAAAAAB8BAABfcmVscy8ucmVsc1BLAQItABQABgAIAAAAIQA+OVTMwgAAANwAAAAPAAAA&#10;AAAAAAAAAAAAAAcCAABkcnMvZG93bnJldi54bWxQSwUGAAAAAAMAAwC3AAAA9gIAAAAA&#10;">
                      <v:textbox inset=",7.2pt,,7.2pt">
                        <w:txbxContent>
                          <w:p w14:paraId="20718450" w14:textId="77777777" w:rsidR="00F47203" w:rsidRPr="002178B6" w:rsidRDefault="00F47203" w:rsidP="00A35E83">
                            <w:pPr>
                              <w:rPr>
                                <w:rFonts w:ascii="Arial" w:hAnsi="Arial" w:cs="Arial"/>
                                <w:sz w:val="20"/>
                                <w:szCs w:val="20"/>
                              </w:rPr>
                            </w:pPr>
                            <w:r w:rsidRPr="002178B6">
                              <w:rPr>
                                <w:rFonts w:ascii="Arial" w:hAnsi="Arial" w:cs="Arial"/>
                                <w:sz w:val="20"/>
                                <w:szCs w:val="20"/>
                              </w:rPr>
                              <w:t>Researcher</w:t>
                            </w:r>
                            <w:r>
                              <w:rPr>
                                <w:rFonts w:ascii="Arial" w:hAnsi="Arial" w:cs="Arial"/>
                                <w:sz w:val="20"/>
                                <w:szCs w:val="20"/>
                              </w:rPr>
                              <w:t xml:space="preserve"> </w:t>
                            </w:r>
                            <w:r w:rsidRPr="002178B6">
                              <w:rPr>
                                <w:rFonts w:ascii="Arial" w:hAnsi="Arial" w:cs="Arial"/>
                                <w:sz w:val="20"/>
                                <w:szCs w:val="20"/>
                              </w:rPr>
                              <w:t>conducted follow-up telephone calls with attenders and non-attenders (~15mins)</w:t>
                            </w:r>
                          </w:p>
                          <w:p w14:paraId="3DEDA5BD" w14:textId="77777777" w:rsidR="00F47203" w:rsidRPr="002178B6" w:rsidRDefault="00F47203" w:rsidP="00A35E83">
                            <w:pPr>
                              <w:jc w:val="center"/>
                              <w:rPr>
                                <w:rFonts w:ascii="Arial" w:hAnsi="Arial" w:cs="Arial"/>
                                <w:sz w:val="20"/>
                                <w:szCs w:val="20"/>
                                <w:lang w:val="en"/>
                              </w:rPr>
                            </w:pPr>
                          </w:p>
                        </w:txbxContent>
                      </v:textbox>
                    </v:rect>
                    <v:shape id="Straight Arrow Connector 192" o:spid="_x0000_s1114" type="#_x0000_t32" style="position:absolute;top:4381;width:334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u8wQAAANwAAAAPAAAAZHJzL2Rvd25yZXYueG1sRE/fa8Iw&#10;EH4X9j+EG/imqQWH64zFCYL4InOD7fFozjbYXEqTNfW/N4OBb/fx/bx1OdpWDNR741jBYp6BIK6c&#10;Nlwr+Prcz1YgfEDW2DomBTfyUG6eJmsstIv8QcM51CKFsC9QQRNCV0jpq4Ys+rnriBN3cb3FkGBf&#10;S91jTOG2lXmWvUiLhlNDgx3tGqqu51+rwMSTGbrDLr4fv3+8jmRuS2eUmj6P2zcQgcbwEP+7DzrN&#10;f83h75l0gdzcAQAA//8DAFBLAQItABQABgAIAAAAIQDb4fbL7gAAAIUBAAATAAAAAAAAAAAAAAAA&#10;AAAAAABbQ29udGVudF9UeXBlc10ueG1sUEsBAi0AFAAGAAgAAAAhAFr0LFu/AAAAFQEAAAsAAAAA&#10;AAAAAAAAAAAAHwEAAF9yZWxzLy5yZWxzUEsBAi0AFAAGAAgAAAAhAJE6y7zBAAAA3AAAAA8AAAAA&#10;AAAAAAAAAAAABwIAAGRycy9kb3ducmV2LnhtbFBLBQYAAAAAAwADALcAAAD1AgAAAAA=&#10;">
                      <v:stroke endarrow="block"/>
                    </v:shape>
                  </v:group>
                </v:group>
                <w10:wrap anchorx="margin"/>
              </v:group>
            </w:pict>
          </mc:Fallback>
        </mc:AlternateContent>
      </w:r>
      <w:r w:rsidR="00A35E83" w:rsidRPr="00103A0B">
        <w:rPr>
          <w:rFonts w:ascii="Arial" w:hAnsi="Arial" w:cs="Arial"/>
          <w:i/>
          <w:sz w:val="24"/>
          <w:szCs w:val="24"/>
        </w:rPr>
        <w:t xml:space="preserve">Flowchart of the NHSDPP recruitment process for attenders and non-attenders </w:t>
      </w:r>
    </w:p>
    <w:p w14:paraId="7EE04589" w14:textId="40250EAA" w:rsidR="00A35E83" w:rsidRPr="00103A0B" w:rsidRDefault="00A35E83" w:rsidP="00CD5919">
      <w:pPr>
        <w:spacing w:line="360" w:lineRule="auto"/>
        <w:jc w:val="both"/>
        <w:rPr>
          <w:rFonts w:ascii="Arial" w:hAnsi="Arial" w:cs="Arial"/>
          <w:sz w:val="24"/>
          <w:szCs w:val="24"/>
        </w:rPr>
      </w:pPr>
    </w:p>
    <w:p w14:paraId="7CD89F43" w14:textId="77777777" w:rsidR="00A35E83" w:rsidRPr="00103A0B" w:rsidRDefault="00A35E83" w:rsidP="00CD5919">
      <w:pPr>
        <w:spacing w:line="360" w:lineRule="auto"/>
        <w:jc w:val="both"/>
        <w:rPr>
          <w:rFonts w:ascii="Arial" w:hAnsi="Arial" w:cs="Arial"/>
          <w:b/>
          <w:sz w:val="24"/>
          <w:szCs w:val="24"/>
        </w:rPr>
      </w:pPr>
    </w:p>
    <w:p w14:paraId="1D62CF58" w14:textId="77777777" w:rsidR="00A35E83" w:rsidRPr="00103A0B" w:rsidRDefault="00A35E83" w:rsidP="00CD5919">
      <w:pPr>
        <w:spacing w:line="360" w:lineRule="auto"/>
        <w:jc w:val="both"/>
        <w:rPr>
          <w:rFonts w:ascii="Arial" w:hAnsi="Arial" w:cs="Arial"/>
          <w:b/>
          <w:sz w:val="24"/>
          <w:szCs w:val="24"/>
        </w:rPr>
      </w:pPr>
    </w:p>
    <w:p w14:paraId="72B91C23" w14:textId="77777777" w:rsidR="00A35E83" w:rsidRPr="00103A0B" w:rsidRDefault="00A35E83" w:rsidP="00CD5919">
      <w:pPr>
        <w:spacing w:line="360" w:lineRule="auto"/>
        <w:jc w:val="both"/>
        <w:rPr>
          <w:rFonts w:ascii="Arial" w:hAnsi="Arial" w:cs="Arial"/>
          <w:b/>
          <w:sz w:val="24"/>
          <w:szCs w:val="24"/>
        </w:rPr>
      </w:pPr>
    </w:p>
    <w:p w14:paraId="42795B42" w14:textId="77777777" w:rsidR="00A35E83" w:rsidRPr="00103A0B" w:rsidRDefault="00A35E83" w:rsidP="00CD5919">
      <w:pPr>
        <w:spacing w:line="360" w:lineRule="auto"/>
        <w:jc w:val="both"/>
        <w:rPr>
          <w:rFonts w:ascii="Arial" w:hAnsi="Arial" w:cs="Arial"/>
          <w:b/>
          <w:sz w:val="24"/>
          <w:szCs w:val="24"/>
        </w:rPr>
      </w:pPr>
    </w:p>
    <w:p w14:paraId="44AEC639" w14:textId="77777777" w:rsidR="00A35E83" w:rsidRPr="00103A0B" w:rsidRDefault="00A35E83" w:rsidP="00CD5919">
      <w:pPr>
        <w:spacing w:line="360" w:lineRule="auto"/>
        <w:jc w:val="both"/>
        <w:rPr>
          <w:rFonts w:ascii="Arial" w:hAnsi="Arial" w:cs="Arial"/>
          <w:b/>
          <w:sz w:val="24"/>
          <w:szCs w:val="24"/>
        </w:rPr>
      </w:pPr>
    </w:p>
    <w:p w14:paraId="7FF74AFA" w14:textId="77777777" w:rsidR="00A35E83" w:rsidRPr="00103A0B" w:rsidRDefault="00A35E83" w:rsidP="00CD5919">
      <w:pPr>
        <w:spacing w:line="360" w:lineRule="auto"/>
        <w:jc w:val="both"/>
        <w:rPr>
          <w:rFonts w:ascii="Arial" w:hAnsi="Arial" w:cs="Arial"/>
          <w:b/>
          <w:sz w:val="24"/>
          <w:szCs w:val="24"/>
        </w:rPr>
      </w:pPr>
    </w:p>
    <w:p w14:paraId="4D044398" w14:textId="77777777" w:rsidR="00A35E83" w:rsidRPr="00103A0B" w:rsidRDefault="00A35E83" w:rsidP="00CD5919">
      <w:pPr>
        <w:spacing w:line="360" w:lineRule="auto"/>
        <w:jc w:val="both"/>
        <w:rPr>
          <w:rFonts w:ascii="Arial" w:hAnsi="Arial" w:cs="Arial"/>
          <w:b/>
          <w:sz w:val="24"/>
          <w:szCs w:val="24"/>
        </w:rPr>
      </w:pPr>
    </w:p>
    <w:p w14:paraId="37A1F1EA" w14:textId="77777777" w:rsidR="00A35E83" w:rsidRPr="00103A0B" w:rsidRDefault="00A35E83" w:rsidP="00CD5919">
      <w:pPr>
        <w:spacing w:line="360" w:lineRule="auto"/>
        <w:jc w:val="both"/>
        <w:rPr>
          <w:rFonts w:ascii="Arial" w:hAnsi="Arial" w:cs="Arial"/>
          <w:b/>
          <w:sz w:val="24"/>
          <w:szCs w:val="24"/>
        </w:rPr>
      </w:pPr>
    </w:p>
    <w:p w14:paraId="5ACA73B9" w14:textId="77777777" w:rsidR="00A35E83" w:rsidRPr="00103A0B" w:rsidRDefault="00A35E83" w:rsidP="00CD5919">
      <w:pPr>
        <w:spacing w:line="360" w:lineRule="auto"/>
        <w:jc w:val="both"/>
        <w:rPr>
          <w:rFonts w:ascii="Arial" w:hAnsi="Arial" w:cs="Arial"/>
          <w:b/>
          <w:sz w:val="24"/>
          <w:szCs w:val="24"/>
        </w:rPr>
      </w:pPr>
    </w:p>
    <w:p w14:paraId="23C6789E" w14:textId="77777777" w:rsidR="00A35E83" w:rsidRPr="00103A0B" w:rsidRDefault="00A35E83" w:rsidP="00CD5919">
      <w:pPr>
        <w:spacing w:line="360" w:lineRule="auto"/>
        <w:jc w:val="both"/>
        <w:rPr>
          <w:rFonts w:ascii="Arial" w:hAnsi="Arial" w:cs="Arial"/>
          <w:b/>
          <w:sz w:val="24"/>
          <w:szCs w:val="24"/>
        </w:rPr>
      </w:pPr>
    </w:p>
    <w:p w14:paraId="100E1B45" w14:textId="77777777" w:rsidR="00A35E83" w:rsidRPr="00103A0B" w:rsidRDefault="00A35E83" w:rsidP="00CD5919">
      <w:pPr>
        <w:spacing w:line="360" w:lineRule="auto"/>
        <w:jc w:val="both"/>
        <w:rPr>
          <w:rFonts w:ascii="Arial" w:hAnsi="Arial" w:cs="Arial"/>
          <w:b/>
          <w:sz w:val="24"/>
          <w:szCs w:val="24"/>
        </w:rPr>
      </w:pPr>
    </w:p>
    <w:p w14:paraId="0838DFB1" w14:textId="77777777" w:rsidR="00A35E83" w:rsidRPr="00103A0B" w:rsidRDefault="00A35E83" w:rsidP="00CD5919">
      <w:pPr>
        <w:spacing w:line="360" w:lineRule="auto"/>
        <w:jc w:val="both"/>
        <w:rPr>
          <w:rFonts w:ascii="Arial" w:hAnsi="Arial" w:cs="Arial"/>
          <w:b/>
          <w:sz w:val="24"/>
          <w:szCs w:val="24"/>
        </w:rPr>
      </w:pPr>
    </w:p>
    <w:p w14:paraId="08EA3091" w14:textId="77777777" w:rsidR="00A35E83" w:rsidRPr="00103A0B" w:rsidRDefault="00A35E83" w:rsidP="00CD5919">
      <w:pPr>
        <w:spacing w:line="360" w:lineRule="auto"/>
        <w:jc w:val="both"/>
        <w:rPr>
          <w:rFonts w:ascii="Arial" w:hAnsi="Arial" w:cs="Arial"/>
          <w:b/>
          <w:sz w:val="24"/>
          <w:szCs w:val="24"/>
        </w:rPr>
      </w:pPr>
      <w:r w:rsidRPr="00103A0B">
        <w:rPr>
          <w:rFonts w:ascii="Arial" w:hAnsi="Arial" w:cs="Arial"/>
          <w:b/>
          <w:sz w:val="24"/>
          <w:szCs w:val="24"/>
        </w:rPr>
        <w:t xml:space="preserve">Key: </w:t>
      </w:r>
    </w:p>
    <w:p w14:paraId="1B55E50C" w14:textId="77777777" w:rsidR="00A35E83" w:rsidRPr="00103A0B" w:rsidRDefault="00A35E83" w:rsidP="00CD5919">
      <w:pPr>
        <w:spacing w:line="360" w:lineRule="auto"/>
        <w:jc w:val="both"/>
        <w:rPr>
          <w:rFonts w:ascii="Arial" w:hAnsi="Arial" w:cs="Arial"/>
          <w:sz w:val="24"/>
          <w:szCs w:val="24"/>
        </w:rPr>
      </w:pPr>
      <w:r w:rsidRPr="00103A0B">
        <w:rPr>
          <w:rFonts w:ascii="Arial" w:hAnsi="Arial" w:cs="Arial"/>
          <w:sz w:val="24"/>
          <w:szCs w:val="24"/>
        </w:rPr>
        <w:t xml:space="preserve">Ps= participants </w:t>
      </w:r>
    </w:p>
    <w:p w14:paraId="4940C3F1" w14:textId="77777777" w:rsidR="00A35E83" w:rsidRPr="00103A0B" w:rsidRDefault="00A35E83" w:rsidP="00CD5919">
      <w:pPr>
        <w:spacing w:line="360" w:lineRule="auto"/>
        <w:jc w:val="both"/>
        <w:rPr>
          <w:rFonts w:ascii="Arial" w:hAnsi="Arial" w:cs="Arial"/>
          <w:sz w:val="24"/>
          <w:szCs w:val="24"/>
        </w:rPr>
      </w:pPr>
      <w:r w:rsidRPr="00103A0B">
        <w:rPr>
          <w:rFonts w:ascii="Arial" w:hAnsi="Arial" w:cs="Arial"/>
          <w:sz w:val="24"/>
          <w:szCs w:val="24"/>
        </w:rPr>
        <w:t xml:space="preserve">IA= initial assessment </w:t>
      </w:r>
    </w:p>
    <w:p w14:paraId="54A9D26F" w14:textId="77777777" w:rsidR="00A35E83" w:rsidRPr="00103A0B" w:rsidRDefault="00A35E83" w:rsidP="00CD5919">
      <w:pPr>
        <w:spacing w:line="360" w:lineRule="auto"/>
        <w:jc w:val="both"/>
        <w:rPr>
          <w:rFonts w:ascii="Arial" w:hAnsi="Arial" w:cs="Arial"/>
          <w:sz w:val="24"/>
          <w:szCs w:val="24"/>
        </w:rPr>
      </w:pPr>
      <w:r w:rsidRPr="00103A0B">
        <w:rPr>
          <w:rFonts w:ascii="Arial" w:hAnsi="Arial" w:cs="Arial"/>
          <w:sz w:val="24"/>
          <w:szCs w:val="24"/>
        </w:rPr>
        <w:t xml:space="preserve">LP= local provider </w:t>
      </w:r>
    </w:p>
    <w:p w14:paraId="11FADD05" w14:textId="77777777" w:rsidR="00A35E83" w:rsidRPr="00103A0B" w:rsidRDefault="00A35E83" w:rsidP="00CD5919">
      <w:pPr>
        <w:jc w:val="both"/>
      </w:pPr>
    </w:p>
    <w:p w14:paraId="1989C95B" w14:textId="65AED916" w:rsidR="00A35E83" w:rsidRPr="00103A0B" w:rsidRDefault="00A35E83" w:rsidP="00CD5919">
      <w:pPr>
        <w:tabs>
          <w:tab w:val="left" w:pos="3840"/>
        </w:tabs>
        <w:jc w:val="both"/>
        <w:rPr>
          <w:rFonts w:ascii="Arial" w:hAnsi="Arial" w:cs="Arial"/>
          <w:lang w:bidi="en-US"/>
        </w:rPr>
      </w:pPr>
    </w:p>
    <w:p w14:paraId="7FCB1667" w14:textId="2D275F76" w:rsidR="00FE1F0B" w:rsidRPr="00103A0B" w:rsidRDefault="00FE1F0B" w:rsidP="00CD5919">
      <w:pPr>
        <w:tabs>
          <w:tab w:val="left" w:pos="3840"/>
        </w:tabs>
        <w:jc w:val="both"/>
        <w:rPr>
          <w:rFonts w:ascii="Arial" w:hAnsi="Arial" w:cs="Arial"/>
          <w:lang w:bidi="en-US"/>
        </w:rPr>
      </w:pPr>
    </w:p>
    <w:p w14:paraId="5A85F706" w14:textId="6062941E" w:rsidR="00FE1F0B" w:rsidRPr="00103A0B" w:rsidRDefault="00FE1F0B" w:rsidP="00CD5919">
      <w:pPr>
        <w:tabs>
          <w:tab w:val="left" w:pos="3840"/>
        </w:tabs>
        <w:jc w:val="both"/>
        <w:rPr>
          <w:rFonts w:ascii="Arial" w:hAnsi="Arial" w:cs="Arial"/>
          <w:lang w:bidi="en-US"/>
        </w:rPr>
      </w:pPr>
    </w:p>
    <w:p w14:paraId="40D9352A" w14:textId="67D9662B" w:rsidR="00FE1F0B" w:rsidRPr="00103A0B" w:rsidRDefault="00FE1F0B" w:rsidP="00CD5919">
      <w:pPr>
        <w:tabs>
          <w:tab w:val="left" w:pos="3840"/>
        </w:tabs>
        <w:jc w:val="both"/>
        <w:rPr>
          <w:rFonts w:ascii="Arial" w:hAnsi="Arial" w:cs="Arial"/>
          <w:lang w:bidi="en-US"/>
        </w:rPr>
      </w:pPr>
    </w:p>
    <w:p w14:paraId="1A317EA1" w14:textId="77D39564" w:rsidR="00FE1F0B" w:rsidRPr="00103A0B" w:rsidRDefault="00FE1F0B" w:rsidP="00CD5919">
      <w:pPr>
        <w:tabs>
          <w:tab w:val="left" w:pos="3840"/>
        </w:tabs>
        <w:jc w:val="both"/>
        <w:rPr>
          <w:rFonts w:ascii="Arial" w:hAnsi="Arial" w:cs="Arial"/>
          <w:lang w:bidi="en-US"/>
        </w:rPr>
      </w:pPr>
    </w:p>
    <w:p w14:paraId="466B731E" w14:textId="77777777" w:rsidR="008D5501" w:rsidRPr="00103A0B" w:rsidRDefault="008D5501" w:rsidP="00CD5919">
      <w:pPr>
        <w:jc w:val="both"/>
        <w:rPr>
          <w:rFonts w:ascii="Arial" w:hAnsi="Arial" w:cs="Arial"/>
          <w:b/>
          <w:bCs/>
          <w:sz w:val="28"/>
          <w:szCs w:val="28"/>
        </w:rPr>
      </w:pPr>
    </w:p>
    <w:p w14:paraId="6AA57C11" w14:textId="0C5A30CD" w:rsidR="0049111A" w:rsidRPr="00103A0B" w:rsidRDefault="00FE1F0B" w:rsidP="00E45914">
      <w:pPr>
        <w:keepNext/>
        <w:keepLines/>
        <w:jc w:val="both"/>
        <w:rPr>
          <w:rFonts w:ascii="Arial" w:hAnsi="Arial" w:cs="Arial"/>
          <w:b/>
          <w:bCs/>
          <w:sz w:val="28"/>
          <w:szCs w:val="28"/>
        </w:rPr>
      </w:pPr>
      <w:r w:rsidRPr="00103A0B">
        <w:rPr>
          <w:rFonts w:ascii="Arial" w:hAnsi="Arial" w:cs="Arial"/>
          <w:b/>
          <w:bCs/>
          <w:sz w:val="28"/>
          <w:szCs w:val="28"/>
        </w:rPr>
        <w:lastRenderedPageBreak/>
        <w:t>Appendix 2</w:t>
      </w:r>
      <w:r w:rsidR="00630873" w:rsidRPr="00103A0B">
        <w:rPr>
          <w:rFonts w:ascii="Arial" w:hAnsi="Arial" w:cs="Arial"/>
          <w:b/>
          <w:bCs/>
          <w:sz w:val="28"/>
          <w:szCs w:val="28"/>
        </w:rPr>
        <w:t>3</w:t>
      </w:r>
      <w:r w:rsidRPr="00103A0B">
        <w:rPr>
          <w:rFonts w:ascii="Arial" w:hAnsi="Arial" w:cs="Arial"/>
          <w:b/>
          <w:bCs/>
          <w:sz w:val="28"/>
          <w:szCs w:val="28"/>
        </w:rPr>
        <w:t xml:space="preserve">: </w:t>
      </w:r>
      <w:r w:rsidR="0049111A" w:rsidRPr="00103A0B">
        <w:rPr>
          <w:rFonts w:ascii="Arial" w:hAnsi="Arial" w:cs="Arial"/>
          <w:b/>
          <w:bCs/>
          <w:sz w:val="28"/>
          <w:szCs w:val="28"/>
        </w:rPr>
        <w:t>Demographic questionnaire (Chapter 5)</w:t>
      </w:r>
    </w:p>
    <w:p w14:paraId="1314552B" w14:textId="77777777" w:rsidR="00095E2C" w:rsidRPr="00103A0B" w:rsidRDefault="00095E2C" w:rsidP="00CD5919">
      <w:pPr>
        <w:tabs>
          <w:tab w:val="left" w:pos="2370"/>
        </w:tabs>
        <w:spacing w:after="0"/>
        <w:jc w:val="both"/>
      </w:pPr>
    </w:p>
    <w:p w14:paraId="0E1407F9"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szCs w:val="24"/>
        </w:rPr>
      </w:pPr>
      <w:r w:rsidRPr="00103A0B">
        <w:rPr>
          <w:szCs w:val="24"/>
        </w:rPr>
        <w:t>Study of uptake of the NHS Diabetes Prevention Programme</w:t>
      </w:r>
    </w:p>
    <w:p w14:paraId="7A9522C4"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rFonts w:cs="Arial"/>
          <w:snapToGrid w:val="0"/>
          <w:sz w:val="22"/>
          <w:szCs w:val="22"/>
          <w:lang w:eastAsia="en-US"/>
        </w:rPr>
      </w:pPr>
    </w:p>
    <w:p w14:paraId="4663B728" w14:textId="77777777" w:rsidR="00095E2C" w:rsidRPr="00103A0B" w:rsidRDefault="00095E2C" w:rsidP="00CD5919">
      <w:pPr>
        <w:pStyle w:val="QName"/>
        <w:numPr>
          <w:ilvl w:val="0"/>
          <w:numId w:val="23"/>
        </w:numPr>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rFonts w:cs="Arial"/>
          <w:b w:val="0"/>
          <w:snapToGrid w:val="0"/>
          <w:sz w:val="22"/>
          <w:szCs w:val="22"/>
          <w:lang w:eastAsia="en-US"/>
        </w:rPr>
      </w:pPr>
      <w:r w:rsidRPr="00103A0B">
        <w:rPr>
          <w:rFonts w:cs="Arial"/>
          <w:snapToGrid w:val="0"/>
          <w:sz w:val="22"/>
          <w:szCs w:val="22"/>
          <w:lang w:eastAsia="en-US"/>
        </w:rPr>
        <w:t xml:space="preserve">Gender:  </w:t>
      </w:r>
      <w:r w:rsidRPr="00103A0B">
        <w:rPr>
          <w:rFonts w:cs="Arial"/>
          <w:b w:val="0"/>
          <w:snapToGrid w:val="0"/>
          <w:sz w:val="22"/>
          <w:szCs w:val="22"/>
          <w:lang w:eastAsia="en-US"/>
        </w:rPr>
        <w:tab/>
      </w:r>
      <w:r w:rsidRPr="00103A0B">
        <w:rPr>
          <w:rFonts w:cs="Arial"/>
          <w:b w:val="0"/>
          <w:snapToGrid w:val="0"/>
          <w:sz w:val="22"/>
          <w:szCs w:val="22"/>
          <w:lang w:eastAsia="en-US"/>
        </w:rPr>
        <w:tab/>
      </w:r>
      <w:r w:rsidRPr="00103A0B">
        <w:rPr>
          <w:rFonts w:cs="Arial"/>
          <w:b w:val="0"/>
          <w:snapToGrid w:val="0"/>
          <w:sz w:val="22"/>
          <w:szCs w:val="22"/>
          <w:lang w:eastAsia="en-US"/>
        </w:rPr>
        <w:tab/>
      </w:r>
      <w:r w:rsidRPr="00103A0B">
        <w:rPr>
          <w:rFonts w:cs="Arial"/>
          <w:b w:val="0"/>
          <w:snapToGrid w:val="0"/>
          <w:sz w:val="22"/>
          <w:szCs w:val="22"/>
          <w:lang w:eastAsia="en-US"/>
        </w:rPr>
        <w:tab/>
      </w:r>
      <w:r w:rsidRPr="00103A0B">
        <w:rPr>
          <w:rFonts w:cs="Arial"/>
          <w:b w:val="0"/>
          <w:snapToGrid w:val="0"/>
          <w:sz w:val="22"/>
          <w:szCs w:val="22"/>
          <w:lang w:eastAsia="en-US"/>
        </w:rPr>
        <w:tab/>
        <w:t>Male</w:t>
      </w:r>
      <w:r w:rsidRPr="00103A0B">
        <w:rPr>
          <w:rFonts w:cs="Arial"/>
          <w:b w:val="0"/>
          <w:snapToGrid w:val="0"/>
          <w:sz w:val="22"/>
          <w:szCs w:val="22"/>
          <w:lang w:eastAsia="en-US"/>
        </w:rPr>
        <w:tab/>
      </w:r>
      <w:r w:rsidRPr="00103A0B">
        <w:rPr>
          <w:rFonts w:cs="Arial"/>
          <w:sz w:val="22"/>
          <w:szCs w:val="22"/>
        </w:rPr>
        <w:fldChar w:fldCharType="begin">
          <w:ffData>
            <w:name w:val="Check36"/>
            <w:enabled/>
            <w:calcOnExit w:val="0"/>
            <w:checkBox>
              <w:sizeAuto/>
              <w:default w:val="0"/>
            </w:checkBox>
          </w:ffData>
        </w:fldChar>
      </w:r>
      <w:r w:rsidRPr="00103A0B">
        <w:rPr>
          <w:rFonts w:cs="Arial"/>
          <w:sz w:val="22"/>
          <w:szCs w:val="22"/>
        </w:rPr>
        <w:instrText xml:space="preserve"> FORMCHECKBOX </w:instrText>
      </w:r>
      <w:r w:rsidR="00000000" w:rsidRPr="00103A0B">
        <w:rPr>
          <w:rFonts w:cs="Arial"/>
          <w:sz w:val="22"/>
          <w:szCs w:val="22"/>
        </w:rPr>
      </w:r>
      <w:r w:rsidR="00000000" w:rsidRPr="00103A0B">
        <w:rPr>
          <w:rFonts w:cs="Arial"/>
          <w:sz w:val="22"/>
          <w:szCs w:val="22"/>
        </w:rPr>
        <w:fldChar w:fldCharType="separate"/>
      </w:r>
      <w:r w:rsidRPr="00103A0B">
        <w:rPr>
          <w:rFonts w:cs="Arial"/>
          <w:sz w:val="22"/>
          <w:szCs w:val="22"/>
        </w:rPr>
        <w:fldChar w:fldCharType="end"/>
      </w:r>
      <w:r w:rsidRPr="00103A0B">
        <w:rPr>
          <w:rFonts w:cs="Arial"/>
          <w:sz w:val="22"/>
          <w:szCs w:val="22"/>
        </w:rPr>
        <w:tab/>
      </w:r>
      <w:r w:rsidRPr="00103A0B">
        <w:rPr>
          <w:rFonts w:cs="Arial"/>
          <w:b w:val="0"/>
          <w:snapToGrid w:val="0"/>
          <w:sz w:val="22"/>
          <w:szCs w:val="22"/>
          <w:lang w:eastAsia="en-US"/>
        </w:rPr>
        <w:tab/>
      </w:r>
      <w:r w:rsidRPr="00103A0B">
        <w:rPr>
          <w:rFonts w:cs="Arial"/>
          <w:b w:val="0"/>
          <w:snapToGrid w:val="0"/>
          <w:sz w:val="22"/>
          <w:szCs w:val="22"/>
          <w:lang w:eastAsia="en-US"/>
        </w:rPr>
        <w:tab/>
        <w:t xml:space="preserve">Female </w:t>
      </w:r>
      <w:r w:rsidRPr="00103A0B">
        <w:rPr>
          <w:rFonts w:cs="Arial"/>
          <w:sz w:val="22"/>
          <w:szCs w:val="22"/>
        </w:rPr>
        <w:fldChar w:fldCharType="begin">
          <w:ffData>
            <w:name w:val="Check36"/>
            <w:enabled/>
            <w:calcOnExit w:val="0"/>
            <w:checkBox>
              <w:sizeAuto/>
              <w:default w:val="0"/>
            </w:checkBox>
          </w:ffData>
        </w:fldChar>
      </w:r>
      <w:r w:rsidRPr="00103A0B">
        <w:rPr>
          <w:rFonts w:cs="Arial"/>
          <w:sz w:val="22"/>
          <w:szCs w:val="22"/>
        </w:rPr>
        <w:instrText xml:space="preserve"> FORMCHECKBOX </w:instrText>
      </w:r>
      <w:r w:rsidR="00000000" w:rsidRPr="00103A0B">
        <w:rPr>
          <w:rFonts w:cs="Arial"/>
          <w:sz w:val="22"/>
          <w:szCs w:val="22"/>
        </w:rPr>
      </w:r>
      <w:r w:rsidR="00000000" w:rsidRPr="00103A0B">
        <w:rPr>
          <w:rFonts w:cs="Arial"/>
          <w:sz w:val="22"/>
          <w:szCs w:val="22"/>
        </w:rPr>
        <w:fldChar w:fldCharType="separate"/>
      </w:r>
      <w:r w:rsidRPr="00103A0B">
        <w:rPr>
          <w:rFonts w:cs="Arial"/>
          <w:sz w:val="22"/>
          <w:szCs w:val="22"/>
        </w:rPr>
        <w:fldChar w:fldCharType="end"/>
      </w:r>
      <w:r w:rsidRPr="00103A0B">
        <w:rPr>
          <w:rFonts w:cs="Arial"/>
          <w:sz w:val="22"/>
          <w:szCs w:val="22"/>
        </w:rPr>
        <w:tab/>
      </w:r>
    </w:p>
    <w:p w14:paraId="7A766068" w14:textId="77777777" w:rsidR="00095E2C" w:rsidRPr="00103A0B" w:rsidRDefault="00095E2C" w:rsidP="00CD5919">
      <w:pPr>
        <w:pStyle w:val="QName"/>
        <w:tabs>
          <w:tab w:val="left" w:pos="284"/>
          <w:tab w:val="left" w:pos="426"/>
          <w:tab w:val="num" w:pos="1080"/>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ind w:left="360"/>
        <w:contextualSpacing/>
        <w:jc w:val="both"/>
        <w:rPr>
          <w:rFonts w:cs="Arial"/>
          <w:b w:val="0"/>
          <w:snapToGrid w:val="0"/>
          <w:sz w:val="22"/>
          <w:szCs w:val="22"/>
          <w:lang w:eastAsia="en-US"/>
        </w:rPr>
      </w:pPr>
    </w:p>
    <w:p w14:paraId="2A5D5EAF" w14:textId="77777777" w:rsidR="00095E2C" w:rsidRPr="00103A0B" w:rsidRDefault="00095E2C" w:rsidP="00CD5919">
      <w:pPr>
        <w:pStyle w:val="QName"/>
        <w:tabs>
          <w:tab w:val="left" w:pos="284"/>
          <w:tab w:val="left" w:pos="426"/>
          <w:tab w:val="num" w:pos="1080"/>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ind w:left="360"/>
        <w:contextualSpacing/>
        <w:jc w:val="both"/>
        <w:rPr>
          <w:rFonts w:cs="Arial"/>
          <w:b w:val="0"/>
          <w:snapToGrid w:val="0"/>
          <w:sz w:val="22"/>
          <w:szCs w:val="22"/>
          <w:lang w:eastAsia="en-US"/>
        </w:rPr>
      </w:pPr>
      <w:r w:rsidRPr="00103A0B">
        <w:rPr>
          <w:rFonts w:cs="Arial"/>
          <w:b w:val="0"/>
          <w:snapToGrid w:val="0"/>
          <w:sz w:val="22"/>
          <w:szCs w:val="22"/>
          <w:lang w:eastAsia="en-US"/>
        </w:rPr>
        <w:tab/>
      </w:r>
    </w:p>
    <w:p w14:paraId="5B061E70" w14:textId="77777777" w:rsidR="00095E2C" w:rsidRPr="00103A0B" w:rsidRDefault="00095E2C" w:rsidP="00CD5919">
      <w:pPr>
        <w:pStyle w:val="QName"/>
        <w:numPr>
          <w:ilvl w:val="0"/>
          <w:numId w:val="23"/>
        </w:numPr>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rFonts w:cs="Arial"/>
          <w:b w:val="0"/>
          <w:snapToGrid w:val="0"/>
          <w:sz w:val="22"/>
          <w:szCs w:val="22"/>
          <w:lang w:eastAsia="en-US"/>
        </w:rPr>
      </w:pPr>
      <w:r w:rsidRPr="00103A0B">
        <w:rPr>
          <w:rFonts w:cs="Arial"/>
          <w:snapToGrid w:val="0"/>
          <w:sz w:val="22"/>
          <w:szCs w:val="22"/>
          <w:lang w:eastAsia="en-US"/>
        </w:rPr>
        <w:t>Date of Birth</w:t>
      </w:r>
      <w:r w:rsidRPr="00103A0B">
        <w:rPr>
          <w:rFonts w:cs="Arial"/>
          <w:b w:val="0"/>
          <w:snapToGrid w:val="0"/>
          <w:sz w:val="22"/>
          <w:szCs w:val="22"/>
          <w:lang w:eastAsia="en-US"/>
        </w:rPr>
        <w:t>:</w:t>
      </w:r>
      <w:r w:rsidRPr="00103A0B">
        <w:rPr>
          <w:rFonts w:cs="Arial"/>
          <w:b w:val="0"/>
          <w:snapToGrid w:val="0"/>
          <w:sz w:val="22"/>
          <w:szCs w:val="22"/>
          <w:lang w:eastAsia="en-US"/>
        </w:rPr>
        <w:tab/>
      </w:r>
      <w:r w:rsidRPr="00103A0B">
        <w:rPr>
          <w:rFonts w:cs="Arial"/>
          <w:b w:val="0"/>
          <w:snapToGrid w:val="0"/>
          <w:sz w:val="22"/>
          <w:szCs w:val="22"/>
          <w:lang w:eastAsia="en-US"/>
        </w:rPr>
        <w:tab/>
        <w:t xml:space="preserve"> </w:t>
      </w:r>
      <w:r w:rsidRPr="00103A0B">
        <w:rPr>
          <w:rFonts w:cs="Arial"/>
          <w:b w:val="0"/>
          <w:snapToGrid w:val="0"/>
          <w:sz w:val="22"/>
          <w:szCs w:val="22"/>
          <w:lang w:eastAsia="en-US"/>
        </w:rPr>
        <w:tab/>
        <w:t xml:space="preserve">____________ </w:t>
      </w:r>
      <w:r w:rsidRPr="00103A0B">
        <w:rPr>
          <w:rFonts w:cs="Arial"/>
          <w:b w:val="0"/>
          <w:snapToGrid w:val="0"/>
          <w:sz w:val="22"/>
          <w:szCs w:val="22"/>
          <w:lang w:eastAsia="en-US"/>
        </w:rPr>
        <w:tab/>
      </w:r>
      <w:r w:rsidRPr="00103A0B">
        <w:rPr>
          <w:rFonts w:cs="Arial"/>
          <w:b w:val="0"/>
          <w:snapToGrid w:val="0"/>
          <w:sz w:val="22"/>
          <w:szCs w:val="22"/>
          <w:lang w:eastAsia="en-US"/>
        </w:rPr>
        <w:tab/>
        <w:t>(dd/mm/</w:t>
      </w:r>
      <w:proofErr w:type="spellStart"/>
      <w:r w:rsidRPr="00103A0B">
        <w:rPr>
          <w:rFonts w:cs="Arial"/>
          <w:b w:val="0"/>
          <w:snapToGrid w:val="0"/>
          <w:sz w:val="22"/>
          <w:szCs w:val="22"/>
          <w:lang w:eastAsia="en-US"/>
        </w:rPr>
        <w:t>yyyy</w:t>
      </w:r>
      <w:proofErr w:type="spellEnd"/>
      <w:r w:rsidRPr="00103A0B">
        <w:rPr>
          <w:rFonts w:cs="Arial"/>
          <w:b w:val="0"/>
          <w:snapToGrid w:val="0"/>
          <w:sz w:val="22"/>
          <w:szCs w:val="22"/>
          <w:lang w:eastAsia="en-US"/>
        </w:rPr>
        <w:t xml:space="preserve">) </w:t>
      </w:r>
    </w:p>
    <w:p w14:paraId="14CA97BD"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rFonts w:cs="Arial"/>
          <w:b w:val="0"/>
          <w:snapToGrid w:val="0"/>
          <w:sz w:val="22"/>
          <w:szCs w:val="22"/>
          <w:lang w:eastAsia="en-US"/>
        </w:rPr>
      </w:pPr>
    </w:p>
    <w:p w14:paraId="3B2BFA76"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rFonts w:cs="Arial"/>
          <w:b w:val="0"/>
          <w:snapToGrid w:val="0"/>
          <w:sz w:val="22"/>
          <w:szCs w:val="22"/>
          <w:lang w:eastAsia="en-US"/>
        </w:rPr>
      </w:pPr>
    </w:p>
    <w:p w14:paraId="213461AD" w14:textId="77777777" w:rsidR="00095E2C" w:rsidRPr="00103A0B" w:rsidRDefault="00095E2C" w:rsidP="00CD5919">
      <w:pPr>
        <w:pStyle w:val="QName"/>
        <w:numPr>
          <w:ilvl w:val="0"/>
          <w:numId w:val="23"/>
        </w:numPr>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cs="Arial"/>
          <w:b w:val="0"/>
          <w:snapToGrid w:val="0"/>
          <w:sz w:val="22"/>
          <w:szCs w:val="22"/>
          <w:lang w:eastAsia="en-US"/>
        </w:rPr>
      </w:pPr>
      <w:r w:rsidRPr="00103A0B">
        <w:rPr>
          <w:rFonts w:cs="Arial"/>
          <w:snapToGrid w:val="0"/>
          <w:sz w:val="22"/>
          <w:szCs w:val="22"/>
          <w:lang w:eastAsia="en-US"/>
        </w:rPr>
        <w:t>Ethnicity</w:t>
      </w:r>
      <w:r w:rsidRPr="00103A0B">
        <w:rPr>
          <w:rFonts w:cs="Arial"/>
          <w:b w:val="0"/>
          <w:snapToGrid w:val="0"/>
          <w:sz w:val="22"/>
          <w:szCs w:val="22"/>
          <w:lang w:eastAsia="en-US"/>
        </w:rPr>
        <w:t>...</w:t>
      </w:r>
      <w:r w:rsidRPr="00103A0B">
        <w:rPr>
          <w:rFonts w:cs="Arial"/>
          <w:b w:val="0"/>
          <w:sz w:val="22"/>
          <w:szCs w:val="22"/>
        </w:rPr>
        <w:t>Please tick the option that best describes your ethnicity:</w:t>
      </w:r>
    </w:p>
    <w:p w14:paraId="7193F765"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ind w:left="360"/>
        <w:contextualSpacing/>
        <w:jc w:val="both"/>
        <w:rPr>
          <w:rFonts w:cs="Arial"/>
          <w:b w:val="0"/>
          <w:snapToGrid w:val="0"/>
          <w:sz w:val="22"/>
          <w:szCs w:val="22"/>
          <w:lang w:eastAsia="en-US"/>
        </w:rPr>
      </w:pPr>
    </w:p>
    <w:tbl>
      <w:tblPr>
        <w:tblW w:w="0" w:type="auto"/>
        <w:tblLook w:val="04A0" w:firstRow="1" w:lastRow="0" w:firstColumn="1" w:lastColumn="0" w:noHBand="0" w:noVBand="1"/>
      </w:tblPr>
      <w:tblGrid>
        <w:gridCol w:w="2405"/>
        <w:gridCol w:w="1844"/>
        <w:gridCol w:w="3745"/>
      </w:tblGrid>
      <w:tr w:rsidR="00095E2C" w:rsidRPr="00103A0B" w14:paraId="5E252C86" w14:textId="77777777" w:rsidTr="00803D36">
        <w:trPr>
          <w:gridAfter w:val="1"/>
          <w:wAfter w:w="3745" w:type="dxa"/>
          <w:trHeight w:hRule="exact" w:val="284"/>
        </w:trPr>
        <w:tc>
          <w:tcPr>
            <w:tcW w:w="2405" w:type="dxa"/>
          </w:tcPr>
          <w:p w14:paraId="5486DDD1"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t>White</w:t>
            </w:r>
          </w:p>
        </w:tc>
        <w:tc>
          <w:tcPr>
            <w:tcW w:w="1844" w:type="dxa"/>
          </w:tcPr>
          <w:p w14:paraId="54F88C24" w14:textId="77777777" w:rsidR="00095E2C" w:rsidRPr="00103A0B" w:rsidRDefault="00095E2C" w:rsidP="00CD5919">
            <w:pPr>
              <w:contextualSpacing/>
              <w:jc w:val="both"/>
              <w:rPr>
                <w:rFonts w:ascii="Arial" w:hAnsi="Arial" w:cs="Arial"/>
              </w:rPr>
            </w:pPr>
            <w:r w:rsidRPr="00103A0B">
              <w:rPr>
                <w:rFonts w:ascii="Arial" w:hAnsi="Arial" w:cs="Arial"/>
              </w:rPr>
              <w:t xml:space="preserve">               </w:t>
            </w:r>
            <w:r w:rsidRPr="00103A0B">
              <w:rPr>
                <w:rFonts w:ascii="Arial" w:hAnsi="Arial" w:cs="Arial"/>
              </w:rPr>
              <w:fldChar w:fldCharType="begin">
                <w:ffData>
                  <w:name w:val="Check36"/>
                  <w:enabled/>
                  <w:calcOnExit w:val="0"/>
                  <w:checkBox>
                    <w:sizeAuto/>
                    <w:default w:val="0"/>
                  </w:checkBox>
                </w:ffData>
              </w:fldChar>
            </w:r>
            <w:r w:rsidRPr="00103A0B">
              <w:rPr>
                <w:rFonts w:ascii="Arial" w:hAnsi="Arial" w:cs="Arial"/>
              </w:rPr>
              <w:instrText xml:space="preserve"> FORMCHECKBOX </w:instrText>
            </w:r>
            <w:r w:rsidR="00000000" w:rsidRPr="00103A0B">
              <w:rPr>
                <w:rFonts w:ascii="Arial" w:hAnsi="Arial" w:cs="Arial"/>
              </w:rPr>
            </w:r>
            <w:r w:rsidR="00000000" w:rsidRPr="00103A0B">
              <w:rPr>
                <w:rFonts w:ascii="Arial" w:hAnsi="Arial" w:cs="Arial"/>
              </w:rPr>
              <w:fldChar w:fldCharType="separate"/>
            </w:r>
            <w:r w:rsidRPr="00103A0B">
              <w:rPr>
                <w:rFonts w:ascii="Arial" w:hAnsi="Arial" w:cs="Arial"/>
              </w:rPr>
              <w:fldChar w:fldCharType="end"/>
            </w:r>
          </w:p>
        </w:tc>
      </w:tr>
      <w:tr w:rsidR="00095E2C" w:rsidRPr="00103A0B" w14:paraId="64ACF9D7" w14:textId="77777777" w:rsidTr="00803D36">
        <w:trPr>
          <w:gridAfter w:val="1"/>
          <w:wAfter w:w="3745" w:type="dxa"/>
          <w:trHeight w:hRule="exact" w:val="284"/>
        </w:trPr>
        <w:tc>
          <w:tcPr>
            <w:tcW w:w="2405" w:type="dxa"/>
          </w:tcPr>
          <w:p w14:paraId="5329FCA7"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t>Mixed</w:t>
            </w:r>
          </w:p>
        </w:tc>
        <w:tc>
          <w:tcPr>
            <w:tcW w:w="1844" w:type="dxa"/>
          </w:tcPr>
          <w:p w14:paraId="0CCE62B2" w14:textId="77777777" w:rsidR="00095E2C" w:rsidRPr="00103A0B" w:rsidRDefault="00095E2C" w:rsidP="00CD5919">
            <w:pPr>
              <w:contextualSpacing/>
              <w:jc w:val="both"/>
              <w:rPr>
                <w:rFonts w:ascii="Arial" w:hAnsi="Arial" w:cs="Arial"/>
              </w:rPr>
            </w:pPr>
            <w:r w:rsidRPr="00103A0B">
              <w:rPr>
                <w:rFonts w:ascii="Arial" w:hAnsi="Arial" w:cs="Arial"/>
              </w:rPr>
              <w:t xml:space="preserve">               </w:t>
            </w:r>
            <w:r w:rsidRPr="00103A0B">
              <w:rPr>
                <w:rFonts w:ascii="Arial" w:hAnsi="Arial" w:cs="Arial"/>
              </w:rPr>
              <w:fldChar w:fldCharType="begin">
                <w:ffData>
                  <w:name w:val="Check36"/>
                  <w:enabled/>
                  <w:calcOnExit w:val="0"/>
                  <w:checkBox>
                    <w:sizeAuto/>
                    <w:default w:val="0"/>
                  </w:checkBox>
                </w:ffData>
              </w:fldChar>
            </w:r>
            <w:r w:rsidRPr="00103A0B">
              <w:rPr>
                <w:rFonts w:ascii="Arial" w:hAnsi="Arial" w:cs="Arial"/>
              </w:rPr>
              <w:instrText xml:space="preserve"> FORMCHECKBOX </w:instrText>
            </w:r>
            <w:r w:rsidR="00000000" w:rsidRPr="00103A0B">
              <w:rPr>
                <w:rFonts w:ascii="Arial" w:hAnsi="Arial" w:cs="Arial"/>
              </w:rPr>
            </w:r>
            <w:r w:rsidR="00000000" w:rsidRPr="00103A0B">
              <w:rPr>
                <w:rFonts w:ascii="Arial" w:hAnsi="Arial" w:cs="Arial"/>
              </w:rPr>
              <w:fldChar w:fldCharType="separate"/>
            </w:r>
            <w:r w:rsidRPr="00103A0B">
              <w:rPr>
                <w:rFonts w:ascii="Arial" w:hAnsi="Arial" w:cs="Arial"/>
              </w:rPr>
              <w:fldChar w:fldCharType="end"/>
            </w:r>
          </w:p>
        </w:tc>
      </w:tr>
      <w:tr w:rsidR="00095E2C" w:rsidRPr="00103A0B" w14:paraId="3F74FD7E" w14:textId="77777777" w:rsidTr="00803D36">
        <w:trPr>
          <w:gridAfter w:val="1"/>
          <w:wAfter w:w="3745" w:type="dxa"/>
          <w:trHeight w:hRule="exact" w:val="284"/>
        </w:trPr>
        <w:tc>
          <w:tcPr>
            <w:tcW w:w="2405" w:type="dxa"/>
          </w:tcPr>
          <w:p w14:paraId="5AF98944"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t xml:space="preserve">Asian or Asian British </w:t>
            </w:r>
            <w:proofErr w:type="spellStart"/>
            <w:r w:rsidRPr="00103A0B">
              <w:rPr>
                <w:rFonts w:ascii="Arial" w:hAnsi="Arial" w:cs="Arial"/>
                <w:szCs w:val="22"/>
              </w:rPr>
              <w:t>British</w:t>
            </w:r>
            <w:proofErr w:type="spellEnd"/>
          </w:p>
        </w:tc>
        <w:tc>
          <w:tcPr>
            <w:tcW w:w="1844" w:type="dxa"/>
          </w:tcPr>
          <w:p w14:paraId="3213DF94" w14:textId="77777777" w:rsidR="00095E2C" w:rsidRPr="00103A0B" w:rsidRDefault="00095E2C" w:rsidP="00CD5919">
            <w:pPr>
              <w:contextualSpacing/>
              <w:jc w:val="both"/>
              <w:rPr>
                <w:rFonts w:ascii="Arial" w:hAnsi="Arial" w:cs="Arial"/>
              </w:rPr>
            </w:pPr>
            <w:r w:rsidRPr="00103A0B">
              <w:rPr>
                <w:rFonts w:ascii="Arial" w:hAnsi="Arial" w:cs="Arial"/>
              </w:rPr>
              <w:t xml:space="preserve">               </w:t>
            </w:r>
            <w:r w:rsidRPr="00103A0B">
              <w:rPr>
                <w:rFonts w:ascii="Arial" w:hAnsi="Arial" w:cs="Arial"/>
              </w:rPr>
              <w:fldChar w:fldCharType="begin">
                <w:ffData>
                  <w:name w:val="Check36"/>
                  <w:enabled/>
                  <w:calcOnExit w:val="0"/>
                  <w:checkBox>
                    <w:sizeAuto/>
                    <w:default w:val="0"/>
                  </w:checkBox>
                </w:ffData>
              </w:fldChar>
            </w:r>
            <w:r w:rsidRPr="00103A0B">
              <w:rPr>
                <w:rFonts w:ascii="Arial" w:hAnsi="Arial" w:cs="Arial"/>
              </w:rPr>
              <w:instrText xml:space="preserve"> FORMCHECKBOX </w:instrText>
            </w:r>
            <w:r w:rsidR="00000000" w:rsidRPr="00103A0B">
              <w:rPr>
                <w:rFonts w:ascii="Arial" w:hAnsi="Arial" w:cs="Arial"/>
              </w:rPr>
            </w:r>
            <w:r w:rsidR="00000000" w:rsidRPr="00103A0B">
              <w:rPr>
                <w:rFonts w:ascii="Arial" w:hAnsi="Arial" w:cs="Arial"/>
              </w:rPr>
              <w:fldChar w:fldCharType="separate"/>
            </w:r>
            <w:r w:rsidRPr="00103A0B">
              <w:rPr>
                <w:rFonts w:ascii="Arial" w:hAnsi="Arial" w:cs="Arial"/>
              </w:rPr>
              <w:fldChar w:fldCharType="end"/>
            </w:r>
          </w:p>
        </w:tc>
      </w:tr>
      <w:tr w:rsidR="00095E2C" w:rsidRPr="00103A0B" w14:paraId="4455B525" w14:textId="77777777" w:rsidTr="00803D36">
        <w:trPr>
          <w:gridAfter w:val="1"/>
          <w:wAfter w:w="3745" w:type="dxa"/>
          <w:trHeight w:hRule="exact" w:val="284"/>
        </w:trPr>
        <w:tc>
          <w:tcPr>
            <w:tcW w:w="2405" w:type="dxa"/>
          </w:tcPr>
          <w:p w14:paraId="062DA49E"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t>Black or Black British</w:t>
            </w:r>
          </w:p>
        </w:tc>
        <w:tc>
          <w:tcPr>
            <w:tcW w:w="1844" w:type="dxa"/>
          </w:tcPr>
          <w:p w14:paraId="2010ECB6" w14:textId="77777777" w:rsidR="00095E2C" w:rsidRPr="00103A0B" w:rsidRDefault="00095E2C" w:rsidP="00CD5919">
            <w:pPr>
              <w:contextualSpacing/>
              <w:jc w:val="both"/>
              <w:rPr>
                <w:rFonts w:ascii="Arial" w:hAnsi="Arial" w:cs="Arial"/>
              </w:rPr>
            </w:pPr>
            <w:r w:rsidRPr="00103A0B">
              <w:rPr>
                <w:rFonts w:ascii="Arial" w:hAnsi="Arial" w:cs="Arial"/>
              </w:rPr>
              <w:t xml:space="preserve">               </w:t>
            </w:r>
            <w:r w:rsidRPr="00103A0B">
              <w:rPr>
                <w:rFonts w:ascii="Arial" w:hAnsi="Arial" w:cs="Arial"/>
              </w:rPr>
              <w:fldChar w:fldCharType="begin">
                <w:ffData>
                  <w:name w:val="Check36"/>
                  <w:enabled/>
                  <w:calcOnExit w:val="0"/>
                  <w:checkBox>
                    <w:sizeAuto/>
                    <w:default w:val="0"/>
                  </w:checkBox>
                </w:ffData>
              </w:fldChar>
            </w:r>
            <w:r w:rsidRPr="00103A0B">
              <w:rPr>
                <w:rFonts w:ascii="Arial" w:hAnsi="Arial" w:cs="Arial"/>
              </w:rPr>
              <w:instrText xml:space="preserve"> FORMCHECKBOX </w:instrText>
            </w:r>
            <w:r w:rsidR="00000000" w:rsidRPr="00103A0B">
              <w:rPr>
                <w:rFonts w:ascii="Arial" w:hAnsi="Arial" w:cs="Arial"/>
              </w:rPr>
            </w:r>
            <w:r w:rsidR="00000000" w:rsidRPr="00103A0B">
              <w:rPr>
                <w:rFonts w:ascii="Arial" w:hAnsi="Arial" w:cs="Arial"/>
              </w:rPr>
              <w:fldChar w:fldCharType="separate"/>
            </w:r>
            <w:r w:rsidRPr="00103A0B">
              <w:rPr>
                <w:rFonts w:ascii="Arial" w:hAnsi="Arial" w:cs="Arial"/>
              </w:rPr>
              <w:fldChar w:fldCharType="end"/>
            </w:r>
          </w:p>
        </w:tc>
      </w:tr>
      <w:tr w:rsidR="00095E2C" w:rsidRPr="00103A0B" w14:paraId="7D98AB93" w14:textId="77777777" w:rsidTr="00803D36">
        <w:trPr>
          <w:trHeight w:hRule="exact" w:val="284"/>
        </w:trPr>
        <w:tc>
          <w:tcPr>
            <w:tcW w:w="2405" w:type="dxa"/>
          </w:tcPr>
          <w:p w14:paraId="27131AAB" w14:textId="77777777" w:rsidR="00095E2C" w:rsidRPr="00103A0B" w:rsidRDefault="00095E2C" w:rsidP="00CD5919">
            <w:pPr>
              <w:contextualSpacing/>
              <w:jc w:val="both"/>
              <w:rPr>
                <w:rStyle w:val="Strong"/>
                <w:rFonts w:ascii="Arial" w:hAnsi="Arial" w:cs="Arial"/>
                <w:b w:val="0"/>
              </w:rPr>
            </w:pPr>
            <w:r w:rsidRPr="00103A0B">
              <w:rPr>
                <w:rStyle w:val="Strong"/>
                <w:rFonts w:ascii="Arial" w:hAnsi="Arial" w:cs="Arial"/>
              </w:rPr>
              <w:t>Other</w:t>
            </w:r>
          </w:p>
        </w:tc>
        <w:tc>
          <w:tcPr>
            <w:tcW w:w="1844" w:type="dxa"/>
          </w:tcPr>
          <w:p w14:paraId="22F2DDE0" w14:textId="77777777" w:rsidR="00095E2C" w:rsidRPr="00103A0B" w:rsidRDefault="00095E2C" w:rsidP="00CD5919">
            <w:pPr>
              <w:contextualSpacing/>
              <w:jc w:val="both"/>
              <w:rPr>
                <w:rFonts w:ascii="Arial" w:hAnsi="Arial" w:cs="Arial"/>
              </w:rPr>
            </w:pPr>
            <w:r w:rsidRPr="00103A0B">
              <w:rPr>
                <w:rFonts w:ascii="Arial" w:hAnsi="Arial" w:cs="Arial"/>
              </w:rPr>
              <w:t xml:space="preserve">               </w:t>
            </w:r>
            <w:r w:rsidRPr="00103A0B">
              <w:rPr>
                <w:rFonts w:ascii="Arial" w:hAnsi="Arial" w:cs="Arial"/>
              </w:rPr>
              <w:fldChar w:fldCharType="begin">
                <w:ffData>
                  <w:name w:val="Check36"/>
                  <w:enabled/>
                  <w:calcOnExit w:val="0"/>
                  <w:checkBox>
                    <w:sizeAuto/>
                    <w:default w:val="0"/>
                  </w:checkBox>
                </w:ffData>
              </w:fldChar>
            </w:r>
            <w:r w:rsidRPr="00103A0B">
              <w:rPr>
                <w:rFonts w:ascii="Arial" w:hAnsi="Arial" w:cs="Arial"/>
              </w:rPr>
              <w:instrText xml:space="preserve"> FORMCHECKBOX </w:instrText>
            </w:r>
            <w:r w:rsidR="00000000" w:rsidRPr="00103A0B">
              <w:rPr>
                <w:rFonts w:ascii="Arial" w:hAnsi="Arial" w:cs="Arial"/>
              </w:rPr>
            </w:r>
            <w:r w:rsidR="00000000" w:rsidRPr="00103A0B">
              <w:rPr>
                <w:rFonts w:ascii="Arial" w:hAnsi="Arial" w:cs="Arial"/>
              </w:rPr>
              <w:fldChar w:fldCharType="separate"/>
            </w:r>
            <w:r w:rsidRPr="00103A0B">
              <w:rPr>
                <w:rFonts w:ascii="Arial" w:hAnsi="Arial" w:cs="Arial"/>
              </w:rPr>
              <w:fldChar w:fldCharType="end"/>
            </w:r>
          </w:p>
        </w:tc>
        <w:tc>
          <w:tcPr>
            <w:tcW w:w="3745" w:type="dxa"/>
          </w:tcPr>
          <w:p w14:paraId="5A36A65A" w14:textId="77777777" w:rsidR="00095E2C" w:rsidRPr="00103A0B" w:rsidRDefault="00095E2C" w:rsidP="00CD5919">
            <w:pPr>
              <w:contextualSpacing/>
              <w:jc w:val="both"/>
              <w:rPr>
                <w:rFonts w:ascii="Arial" w:hAnsi="Arial" w:cs="Arial"/>
              </w:rPr>
            </w:pPr>
            <w:r w:rsidRPr="00103A0B">
              <w:rPr>
                <w:rFonts w:ascii="Arial" w:hAnsi="Arial" w:cs="Arial"/>
              </w:rPr>
              <w:t xml:space="preserve">Please specify: </w:t>
            </w:r>
          </w:p>
        </w:tc>
      </w:tr>
    </w:tbl>
    <w:p w14:paraId="64FB2148" w14:textId="77777777" w:rsidR="00095E2C" w:rsidRPr="00103A0B" w:rsidRDefault="00095E2C" w:rsidP="00CD5919">
      <w:pPr>
        <w:contextualSpacing/>
        <w:jc w:val="both"/>
        <w:rPr>
          <w:rFonts w:ascii="Arial" w:hAnsi="Arial" w:cs="Arial"/>
        </w:rPr>
      </w:pPr>
    </w:p>
    <w:p w14:paraId="1138C32A" w14:textId="77777777" w:rsidR="00095E2C" w:rsidRPr="00103A0B" w:rsidRDefault="00095E2C" w:rsidP="00CD5919">
      <w:pPr>
        <w:contextualSpacing/>
        <w:jc w:val="both"/>
        <w:rPr>
          <w:rFonts w:ascii="Arial" w:hAnsi="Arial" w:cs="Arial"/>
        </w:rPr>
      </w:pPr>
    </w:p>
    <w:p w14:paraId="49A3ED56" w14:textId="77777777" w:rsidR="00095E2C" w:rsidRPr="00103A0B" w:rsidRDefault="00095E2C" w:rsidP="00CD5919">
      <w:pPr>
        <w:pStyle w:val="QName"/>
        <w:numPr>
          <w:ilvl w:val="0"/>
          <w:numId w:val="23"/>
        </w:numPr>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rFonts w:cs="Arial"/>
          <w:b w:val="0"/>
          <w:snapToGrid w:val="0"/>
          <w:sz w:val="22"/>
          <w:szCs w:val="22"/>
          <w:lang w:eastAsia="en-US"/>
        </w:rPr>
      </w:pPr>
      <w:r w:rsidRPr="00103A0B">
        <w:rPr>
          <w:rFonts w:cs="Arial"/>
          <w:b w:val="0"/>
          <w:sz w:val="22"/>
          <w:szCs w:val="22"/>
        </w:rPr>
        <w:t>What is your home postcode? ………………………</w:t>
      </w:r>
    </w:p>
    <w:p w14:paraId="30D4D63B"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ind w:left="360"/>
        <w:contextualSpacing/>
        <w:jc w:val="both"/>
        <w:rPr>
          <w:rFonts w:cs="Arial"/>
          <w:b w:val="0"/>
          <w:snapToGrid w:val="0"/>
          <w:sz w:val="22"/>
          <w:szCs w:val="22"/>
          <w:lang w:eastAsia="en-US"/>
        </w:rPr>
      </w:pPr>
    </w:p>
    <w:p w14:paraId="702B750A"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ind w:left="360"/>
        <w:contextualSpacing/>
        <w:jc w:val="both"/>
        <w:rPr>
          <w:rFonts w:cs="Arial"/>
          <w:b w:val="0"/>
          <w:snapToGrid w:val="0"/>
          <w:sz w:val="22"/>
          <w:szCs w:val="22"/>
          <w:lang w:eastAsia="en-US"/>
        </w:rPr>
      </w:pPr>
    </w:p>
    <w:p w14:paraId="4E35F825" w14:textId="77777777" w:rsidR="00095E2C" w:rsidRPr="00103A0B" w:rsidRDefault="00095E2C" w:rsidP="00CD5919">
      <w:pPr>
        <w:pStyle w:val="QName"/>
        <w:numPr>
          <w:ilvl w:val="0"/>
          <w:numId w:val="23"/>
        </w:numPr>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rFonts w:cs="Arial"/>
          <w:b w:val="0"/>
          <w:snapToGrid w:val="0"/>
          <w:sz w:val="22"/>
          <w:szCs w:val="22"/>
          <w:lang w:eastAsia="en-US"/>
        </w:rPr>
      </w:pPr>
      <w:r w:rsidRPr="00103A0B">
        <w:rPr>
          <w:rFonts w:cs="Arial"/>
          <w:b w:val="0"/>
          <w:sz w:val="22"/>
          <w:szCs w:val="22"/>
        </w:rPr>
        <w:t>Which of the following best describes your current work situation?</w:t>
      </w:r>
    </w:p>
    <w:tbl>
      <w:tblPr>
        <w:tblW w:w="5368" w:type="dxa"/>
        <w:tblInd w:w="534" w:type="dxa"/>
        <w:tblLayout w:type="fixed"/>
        <w:tblLook w:val="04A0" w:firstRow="1" w:lastRow="0" w:firstColumn="1" w:lastColumn="0" w:noHBand="0" w:noVBand="1"/>
      </w:tblPr>
      <w:tblGrid>
        <w:gridCol w:w="2817"/>
        <w:gridCol w:w="2551"/>
      </w:tblGrid>
      <w:tr w:rsidR="00095E2C" w:rsidRPr="00103A0B" w14:paraId="35F68227" w14:textId="77777777" w:rsidTr="00803D36">
        <w:trPr>
          <w:trHeight w:hRule="exact" w:val="284"/>
        </w:trPr>
        <w:tc>
          <w:tcPr>
            <w:tcW w:w="2817" w:type="dxa"/>
            <w:vAlign w:val="center"/>
          </w:tcPr>
          <w:p w14:paraId="077D727F" w14:textId="77777777" w:rsidR="00095E2C" w:rsidRPr="00103A0B" w:rsidRDefault="00095E2C" w:rsidP="00CD5919">
            <w:pPr>
              <w:jc w:val="both"/>
              <w:rPr>
                <w:rFonts w:ascii="Arial" w:hAnsi="Arial" w:cs="Arial"/>
                <w:b/>
              </w:rPr>
            </w:pPr>
            <w:r w:rsidRPr="00103A0B">
              <w:rPr>
                <w:rStyle w:val="Strong"/>
                <w:rFonts w:ascii="Arial" w:hAnsi="Arial" w:cs="Arial"/>
              </w:rPr>
              <w:t>Full-time work</w:t>
            </w:r>
          </w:p>
        </w:tc>
        <w:tc>
          <w:tcPr>
            <w:tcW w:w="2551" w:type="dxa"/>
            <w:vAlign w:val="center"/>
          </w:tcPr>
          <w:p w14:paraId="729E1773"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r w:rsidR="00095E2C" w:rsidRPr="00103A0B" w14:paraId="183A9807" w14:textId="77777777" w:rsidTr="00803D36">
        <w:trPr>
          <w:trHeight w:hRule="exact" w:val="284"/>
        </w:trPr>
        <w:tc>
          <w:tcPr>
            <w:tcW w:w="2817" w:type="dxa"/>
            <w:vAlign w:val="center"/>
          </w:tcPr>
          <w:p w14:paraId="4CEBD0E2" w14:textId="77777777" w:rsidR="00095E2C" w:rsidRPr="00103A0B" w:rsidRDefault="00095E2C" w:rsidP="00CD5919">
            <w:pPr>
              <w:jc w:val="both"/>
              <w:rPr>
                <w:rFonts w:ascii="Arial" w:hAnsi="Arial" w:cs="Arial"/>
                <w:b/>
              </w:rPr>
            </w:pPr>
            <w:r w:rsidRPr="00103A0B">
              <w:rPr>
                <w:rStyle w:val="Strong"/>
                <w:rFonts w:ascii="Arial" w:hAnsi="Arial" w:cs="Arial"/>
              </w:rPr>
              <w:t>Part-time work</w:t>
            </w:r>
          </w:p>
        </w:tc>
        <w:tc>
          <w:tcPr>
            <w:tcW w:w="2551" w:type="dxa"/>
            <w:vAlign w:val="center"/>
          </w:tcPr>
          <w:p w14:paraId="0DB94938"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r w:rsidR="00095E2C" w:rsidRPr="00103A0B" w14:paraId="5FD84EB9" w14:textId="77777777" w:rsidTr="00803D36">
        <w:trPr>
          <w:trHeight w:hRule="exact" w:val="284"/>
        </w:trPr>
        <w:tc>
          <w:tcPr>
            <w:tcW w:w="2817" w:type="dxa"/>
            <w:vAlign w:val="center"/>
          </w:tcPr>
          <w:p w14:paraId="1AE6FE3E" w14:textId="77777777" w:rsidR="00095E2C" w:rsidRPr="00103A0B" w:rsidRDefault="00095E2C" w:rsidP="00CD5919">
            <w:pPr>
              <w:jc w:val="both"/>
              <w:rPr>
                <w:rFonts w:ascii="Arial" w:hAnsi="Arial" w:cs="Arial"/>
                <w:b/>
              </w:rPr>
            </w:pPr>
            <w:r w:rsidRPr="00103A0B">
              <w:rPr>
                <w:rStyle w:val="Strong"/>
                <w:rFonts w:ascii="Arial" w:hAnsi="Arial" w:cs="Arial"/>
              </w:rPr>
              <w:t xml:space="preserve">Casual </w:t>
            </w:r>
          </w:p>
        </w:tc>
        <w:tc>
          <w:tcPr>
            <w:tcW w:w="2551" w:type="dxa"/>
            <w:vAlign w:val="center"/>
          </w:tcPr>
          <w:p w14:paraId="2AB43EC1"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r w:rsidR="00095E2C" w:rsidRPr="00103A0B" w14:paraId="34E0EEDE" w14:textId="77777777" w:rsidTr="00803D36">
        <w:trPr>
          <w:trHeight w:hRule="exact" w:val="284"/>
        </w:trPr>
        <w:tc>
          <w:tcPr>
            <w:tcW w:w="2817" w:type="dxa"/>
            <w:vAlign w:val="center"/>
          </w:tcPr>
          <w:p w14:paraId="0850FC88" w14:textId="77777777" w:rsidR="00095E2C" w:rsidRPr="00103A0B" w:rsidRDefault="00095E2C" w:rsidP="00CD5919">
            <w:pPr>
              <w:jc w:val="both"/>
              <w:rPr>
                <w:rStyle w:val="Strong"/>
                <w:rFonts w:ascii="Arial" w:hAnsi="Arial" w:cs="Arial"/>
                <w:b w:val="0"/>
              </w:rPr>
            </w:pPr>
            <w:r w:rsidRPr="00103A0B">
              <w:rPr>
                <w:rStyle w:val="Strong"/>
                <w:rFonts w:ascii="Arial" w:hAnsi="Arial" w:cs="Arial"/>
              </w:rPr>
              <w:t>Student/ in training</w:t>
            </w:r>
          </w:p>
        </w:tc>
        <w:tc>
          <w:tcPr>
            <w:tcW w:w="2551" w:type="dxa"/>
            <w:vAlign w:val="center"/>
          </w:tcPr>
          <w:p w14:paraId="25F4A169"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r w:rsidR="00095E2C" w:rsidRPr="00103A0B" w14:paraId="756C78C9" w14:textId="77777777" w:rsidTr="00803D36">
        <w:trPr>
          <w:trHeight w:hRule="exact" w:val="284"/>
        </w:trPr>
        <w:tc>
          <w:tcPr>
            <w:tcW w:w="2817" w:type="dxa"/>
            <w:vAlign w:val="center"/>
          </w:tcPr>
          <w:p w14:paraId="34389D8E" w14:textId="77777777" w:rsidR="00095E2C" w:rsidRPr="00103A0B" w:rsidRDefault="00095E2C" w:rsidP="00CD5919">
            <w:pPr>
              <w:jc w:val="both"/>
              <w:rPr>
                <w:rFonts w:ascii="Arial" w:hAnsi="Arial" w:cs="Arial"/>
                <w:b/>
              </w:rPr>
            </w:pPr>
            <w:r w:rsidRPr="00103A0B">
              <w:rPr>
                <w:rStyle w:val="Strong"/>
                <w:rFonts w:ascii="Arial" w:hAnsi="Arial" w:cs="Arial"/>
              </w:rPr>
              <w:t xml:space="preserve">Look after home/family </w:t>
            </w:r>
          </w:p>
        </w:tc>
        <w:tc>
          <w:tcPr>
            <w:tcW w:w="2551" w:type="dxa"/>
            <w:vAlign w:val="center"/>
          </w:tcPr>
          <w:p w14:paraId="7B01216E"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r w:rsidR="00095E2C" w:rsidRPr="00103A0B" w14:paraId="01A48C10" w14:textId="77777777" w:rsidTr="00803D36">
        <w:trPr>
          <w:trHeight w:hRule="exact" w:val="284"/>
        </w:trPr>
        <w:tc>
          <w:tcPr>
            <w:tcW w:w="2817" w:type="dxa"/>
            <w:vAlign w:val="center"/>
          </w:tcPr>
          <w:p w14:paraId="5D62B2BA" w14:textId="77777777" w:rsidR="00095E2C" w:rsidRPr="00103A0B" w:rsidRDefault="00095E2C" w:rsidP="00CD5919">
            <w:pPr>
              <w:jc w:val="both"/>
              <w:rPr>
                <w:rFonts w:ascii="Arial" w:hAnsi="Arial" w:cs="Arial"/>
                <w:b/>
              </w:rPr>
            </w:pPr>
            <w:r w:rsidRPr="00103A0B">
              <w:rPr>
                <w:rStyle w:val="Strong"/>
                <w:rFonts w:ascii="Arial" w:hAnsi="Arial" w:cs="Arial"/>
              </w:rPr>
              <w:t xml:space="preserve">Unemployed </w:t>
            </w:r>
          </w:p>
        </w:tc>
        <w:tc>
          <w:tcPr>
            <w:tcW w:w="2551" w:type="dxa"/>
            <w:vAlign w:val="center"/>
          </w:tcPr>
          <w:p w14:paraId="2E6F5F37"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r w:rsidR="00095E2C" w:rsidRPr="00103A0B" w14:paraId="60B4A542" w14:textId="77777777" w:rsidTr="00803D36">
        <w:trPr>
          <w:trHeight w:hRule="exact" w:val="284"/>
        </w:trPr>
        <w:tc>
          <w:tcPr>
            <w:tcW w:w="2817" w:type="dxa"/>
            <w:vAlign w:val="center"/>
          </w:tcPr>
          <w:p w14:paraId="209DF571" w14:textId="77777777" w:rsidR="00095E2C" w:rsidRPr="00103A0B" w:rsidRDefault="00095E2C" w:rsidP="00CD5919">
            <w:pPr>
              <w:jc w:val="both"/>
              <w:rPr>
                <w:rFonts w:ascii="Arial" w:hAnsi="Arial" w:cs="Arial"/>
                <w:b/>
              </w:rPr>
            </w:pPr>
            <w:r w:rsidRPr="00103A0B">
              <w:rPr>
                <w:rStyle w:val="Strong"/>
                <w:rFonts w:ascii="Arial" w:hAnsi="Arial" w:cs="Arial"/>
              </w:rPr>
              <w:t xml:space="preserve">Retired </w:t>
            </w:r>
          </w:p>
        </w:tc>
        <w:tc>
          <w:tcPr>
            <w:tcW w:w="2551" w:type="dxa"/>
            <w:vAlign w:val="center"/>
          </w:tcPr>
          <w:p w14:paraId="66DDA94C"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r w:rsidR="00095E2C" w:rsidRPr="00103A0B" w14:paraId="06D476A2" w14:textId="77777777" w:rsidTr="00803D36">
        <w:trPr>
          <w:trHeight w:hRule="exact" w:val="284"/>
        </w:trPr>
        <w:tc>
          <w:tcPr>
            <w:tcW w:w="2817" w:type="dxa"/>
            <w:vAlign w:val="center"/>
          </w:tcPr>
          <w:p w14:paraId="0D34B2A4" w14:textId="77777777" w:rsidR="00095E2C" w:rsidRPr="00103A0B" w:rsidRDefault="00095E2C" w:rsidP="00CD5919">
            <w:pPr>
              <w:jc w:val="both"/>
              <w:rPr>
                <w:rFonts w:ascii="Arial" w:hAnsi="Arial" w:cs="Arial"/>
                <w:b/>
              </w:rPr>
            </w:pPr>
            <w:r w:rsidRPr="00103A0B">
              <w:rPr>
                <w:rStyle w:val="Strong"/>
                <w:rFonts w:ascii="Arial" w:hAnsi="Arial" w:cs="Arial"/>
              </w:rPr>
              <w:t>Long-term sickness absence</w:t>
            </w:r>
          </w:p>
        </w:tc>
        <w:tc>
          <w:tcPr>
            <w:tcW w:w="2551" w:type="dxa"/>
            <w:vAlign w:val="center"/>
          </w:tcPr>
          <w:p w14:paraId="39B5F301"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p w14:paraId="14383466"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p>
          <w:p w14:paraId="4B3EE806"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p>
          <w:p w14:paraId="47580625"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p>
          <w:p w14:paraId="16F09CB9"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p>
          <w:p w14:paraId="27B93289"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p>
        </w:tc>
      </w:tr>
    </w:tbl>
    <w:p w14:paraId="1FD7D58F"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rFonts w:cs="Arial"/>
          <w:b w:val="0"/>
          <w:snapToGrid w:val="0"/>
          <w:sz w:val="22"/>
          <w:szCs w:val="22"/>
          <w:lang w:eastAsia="en-US"/>
        </w:rPr>
      </w:pPr>
    </w:p>
    <w:p w14:paraId="362884F9" w14:textId="77777777" w:rsidR="00095E2C" w:rsidRPr="00103A0B" w:rsidRDefault="00095E2C" w:rsidP="00CD5919">
      <w:pPr>
        <w:pStyle w:val="QName"/>
        <w:numPr>
          <w:ilvl w:val="0"/>
          <w:numId w:val="23"/>
        </w:numPr>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line="276" w:lineRule="auto"/>
        <w:contextualSpacing/>
        <w:jc w:val="both"/>
        <w:rPr>
          <w:rFonts w:cs="Arial"/>
          <w:b w:val="0"/>
          <w:snapToGrid w:val="0"/>
          <w:sz w:val="22"/>
          <w:szCs w:val="22"/>
          <w:lang w:eastAsia="en-US"/>
        </w:rPr>
      </w:pPr>
      <w:r w:rsidRPr="00103A0B">
        <w:rPr>
          <w:rFonts w:cs="Arial"/>
          <w:b w:val="0"/>
          <w:snapToGrid w:val="0"/>
          <w:sz w:val="22"/>
          <w:szCs w:val="22"/>
          <w:lang w:eastAsia="en-US"/>
        </w:rPr>
        <w:t xml:space="preserve">Please state your job role (if </w:t>
      </w:r>
      <w:proofErr w:type="gramStart"/>
      <w:r w:rsidRPr="00103A0B">
        <w:rPr>
          <w:rFonts w:cs="Arial"/>
          <w:b w:val="0"/>
          <w:snapToGrid w:val="0"/>
          <w:sz w:val="22"/>
          <w:szCs w:val="22"/>
          <w:lang w:eastAsia="en-US"/>
        </w:rPr>
        <w:t>applicable)…</w:t>
      </w:r>
      <w:proofErr w:type="gramEnd"/>
      <w:r w:rsidRPr="00103A0B">
        <w:rPr>
          <w:rFonts w:cs="Arial"/>
          <w:b w:val="0"/>
          <w:snapToGrid w:val="0"/>
          <w:sz w:val="22"/>
          <w:szCs w:val="22"/>
          <w:lang w:eastAsia="en-US"/>
        </w:rPr>
        <w:t>…………………………………..</w:t>
      </w:r>
    </w:p>
    <w:p w14:paraId="4B821CDF"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after="240" w:line="276" w:lineRule="auto"/>
        <w:contextualSpacing/>
        <w:jc w:val="both"/>
        <w:rPr>
          <w:rFonts w:cs="Arial"/>
          <w:b w:val="0"/>
          <w:snapToGrid w:val="0"/>
          <w:sz w:val="22"/>
          <w:szCs w:val="22"/>
          <w:lang w:eastAsia="en-US"/>
        </w:rPr>
      </w:pPr>
    </w:p>
    <w:p w14:paraId="599A7DBD" w14:textId="77777777" w:rsidR="00095E2C" w:rsidRPr="00103A0B" w:rsidRDefault="00095E2C" w:rsidP="00CD5919">
      <w:pPr>
        <w:pStyle w:val="QName"/>
        <w:numPr>
          <w:ilvl w:val="0"/>
          <w:numId w:val="23"/>
        </w:numPr>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after="240" w:line="276" w:lineRule="auto"/>
        <w:contextualSpacing/>
        <w:jc w:val="both"/>
        <w:rPr>
          <w:rFonts w:cs="Arial"/>
          <w:b w:val="0"/>
          <w:snapToGrid w:val="0"/>
          <w:sz w:val="22"/>
          <w:szCs w:val="22"/>
          <w:lang w:eastAsia="en-US"/>
        </w:rPr>
      </w:pPr>
      <w:r w:rsidRPr="00103A0B">
        <w:rPr>
          <w:rFonts w:cs="Arial"/>
          <w:b w:val="0"/>
          <w:sz w:val="22"/>
          <w:szCs w:val="22"/>
        </w:rPr>
        <w:t xml:space="preserve">Are you a </w:t>
      </w:r>
      <w:r w:rsidRPr="00103A0B">
        <w:rPr>
          <w:rFonts w:cs="Arial"/>
          <w:sz w:val="22"/>
          <w:szCs w:val="22"/>
        </w:rPr>
        <w:t>smoker</w:t>
      </w:r>
      <w:r w:rsidRPr="00103A0B">
        <w:rPr>
          <w:rFonts w:cs="Arial"/>
          <w:b w:val="0"/>
          <w:sz w:val="22"/>
          <w:szCs w:val="22"/>
        </w:rPr>
        <w:t>?</w:t>
      </w:r>
      <w:r w:rsidRPr="00103A0B">
        <w:rPr>
          <w:rFonts w:cs="Arial"/>
          <w:b w:val="0"/>
          <w:sz w:val="22"/>
          <w:szCs w:val="22"/>
        </w:rPr>
        <w:tab/>
      </w:r>
      <w:r w:rsidRPr="00103A0B">
        <w:rPr>
          <w:rFonts w:cs="Arial"/>
          <w:b w:val="0"/>
          <w:sz w:val="22"/>
          <w:szCs w:val="22"/>
        </w:rPr>
        <w:tab/>
      </w:r>
      <w:r w:rsidRPr="00103A0B">
        <w:rPr>
          <w:rFonts w:cs="Arial"/>
          <w:b w:val="0"/>
          <w:snapToGrid w:val="0"/>
          <w:sz w:val="22"/>
          <w:szCs w:val="22"/>
          <w:lang w:eastAsia="en-US"/>
        </w:rPr>
        <w:tab/>
      </w:r>
    </w:p>
    <w:tbl>
      <w:tblPr>
        <w:tblW w:w="4677" w:type="dxa"/>
        <w:tblInd w:w="534" w:type="dxa"/>
        <w:tblLayout w:type="fixed"/>
        <w:tblLook w:val="04A0" w:firstRow="1" w:lastRow="0" w:firstColumn="1" w:lastColumn="0" w:noHBand="0" w:noVBand="1"/>
      </w:tblPr>
      <w:tblGrid>
        <w:gridCol w:w="2551"/>
        <w:gridCol w:w="2126"/>
      </w:tblGrid>
      <w:tr w:rsidR="00095E2C" w:rsidRPr="00103A0B" w14:paraId="314FA2BC" w14:textId="77777777" w:rsidTr="00803D36">
        <w:trPr>
          <w:trHeight w:hRule="exact" w:val="284"/>
        </w:trPr>
        <w:tc>
          <w:tcPr>
            <w:tcW w:w="2551" w:type="dxa"/>
            <w:vAlign w:val="center"/>
          </w:tcPr>
          <w:p w14:paraId="16D696A0" w14:textId="77777777" w:rsidR="00095E2C" w:rsidRPr="00103A0B" w:rsidRDefault="00095E2C" w:rsidP="00CD5919">
            <w:pPr>
              <w:contextualSpacing/>
              <w:jc w:val="both"/>
              <w:rPr>
                <w:rFonts w:ascii="Arial" w:hAnsi="Arial" w:cs="Arial"/>
                <w:b/>
              </w:rPr>
            </w:pPr>
            <w:r w:rsidRPr="00103A0B">
              <w:rPr>
                <w:rStyle w:val="Strong"/>
                <w:rFonts w:ascii="Arial" w:hAnsi="Arial" w:cs="Arial"/>
              </w:rPr>
              <w:t xml:space="preserve">Yes </w:t>
            </w:r>
          </w:p>
        </w:tc>
        <w:tc>
          <w:tcPr>
            <w:tcW w:w="2126" w:type="dxa"/>
            <w:vAlign w:val="center"/>
          </w:tcPr>
          <w:p w14:paraId="415D3F3B"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r w:rsidR="00095E2C" w:rsidRPr="00103A0B" w14:paraId="72CC4819" w14:textId="77777777" w:rsidTr="00803D36">
        <w:trPr>
          <w:trHeight w:hRule="exact" w:val="284"/>
        </w:trPr>
        <w:tc>
          <w:tcPr>
            <w:tcW w:w="2551" w:type="dxa"/>
            <w:vAlign w:val="center"/>
          </w:tcPr>
          <w:p w14:paraId="5722DA24" w14:textId="77777777" w:rsidR="00095E2C" w:rsidRPr="00103A0B" w:rsidRDefault="00095E2C" w:rsidP="00CD5919">
            <w:pPr>
              <w:contextualSpacing/>
              <w:jc w:val="both"/>
              <w:rPr>
                <w:rStyle w:val="Strong"/>
                <w:rFonts w:ascii="Arial" w:hAnsi="Arial" w:cs="Arial"/>
                <w:b w:val="0"/>
              </w:rPr>
            </w:pPr>
            <w:r w:rsidRPr="00103A0B">
              <w:rPr>
                <w:rStyle w:val="Strong"/>
                <w:rFonts w:ascii="Arial" w:hAnsi="Arial" w:cs="Arial"/>
              </w:rPr>
              <w:t>No, but I used to smoke</w:t>
            </w:r>
          </w:p>
        </w:tc>
        <w:tc>
          <w:tcPr>
            <w:tcW w:w="2126" w:type="dxa"/>
            <w:vAlign w:val="center"/>
          </w:tcPr>
          <w:p w14:paraId="6F177ABB"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r w:rsidR="00095E2C" w:rsidRPr="00103A0B" w14:paraId="2E5D8AA8" w14:textId="77777777" w:rsidTr="00803D36">
        <w:trPr>
          <w:trHeight w:hRule="exact" w:val="284"/>
        </w:trPr>
        <w:tc>
          <w:tcPr>
            <w:tcW w:w="2551" w:type="dxa"/>
            <w:vAlign w:val="center"/>
          </w:tcPr>
          <w:p w14:paraId="21F6E424" w14:textId="77777777" w:rsidR="00095E2C" w:rsidRPr="00103A0B" w:rsidRDefault="00095E2C" w:rsidP="00CD5919">
            <w:pPr>
              <w:contextualSpacing/>
              <w:jc w:val="both"/>
              <w:rPr>
                <w:rStyle w:val="Strong"/>
                <w:rFonts w:ascii="Arial" w:hAnsi="Arial" w:cs="Arial"/>
                <w:b w:val="0"/>
              </w:rPr>
            </w:pPr>
            <w:r w:rsidRPr="00103A0B">
              <w:rPr>
                <w:rStyle w:val="Strong"/>
                <w:rFonts w:ascii="Arial" w:hAnsi="Arial" w:cs="Arial"/>
              </w:rPr>
              <w:t>No, I have never smoked</w:t>
            </w:r>
          </w:p>
        </w:tc>
        <w:tc>
          <w:tcPr>
            <w:tcW w:w="2126" w:type="dxa"/>
            <w:vAlign w:val="center"/>
          </w:tcPr>
          <w:p w14:paraId="179AF2B3" w14:textId="77777777" w:rsidR="00095E2C" w:rsidRPr="00103A0B" w:rsidRDefault="00095E2C" w:rsidP="00CD5919">
            <w:pPr>
              <w:pStyle w:val="QTEXT"/>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ascii="Arial" w:hAnsi="Arial" w:cs="Arial"/>
                <w:szCs w:val="22"/>
              </w:rPr>
            </w:pPr>
            <w:r w:rsidRPr="00103A0B">
              <w:rPr>
                <w:rFonts w:ascii="Arial" w:hAnsi="Arial" w:cs="Arial"/>
                <w:szCs w:val="22"/>
              </w:rPr>
              <w:fldChar w:fldCharType="begin">
                <w:ffData>
                  <w:name w:val="Check36"/>
                  <w:enabled/>
                  <w:calcOnExit w:val="0"/>
                  <w:checkBox>
                    <w:sizeAuto/>
                    <w:default w:val="0"/>
                  </w:checkBox>
                </w:ffData>
              </w:fldChar>
            </w:r>
            <w:r w:rsidRPr="00103A0B">
              <w:rPr>
                <w:rFonts w:ascii="Arial" w:hAnsi="Arial" w:cs="Arial"/>
                <w:szCs w:val="22"/>
              </w:rPr>
              <w:instrText xml:space="preserve"> FORMCHECKBOX </w:instrText>
            </w:r>
            <w:r w:rsidR="00000000" w:rsidRPr="00103A0B">
              <w:rPr>
                <w:rFonts w:ascii="Arial" w:hAnsi="Arial" w:cs="Arial"/>
                <w:szCs w:val="22"/>
              </w:rPr>
            </w:r>
            <w:r w:rsidR="00000000" w:rsidRPr="00103A0B">
              <w:rPr>
                <w:rFonts w:ascii="Arial" w:hAnsi="Arial" w:cs="Arial"/>
                <w:szCs w:val="22"/>
              </w:rPr>
              <w:fldChar w:fldCharType="separate"/>
            </w:r>
            <w:r w:rsidRPr="00103A0B">
              <w:rPr>
                <w:rFonts w:ascii="Arial" w:hAnsi="Arial" w:cs="Arial"/>
                <w:szCs w:val="22"/>
              </w:rPr>
              <w:fldChar w:fldCharType="end"/>
            </w:r>
          </w:p>
        </w:tc>
      </w:tr>
    </w:tbl>
    <w:p w14:paraId="559D0966"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line="276" w:lineRule="auto"/>
        <w:contextualSpacing/>
        <w:jc w:val="both"/>
        <w:rPr>
          <w:rFonts w:cs="Arial"/>
          <w:b w:val="0"/>
          <w:snapToGrid w:val="0"/>
          <w:sz w:val="22"/>
          <w:szCs w:val="22"/>
          <w:lang w:eastAsia="en-US"/>
        </w:rPr>
      </w:pPr>
    </w:p>
    <w:p w14:paraId="047E7B01" w14:textId="77777777" w:rsidR="00095E2C" w:rsidRPr="00103A0B" w:rsidRDefault="00095E2C" w:rsidP="00CD5919">
      <w:pPr>
        <w:pStyle w:val="QName"/>
        <w:numPr>
          <w:ilvl w:val="0"/>
          <w:numId w:val="23"/>
        </w:numPr>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after="240" w:line="276" w:lineRule="auto"/>
        <w:contextualSpacing/>
        <w:jc w:val="both"/>
        <w:rPr>
          <w:rFonts w:cs="Arial"/>
          <w:b w:val="0"/>
          <w:sz w:val="22"/>
          <w:szCs w:val="22"/>
        </w:rPr>
      </w:pPr>
      <w:r w:rsidRPr="00103A0B">
        <w:rPr>
          <w:rFonts w:cs="Arial"/>
          <w:b w:val="0"/>
          <w:sz w:val="22"/>
          <w:szCs w:val="22"/>
        </w:rPr>
        <w:t>Do you currently have any medical conditions or chronic illness?</w:t>
      </w:r>
    </w:p>
    <w:p w14:paraId="03418CE4"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after="240" w:line="276" w:lineRule="auto"/>
        <w:ind w:left="360"/>
        <w:contextualSpacing/>
        <w:jc w:val="both"/>
        <w:rPr>
          <w:rFonts w:cs="Arial"/>
          <w:b w:val="0"/>
          <w:sz w:val="22"/>
          <w:szCs w:val="22"/>
        </w:rPr>
      </w:pPr>
    </w:p>
    <w:p w14:paraId="04C6AACC"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after="240" w:line="276" w:lineRule="auto"/>
        <w:ind w:left="357"/>
        <w:contextualSpacing/>
        <w:jc w:val="both"/>
        <w:rPr>
          <w:rFonts w:cs="Arial"/>
          <w:b w:val="0"/>
          <w:sz w:val="22"/>
          <w:szCs w:val="22"/>
        </w:rPr>
      </w:pPr>
      <w:r w:rsidRPr="00103A0B">
        <w:rPr>
          <w:rFonts w:cs="Arial"/>
          <w:b w:val="0"/>
          <w:sz w:val="22"/>
          <w:szCs w:val="22"/>
        </w:rPr>
        <w:tab/>
        <w:t xml:space="preserve">No  </w:t>
      </w:r>
      <w:r w:rsidRPr="00103A0B">
        <w:rPr>
          <w:rFonts w:cs="Arial"/>
          <w:b w:val="0"/>
          <w:sz w:val="22"/>
          <w:szCs w:val="22"/>
        </w:rPr>
        <w:fldChar w:fldCharType="begin">
          <w:ffData>
            <w:name w:val="Check36"/>
            <w:enabled/>
            <w:calcOnExit w:val="0"/>
            <w:checkBox>
              <w:sizeAuto/>
              <w:default w:val="0"/>
            </w:checkBox>
          </w:ffData>
        </w:fldChar>
      </w:r>
      <w:r w:rsidRPr="00103A0B">
        <w:rPr>
          <w:rFonts w:cs="Arial"/>
          <w:b w:val="0"/>
          <w:sz w:val="22"/>
          <w:szCs w:val="22"/>
        </w:rPr>
        <w:instrText xml:space="preserve"> FORMCHECKBOX </w:instrText>
      </w:r>
      <w:r w:rsidR="00000000" w:rsidRPr="00103A0B">
        <w:rPr>
          <w:rFonts w:cs="Arial"/>
          <w:b w:val="0"/>
          <w:sz w:val="22"/>
          <w:szCs w:val="22"/>
        </w:rPr>
      </w:r>
      <w:r w:rsidR="00000000" w:rsidRPr="00103A0B">
        <w:rPr>
          <w:rFonts w:cs="Arial"/>
          <w:b w:val="0"/>
          <w:sz w:val="22"/>
          <w:szCs w:val="22"/>
        </w:rPr>
        <w:fldChar w:fldCharType="separate"/>
      </w:r>
      <w:r w:rsidRPr="00103A0B">
        <w:rPr>
          <w:rFonts w:cs="Arial"/>
          <w:b w:val="0"/>
          <w:sz w:val="22"/>
          <w:szCs w:val="22"/>
        </w:rPr>
        <w:fldChar w:fldCharType="end"/>
      </w:r>
    </w:p>
    <w:p w14:paraId="54930EC8" w14:textId="77777777" w:rsidR="00095E2C" w:rsidRPr="00103A0B" w:rsidRDefault="00095E2C" w:rsidP="00CD5919">
      <w:pPr>
        <w:pStyle w:val="QName"/>
        <w:tabs>
          <w:tab w:val="left" w:pos="284"/>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after="240" w:line="276" w:lineRule="auto"/>
        <w:ind w:left="357"/>
        <w:contextualSpacing/>
        <w:jc w:val="both"/>
        <w:rPr>
          <w:rFonts w:cs="Arial"/>
          <w:b w:val="0"/>
          <w:sz w:val="22"/>
          <w:szCs w:val="22"/>
        </w:rPr>
      </w:pPr>
      <w:r w:rsidRPr="00103A0B">
        <w:rPr>
          <w:rFonts w:cs="Arial"/>
          <w:b w:val="0"/>
          <w:sz w:val="22"/>
          <w:szCs w:val="22"/>
        </w:rPr>
        <w:tab/>
        <w:t xml:space="preserve">Yes </w:t>
      </w:r>
      <w:r w:rsidRPr="00103A0B">
        <w:rPr>
          <w:rFonts w:cs="Arial"/>
          <w:b w:val="0"/>
          <w:sz w:val="22"/>
          <w:szCs w:val="22"/>
        </w:rPr>
        <w:fldChar w:fldCharType="begin">
          <w:ffData>
            <w:name w:val="Check36"/>
            <w:enabled/>
            <w:calcOnExit w:val="0"/>
            <w:checkBox>
              <w:sizeAuto/>
              <w:default w:val="0"/>
            </w:checkBox>
          </w:ffData>
        </w:fldChar>
      </w:r>
      <w:r w:rsidRPr="00103A0B">
        <w:rPr>
          <w:rFonts w:cs="Arial"/>
          <w:b w:val="0"/>
          <w:sz w:val="22"/>
          <w:szCs w:val="22"/>
        </w:rPr>
        <w:instrText xml:space="preserve"> FORMCHECKBOX </w:instrText>
      </w:r>
      <w:r w:rsidR="00000000" w:rsidRPr="00103A0B">
        <w:rPr>
          <w:rFonts w:cs="Arial"/>
          <w:b w:val="0"/>
          <w:sz w:val="22"/>
          <w:szCs w:val="22"/>
        </w:rPr>
      </w:r>
      <w:r w:rsidR="00000000" w:rsidRPr="00103A0B">
        <w:rPr>
          <w:rFonts w:cs="Arial"/>
          <w:b w:val="0"/>
          <w:sz w:val="22"/>
          <w:szCs w:val="22"/>
        </w:rPr>
        <w:fldChar w:fldCharType="separate"/>
      </w:r>
      <w:r w:rsidRPr="00103A0B">
        <w:rPr>
          <w:rFonts w:cs="Arial"/>
          <w:b w:val="0"/>
          <w:sz w:val="22"/>
          <w:szCs w:val="22"/>
        </w:rPr>
        <w:fldChar w:fldCharType="end"/>
      </w:r>
      <w:r w:rsidRPr="00103A0B">
        <w:rPr>
          <w:rFonts w:cs="Arial"/>
          <w:b w:val="0"/>
          <w:sz w:val="22"/>
          <w:szCs w:val="22"/>
        </w:rPr>
        <w:tab/>
      </w:r>
      <w:r w:rsidRPr="00103A0B">
        <w:rPr>
          <w:rFonts w:cs="Arial"/>
          <w:b w:val="0"/>
          <w:sz w:val="22"/>
          <w:szCs w:val="22"/>
        </w:rPr>
        <w:tab/>
        <w:t>Please specify ……………………………………………</w:t>
      </w:r>
      <w:proofErr w:type="gramStart"/>
      <w:r w:rsidRPr="00103A0B">
        <w:rPr>
          <w:rFonts w:cs="Arial"/>
          <w:b w:val="0"/>
          <w:sz w:val="22"/>
          <w:szCs w:val="22"/>
        </w:rPr>
        <w:t>…..</w:t>
      </w:r>
      <w:proofErr w:type="gramEnd"/>
    </w:p>
    <w:p w14:paraId="0986CA87" w14:textId="77777777" w:rsidR="00095E2C" w:rsidRPr="00103A0B" w:rsidRDefault="00095E2C" w:rsidP="00CD5919">
      <w:pPr>
        <w:jc w:val="both"/>
        <w:rPr>
          <w:rFonts w:ascii="Arial" w:hAnsi="Arial" w:cs="Arial"/>
          <w:b/>
          <w:bCs/>
          <w:sz w:val="24"/>
          <w:szCs w:val="24"/>
        </w:rPr>
      </w:pPr>
    </w:p>
    <w:p w14:paraId="778DE04D" w14:textId="335719B5" w:rsidR="0049111A" w:rsidRPr="00103A0B" w:rsidRDefault="0049111A" w:rsidP="00E45914">
      <w:pPr>
        <w:keepNext/>
        <w:keepLines/>
        <w:jc w:val="both"/>
        <w:rPr>
          <w:rFonts w:ascii="Arial" w:hAnsi="Arial" w:cs="Arial"/>
          <w:b/>
          <w:bCs/>
          <w:sz w:val="28"/>
          <w:szCs w:val="28"/>
        </w:rPr>
      </w:pPr>
      <w:r w:rsidRPr="00103A0B">
        <w:rPr>
          <w:rFonts w:ascii="Arial" w:hAnsi="Arial" w:cs="Arial"/>
          <w:b/>
          <w:bCs/>
          <w:sz w:val="28"/>
          <w:szCs w:val="28"/>
        </w:rPr>
        <w:lastRenderedPageBreak/>
        <w:t>Appendix 2</w:t>
      </w:r>
      <w:r w:rsidR="00630873" w:rsidRPr="00103A0B">
        <w:rPr>
          <w:rFonts w:ascii="Arial" w:hAnsi="Arial" w:cs="Arial"/>
          <w:b/>
          <w:bCs/>
          <w:sz w:val="28"/>
          <w:szCs w:val="28"/>
        </w:rPr>
        <w:t>4</w:t>
      </w:r>
      <w:r w:rsidRPr="00103A0B">
        <w:rPr>
          <w:rFonts w:ascii="Arial" w:hAnsi="Arial" w:cs="Arial"/>
          <w:b/>
          <w:bCs/>
          <w:sz w:val="28"/>
          <w:szCs w:val="28"/>
        </w:rPr>
        <w:t>: Reasons for non-attendance (Chapter 5)</w:t>
      </w:r>
    </w:p>
    <w:p w14:paraId="51EE6CBC" w14:textId="77777777" w:rsidR="0049111A" w:rsidRPr="00103A0B" w:rsidRDefault="0049111A" w:rsidP="00CD5919">
      <w:pPr>
        <w:jc w:val="both"/>
        <w:rPr>
          <w:rFonts w:ascii="Arial" w:hAnsi="Arial" w:cs="Arial"/>
          <w:i/>
          <w:sz w:val="24"/>
          <w:szCs w:val="24"/>
        </w:rPr>
      </w:pPr>
    </w:p>
    <w:p w14:paraId="51D1592A" w14:textId="18E2DABE" w:rsidR="0049111A" w:rsidRPr="00103A0B" w:rsidRDefault="0049111A" w:rsidP="00CD5919">
      <w:pPr>
        <w:jc w:val="both"/>
        <w:rPr>
          <w:rFonts w:ascii="Arial" w:hAnsi="Arial" w:cs="Arial"/>
          <w:b/>
          <w:bCs/>
          <w:sz w:val="24"/>
          <w:szCs w:val="24"/>
        </w:rPr>
      </w:pPr>
      <w:r w:rsidRPr="00103A0B">
        <w:rPr>
          <w:rFonts w:ascii="Arial" w:hAnsi="Arial" w:cs="Arial"/>
          <w:i/>
          <w:sz w:val="24"/>
          <w:szCs w:val="24"/>
        </w:rPr>
        <w:t xml:space="preserve">Reasons for non-attendance at follow-up  </w:t>
      </w:r>
    </w:p>
    <w:tbl>
      <w:tblPr>
        <w:tblStyle w:val="TableGrid"/>
        <w:tblW w:w="0" w:type="auto"/>
        <w:tblLook w:val="04A0" w:firstRow="1" w:lastRow="0" w:firstColumn="1" w:lastColumn="0" w:noHBand="0" w:noVBand="1"/>
      </w:tblPr>
      <w:tblGrid>
        <w:gridCol w:w="4508"/>
        <w:gridCol w:w="4508"/>
      </w:tblGrid>
      <w:tr w:rsidR="0049111A" w:rsidRPr="00103A0B" w14:paraId="0698028E" w14:textId="77777777" w:rsidTr="0049111A">
        <w:tc>
          <w:tcPr>
            <w:tcW w:w="4508" w:type="dxa"/>
            <w:tcBorders>
              <w:top w:val="single" w:sz="4" w:space="0" w:color="auto"/>
              <w:left w:val="single" w:sz="4" w:space="0" w:color="auto"/>
              <w:bottom w:val="single" w:sz="4" w:space="0" w:color="auto"/>
              <w:right w:val="single" w:sz="4" w:space="0" w:color="auto"/>
            </w:tcBorders>
            <w:hideMark/>
          </w:tcPr>
          <w:p w14:paraId="67568496" w14:textId="77777777" w:rsidR="0049111A" w:rsidRPr="00103A0B" w:rsidRDefault="0049111A" w:rsidP="00CD5919">
            <w:pPr>
              <w:spacing w:line="360" w:lineRule="auto"/>
              <w:jc w:val="both"/>
              <w:rPr>
                <w:rFonts w:ascii="Arial" w:hAnsi="Arial" w:cs="Arial"/>
                <w:b/>
                <w:sz w:val="24"/>
                <w:szCs w:val="24"/>
              </w:rPr>
            </w:pPr>
            <w:bookmarkStart w:id="429" w:name="_Hlk17121146"/>
            <w:r w:rsidRPr="00103A0B">
              <w:rPr>
                <w:rFonts w:ascii="Arial" w:hAnsi="Arial" w:cs="Arial"/>
                <w:b/>
                <w:sz w:val="24"/>
                <w:szCs w:val="24"/>
              </w:rPr>
              <w:t xml:space="preserve">Reasons for non-attendance </w:t>
            </w:r>
          </w:p>
        </w:tc>
        <w:tc>
          <w:tcPr>
            <w:tcW w:w="4508" w:type="dxa"/>
            <w:tcBorders>
              <w:top w:val="single" w:sz="4" w:space="0" w:color="auto"/>
              <w:left w:val="single" w:sz="4" w:space="0" w:color="auto"/>
              <w:bottom w:val="single" w:sz="4" w:space="0" w:color="auto"/>
              <w:right w:val="single" w:sz="4" w:space="0" w:color="auto"/>
            </w:tcBorders>
          </w:tcPr>
          <w:p w14:paraId="7D2950A5" w14:textId="77777777" w:rsidR="0049111A" w:rsidRPr="00103A0B" w:rsidRDefault="0049111A" w:rsidP="00CD5919">
            <w:pPr>
              <w:spacing w:line="360" w:lineRule="auto"/>
              <w:jc w:val="both"/>
              <w:rPr>
                <w:rFonts w:ascii="Arial" w:hAnsi="Arial" w:cs="Arial"/>
                <w:b/>
                <w:sz w:val="24"/>
                <w:szCs w:val="24"/>
              </w:rPr>
            </w:pPr>
            <w:r w:rsidRPr="00103A0B">
              <w:rPr>
                <w:rFonts w:ascii="Arial" w:hAnsi="Arial" w:cs="Arial"/>
                <w:b/>
                <w:sz w:val="24"/>
                <w:szCs w:val="24"/>
              </w:rPr>
              <w:t xml:space="preserve">Number of Participants </w:t>
            </w:r>
          </w:p>
          <w:p w14:paraId="3507C832" w14:textId="77777777" w:rsidR="0049111A" w:rsidRPr="00103A0B" w:rsidRDefault="0049111A" w:rsidP="00CD5919">
            <w:pPr>
              <w:spacing w:line="360" w:lineRule="auto"/>
              <w:jc w:val="both"/>
              <w:rPr>
                <w:rFonts w:ascii="Arial" w:hAnsi="Arial" w:cs="Arial"/>
                <w:b/>
                <w:sz w:val="24"/>
                <w:szCs w:val="24"/>
              </w:rPr>
            </w:pPr>
          </w:p>
        </w:tc>
      </w:tr>
      <w:tr w:rsidR="0049111A" w:rsidRPr="00103A0B" w14:paraId="341BAA84" w14:textId="77777777" w:rsidTr="0049111A">
        <w:tc>
          <w:tcPr>
            <w:tcW w:w="4508" w:type="dxa"/>
            <w:tcBorders>
              <w:top w:val="single" w:sz="4" w:space="0" w:color="auto"/>
              <w:left w:val="single" w:sz="4" w:space="0" w:color="auto"/>
              <w:bottom w:val="single" w:sz="4" w:space="0" w:color="auto"/>
              <w:right w:val="single" w:sz="4" w:space="0" w:color="auto"/>
            </w:tcBorders>
            <w:hideMark/>
          </w:tcPr>
          <w:p w14:paraId="10A6B3A4"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Organisational issues (changing of session timings and lack of notice)</w:t>
            </w:r>
          </w:p>
        </w:tc>
        <w:tc>
          <w:tcPr>
            <w:tcW w:w="4508" w:type="dxa"/>
            <w:tcBorders>
              <w:top w:val="single" w:sz="4" w:space="0" w:color="auto"/>
              <w:left w:val="single" w:sz="4" w:space="0" w:color="auto"/>
              <w:bottom w:val="single" w:sz="4" w:space="0" w:color="auto"/>
              <w:right w:val="single" w:sz="4" w:space="0" w:color="auto"/>
            </w:tcBorders>
            <w:hideMark/>
          </w:tcPr>
          <w:p w14:paraId="66465AF1"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3</w:t>
            </w:r>
          </w:p>
        </w:tc>
      </w:tr>
      <w:tr w:rsidR="0049111A" w:rsidRPr="00103A0B" w14:paraId="75F25D98" w14:textId="77777777" w:rsidTr="0049111A">
        <w:tc>
          <w:tcPr>
            <w:tcW w:w="4508" w:type="dxa"/>
            <w:tcBorders>
              <w:top w:val="single" w:sz="4" w:space="0" w:color="auto"/>
              <w:left w:val="single" w:sz="4" w:space="0" w:color="auto"/>
              <w:bottom w:val="single" w:sz="4" w:space="0" w:color="auto"/>
              <w:right w:val="single" w:sz="4" w:space="0" w:color="auto"/>
            </w:tcBorders>
            <w:hideMark/>
          </w:tcPr>
          <w:p w14:paraId="24695110"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Inconvenience (session times and location)</w:t>
            </w:r>
          </w:p>
        </w:tc>
        <w:tc>
          <w:tcPr>
            <w:tcW w:w="4508" w:type="dxa"/>
            <w:tcBorders>
              <w:top w:val="single" w:sz="4" w:space="0" w:color="auto"/>
              <w:left w:val="single" w:sz="4" w:space="0" w:color="auto"/>
              <w:bottom w:val="single" w:sz="4" w:space="0" w:color="auto"/>
              <w:right w:val="single" w:sz="4" w:space="0" w:color="auto"/>
            </w:tcBorders>
            <w:hideMark/>
          </w:tcPr>
          <w:p w14:paraId="775794BF"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7</w:t>
            </w:r>
          </w:p>
        </w:tc>
      </w:tr>
      <w:tr w:rsidR="0049111A" w:rsidRPr="00103A0B" w14:paraId="119C5F2B" w14:textId="77777777" w:rsidTr="0049111A">
        <w:tc>
          <w:tcPr>
            <w:tcW w:w="4508" w:type="dxa"/>
            <w:tcBorders>
              <w:top w:val="single" w:sz="4" w:space="0" w:color="auto"/>
              <w:left w:val="single" w:sz="4" w:space="0" w:color="auto"/>
              <w:bottom w:val="single" w:sz="4" w:space="0" w:color="auto"/>
              <w:right w:val="single" w:sz="4" w:space="0" w:color="auto"/>
            </w:tcBorders>
            <w:hideMark/>
          </w:tcPr>
          <w:p w14:paraId="6DFD73F2"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Poor health</w:t>
            </w:r>
          </w:p>
        </w:tc>
        <w:tc>
          <w:tcPr>
            <w:tcW w:w="4508" w:type="dxa"/>
            <w:tcBorders>
              <w:top w:val="single" w:sz="4" w:space="0" w:color="auto"/>
              <w:left w:val="single" w:sz="4" w:space="0" w:color="auto"/>
              <w:bottom w:val="single" w:sz="4" w:space="0" w:color="auto"/>
              <w:right w:val="single" w:sz="4" w:space="0" w:color="auto"/>
            </w:tcBorders>
            <w:hideMark/>
          </w:tcPr>
          <w:p w14:paraId="2F560220"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2</w:t>
            </w:r>
          </w:p>
        </w:tc>
      </w:tr>
      <w:tr w:rsidR="0049111A" w:rsidRPr="00103A0B" w14:paraId="0EB3D01E" w14:textId="77777777" w:rsidTr="0049111A">
        <w:tc>
          <w:tcPr>
            <w:tcW w:w="4508" w:type="dxa"/>
            <w:tcBorders>
              <w:top w:val="single" w:sz="4" w:space="0" w:color="auto"/>
              <w:left w:val="single" w:sz="4" w:space="0" w:color="auto"/>
              <w:bottom w:val="single" w:sz="4" w:space="0" w:color="auto"/>
              <w:right w:val="single" w:sz="4" w:space="0" w:color="auto"/>
            </w:tcBorders>
            <w:hideMark/>
          </w:tcPr>
          <w:p w14:paraId="36FBAA6C"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 xml:space="preserve">Knowledge of T2DM risk  </w:t>
            </w:r>
          </w:p>
        </w:tc>
        <w:tc>
          <w:tcPr>
            <w:tcW w:w="4508" w:type="dxa"/>
            <w:tcBorders>
              <w:top w:val="single" w:sz="4" w:space="0" w:color="auto"/>
              <w:left w:val="single" w:sz="4" w:space="0" w:color="auto"/>
              <w:bottom w:val="single" w:sz="4" w:space="0" w:color="auto"/>
              <w:right w:val="single" w:sz="4" w:space="0" w:color="auto"/>
            </w:tcBorders>
            <w:hideMark/>
          </w:tcPr>
          <w:p w14:paraId="6FC5B4BE"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2</w:t>
            </w:r>
          </w:p>
        </w:tc>
      </w:tr>
      <w:tr w:rsidR="0049111A" w:rsidRPr="00103A0B" w14:paraId="72290A3F" w14:textId="77777777" w:rsidTr="0049111A">
        <w:tc>
          <w:tcPr>
            <w:tcW w:w="4508" w:type="dxa"/>
            <w:tcBorders>
              <w:top w:val="single" w:sz="4" w:space="0" w:color="auto"/>
              <w:left w:val="single" w:sz="4" w:space="0" w:color="auto"/>
              <w:bottom w:val="single" w:sz="4" w:space="0" w:color="auto"/>
              <w:right w:val="single" w:sz="4" w:space="0" w:color="auto"/>
            </w:tcBorders>
            <w:hideMark/>
          </w:tcPr>
          <w:p w14:paraId="2343C260"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Travel abroad</w:t>
            </w:r>
          </w:p>
        </w:tc>
        <w:tc>
          <w:tcPr>
            <w:tcW w:w="4508" w:type="dxa"/>
            <w:tcBorders>
              <w:top w:val="single" w:sz="4" w:space="0" w:color="auto"/>
              <w:left w:val="single" w:sz="4" w:space="0" w:color="auto"/>
              <w:bottom w:val="single" w:sz="4" w:space="0" w:color="auto"/>
              <w:right w:val="single" w:sz="4" w:space="0" w:color="auto"/>
            </w:tcBorders>
            <w:hideMark/>
          </w:tcPr>
          <w:p w14:paraId="7984AE8B"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2</w:t>
            </w:r>
          </w:p>
        </w:tc>
      </w:tr>
      <w:tr w:rsidR="0049111A" w:rsidRPr="00103A0B" w14:paraId="315EB1A4" w14:textId="77777777" w:rsidTr="0049111A">
        <w:tc>
          <w:tcPr>
            <w:tcW w:w="4508" w:type="dxa"/>
            <w:tcBorders>
              <w:top w:val="single" w:sz="4" w:space="0" w:color="auto"/>
              <w:left w:val="single" w:sz="4" w:space="0" w:color="auto"/>
              <w:bottom w:val="single" w:sz="4" w:space="0" w:color="auto"/>
              <w:right w:val="single" w:sz="4" w:space="0" w:color="auto"/>
            </w:tcBorders>
            <w:hideMark/>
          </w:tcPr>
          <w:p w14:paraId="2B7B078D"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Lack of time</w:t>
            </w:r>
          </w:p>
        </w:tc>
        <w:tc>
          <w:tcPr>
            <w:tcW w:w="4508" w:type="dxa"/>
            <w:tcBorders>
              <w:top w:val="single" w:sz="4" w:space="0" w:color="auto"/>
              <w:left w:val="single" w:sz="4" w:space="0" w:color="auto"/>
              <w:bottom w:val="single" w:sz="4" w:space="0" w:color="auto"/>
              <w:right w:val="single" w:sz="4" w:space="0" w:color="auto"/>
            </w:tcBorders>
            <w:hideMark/>
          </w:tcPr>
          <w:p w14:paraId="29DD7F05" w14:textId="77777777" w:rsidR="0049111A" w:rsidRPr="00103A0B" w:rsidRDefault="0049111A" w:rsidP="00CD5919">
            <w:pPr>
              <w:spacing w:line="360" w:lineRule="auto"/>
              <w:jc w:val="both"/>
              <w:rPr>
                <w:rFonts w:ascii="Arial" w:hAnsi="Arial" w:cs="Arial"/>
                <w:sz w:val="24"/>
                <w:szCs w:val="24"/>
              </w:rPr>
            </w:pPr>
            <w:r w:rsidRPr="00103A0B">
              <w:rPr>
                <w:rFonts w:ascii="Arial" w:hAnsi="Arial" w:cs="Arial"/>
                <w:sz w:val="24"/>
                <w:szCs w:val="24"/>
              </w:rPr>
              <w:t>1</w:t>
            </w:r>
          </w:p>
        </w:tc>
      </w:tr>
      <w:bookmarkEnd w:id="429"/>
    </w:tbl>
    <w:p w14:paraId="18D1BDB7" w14:textId="77777777" w:rsidR="0049111A" w:rsidRPr="00103A0B" w:rsidRDefault="0049111A" w:rsidP="00CD5919">
      <w:pPr>
        <w:spacing w:line="360" w:lineRule="auto"/>
        <w:jc w:val="both"/>
        <w:rPr>
          <w:rFonts w:ascii="Arial" w:hAnsi="Arial" w:cs="Arial"/>
          <w:sz w:val="24"/>
          <w:szCs w:val="24"/>
        </w:rPr>
      </w:pPr>
    </w:p>
    <w:p w14:paraId="6B9189FA" w14:textId="77777777" w:rsidR="0049111A" w:rsidRPr="00103A0B" w:rsidRDefault="0049111A" w:rsidP="00CD5919">
      <w:pPr>
        <w:jc w:val="both"/>
        <w:rPr>
          <w:rFonts w:ascii="Arial" w:hAnsi="Arial" w:cs="Arial"/>
          <w:b/>
          <w:bCs/>
          <w:sz w:val="24"/>
          <w:szCs w:val="24"/>
        </w:rPr>
      </w:pPr>
    </w:p>
    <w:p w14:paraId="6F4BD937" w14:textId="77777777" w:rsidR="0049111A" w:rsidRPr="00103A0B" w:rsidRDefault="0049111A" w:rsidP="00CD5919">
      <w:pPr>
        <w:jc w:val="both"/>
        <w:rPr>
          <w:rFonts w:ascii="Arial" w:hAnsi="Arial" w:cs="Arial"/>
          <w:b/>
          <w:bCs/>
          <w:sz w:val="24"/>
          <w:szCs w:val="24"/>
        </w:rPr>
      </w:pPr>
    </w:p>
    <w:p w14:paraId="5F719E76" w14:textId="77777777" w:rsidR="0049111A" w:rsidRPr="00103A0B" w:rsidRDefault="0049111A" w:rsidP="00CD5919">
      <w:pPr>
        <w:jc w:val="both"/>
        <w:rPr>
          <w:rFonts w:ascii="Arial" w:hAnsi="Arial" w:cs="Arial"/>
          <w:b/>
          <w:bCs/>
          <w:sz w:val="24"/>
          <w:szCs w:val="24"/>
        </w:rPr>
      </w:pPr>
    </w:p>
    <w:p w14:paraId="330233A4" w14:textId="77777777" w:rsidR="0049111A" w:rsidRPr="00103A0B" w:rsidRDefault="0049111A" w:rsidP="00CD5919">
      <w:pPr>
        <w:jc w:val="both"/>
        <w:rPr>
          <w:rFonts w:ascii="Arial" w:hAnsi="Arial" w:cs="Arial"/>
          <w:b/>
          <w:bCs/>
          <w:sz w:val="24"/>
          <w:szCs w:val="24"/>
        </w:rPr>
      </w:pPr>
    </w:p>
    <w:p w14:paraId="3CB23C29" w14:textId="77777777" w:rsidR="0049111A" w:rsidRPr="00103A0B" w:rsidRDefault="0049111A" w:rsidP="00CD5919">
      <w:pPr>
        <w:jc w:val="both"/>
        <w:rPr>
          <w:rFonts w:ascii="Arial" w:hAnsi="Arial" w:cs="Arial"/>
          <w:b/>
          <w:bCs/>
          <w:sz w:val="24"/>
          <w:szCs w:val="24"/>
        </w:rPr>
      </w:pPr>
    </w:p>
    <w:p w14:paraId="42A4BB21" w14:textId="77777777" w:rsidR="0049111A" w:rsidRPr="00103A0B" w:rsidRDefault="0049111A" w:rsidP="00CD5919">
      <w:pPr>
        <w:jc w:val="both"/>
        <w:rPr>
          <w:rFonts w:ascii="Arial" w:hAnsi="Arial" w:cs="Arial"/>
          <w:b/>
          <w:bCs/>
          <w:sz w:val="24"/>
          <w:szCs w:val="24"/>
        </w:rPr>
      </w:pPr>
    </w:p>
    <w:p w14:paraId="089046B2" w14:textId="77777777" w:rsidR="0049111A" w:rsidRPr="00103A0B" w:rsidRDefault="0049111A" w:rsidP="00CD5919">
      <w:pPr>
        <w:jc w:val="both"/>
        <w:rPr>
          <w:rFonts w:ascii="Arial" w:hAnsi="Arial" w:cs="Arial"/>
          <w:b/>
          <w:bCs/>
          <w:sz w:val="24"/>
          <w:szCs w:val="24"/>
        </w:rPr>
      </w:pPr>
    </w:p>
    <w:p w14:paraId="4710D2B3" w14:textId="77777777" w:rsidR="0049111A" w:rsidRPr="00103A0B" w:rsidRDefault="0049111A" w:rsidP="00CD5919">
      <w:pPr>
        <w:jc w:val="both"/>
        <w:rPr>
          <w:rFonts w:ascii="Arial" w:hAnsi="Arial" w:cs="Arial"/>
          <w:b/>
          <w:bCs/>
          <w:sz w:val="24"/>
          <w:szCs w:val="24"/>
        </w:rPr>
      </w:pPr>
    </w:p>
    <w:p w14:paraId="40F6F8FA" w14:textId="77777777" w:rsidR="0049111A" w:rsidRPr="00103A0B" w:rsidRDefault="0049111A" w:rsidP="00CD5919">
      <w:pPr>
        <w:jc w:val="both"/>
        <w:rPr>
          <w:rFonts w:ascii="Arial" w:hAnsi="Arial" w:cs="Arial"/>
          <w:b/>
          <w:bCs/>
          <w:sz w:val="24"/>
          <w:szCs w:val="24"/>
        </w:rPr>
      </w:pPr>
    </w:p>
    <w:p w14:paraId="527EF661" w14:textId="77777777" w:rsidR="0049111A" w:rsidRPr="00103A0B" w:rsidRDefault="0049111A" w:rsidP="00CD5919">
      <w:pPr>
        <w:jc w:val="both"/>
        <w:rPr>
          <w:rFonts w:ascii="Arial" w:hAnsi="Arial" w:cs="Arial"/>
          <w:b/>
          <w:bCs/>
          <w:sz w:val="24"/>
          <w:szCs w:val="24"/>
        </w:rPr>
      </w:pPr>
    </w:p>
    <w:p w14:paraId="0E69C04E" w14:textId="77777777" w:rsidR="0049111A" w:rsidRPr="00103A0B" w:rsidRDefault="0049111A" w:rsidP="00CD5919">
      <w:pPr>
        <w:jc w:val="both"/>
        <w:rPr>
          <w:rFonts w:ascii="Arial" w:hAnsi="Arial" w:cs="Arial"/>
          <w:b/>
          <w:bCs/>
          <w:sz w:val="24"/>
          <w:szCs w:val="24"/>
        </w:rPr>
      </w:pPr>
    </w:p>
    <w:p w14:paraId="36E62433" w14:textId="77777777" w:rsidR="0049111A" w:rsidRPr="00103A0B" w:rsidRDefault="0049111A" w:rsidP="00CD5919">
      <w:pPr>
        <w:jc w:val="both"/>
        <w:rPr>
          <w:rFonts w:ascii="Arial" w:hAnsi="Arial" w:cs="Arial"/>
          <w:b/>
          <w:bCs/>
          <w:sz w:val="24"/>
          <w:szCs w:val="24"/>
        </w:rPr>
      </w:pPr>
    </w:p>
    <w:p w14:paraId="599E47CE" w14:textId="77777777" w:rsidR="0049111A" w:rsidRPr="00103A0B" w:rsidRDefault="0049111A" w:rsidP="00CD5919">
      <w:pPr>
        <w:jc w:val="both"/>
        <w:rPr>
          <w:rFonts w:ascii="Arial" w:hAnsi="Arial" w:cs="Arial"/>
          <w:b/>
          <w:bCs/>
          <w:sz w:val="24"/>
          <w:szCs w:val="24"/>
        </w:rPr>
      </w:pPr>
    </w:p>
    <w:p w14:paraId="297944F8" w14:textId="77777777" w:rsidR="0049111A" w:rsidRPr="00103A0B" w:rsidRDefault="0049111A" w:rsidP="00CD5919">
      <w:pPr>
        <w:jc w:val="both"/>
        <w:rPr>
          <w:rFonts w:ascii="Arial" w:hAnsi="Arial" w:cs="Arial"/>
          <w:b/>
          <w:bCs/>
          <w:sz w:val="24"/>
          <w:szCs w:val="24"/>
        </w:rPr>
      </w:pPr>
    </w:p>
    <w:p w14:paraId="37D70FEF" w14:textId="77777777" w:rsidR="0049111A" w:rsidRPr="00103A0B" w:rsidRDefault="0049111A" w:rsidP="00CD5919">
      <w:pPr>
        <w:jc w:val="both"/>
        <w:rPr>
          <w:rFonts w:ascii="Arial" w:hAnsi="Arial" w:cs="Arial"/>
          <w:b/>
          <w:bCs/>
          <w:sz w:val="24"/>
          <w:szCs w:val="24"/>
        </w:rPr>
      </w:pPr>
    </w:p>
    <w:p w14:paraId="03515C31" w14:textId="77777777" w:rsidR="0049111A" w:rsidRPr="00103A0B" w:rsidRDefault="0049111A" w:rsidP="00CD5919">
      <w:pPr>
        <w:jc w:val="both"/>
        <w:rPr>
          <w:rFonts w:ascii="Arial" w:hAnsi="Arial" w:cs="Arial"/>
          <w:b/>
          <w:bCs/>
          <w:sz w:val="24"/>
          <w:szCs w:val="24"/>
        </w:rPr>
      </w:pPr>
    </w:p>
    <w:p w14:paraId="3D4CD3C2" w14:textId="77777777" w:rsidR="0049111A" w:rsidRPr="00103A0B" w:rsidRDefault="0049111A" w:rsidP="00CD5919">
      <w:pPr>
        <w:jc w:val="both"/>
        <w:rPr>
          <w:rFonts w:ascii="Arial" w:hAnsi="Arial" w:cs="Arial"/>
          <w:b/>
          <w:bCs/>
          <w:sz w:val="24"/>
          <w:szCs w:val="24"/>
        </w:rPr>
      </w:pPr>
    </w:p>
    <w:p w14:paraId="2F00F8ED" w14:textId="0A7E0559" w:rsidR="00FE1F0B" w:rsidRPr="00103A0B" w:rsidRDefault="0049111A" w:rsidP="00E45914">
      <w:pPr>
        <w:keepNext/>
        <w:keepLines/>
        <w:jc w:val="both"/>
        <w:rPr>
          <w:rFonts w:ascii="Arial" w:hAnsi="Arial" w:cs="Arial"/>
          <w:b/>
          <w:bCs/>
          <w:sz w:val="28"/>
          <w:szCs w:val="28"/>
        </w:rPr>
      </w:pPr>
      <w:r w:rsidRPr="00103A0B">
        <w:rPr>
          <w:rFonts w:ascii="Arial" w:hAnsi="Arial" w:cs="Arial"/>
          <w:b/>
          <w:bCs/>
          <w:sz w:val="28"/>
          <w:szCs w:val="28"/>
        </w:rPr>
        <w:lastRenderedPageBreak/>
        <w:t>Appendix 2</w:t>
      </w:r>
      <w:r w:rsidR="00630873" w:rsidRPr="00103A0B">
        <w:rPr>
          <w:rFonts w:ascii="Arial" w:hAnsi="Arial" w:cs="Arial"/>
          <w:b/>
          <w:bCs/>
          <w:sz w:val="28"/>
          <w:szCs w:val="28"/>
        </w:rPr>
        <w:t>5</w:t>
      </w:r>
      <w:r w:rsidRPr="00103A0B">
        <w:rPr>
          <w:rFonts w:ascii="Arial" w:hAnsi="Arial" w:cs="Arial"/>
          <w:b/>
          <w:bCs/>
          <w:sz w:val="28"/>
          <w:szCs w:val="28"/>
        </w:rPr>
        <w:t xml:space="preserve">: </w:t>
      </w:r>
      <w:r w:rsidR="00FE1F0B" w:rsidRPr="00103A0B">
        <w:rPr>
          <w:rFonts w:ascii="Arial" w:hAnsi="Arial" w:cs="Arial"/>
          <w:b/>
          <w:bCs/>
          <w:sz w:val="28"/>
          <w:szCs w:val="28"/>
        </w:rPr>
        <w:t>Themes and sub-themes (</w:t>
      </w:r>
      <w:r w:rsidR="0048357F" w:rsidRPr="00103A0B">
        <w:rPr>
          <w:rFonts w:ascii="Arial" w:hAnsi="Arial" w:cs="Arial"/>
          <w:b/>
          <w:bCs/>
          <w:sz w:val="28"/>
          <w:szCs w:val="28"/>
        </w:rPr>
        <w:t>C</w:t>
      </w:r>
      <w:r w:rsidR="00FE1F0B" w:rsidRPr="00103A0B">
        <w:rPr>
          <w:rFonts w:ascii="Arial" w:hAnsi="Arial" w:cs="Arial"/>
          <w:b/>
          <w:bCs/>
          <w:sz w:val="28"/>
          <w:szCs w:val="28"/>
        </w:rPr>
        <w:t>hapter 5)</w:t>
      </w:r>
    </w:p>
    <w:p w14:paraId="76F60D4C" w14:textId="77777777" w:rsidR="0049111A" w:rsidRPr="00103A0B" w:rsidRDefault="0049111A" w:rsidP="00CD5919">
      <w:pPr>
        <w:spacing w:line="360" w:lineRule="auto"/>
        <w:jc w:val="both"/>
        <w:rPr>
          <w:rFonts w:ascii="Arial" w:hAnsi="Arial" w:cs="Arial"/>
          <w:i/>
          <w:sz w:val="24"/>
          <w:szCs w:val="24"/>
        </w:rPr>
      </w:pPr>
    </w:p>
    <w:p w14:paraId="77DDC562" w14:textId="4764895A" w:rsidR="00FE1F0B" w:rsidRPr="00103A0B" w:rsidRDefault="00FE1F0B" w:rsidP="00CD5919">
      <w:pPr>
        <w:spacing w:line="360" w:lineRule="auto"/>
        <w:jc w:val="both"/>
        <w:rPr>
          <w:rFonts w:ascii="Arial" w:hAnsi="Arial" w:cs="Arial"/>
          <w:i/>
          <w:sz w:val="24"/>
          <w:szCs w:val="24"/>
        </w:rPr>
      </w:pPr>
      <w:r w:rsidRPr="00103A0B">
        <w:rPr>
          <w:rFonts w:ascii="Arial" w:hAnsi="Arial" w:cs="Arial"/>
          <w:i/>
          <w:sz w:val="24"/>
          <w:szCs w:val="24"/>
        </w:rPr>
        <w:t xml:space="preserve">Themes and sub-themes derived from the data.    </w:t>
      </w:r>
    </w:p>
    <w:tbl>
      <w:tblPr>
        <w:tblStyle w:val="TableGrid"/>
        <w:tblW w:w="0" w:type="auto"/>
        <w:tblLook w:val="04A0" w:firstRow="1" w:lastRow="0" w:firstColumn="1" w:lastColumn="0" w:noHBand="0" w:noVBand="1"/>
      </w:tblPr>
      <w:tblGrid>
        <w:gridCol w:w="4508"/>
        <w:gridCol w:w="4508"/>
      </w:tblGrid>
      <w:tr w:rsidR="00FE1F0B" w:rsidRPr="00103A0B" w14:paraId="03097196" w14:textId="77777777" w:rsidTr="00BB2420">
        <w:tc>
          <w:tcPr>
            <w:tcW w:w="4508" w:type="dxa"/>
            <w:shd w:val="clear" w:color="auto" w:fill="auto"/>
          </w:tcPr>
          <w:p w14:paraId="11EA4022"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Themes </w:t>
            </w:r>
          </w:p>
        </w:tc>
        <w:tc>
          <w:tcPr>
            <w:tcW w:w="4508" w:type="dxa"/>
            <w:shd w:val="clear" w:color="auto" w:fill="auto"/>
          </w:tcPr>
          <w:p w14:paraId="62AB11D2"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Sub-themes </w:t>
            </w:r>
          </w:p>
          <w:p w14:paraId="57D78B57" w14:textId="77777777" w:rsidR="00FE1F0B" w:rsidRPr="00103A0B" w:rsidRDefault="00FE1F0B" w:rsidP="00CD5919">
            <w:pPr>
              <w:spacing w:line="360" w:lineRule="auto"/>
              <w:jc w:val="both"/>
              <w:rPr>
                <w:rFonts w:ascii="Arial" w:hAnsi="Arial" w:cs="Arial"/>
                <w:sz w:val="24"/>
                <w:szCs w:val="24"/>
              </w:rPr>
            </w:pPr>
          </w:p>
        </w:tc>
      </w:tr>
      <w:tr w:rsidR="00FE1F0B" w:rsidRPr="00103A0B" w14:paraId="507297CA" w14:textId="77777777" w:rsidTr="00BB2420">
        <w:tc>
          <w:tcPr>
            <w:tcW w:w="4508" w:type="dxa"/>
            <w:vMerge w:val="restart"/>
            <w:shd w:val="clear" w:color="auto" w:fill="auto"/>
          </w:tcPr>
          <w:p w14:paraId="1C5726F7"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Understanding of T2DM</w:t>
            </w:r>
          </w:p>
        </w:tc>
        <w:tc>
          <w:tcPr>
            <w:tcW w:w="4508" w:type="dxa"/>
            <w:shd w:val="clear" w:color="auto" w:fill="auto"/>
          </w:tcPr>
          <w:p w14:paraId="567E904C"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Current T2DM knowledge</w:t>
            </w:r>
          </w:p>
        </w:tc>
      </w:tr>
      <w:tr w:rsidR="00FE1F0B" w:rsidRPr="00103A0B" w14:paraId="27D812D4" w14:textId="77777777" w:rsidTr="00BB2420">
        <w:tc>
          <w:tcPr>
            <w:tcW w:w="4508" w:type="dxa"/>
            <w:vMerge/>
            <w:shd w:val="clear" w:color="auto" w:fill="auto"/>
          </w:tcPr>
          <w:p w14:paraId="5735F49A"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4BF59814"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Emotional reactions and feelings</w:t>
            </w:r>
          </w:p>
        </w:tc>
      </w:tr>
      <w:tr w:rsidR="00FE1F0B" w:rsidRPr="00103A0B" w14:paraId="13DEDDCB" w14:textId="77777777" w:rsidTr="00BB2420">
        <w:tc>
          <w:tcPr>
            <w:tcW w:w="4508" w:type="dxa"/>
            <w:vMerge/>
            <w:shd w:val="clear" w:color="auto" w:fill="auto"/>
          </w:tcPr>
          <w:p w14:paraId="27572782"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55936D8F"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Difficulties with understanding</w:t>
            </w:r>
          </w:p>
        </w:tc>
      </w:tr>
      <w:tr w:rsidR="00FE1F0B" w:rsidRPr="00103A0B" w14:paraId="13B6E770" w14:textId="77777777" w:rsidTr="00BB2420">
        <w:tc>
          <w:tcPr>
            <w:tcW w:w="4508" w:type="dxa"/>
            <w:vMerge/>
            <w:shd w:val="clear" w:color="auto" w:fill="auto"/>
          </w:tcPr>
          <w:p w14:paraId="67EF7C3A"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697DA1D9"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Facilitating understanding </w:t>
            </w:r>
          </w:p>
        </w:tc>
      </w:tr>
      <w:tr w:rsidR="00FE1F0B" w:rsidRPr="00103A0B" w14:paraId="38EF15F2" w14:textId="77777777" w:rsidTr="00BB2420">
        <w:tc>
          <w:tcPr>
            <w:tcW w:w="4508" w:type="dxa"/>
            <w:vMerge w:val="restart"/>
            <w:shd w:val="clear" w:color="auto" w:fill="auto"/>
          </w:tcPr>
          <w:p w14:paraId="6AD972DA"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Lifestyle changes (past and present)</w:t>
            </w:r>
          </w:p>
        </w:tc>
        <w:tc>
          <w:tcPr>
            <w:tcW w:w="4508" w:type="dxa"/>
            <w:shd w:val="clear" w:color="auto" w:fill="auto"/>
          </w:tcPr>
          <w:p w14:paraId="3317F3C2"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Lifestyle changes made </w:t>
            </w:r>
          </w:p>
        </w:tc>
      </w:tr>
      <w:tr w:rsidR="00FE1F0B" w:rsidRPr="00103A0B" w14:paraId="5DD8B4B2" w14:textId="77777777" w:rsidTr="00BB2420">
        <w:tc>
          <w:tcPr>
            <w:tcW w:w="4508" w:type="dxa"/>
            <w:vMerge/>
            <w:shd w:val="clear" w:color="auto" w:fill="auto"/>
          </w:tcPr>
          <w:p w14:paraId="4729AECB"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25237F55"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Difficulties and concerns with making lifestyle improvements </w:t>
            </w:r>
          </w:p>
        </w:tc>
      </w:tr>
      <w:tr w:rsidR="00FE1F0B" w:rsidRPr="00103A0B" w14:paraId="522F9E9C" w14:textId="77777777" w:rsidTr="00BB2420">
        <w:tc>
          <w:tcPr>
            <w:tcW w:w="4508" w:type="dxa"/>
            <w:vMerge w:val="restart"/>
            <w:shd w:val="clear" w:color="auto" w:fill="auto"/>
          </w:tcPr>
          <w:p w14:paraId="5D99022E"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Comparison with others</w:t>
            </w:r>
          </w:p>
        </w:tc>
        <w:tc>
          <w:tcPr>
            <w:tcW w:w="4508" w:type="dxa"/>
            <w:shd w:val="clear" w:color="auto" w:fill="auto"/>
          </w:tcPr>
          <w:p w14:paraId="51F57FAB"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Family </w:t>
            </w:r>
          </w:p>
        </w:tc>
      </w:tr>
      <w:tr w:rsidR="00FE1F0B" w:rsidRPr="00103A0B" w14:paraId="530C60DD" w14:textId="77777777" w:rsidTr="00BB2420">
        <w:tc>
          <w:tcPr>
            <w:tcW w:w="4508" w:type="dxa"/>
            <w:vMerge/>
            <w:shd w:val="clear" w:color="auto" w:fill="auto"/>
          </w:tcPr>
          <w:p w14:paraId="07E49833"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67AF819D"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Friends </w:t>
            </w:r>
          </w:p>
        </w:tc>
      </w:tr>
      <w:tr w:rsidR="00FE1F0B" w:rsidRPr="00103A0B" w14:paraId="0997BFAC" w14:textId="77777777" w:rsidTr="00BB2420">
        <w:tc>
          <w:tcPr>
            <w:tcW w:w="4508" w:type="dxa"/>
            <w:vMerge/>
            <w:shd w:val="clear" w:color="auto" w:fill="auto"/>
          </w:tcPr>
          <w:p w14:paraId="1CECEFA7"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48B2ACB0"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Other people </w:t>
            </w:r>
          </w:p>
        </w:tc>
      </w:tr>
      <w:tr w:rsidR="00FE1F0B" w:rsidRPr="00103A0B" w14:paraId="66859B40" w14:textId="77777777" w:rsidTr="00BB2420">
        <w:tc>
          <w:tcPr>
            <w:tcW w:w="4508" w:type="dxa"/>
            <w:vMerge w:val="restart"/>
            <w:shd w:val="clear" w:color="auto" w:fill="auto"/>
          </w:tcPr>
          <w:p w14:paraId="1DA0D3E5"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Support </w:t>
            </w:r>
          </w:p>
        </w:tc>
        <w:tc>
          <w:tcPr>
            <w:tcW w:w="4508" w:type="dxa"/>
            <w:shd w:val="clear" w:color="auto" w:fill="auto"/>
          </w:tcPr>
          <w:p w14:paraId="3DEDCAB0"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Family </w:t>
            </w:r>
          </w:p>
        </w:tc>
      </w:tr>
      <w:tr w:rsidR="00FE1F0B" w:rsidRPr="00103A0B" w14:paraId="5A6B8D11" w14:textId="77777777" w:rsidTr="00BB2420">
        <w:tc>
          <w:tcPr>
            <w:tcW w:w="4508" w:type="dxa"/>
            <w:vMerge/>
            <w:shd w:val="clear" w:color="auto" w:fill="auto"/>
          </w:tcPr>
          <w:p w14:paraId="2EA1D3DF"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1149E1E3"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Friends </w:t>
            </w:r>
          </w:p>
        </w:tc>
      </w:tr>
      <w:tr w:rsidR="00FE1F0B" w:rsidRPr="00103A0B" w14:paraId="6242ADAC" w14:textId="77777777" w:rsidTr="00BB2420">
        <w:tc>
          <w:tcPr>
            <w:tcW w:w="4508" w:type="dxa"/>
            <w:vMerge/>
            <w:shd w:val="clear" w:color="auto" w:fill="auto"/>
          </w:tcPr>
          <w:p w14:paraId="6B0FA994"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52E97BE4"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Group Members </w:t>
            </w:r>
          </w:p>
        </w:tc>
      </w:tr>
      <w:tr w:rsidR="00FE1F0B" w:rsidRPr="00103A0B" w14:paraId="6FF045B7" w14:textId="77777777" w:rsidTr="00BB2420">
        <w:tc>
          <w:tcPr>
            <w:tcW w:w="4508" w:type="dxa"/>
            <w:vMerge/>
            <w:shd w:val="clear" w:color="auto" w:fill="auto"/>
          </w:tcPr>
          <w:p w14:paraId="330D8324"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286CC5E2"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Programme delivery staff </w:t>
            </w:r>
          </w:p>
        </w:tc>
      </w:tr>
      <w:tr w:rsidR="00FE1F0B" w:rsidRPr="00103A0B" w14:paraId="1BAF5789" w14:textId="77777777" w:rsidTr="00BB2420">
        <w:tc>
          <w:tcPr>
            <w:tcW w:w="4508" w:type="dxa"/>
            <w:shd w:val="clear" w:color="auto" w:fill="auto"/>
          </w:tcPr>
          <w:p w14:paraId="6FAF7CC8"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Self-perceptions*</w:t>
            </w:r>
          </w:p>
        </w:tc>
        <w:tc>
          <w:tcPr>
            <w:tcW w:w="4508" w:type="dxa"/>
            <w:shd w:val="clear" w:color="auto" w:fill="auto"/>
          </w:tcPr>
          <w:p w14:paraId="3A52F5E0"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Body Image*</w:t>
            </w:r>
          </w:p>
        </w:tc>
      </w:tr>
      <w:tr w:rsidR="00FE1F0B" w:rsidRPr="00103A0B" w14:paraId="2433D8B6" w14:textId="77777777" w:rsidTr="00BB2420">
        <w:tc>
          <w:tcPr>
            <w:tcW w:w="4508" w:type="dxa"/>
            <w:vMerge w:val="restart"/>
            <w:shd w:val="clear" w:color="auto" w:fill="auto"/>
          </w:tcPr>
          <w:p w14:paraId="30BDEF59"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Accessibility and practicalities</w:t>
            </w:r>
          </w:p>
        </w:tc>
        <w:tc>
          <w:tcPr>
            <w:tcW w:w="4508" w:type="dxa"/>
            <w:shd w:val="clear" w:color="auto" w:fill="auto"/>
          </w:tcPr>
          <w:p w14:paraId="0193F53D"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Booking appointments</w:t>
            </w:r>
          </w:p>
        </w:tc>
      </w:tr>
      <w:tr w:rsidR="00FE1F0B" w:rsidRPr="00103A0B" w14:paraId="43CE5B2C" w14:textId="77777777" w:rsidTr="00BB2420">
        <w:tc>
          <w:tcPr>
            <w:tcW w:w="4508" w:type="dxa"/>
            <w:vMerge/>
            <w:shd w:val="clear" w:color="auto" w:fill="auto"/>
          </w:tcPr>
          <w:p w14:paraId="740D96C1"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485D713F"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Availability </w:t>
            </w:r>
          </w:p>
        </w:tc>
      </w:tr>
      <w:tr w:rsidR="00FE1F0B" w:rsidRPr="00103A0B" w14:paraId="7BC2AB8F" w14:textId="77777777" w:rsidTr="00BB2420">
        <w:tc>
          <w:tcPr>
            <w:tcW w:w="4508" w:type="dxa"/>
            <w:vMerge/>
            <w:shd w:val="clear" w:color="auto" w:fill="auto"/>
          </w:tcPr>
          <w:p w14:paraId="5E8C864B" w14:textId="77777777" w:rsidR="00FE1F0B" w:rsidRPr="00103A0B" w:rsidRDefault="00FE1F0B"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p>
        </w:tc>
        <w:tc>
          <w:tcPr>
            <w:tcW w:w="4508" w:type="dxa"/>
            <w:shd w:val="clear" w:color="auto" w:fill="auto"/>
          </w:tcPr>
          <w:p w14:paraId="5008C6E2"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 xml:space="preserve">Location </w:t>
            </w:r>
          </w:p>
        </w:tc>
      </w:tr>
      <w:tr w:rsidR="00FE1F0B" w:rsidRPr="00103A0B" w14:paraId="5BA02075" w14:textId="77777777" w:rsidTr="00BB2420">
        <w:tc>
          <w:tcPr>
            <w:tcW w:w="4508" w:type="dxa"/>
            <w:vMerge/>
            <w:shd w:val="clear" w:color="auto" w:fill="auto"/>
          </w:tcPr>
          <w:p w14:paraId="763C7685"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089BC9FA" w14:textId="77777777" w:rsidR="00FE1F0B" w:rsidRPr="00103A0B" w:rsidRDefault="00FE1F0B"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 xml:space="preserve">Time limitations or constraints </w:t>
            </w:r>
          </w:p>
        </w:tc>
      </w:tr>
      <w:tr w:rsidR="00FE1F0B" w:rsidRPr="00103A0B" w14:paraId="43DF7FF0" w14:textId="77777777" w:rsidTr="00BB2420">
        <w:tc>
          <w:tcPr>
            <w:tcW w:w="4508" w:type="dxa"/>
            <w:vMerge/>
            <w:shd w:val="clear" w:color="auto" w:fill="auto"/>
          </w:tcPr>
          <w:p w14:paraId="290A21E4"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04C2E533" w14:textId="77777777" w:rsidR="00FE1F0B" w:rsidRPr="00103A0B" w:rsidRDefault="00FE1F0B" w:rsidP="00CD59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103A0B">
              <w:rPr>
                <w:rFonts w:ascii="Arial" w:hAnsi="Arial" w:cs="Arial"/>
                <w:sz w:val="24"/>
                <w:szCs w:val="24"/>
              </w:rPr>
              <w:t>Programme access</w:t>
            </w:r>
          </w:p>
        </w:tc>
      </w:tr>
      <w:tr w:rsidR="00FE1F0B" w:rsidRPr="00103A0B" w14:paraId="3554C816" w14:textId="77777777" w:rsidTr="00BB2420">
        <w:tc>
          <w:tcPr>
            <w:tcW w:w="4508" w:type="dxa"/>
            <w:vMerge w:val="restart"/>
            <w:shd w:val="clear" w:color="auto" w:fill="auto"/>
          </w:tcPr>
          <w:p w14:paraId="703BECAE"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Motivations</w:t>
            </w:r>
          </w:p>
        </w:tc>
        <w:tc>
          <w:tcPr>
            <w:tcW w:w="4508" w:type="dxa"/>
            <w:shd w:val="clear" w:color="auto" w:fill="auto"/>
          </w:tcPr>
          <w:p w14:paraId="45F3CEE4"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Aspiring to looking after yourself</w:t>
            </w:r>
          </w:p>
        </w:tc>
      </w:tr>
      <w:tr w:rsidR="00FE1F0B" w:rsidRPr="00103A0B" w14:paraId="38AE66A8" w14:textId="77777777" w:rsidTr="00BB2420">
        <w:tc>
          <w:tcPr>
            <w:tcW w:w="4508" w:type="dxa"/>
            <w:vMerge/>
            <w:shd w:val="clear" w:color="auto" w:fill="auto"/>
          </w:tcPr>
          <w:p w14:paraId="108CC3DE"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0342E741"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Expectations</w:t>
            </w:r>
          </w:p>
        </w:tc>
      </w:tr>
      <w:tr w:rsidR="00FE1F0B" w:rsidRPr="00103A0B" w14:paraId="78F6A4EF" w14:textId="77777777" w:rsidTr="00BB2420">
        <w:tc>
          <w:tcPr>
            <w:tcW w:w="4508" w:type="dxa"/>
            <w:vMerge/>
            <w:shd w:val="clear" w:color="auto" w:fill="auto"/>
          </w:tcPr>
          <w:p w14:paraId="15A4FDCC"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75A93F84"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Mind over matter*</w:t>
            </w:r>
          </w:p>
        </w:tc>
      </w:tr>
      <w:tr w:rsidR="00FE1F0B" w:rsidRPr="00103A0B" w14:paraId="48F2B26C" w14:textId="77777777" w:rsidTr="00BB2420">
        <w:tc>
          <w:tcPr>
            <w:tcW w:w="4508" w:type="dxa"/>
            <w:vMerge/>
            <w:shd w:val="clear" w:color="auto" w:fill="auto"/>
          </w:tcPr>
          <w:p w14:paraId="292259F0"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25E1226F"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Family is a motivator*</w:t>
            </w:r>
          </w:p>
        </w:tc>
      </w:tr>
      <w:tr w:rsidR="00FE1F0B" w:rsidRPr="00103A0B" w14:paraId="51A8C9B3" w14:textId="77777777" w:rsidTr="00BB2420">
        <w:tc>
          <w:tcPr>
            <w:tcW w:w="4508" w:type="dxa"/>
            <w:vMerge/>
            <w:shd w:val="clear" w:color="auto" w:fill="auto"/>
          </w:tcPr>
          <w:p w14:paraId="21B3B89F" w14:textId="77777777" w:rsidR="00FE1F0B" w:rsidRPr="00103A0B" w:rsidRDefault="00FE1F0B" w:rsidP="00CD5919">
            <w:pPr>
              <w:spacing w:line="360" w:lineRule="auto"/>
              <w:jc w:val="both"/>
              <w:rPr>
                <w:rFonts w:ascii="Arial" w:hAnsi="Arial" w:cs="Arial"/>
                <w:sz w:val="24"/>
                <w:szCs w:val="24"/>
              </w:rPr>
            </w:pPr>
          </w:p>
        </w:tc>
        <w:tc>
          <w:tcPr>
            <w:tcW w:w="4508" w:type="dxa"/>
            <w:shd w:val="clear" w:color="auto" w:fill="auto"/>
          </w:tcPr>
          <w:p w14:paraId="06BE6802"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Commitment to start programme</w:t>
            </w:r>
          </w:p>
        </w:tc>
      </w:tr>
    </w:tbl>
    <w:p w14:paraId="534EC1FA" w14:textId="77777777" w:rsidR="00FE1F0B" w:rsidRPr="00103A0B" w:rsidRDefault="00FE1F0B" w:rsidP="00CD5919">
      <w:pPr>
        <w:spacing w:line="360" w:lineRule="auto"/>
        <w:jc w:val="both"/>
        <w:rPr>
          <w:rFonts w:ascii="Arial" w:hAnsi="Arial" w:cs="Arial"/>
          <w:sz w:val="24"/>
          <w:szCs w:val="24"/>
        </w:rPr>
      </w:pPr>
      <w:r w:rsidRPr="00103A0B">
        <w:rPr>
          <w:rFonts w:ascii="Arial" w:hAnsi="Arial" w:cs="Arial"/>
          <w:sz w:val="24"/>
          <w:szCs w:val="24"/>
        </w:rPr>
        <w:t>*</w:t>
      </w:r>
      <w:proofErr w:type="gramStart"/>
      <w:r w:rsidRPr="00103A0B">
        <w:rPr>
          <w:rFonts w:ascii="Arial" w:hAnsi="Arial" w:cs="Arial"/>
          <w:sz w:val="24"/>
          <w:szCs w:val="24"/>
        </w:rPr>
        <w:t>applies</w:t>
      </w:r>
      <w:proofErr w:type="gramEnd"/>
      <w:r w:rsidRPr="00103A0B">
        <w:rPr>
          <w:rFonts w:ascii="Arial" w:hAnsi="Arial" w:cs="Arial"/>
          <w:sz w:val="24"/>
          <w:szCs w:val="24"/>
        </w:rPr>
        <w:t xml:space="preserve"> to attenders only </w:t>
      </w:r>
    </w:p>
    <w:p w14:paraId="11A3ED4C" w14:textId="77777777" w:rsidR="0049111A" w:rsidRPr="00103A0B" w:rsidRDefault="0049111A" w:rsidP="00CD5919">
      <w:pPr>
        <w:jc w:val="both"/>
        <w:rPr>
          <w:rFonts w:ascii="Arial" w:hAnsi="Arial" w:cs="Arial"/>
          <w:b/>
          <w:bCs/>
          <w:sz w:val="24"/>
          <w:szCs w:val="24"/>
        </w:rPr>
      </w:pPr>
    </w:p>
    <w:p w14:paraId="33C4FCDD" w14:textId="5EAE41B7" w:rsidR="00FE1F0B" w:rsidRPr="00103A0B" w:rsidRDefault="00FE1F0B" w:rsidP="00E45914">
      <w:pPr>
        <w:keepNext/>
        <w:keepLines/>
        <w:jc w:val="both"/>
        <w:rPr>
          <w:rFonts w:ascii="Arial" w:hAnsi="Arial" w:cs="Arial"/>
          <w:b/>
          <w:bCs/>
          <w:sz w:val="28"/>
          <w:szCs w:val="28"/>
        </w:rPr>
      </w:pPr>
      <w:r w:rsidRPr="00103A0B">
        <w:rPr>
          <w:rFonts w:ascii="Arial" w:hAnsi="Arial" w:cs="Arial"/>
          <w:b/>
          <w:bCs/>
          <w:sz w:val="28"/>
          <w:szCs w:val="28"/>
        </w:rPr>
        <w:lastRenderedPageBreak/>
        <w:t>Appendix 2</w:t>
      </w:r>
      <w:r w:rsidR="00630873" w:rsidRPr="00103A0B">
        <w:rPr>
          <w:rFonts w:ascii="Arial" w:hAnsi="Arial" w:cs="Arial"/>
          <w:b/>
          <w:bCs/>
          <w:sz w:val="28"/>
          <w:szCs w:val="28"/>
        </w:rPr>
        <w:t>6</w:t>
      </w:r>
      <w:r w:rsidRPr="00103A0B">
        <w:rPr>
          <w:rFonts w:ascii="Arial" w:hAnsi="Arial" w:cs="Arial"/>
          <w:b/>
          <w:bCs/>
          <w:sz w:val="28"/>
          <w:szCs w:val="28"/>
        </w:rPr>
        <w:t>: Participant details (</w:t>
      </w:r>
      <w:r w:rsidR="0049111A" w:rsidRPr="00103A0B">
        <w:rPr>
          <w:rFonts w:ascii="Arial" w:hAnsi="Arial" w:cs="Arial"/>
          <w:b/>
          <w:bCs/>
          <w:sz w:val="28"/>
          <w:szCs w:val="28"/>
        </w:rPr>
        <w:t>C</w:t>
      </w:r>
      <w:r w:rsidRPr="00103A0B">
        <w:rPr>
          <w:rFonts w:ascii="Arial" w:hAnsi="Arial" w:cs="Arial"/>
          <w:b/>
          <w:bCs/>
          <w:sz w:val="28"/>
          <w:szCs w:val="28"/>
        </w:rPr>
        <w:t>hapter 5)</w:t>
      </w:r>
    </w:p>
    <w:tbl>
      <w:tblPr>
        <w:tblStyle w:val="TableGrid"/>
        <w:tblW w:w="10790" w:type="dxa"/>
        <w:tblInd w:w="-495" w:type="dxa"/>
        <w:tblLook w:val="04A0" w:firstRow="1" w:lastRow="0" w:firstColumn="1" w:lastColumn="0" w:noHBand="0" w:noVBand="1"/>
      </w:tblPr>
      <w:tblGrid>
        <w:gridCol w:w="2124"/>
        <w:gridCol w:w="1396"/>
        <w:gridCol w:w="2029"/>
        <w:gridCol w:w="1493"/>
        <w:gridCol w:w="1761"/>
        <w:gridCol w:w="1987"/>
      </w:tblGrid>
      <w:tr w:rsidR="00FE1F0B" w:rsidRPr="00103A0B" w14:paraId="0DB91E65" w14:textId="77777777" w:rsidTr="00113624">
        <w:trPr>
          <w:trHeight w:val="448"/>
        </w:trPr>
        <w:tc>
          <w:tcPr>
            <w:tcW w:w="2124" w:type="dxa"/>
          </w:tcPr>
          <w:p w14:paraId="2725724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Participant Number</w:t>
            </w:r>
          </w:p>
        </w:tc>
        <w:tc>
          <w:tcPr>
            <w:tcW w:w="1396" w:type="dxa"/>
          </w:tcPr>
          <w:p w14:paraId="629E701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 xml:space="preserve">Name </w:t>
            </w:r>
          </w:p>
        </w:tc>
        <w:tc>
          <w:tcPr>
            <w:tcW w:w="2029" w:type="dxa"/>
          </w:tcPr>
          <w:p w14:paraId="733E780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 xml:space="preserve">Attendance status </w:t>
            </w:r>
          </w:p>
        </w:tc>
        <w:tc>
          <w:tcPr>
            <w:tcW w:w="1493" w:type="dxa"/>
          </w:tcPr>
          <w:p w14:paraId="3E8F3FF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 xml:space="preserve">Ethnicity </w:t>
            </w:r>
          </w:p>
        </w:tc>
        <w:tc>
          <w:tcPr>
            <w:tcW w:w="1761" w:type="dxa"/>
          </w:tcPr>
          <w:p w14:paraId="1895D32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Gender</w:t>
            </w:r>
          </w:p>
        </w:tc>
        <w:tc>
          <w:tcPr>
            <w:tcW w:w="1987" w:type="dxa"/>
          </w:tcPr>
          <w:p w14:paraId="46D252A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Age (years)*</w:t>
            </w:r>
          </w:p>
        </w:tc>
      </w:tr>
      <w:tr w:rsidR="00FE1F0B" w:rsidRPr="00103A0B" w14:paraId="0C4821F2" w14:textId="77777777" w:rsidTr="00113624">
        <w:trPr>
          <w:trHeight w:val="338"/>
        </w:trPr>
        <w:tc>
          <w:tcPr>
            <w:tcW w:w="2124" w:type="dxa"/>
          </w:tcPr>
          <w:p w14:paraId="11CFC0BE"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w:t>
            </w:r>
          </w:p>
        </w:tc>
        <w:tc>
          <w:tcPr>
            <w:tcW w:w="1396" w:type="dxa"/>
          </w:tcPr>
          <w:p w14:paraId="6A21E76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William</w:t>
            </w:r>
          </w:p>
        </w:tc>
        <w:tc>
          <w:tcPr>
            <w:tcW w:w="2029" w:type="dxa"/>
          </w:tcPr>
          <w:p w14:paraId="31B744F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5EDD9CC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76D58C4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7974AE1A"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51</w:t>
            </w:r>
          </w:p>
        </w:tc>
      </w:tr>
      <w:tr w:rsidR="00FE1F0B" w:rsidRPr="00103A0B" w14:paraId="219C29B8" w14:textId="77777777" w:rsidTr="00113624">
        <w:trPr>
          <w:trHeight w:val="353"/>
        </w:trPr>
        <w:tc>
          <w:tcPr>
            <w:tcW w:w="2124" w:type="dxa"/>
          </w:tcPr>
          <w:p w14:paraId="464AF63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w:t>
            </w:r>
          </w:p>
        </w:tc>
        <w:tc>
          <w:tcPr>
            <w:tcW w:w="1396" w:type="dxa"/>
          </w:tcPr>
          <w:p w14:paraId="44D36EE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Zainab</w:t>
            </w:r>
          </w:p>
        </w:tc>
        <w:tc>
          <w:tcPr>
            <w:tcW w:w="2029" w:type="dxa"/>
          </w:tcPr>
          <w:p w14:paraId="7E5230C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3225A66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AAB</w:t>
            </w:r>
          </w:p>
        </w:tc>
        <w:tc>
          <w:tcPr>
            <w:tcW w:w="1761" w:type="dxa"/>
          </w:tcPr>
          <w:p w14:paraId="696E4131"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45C7EB5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55</w:t>
            </w:r>
          </w:p>
        </w:tc>
      </w:tr>
      <w:tr w:rsidR="00FE1F0B" w:rsidRPr="00103A0B" w14:paraId="703B916E" w14:textId="77777777" w:rsidTr="00113624">
        <w:trPr>
          <w:trHeight w:val="353"/>
        </w:trPr>
        <w:tc>
          <w:tcPr>
            <w:tcW w:w="2124" w:type="dxa"/>
          </w:tcPr>
          <w:p w14:paraId="7EF94BC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3</w:t>
            </w:r>
          </w:p>
        </w:tc>
        <w:tc>
          <w:tcPr>
            <w:tcW w:w="1396" w:type="dxa"/>
          </w:tcPr>
          <w:p w14:paraId="3CDC627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Hawa</w:t>
            </w:r>
          </w:p>
        </w:tc>
        <w:tc>
          <w:tcPr>
            <w:tcW w:w="2029" w:type="dxa"/>
          </w:tcPr>
          <w:p w14:paraId="6DBA34F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1B8FABD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71C15B7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21DE825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40</w:t>
            </w:r>
          </w:p>
        </w:tc>
      </w:tr>
      <w:tr w:rsidR="00FE1F0B" w:rsidRPr="00103A0B" w14:paraId="3B75F09C" w14:textId="77777777" w:rsidTr="00113624">
        <w:trPr>
          <w:trHeight w:val="338"/>
        </w:trPr>
        <w:tc>
          <w:tcPr>
            <w:tcW w:w="2124" w:type="dxa"/>
          </w:tcPr>
          <w:p w14:paraId="384727E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w:t>
            </w:r>
          </w:p>
        </w:tc>
        <w:tc>
          <w:tcPr>
            <w:tcW w:w="1396" w:type="dxa"/>
          </w:tcPr>
          <w:p w14:paraId="1CD2244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Mark</w:t>
            </w:r>
          </w:p>
        </w:tc>
        <w:tc>
          <w:tcPr>
            <w:tcW w:w="2029" w:type="dxa"/>
          </w:tcPr>
          <w:p w14:paraId="44C6987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11D359C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7427231E"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1C7B263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55</w:t>
            </w:r>
          </w:p>
        </w:tc>
      </w:tr>
      <w:tr w:rsidR="00FE1F0B" w:rsidRPr="00103A0B" w14:paraId="60591A8F" w14:textId="77777777" w:rsidTr="00113624">
        <w:trPr>
          <w:trHeight w:val="353"/>
        </w:trPr>
        <w:tc>
          <w:tcPr>
            <w:tcW w:w="2124" w:type="dxa"/>
          </w:tcPr>
          <w:p w14:paraId="369C685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w:t>
            </w:r>
          </w:p>
        </w:tc>
        <w:tc>
          <w:tcPr>
            <w:tcW w:w="1396" w:type="dxa"/>
          </w:tcPr>
          <w:p w14:paraId="295B990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Gwynn</w:t>
            </w:r>
          </w:p>
        </w:tc>
        <w:tc>
          <w:tcPr>
            <w:tcW w:w="2029" w:type="dxa"/>
          </w:tcPr>
          <w:p w14:paraId="3A09E5E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28C5924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3E8992F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3ED72FF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49</w:t>
            </w:r>
          </w:p>
        </w:tc>
      </w:tr>
      <w:tr w:rsidR="00FE1F0B" w:rsidRPr="00103A0B" w14:paraId="25E95AB7" w14:textId="77777777" w:rsidTr="00113624">
        <w:trPr>
          <w:trHeight w:val="353"/>
        </w:trPr>
        <w:tc>
          <w:tcPr>
            <w:tcW w:w="2124" w:type="dxa"/>
          </w:tcPr>
          <w:p w14:paraId="555CC06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6</w:t>
            </w:r>
          </w:p>
        </w:tc>
        <w:tc>
          <w:tcPr>
            <w:tcW w:w="1396" w:type="dxa"/>
          </w:tcPr>
          <w:p w14:paraId="624D40A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Margaret</w:t>
            </w:r>
          </w:p>
        </w:tc>
        <w:tc>
          <w:tcPr>
            <w:tcW w:w="2029" w:type="dxa"/>
          </w:tcPr>
          <w:p w14:paraId="48B6F4D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2DDC3E6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75524B1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71174CC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61</w:t>
            </w:r>
          </w:p>
        </w:tc>
      </w:tr>
      <w:tr w:rsidR="00FE1F0B" w:rsidRPr="00103A0B" w14:paraId="2AC1C273" w14:textId="77777777" w:rsidTr="00113624">
        <w:trPr>
          <w:trHeight w:val="338"/>
        </w:trPr>
        <w:tc>
          <w:tcPr>
            <w:tcW w:w="2124" w:type="dxa"/>
          </w:tcPr>
          <w:p w14:paraId="0449F20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7</w:t>
            </w:r>
          </w:p>
        </w:tc>
        <w:tc>
          <w:tcPr>
            <w:tcW w:w="1396" w:type="dxa"/>
          </w:tcPr>
          <w:p w14:paraId="23D6BE5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Omer</w:t>
            </w:r>
          </w:p>
        </w:tc>
        <w:tc>
          <w:tcPr>
            <w:tcW w:w="2029" w:type="dxa"/>
          </w:tcPr>
          <w:p w14:paraId="0050507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242AD42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O</w:t>
            </w:r>
          </w:p>
        </w:tc>
        <w:tc>
          <w:tcPr>
            <w:tcW w:w="1761" w:type="dxa"/>
          </w:tcPr>
          <w:p w14:paraId="1A1A5CA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00612B2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42</w:t>
            </w:r>
          </w:p>
        </w:tc>
      </w:tr>
      <w:tr w:rsidR="00FE1F0B" w:rsidRPr="00103A0B" w14:paraId="0E324C30" w14:textId="77777777" w:rsidTr="00113624">
        <w:trPr>
          <w:trHeight w:val="353"/>
        </w:trPr>
        <w:tc>
          <w:tcPr>
            <w:tcW w:w="2124" w:type="dxa"/>
          </w:tcPr>
          <w:p w14:paraId="664D879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8</w:t>
            </w:r>
          </w:p>
        </w:tc>
        <w:tc>
          <w:tcPr>
            <w:tcW w:w="1396" w:type="dxa"/>
          </w:tcPr>
          <w:p w14:paraId="4757EE4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John</w:t>
            </w:r>
          </w:p>
        </w:tc>
        <w:tc>
          <w:tcPr>
            <w:tcW w:w="2029" w:type="dxa"/>
          </w:tcPr>
          <w:p w14:paraId="135D9AC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09085F0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2131432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79E9822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48</w:t>
            </w:r>
          </w:p>
        </w:tc>
      </w:tr>
      <w:tr w:rsidR="00FE1F0B" w:rsidRPr="00103A0B" w14:paraId="1A7FDAE7" w14:textId="77777777" w:rsidTr="00113624">
        <w:trPr>
          <w:trHeight w:val="353"/>
        </w:trPr>
        <w:tc>
          <w:tcPr>
            <w:tcW w:w="2124" w:type="dxa"/>
          </w:tcPr>
          <w:p w14:paraId="3AA18E6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9</w:t>
            </w:r>
          </w:p>
        </w:tc>
        <w:tc>
          <w:tcPr>
            <w:tcW w:w="1396" w:type="dxa"/>
          </w:tcPr>
          <w:p w14:paraId="62E0CB6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Yvonne</w:t>
            </w:r>
          </w:p>
        </w:tc>
        <w:tc>
          <w:tcPr>
            <w:tcW w:w="2029" w:type="dxa"/>
          </w:tcPr>
          <w:p w14:paraId="64E7FAE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3291F4A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2464222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307F30C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58</w:t>
            </w:r>
          </w:p>
        </w:tc>
      </w:tr>
      <w:tr w:rsidR="00FE1F0B" w:rsidRPr="00103A0B" w14:paraId="44F1C06A" w14:textId="77777777" w:rsidTr="00113624">
        <w:trPr>
          <w:trHeight w:val="338"/>
        </w:trPr>
        <w:tc>
          <w:tcPr>
            <w:tcW w:w="2124" w:type="dxa"/>
          </w:tcPr>
          <w:p w14:paraId="35FD8CC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10</w:t>
            </w:r>
          </w:p>
        </w:tc>
        <w:tc>
          <w:tcPr>
            <w:tcW w:w="1396" w:type="dxa"/>
          </w:tcPr>
          <w:p w14:paraId="5B0DDB3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Grace</w:t>
            </w:r>
          </w:p>
        </w:tc>
        <w:tc>
          <w:tcPr>
            <w:tcW w:w="2029" w:type="dxa"/>
          </w:tcPr>
          <w:p w14:paraId="3D9EFC8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1749DDE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07D3604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532170D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41</w:t>
            </w:r>
          </w:p>
        </w:tc>
      </w:tr>
      <w:tr w:rsidR="00FE1F0B" w:rsidRPr="00103A0B" w14:paraId="653F31EF" w14:textId="77777777" w:rsidTr="00113624">
        <w:trPr>
          <w:trHeight w:val="353"/>
        </w:trPr>
        <w:tc>
          <w:tcPr>
            <w:tcW w:w="2124" w:type="dxa"/>
          </w:tcPr>
          <w:p w14:paraId="096F8F1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11</w:t>
            </w:r>
          </w:p>
        </w:tc>
        <w:tc>
          <w:tcPr>
            <w:tcW w:w="1396" w:type="dxa"/>
          </w:tcPr>
          <w:p w14:paraId="17D0D3A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Chloe</w:t>
            </w:r>
          </w:p>
        </w:tc>
        <w:tc>
          <w:tcPr>
            <w:tcW w:w="2029" w:type="dxa"/>
          </w:tcPr>
          <w:p w14:paraId="41554C6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0061840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3812F49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4A3EC60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53</w:t>
            </w:r>
          </w:p>
        </w:tc>
      </w:tr>
      <w:tr w:rsidR="00FE1F0B" w:rsidRPr="00103A0B" w14:paraId="10F66629" w14:textId="77777777" w:rsidTr="00113624">
        <w:trPr>
          <w:trHeight w:val="353"/>
        </w:trPr>
        <w:tc>
          <w:tcPr>
            <w:tcW w:w="2124" w:type="dxa"/>
          </w:tcPr>
          <w:p w14:paraId="446B9DA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12</w:t>
            </w:r>
          </w:p>
        </w:tc>
        <w:tc>
          <w:tcPr>
            <w:tcW w:w="1396" w:type="dxa"/>
          </w:tcPr>
          <w:p w14:paraId="6F8BE4D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Natasha</w:t>
            </w:r>
          </w:p>
        </w:tc>
        <w:tc>
          <w:tcPr>
            <w:tcW w:w="2029" w:type="dxa"/>
          </w:tcPr>
          <w:p w14:paraId="64D7B9EA"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430438B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1400EE9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02CD16F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45</w:t>
            </w:r>
          </w:p>
        </w:tc>
      </w:tr>
      <w:tr w:rsidR="00FE1F0B" w:rsidRPr="00103A0B" w14:paraId="74A1003B" w14:textId="77777777" w:rsidTr="00113624">
        <w:trPr>
          <w:trHeight w:val="338"/>
        </w:trPr>
        <w:tc>
          <w:tcPr>
            <w:tcW w:w="2124" w:type="dxa"/>
          </w:tcPr>
          <w:p w14:paraId="57B9EC5E"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13</w:t>
            </w:r>
          </w:p>
        </w:tc>
        <w:tc>
          <w:tcPr>
            <w:tcW w:w="1396" w:type="dxa"/>
          </w:tcPr>
          <w:p w14:paraId="12ADA8D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Tim</w:t>
            </w:r>
          </w:p>
        </w:tc>
        <w:tc>
          <w:tcPr>
            <w:tcW w:w="2029" w:type="dxa"/>
          </w:tcPr>
          <w:p w14:paraId="2B33200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6360001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74F1170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600D2DC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56</w:t>
            </w:r>
          </w:p>
        </w:tc>
      </w:tr>
      <w:tr w:rsidR="00FE1F0B" w:rsidRPr="00103A0B" w14:paraId="7A9A10F2" w14:textId="77777777" w:rsidTr="00113624">
        <w:trPr>
          <w:trHeight w:val="353"/>
        </w:trPr>
        <w:tc>
          <w:tcPr>
            <w:tcW w:w="2124" w:type="dxa"/>
          </w:tcPr>
          <w:p w14:paraId="5F92BD5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14</w:t>
            </w:r>
          </w:p>
        </w:tc>
        <w:tc>
          <w:tcPr>
            <w:tcW w:w="1396" w:type="dxa"/>
          </w:tcPr>
          <w:p w14:paraId="1B76674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Gary</w:t>
            </w:r>
          </w:p>
        </w:tc>
        <w:tc>
          <w:tcPr>
            <w:tcW w:w="2029" w:type="dxa"/>
          </w:tcPr>
          <w:p w14:paraId="2865033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4639D29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3351A541"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5E3D8EB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62</w:t>
            </w:r>
          </w:p>
        </w:tc>
      </w:tr>
      <w:tr w:rsidR="00FE1F0B" w:rsidRPr="00103A0B" w14:paraId="61151F4D" w14:textId="77777777" w:rsidTr="00113624">
        <w:trPr>
          <w:trHeight w:val="353"/>
        </w:trPr>
        <w:tc>
          <w:tcPr>
            <w:tcW w:w="2124" w:type="dxa"/>
          </w:tcPr>
          <w:p w14:paraId="038912C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15</w:t>
            </w:r>
          </w:p>
        </w:tc>
        <w:tc>
          <w:tcPr>
            <w:tcW w:w="1396" w:type="dxa"/>
          </w:tcPr>
          <w:p w14:paraId="3CA1D6F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Yousef</w:t>
            </w:r>
          </w:p>
        </w:tc>
        <w:tc>
          <w:tcPr>
            <w:tcW w:w="2029" w:type="dxa"/>
          </w:tcPr>
          <w:p w14:paraId="27C0EC4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2F34D66E"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O</w:t>
            </w:r>
          </w:p>
        </w:tc>
        <w:tc>
          <w:tcPr>
            <w:tcW w:w="1761" w:type="dxa"/>
          </w:tcPr>
          <w:p w14:paraId="1912F8C1"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07DDBFD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53</w:t>
            </w:r>
          </w:p>
        </w:tc>
      </w:tr>
      <w:tr w:rsidR="00FE1F0B" w:rsidRPr="00103A0B" w14:paraId="2DA09C82" w14:textId="77777777" w:rsidTr="00113624">
        <w:trPr>
          <w:trHeight w:val="338"/>
        </w:trPr>
        <w:tc>
          <w:tcPr>
            <w:tcW w:w="2124" w:type="dxa"/>
          </w:tcPr>
          <w:p w14:paraId="025EAD6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16</w:t>
            </w:r>
          </w:p>
        </w:tc>
        <w:tc>
          <w:tcPr>
            <w:tcW w:w="1396" w:type="dxa"/>
          </w:tcPr>
          <w:p w14:paraId="052F3FD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Ava</w:t>
            </w:r>
          </w:p>
        </w:tc>
        <w:tc>
          <w:tcPr>
            <w:tcW w:w="2029" w:type="dxa"/>
          </w:tcPr>
          <w:p w14:paraId="00B17C9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3404A68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3174534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56AC5E0A"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69</w:t>
            </w:r>
          </w:p>
        </w:tc>
      </w:tr>
      <w:tr w:rsidR="00FE1F0B" w:rsidRPr="00103A0B" w14:paraId="58B5992F" w14:textId="77777777" w:rsidTr="00113624">
        <w:trPr>
          <w:trHeight w:val="353"/>
        </w:trPr>
        <w:tc>
          <w:tcPr>
            <w:tcW w:w="2124" w:type="dxa"/>
          </w:tcPr>
          <w:p w14:paraId="05A0F48E"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17</w:t>
            </w:r>
          </w:p>
        </w:tc>
        <w:tc>
          <w:tcPr>
            <w:tcW w:w="1396" w:type="dxa"/>
          </w:tcPr>
          <w:p w14:paraId="0AD2B07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Gladys</w:t>
            </w:r>
          </w:p>
        </w:tc>
        <w:tc>
          <w:tcPr>
            <w:tcW w:w="2029" w:type="dxa"/>
          </w:tcPr>
          <w:p w14:paraId="4FC7DC7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4162371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6FE785F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200AC85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63</w:t>
            </w:r>
          </w:p>
        </w:tc>
      </w:tr>
      <w:tr w:rsidR="00FE1F0B" w:rsidRPr="00103A0B" w14:paraId="5F3786EE" w14:textId="77777777" w:rsidTr="00113624">
        <w:trPr>
          <w:trHeight w:val="353"/>
        </w:trPr>
        <w:tc>
          <w:tcPr>
            <w:tcW w:w="2124" w:type="dxa"/>
          </w:tcPr>
          <w:p w14:paraId="49C2948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18</w:t>
            </w:r>
          </w:p>
        </w:tc>
        <w:tc>
          <w:tcPr>
            <w:tcW w:w="1396" w:type="dxa"/>
          </w:tcPr>
          <w:p w14:paraId="48C849C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Zhang</w:t>
            </w:r>
          </w:p>
        </w:tc>
        <w:tc>
          <w:tcPr>
            <w:tcW w:w="2029" w:type="dxa"/>
          </w:tcPr>
          <w:p w14:paraId="46C2DEC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3CE9A52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O</w:t>
            </w:r>
          </w:p>
        </w:tc>
        <w:tc>
          <w:tcPr>
            <w:tcW w:w="1761" w:type="dxa"/>
          </w:tcPr>
          <w:p w14:paraId="6A71A4BA"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24C9726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47</w:t>
            </w:r>
          </w:p>
        </w:tc>
      </w:tr>
      <w:tr w:rsidR="00FE1F0B" w:rsidRPr="00103A0B" w14:paraId="1AFB2A54" w14:textId="77777777" w:rsidTr="00113624">
        <w:trPr>
          <w:trHeight w:val="338"/>
        </w:trPr>
        <w:tc>
          <w:tcPr>
            <w:tcW w:w="2124" w:type="dxa"/>
          </w:tcPr>
          <w:p w14:paraId="70402F4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19</w:t>
            </w:r>
          </w:p>
        </w:tc>
        <w:tc>
          <w:tcPr>
            <w:tcW w:w="1396" w:type="dxa"/>
          </w:tcPr>
          <w:p w14:paraId="69638AD1"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Fred</w:t>
            </w:r>
          </w:p>
        </w:tc>
        <w:tc>
          <w:tcPr>
            <w:tcW w:w="2029" w:type="dxa"/>
          </w:tcPr>
          <w:p w14:paraId="2AD158D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3C4A96B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1485879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61AF3E7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41</w:t>
            </w:r>
          </w:p>
        </w:tc>
      </w:tr>
      <w:tr w:rsidR="00FE1F0B" w:rsidRPr="00103A0B" w14:paraId="7E045FA2" w14:textId="77777777" w:rsidTr="00113624">
        <w:trPr>
          <w:trHeight w:val="353"/>
        </w:trPr>
        <w:tc>
          <w:tcPr>
            <w:tcW w:w="2124" w:type="dxa"/>
          </w:tcPr>
          <w:p w14:paraId="3093919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20</w:t>
            </w:r>
          </w:p>
        </w:tc>
        <w:tc>
          <w:tcPr>
            <w:tcW w:w="1396" w:type="dxa"/>
          </w:tcPr>
          <w:p w14:paraId="2845F73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Claire</w:t>
            </w:r>
          </w:p>
        </w:tc>
        <w:tc>
          <w:tcPr>
            <w:tcW w:w="2029" w:type="dxa"/>
          </w:tcPr>
          <w:p w14:paraId="1F2B031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5022E6C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65FBE3B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0B5CB12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56</w:t>
            </w:r>
          </w:p>
        </w:tc>
      </w:tr>
      <w:tr w:rsidR="00FE1F0B" w:rsidRPr="00103A0B" w14:paraId="2F333A0A" w14:textId="77777777" w:rsidTr="00113624">
        <w:trPr>
          <w:trHeight w:val="353"/>
        </w:trPr>
        <w:tc>
          <w:tcPr>
            <w:tcW w:w="2124" w:type="dxa"/>
          </w:tcPr>
          <w:p w14:paraId="08D5B47A"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21</w:t>
            </w:r>
          </w:p>
        </w:tc>
        <w:tc>
          <w:tcPr>
            <w:tcW w:w="1396" w:type="dxa"/>
          </w:tcPr>
          <w:p w14:paraId="0979721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Charity</w:t>
            </w:r>
          </w:p>
        </w:tc>
        <w:tc>
          <w:tcPr>
            <w:tcW w:w="2029" w:type="dxa"/>
          </w:tcPr>
          <w:p w14:paraId="131A473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722B4D5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0243EC1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02C3DE4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52</w:t>
            </w:r>
          </w:p>
        </w:tc>
      </w:tr>
      <w:tr w:rsidR="00FE1F0B" w:rsidRPr="00103A0B" w14:paraId="640E0691" w14:textId="77777777" w:rsidTr="00113624">
        <w:trPr>
          <w:trHeight w:val="338"/>
        </w:trPr>
        <w:tc>
          <w:tcPr>
            <w:tcW w:w="2124" w:type="dxa"/>
          </w:tcPr>
          <w:p w14:paraId="5B465FDA"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22</w:t>
            </w:r>
          </w:p>
        </w:tc>
        <w:tc>
          <w:tcPr>
            <w:tcW w:w="1396" w:type="dxa"/>
          </w:tcPr>
          <w:p w14:paraId="35D818A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Herbert</w:t>
            </w:r>
          </w:p>
        </w:tc>
        <w:tc>
          <w:tcPr>
            <w:tcW w:w="2029" w:type="dxa"/>
          </w:tcPr>
          <w:p w14:paraId="3E37363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672854AA"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1144F8C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1E0940F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48</w:t>
            </w:r>
          </w:p>
        </w:tc>
      </w:tr>
      <w:tr w:rsidR="00FE1F0B" w:rsidRPr="00103A0B" w14:paraId="14B89932" w14:textId="77777777" w:rsidTr="00113624">
        <w:trPr>
          <w:trHeight w:val="353"/>
        </w:trPr>
        <w:tc>
          <w:tcPr>
            <w:tcW w:w="2124" w:type="dxa"/>
          </w:tcPr>
          <w:p w14:paraId="091EC36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23</w:t>
            </w:r>
          </w:p>
        </w:tc>
        <w:tc>
          <w:tcPr>
            <w:tcW w:w="1396" w:type="dxa"/>
          </w:tcPr>
          <w:p w14:paraId="7C3B921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Azeem</w:t>
            </w:r>
          </w:p>
        </w:tc>
        <w:tc>
          <w:tcPr>
            <w:tcW w:w="2029" w:type="dxa"/>
          </w:tcPr>
          <w:p w14:paraId="145FB13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361DEAB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MI</w:t>
            </w:r>
          </w:p>
        </w:tc>
        <w:tc>
          <w:tcPr>
            <w:tcW w:w="1761" w:type="dxa"/>
          </w:tcPr>
          <w:p w14:paraId="34C130C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727885F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59</w:t>
            </w:r>
          </w:p>
        </w:tc>
      </w:tr>
      <w:tr w:rsidR="00FE1F0B" w:rsidRPr="00103A0B" w14:paraId="40B6C345" w14:textId="77777777" w:rsidTr="00113624">
        <w:trPr>
          <w:trHeight w:val="353"/>
        </w:trPr>
        <w:tc>
          <w:tcPr>
            <w:tcW w:w="2124" w:type="dxa"/>
          </w:tcPr>
          <w:p w14:paraId="08D9D0D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24</w:t>
            </w:r>
          </w:p>
        </w:tc>
        <w:tc>
          <w:tcPr>
            <w:tcW w:w="1396" w:type="dxa"/>
          </w:tcPr>
          <w:p w14:paraId="272D41AA" w14:textId="77777777" w:rsidR="00FE1F0B" w:rsidRPr="00103A0B" w:rsidRDefault="00FE1F0B" w:rsidP="00CD5919">
            <w:pPr>
              <w:spacing w:line="360" w:lineRule="auto"/>
              <w:jc w:val="both"/>
              <w:rPr>
                <w:rFonts w:ascii="Arial" w:hAnsi="Arial" w:cs="Arial"/>
                <w:sz w:val="20"/>
                <w:szCs w:val="20"/>
              </w:rPr>
            </w:pPr>
            <w:proofErr w:type="spellStart"/>
            <w:r w:rsidRPr="00103A0B">
              <w:rPr>
                <w:rFonts w:ascii="Arial" w:hAnsi="Arial" w:cs="Arial"/>
                <w:sz w:val="20"/>
                <w:szCs w:val="20"/>
              </w:rPr>
              <w:t>Ariyo</w:t>
            </w:r>
            <w:proofErr w:type="spellEnd"/>
          </w:p>
        </w:tc>
        <w:tc>
          <w:tcPr>
            <w:tcW w:w="2029" w:type="dxa"/>
          </w:tcPr>
          <w:p w14:paraId="0E3CD8C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4F54D861"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04FDE0C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1AA4D61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54</w:t>
            </w:r>
          </w:p>
        </w:tc>
      </w:tr>
      <w:tr w:rsidR="00FE1F0B" w:rsidRPr="00103A0B" w14:paraId="2A42E193" w14:textId="77777777" w:rsidTr="00113624">
        <w:trPr>
          <w:trHeight w:val="338"/>
        </w:trPr>
        <w:tc>
          <w:tcPr>
            <w:tcW w:w="2124" w:type="dxa"/>
          </w:tcPr>
          <w:p w14:paraId="3E6DF26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25</w:t>
            </w:r>
          </w:p>
        </w:tc>
        <w:tc>
          <w:tcPr>
            <w:tcW w:w="1396" w:type="dxa"/>
          </w:tcPr>
          <w:p w14:paraId="1AF9261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Anna</w:t>
            </w:r>
          </w:p>
        </w:tc>
        <w:tc>
          <w:tcPr>
            <w:tcW w:w="2029" w:type="dxa"/>
          </w:tcPr>
          <w:p w14:paraId="6336536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362AB8F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2005A83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1412A4A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58</w:t>
            </w:r>
          </w:p>
        </w:tc>
      </w:tr>
      <w:tr w:rsidR="00FE1F0B" w:rsidRPr="00103A0B" w14:paraId="3A59475E" w14:textId="77777777" w:rsidTr="00113624">
        <w:trPr>
          <w:trHeight w:val="353"/>
        </w:trPr>
        <w:tc>
          <w:tcPr>
            <w:tcW w:w="2124" w:type="dxa"/>
          </w:tcPr>
          <w:p w14:paraId="62D48E81"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26</w:t>
            </w:r>
          </w:p>
        </w:tc>
        <w:tc>
          <w:tcPr>
            <w:tcW w:w="1396" w:type="dxa"/>
          </w:tcPr>
          <w:p w14:paraId="0F6BDD5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Jericho</w:t>
            </w:r>
          </w:p>
        </w:tc>
        <w:tc>
          <w:tcPr>
            <w:tcW w:w="2029" w:type="dxa"/>
          </w:tcPr>
          <w:p w14:paraId="3817B48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0074F83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2263C5D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68A91A0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56</w:t>
            </w:r>
          </w:p>
        </w:tc>
      </w:tr>
      <w:tr w:rsidR="00FE1F0B" w:rsidRPr="00103A0B" w14:paraId="651367A6" w14:textId="77777777" w:rsidTr="00113624">
        <w:trPr>
          <w:trHeight w:val="353"/>
        </w:trPr>
        <w:tc>
          <w:tcPr>
            <w:tcW w:w="2124" w:type="dxa"/>
          </w:tcPr>
          <w:p w14:paraId="0E13ACD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27</w:t>
            </w:r>
          </w:p>
        </w:tc>
        <w:tc>
          <w:tcPr>
            <w:tcW w:w="1396" w:type="dxa"/>
          </w:tcPr>
          <w:p w14:paraId="23DA060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Katerina</w:t>
            </w:r>
          </w:p>
        </w:tc>
        <w:tc>
          <w:tcPr>
            <w:tcW w:w="2029" w:type="dxa"/>
          </w:tcPr>
          <w:p w14:paraId="7E25F92E"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11D5543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O</w:t>
            </w:r>
          </w:p>
        </w:tc>
        <w:tc>
          <w:tcPr>
            <w:tcW w:w="1761" w:type="dxa"/>
          </w:tcPr>
          <w:p w14:paraId="400CC19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446B57C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64</w:t>
            </w:r>
          </w:p>
        </w:tc>
      </w:tr>
      <w:tr w:rsidR="00FE1F0B" w:rsidRPr="00103A0B" w14:paraId="5B0BA9D2" w14:textId="77777777" w:rsidTr="00113624">
        <w:trPr>
          <w:trHeight w:val="338"/>
        </w:trPr>
        <w:tc>
          <w:tcPr>
            <w:tcW w:w="2124" w:type="dxa"/>
          </w:tcPr>
          <w:p w14:paraId="347C3CE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28</w:t>
            </w:r>
          </w:p>
        </w:tc>
        <w:tc>
          <w:tcPr>
            <w:tcW w:w="1396" w:type="dxa"/>
          </w:tcPr>
          <w:p w14:paraId="1D39051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David</w:t>
            </w:r>
          </w:p>
        </w:tc>
        <w:tc>
          <w:tcPr>
            <w:tcW w:w="2029" w:type="dxa"/>
          </w:tcPr>
          <w:p w14:paraId="2F86274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489D2D9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50EB34E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6A585D99"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47</w:t>
            </w:r>
          </w:p>
        </w:tc>
      </w:tr>
      <w:tr w:rsidR="00FE1F0B" w:rsidRPr="00103A0B" w14:paraId="4B365732" w14:textId="77777777" w:rsidTr="00113624">
        <w:trPr>
          <w:trHeight w:val="353"/>
        </w:trPr>
        <w:tc>
          <w:tcPr>
            <w:tcW w:w="2124" w:type="dxa"/>
          </w:tcPr>
          <w:p w14:paraId="697EC51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29</w:t>
            </w:r>
          </w:p>
        </w:tc>
        <w:tc>
          <w:tcPr>
            <w:tcW w:w="1396" w:type="dxa"/>
          </w:tcPr>
          <w:p w14:paraId="3F5AE69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Mandy</w:t>
            </w:r>
          </w:p>
        </w:tc>
        <w:tc>
          <w:tcPr>
            <w:tcW w:w="2029" w:type="dxa"/>
          </w:tcPr>
          <w:p w14:paraId="1D4DA27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465DDCF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O</w:t>
            </w:r>
          </w:p>
        </w:tc>
        <w:tc>
          <w:tcPr>
            <w:tcW w:w="1761" w:type="dxa"/>
          </w:tcPr>
          <w:p w14:paraId="19F2924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09E2572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42</w:t>
            </w:r>
          </w:p>
        </w:tc>
      </w:tr>
      <w:tr w:rsidR="00FE1F0B" w:rsidRPr="00103A0B" w14:paraId="011CD17C" w14:textId="77777777" w:rsidTr="00113624">
        <w:trPr>
          <w:trHeight w:val="353"/>
        </w:trPr>
        <w:tc>
          <w:tcPr>
            <w:tcW w:w="2124" w:type="dxa"/>
          </w:tcPr>
          <w:p w14:paraId="7EBC05CE"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30</w:t>
            </w:r>
          </w:p>
        </w:tc>
        <w:tc>
          <w:tcPr>
            <w:tcW w:w="1396" w:type="dxa"/>
          </w:tcPr>
          <w:p w14:paraId="0E37BE9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Letisha</w:t>
            </w:r>
          </w:p>
        </w:tc>
        <w:tc>
          <w:tcPr>
            <w:tcW w:w="2029" w:type="dxa"/>
          </w:tcPr>
          <w:p w14:paraId="0B96E84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375A456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1D24AD0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230E92A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52</w:t>
            </w:r>
          </w:p>
        </w:tc>
      </w:tr>
      <w:tr w:rsidR="00FE1F0B" w:rsidRPr="00103A0B" w14:paraId="785AA335" w14:textId="77777777" w:rsidTr="00113624">
        <w:trPr>
          <w:trHeight w:val="338"/>
        </w:trPr>
        <w:tc>
          <w:tcPr>
            <w:tcW w:w="2124" w:type="dxa"/>
          </w:tcPr>
          <w:p w14:paraId="499D3A18"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31</w:t>
            </w:r>
          </w:p>
        </w:tc>
        <w:tc>
          <w:tcPr>
            <w:tcW w:w="1396" w:type="dxa"/>
          </w:tcPr>
          <w:p w14:paraId="2FCA7F7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Natalie</w:t>
            </w:r>
          </w:p>
        </w:tc>
        <w:tc>
          <w:tcPr>
            <w:tcW w:w="2029" w:type="dxa"/>
          </w:tcPr>
          <w:p w14:paraId="0688C7E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4868DFC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WB</w:t>
            </w:r>
          </w:p>
        </w:tc>
        <w:tc>
          <w:tcPr>
            <w:tcW w:w="1761" w:type="dxa"/>
          </w:tcPr>
          <w:p w14:paraId="7A5E85E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1742CA61"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54</w:t>
            </w:r>
          </w:p>
        </w:tc>
      </w:tr>
      <w:tr w:rsidR="00FE1F0B" w:rsidRPr="00103A0B" w14:paraId="0352B89F" w14:textId="77777777" w:rsidTr="00113624">
        <w:trPr>
          <w:trHeight w:val="353"/>
        </w:trPr>
        <w:tc>
          <w:tcPr>
            <w:tcW w:w="2124" w:type="dxa"/>
          </w:tcPr>
          <w:p w14:paraId="48341C6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32</w:t>
            </w:r>
          </w:p>
        </w:tc>
        <w:tc>
          <w:tcPr>
            <w:tcW w:w="1396" w:type="dxa"/>
          </w:tcPr>
          <w:p w14:paraId="12321726" w14:textId="77777777" w:rsidR="00FE1F0B" w:rsidRPr="00103A0B" w:rsidRDefault="00FE1F0B" w:rsidP="00CD5919">
            <w:pPr>
              <w:spacing w:line="360" w:lineRule="auto"/>
              <w:jc w:val="both"/>
              <w:rPr>
                <w:rFonts w:ascii="Arial" w:hAnsi="Arial" w:cs="Arial"/>
                <w:sz w:val="20"/>
                <w:szCs w:val="20"/>
              </w:rPr>
            </w:pPr>
            <w:proofErr w:type="spellStart"/>
            <w:r w:rsidRPr="00103A0B">
              <w:rPr>
                <w:rFonts w:ascii="Arial" w:hAnsi="Arial" w:cs="Arial"/>
                <w:sz w:val="20"/>
                <w:szCs w:val="20"/>
              </w:rPr>
              <w:t>Saif</w:t>
            </w:r>
            <w:proofErr w:type="spellEnd"/>
          </w:p>
        </w:tc>
        <w:tc>
          <w:tcPr>
            <w:tcW w:w="2029" w:type="dxa"/>
          </w:tcPr>
          <w:p w14:paraId="26AED91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1CCAD10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AAB</w:t>
            </w:r>
          </w:p>
        </w:tc>
        <w:tc>
          <w:tcPr>
            <w:tcW w:w="1761" w:type="dxa"/>
          </w:tcPr>
          <w:p w14:paraId="2BC1973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3CD2F01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49</w:t>
            </w:r>
          </w:p>
        </w:tc>
      </w:tr>
      <w:tr w:rsidR="00FE1F0B" w:rsidRPr="00103A0B" w14:paraId="0A6AA022" w14:textId="77777777" w:rsidTr="00113624">
        <w:trPr>
          <w:trHeight w:val="353"/>
        </w:trPr>
        <w:tc>
          <w:tcPr>
            <w:tcW w:w="2124" w:type="dxa"/>
          </w:tcPr>
          <w:p w14:paraId="178159B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33</w:t>
            </w:r>
          </w:p>
        </w:tc>
        <w:tc>
          <w:tcPr>
            <w:tcW w:w="1396" w:type="dxa"/>
          </w:tcPr>
          <w:p w14:paraId="585AC26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Arjun</w:t>
            </w:r>
          </w:p>
        </w:tc>
        <w:tc>
          <w:tcPr>
            <w:tcW w:w="2029" w:type="dxa"/>
          </w:tcPr>
          <w:p w14:paraId="2CE0D7DD"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48C60915"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AAB</w:t>
            </w:r>
          </w:p>
        </w:tc>
        <w:tc>
          <w:tcPr>
            <w:tcW w:w="1761" w:type="dxa"/>
          </w:tcPr>
          <w:p w14:paraId="705755A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w:t>
            </w:r>
          </w:p>
        </w:tc>
        <w:tc>
          <w:tcPr>
            <w:tcW w:w="1987" w:type="dxa"/>
          </w:tcPr>
          <w:p w14:paraId="617CC3A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34</w:t>
            </w:r>
          </w:p>
        </w:tc>
      </w:tr>
      <w:tr w:rsidR="00FE1F0B" w:rsidRPr="00103A0B" w14:paraId="3B379910" w14:textId="77777777" w:rsidTr="00113624">
        <w:trPr>
          <w:trHeight w:val="338"/>
        </w:trPr>
        <w:tc>
          <w:tcPr>
            <w:tcW w:w="2124" w:type="dxa"/>
          </w:tcPr>
          <w:p w14:paraId="378DF04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34</w:t>
            </w:r>
          </w:p>
        </w:tc>
        <w:tc>
          <w:tcPr>
            <w:tcW w:w="1396" w:type="dxa"/>
          </w:tcPr>
          <w:p w14:paraId="5B468E0E"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Charlotte</w:t>
            </w:r>
          </w:p>
        </w:tc>
        <w:tc>
          <w:tcPr>
            <w:tcW w:w="2029" w:type="dxa"/>
          </w:tcPr>
          <w:p w14:paraId="3CC4A1E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NA</w:t>
            </w:r>
          </w:p>
        </w:tc>
        <w:tc>
          <w:tcPr>
            <w:tcW w:w="1493" w:type="dxa"/>
          </w:tcPr>
          <w:p w14:paraId="5E82F2B4"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MI</w:t>
            </w:r>
          </w:p>
        </w:tc>
        <w:tc>
          <w:tcPr>
            <w:tcW w:w="1761" w:type="dxa"/>
          </w:tcPr>
          <w:p w14:paraId="60A5C58C"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529863C0"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25</w:t>
            </w:r>
          </w:p>
        </w:tc>
      </w:tr>
      <w:tr w:rsidR="00FE1F0B" w:rsidRPr="00103A0B" w14:paraId="04804B21" w14:textId="77777777" w:rsidTr="00113624">
        <w:trPr>
          <w:trHeight w:val="338"/>
        </w:trPr>
        <w:tc>
          <w:tcPr>
            <w:tcW w:w="2124" w:type="dxa"/>
          </w:tcPr>
          <w:p w14:paraId="5EF7CC42"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35</w:t>
            </w:r>
          </w:p>
        </w:tc>
        <w:tc>
          <w:tcPr>
            <w:tcW w:w="1396" w:type="dxa"/>
          </w:tcPr>
          <w:p w14:paraId="6363EAD3"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Ebony</w:t>
            </w:r>
          </w:p>
        </w:tc>
        <w:tc>
          <w:tcPr>
            <w:tcW w:w="2029" w:type="dxa"/>
          </w:tcPr>
          <w:p w14:paraId="0B347B3F"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A</w:t>
            </w:r>
          </w:p>
        </w:tc>
        <w:tc>
          <w:tcPr>
            <w:tcW w:w="1493" w:type="dxa"/>
          </w:tcPr>
          <w:p w14:paraId="7768C426"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BBB</w:t>
            </w:r>
          </w:p>
        </w:tc>
        <w:tc>
          <w:tcPr>
            <w:tcW w:w="1761" w:type="dxa"/>
          </w:tcPr>
          <w:p w14:paraId="0939E2B7"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F</w:t>
            </w:r>
          </w:p>
        </w:tc>
        <w:tc>
          <w:tcPr>
            <w:tcW w:w="1987" w:type="dxa"/>
          </w:tcPr>
          <w:p w14:paraId="0CBB322B" w14:textId="77777777" w:rsidR="00FE1F0B" w:rsidRPr="00103A0B" w:rsidRDefault="00FE1F0B" w:rsidP="00CD5919">
            <w:pPr>
              <w:spacing w:line="360" w:lineRule="auto"/>
              <w:jc w:val="both"/>
              <w:rPr>
                <w:rFonts w:ascii="Arial" w:hAnsi="Arial" w:cs="Arial"/>
                <w:sz w:val="20"/>
                <w:szCs w:val="20"/>
              </w:rPr>
            </w:pPr>
            <w:r w:rsidRPr="00103A0B">
              <w:rPr>
                <w:rFonts w:ascii="Arial" w:hAnsi="Arial" w:cs="Arial"/>
                <w:sz w:val="20"/>
                <w:szCs w:val="20"/>
              </w:rPr>
              <w:t>45</w:t>
            </w:r>
          </w:p>
        </w:tc>
      </w:tr>
    </w:tbl>
    <w:p w14:paraId="48CEEA9C" w14:textId="77777777" w:rsidR="00FE1F0B" w:rsidRPr="00103A0B" w:rsidRDefault="00FE1F0B" w:rsidP="00CD5919">
      <w:pPr>
        <w:spacing w:line="360" w:lineRule="auto"/>
        <w:jc w:val="both"/>
        <w:rPr>
          <w:rFonts w:ascii="Arial" w:hAnsi="Arial" w:cs="Arial"/>
          <w:sz w:val="12"/>
          <w:szCs w:val="12"/>
        </w:rPr>
      </w:pPr>
      <w:r w:rsidRPr="00103A0B">
        <w:rPr>
          <w:rFonts w:ascii="Arial" w:hAnsi="Arial" w:cs="Arial"/>
          <w:sz w:val="12"/>
          <w:szCs w:val="12"/>
          <w:u w:val="single"/>
        </w:rPr>
        <w:t>Key</w:t>
      </w:r>
      <w:r w:rsidRPr="00103A0B">
        <w:rPr>
          <w:rFonts w:ascii="Arial" w:hAnsi="Arial" w:cs="Arial"/>
          <w:sz w:val="12"/>
          <w:szCs w:val="12"/>
        </w:rPr>
        <w:t xml:space="preserve">: A=Attender, NA=Non-attender, BBB= Black/Black British, AAB= Asian/Asian British, WB= White British, O=Other, MI=Mixed, M=Male, F=Female, *at the time of the pre-programme interview. Please note: all names are pseudonyms. </w:t>
      </w:r>
    </w:p>
    <w:p w14:paraId="1A0BDDAA" w14:textId="3BD94C89" w:rsidR="00C42E4F" w:rsidRPr="00103A0B" w:rsidRDefault="00C42E4F" w:rsidP="00E45914">
      <w:pPr>
        <w:keepNext/>
        <w:keepLines/>
        <w:jc w:val="both"/>
        <w:rPr>
          <w:rFonts w:ascii="Arial" w:hAnsi="Arial" w:cs="Arial"/>
          <w:b/>
          <w:bCs/>
          <w:sz w:val="28"/>
          <w:szCs w:val="28"/>
        </w:rPr>
      </w:pPr>
      <w:r w:rsidRPr="00103A0B">
        <w:rPr>
          <w:rFonts w:ascii="Arial" w:hAnsi="Arial" w:cs="Arial"/>
          <w:b/>
          <w:bCs/>
          <w:sz w:val="28"/>
          <w:szCs w:val="28"/>
        </w:rPr>
        <w:lastRenderedPageBreak/>
        <w:t>Appendix 2</w:t>
      </w:r>
      <w:r w:rsidR="00630873" w:rsidRPr="00103A0B">
        <w:rPr>
          <w:rFonts w:ascii="Arial" w:hAnsi="Arial" w:cs="Arial"/>
          <w:b/>
          <w:bCs/>
          <w:sz w:val="28"/>
          <w:szCs w:val="28"/>
        </w:rPr>
        <w:t>7</w:t>
      </w:r>
      <w:r w:rsidRPr="00103A0B">
        <w:rPr>
          <w:rFonts w:ascii="Arial" w:hAnsi="Arial" w:cs="Arial"/>
          <w:b/>
          <w:bCs/>
          <w:sz w:val="28"/>
          <w:szCs w:val="28"/>
        </w:rPr>
        <w:t>: Test for differences of IPQ item scores (</w:t>
      </w:r>
      <w:r w:rsidR="00486402" w:rsidRPr="00103A0B">
        <w:rPr>
          <w:rFonts w:ascii="Arial" w:hAnsi="Arial" w:cs="Arial"/>
          <w:b/>
          <w:bCs/>
          <w:sz w:val="28"/>
          <w:szCs w:val="28"/>
        </w:rPr>
        <w:t>C</w:t>
      </w:r>
      <w:r w:rsidRPr="00103A0B">
        <w:rPr>
          <w:rFonts w:ascii="Arial" w:hAnsi="Arial" w:cs="Arial"/>
          <w:b/>
          <w:bCs/>
          <w:sz w:val="28"/>
          <w:szCs w:val="28"/>
        </w:rPr>
        <w:t>hapter 7)</w:t>
      </w:r>
    </w:p>
    <w:p w14:paraId="54566E42" w14:textId="12D0BA6A" w:rsidR="00C42E4F" w:rsidRPr="00103A0B" w:rsidRDefault="00C42E4F" w:rsidP="00CD5919">
      <w:pPr>
        <w:jc w:val="both"/>
        <w:rPr>
          <w:lang w:eastAsia="en-GB" w:bidi="en-US"/>
        </w:rPr>
      </w:pPr>
    </w:p>
    <w:p w14:paraId="56966F59" w14:textId="6CF69FA7" w:rsidR="00C42E4F" w:rsidRPr="00103A0B" w:rsidRDefault="00C42E4F" w:rsidP="00CD5919">
      <w:pPr>
        <w:spacing w:line="360" w:lineRule="auto"/>
        <w:jc w:val="both"/>
        <w:rPr>
          <w:rFonts w:ascii="Arial" w:hAnsi="Arial" w:cs="Arial"/>
          <w:i/>
          <w:iCs/>
          <w:sz w:val="24"/>
          <w:szCs w:val="24"/>
        </w:rPr>
      </w:pPr>
      <w:r w:rsidRPr="00103A0B">
        <w:rPr>
          <w:rFonts w:ascii="Arial" w:hAnsi="Arial" w:cs="Arial"/>
          <w:i/>
          <w:iCs/>
          <w:sz w:val="24"/>
          <w:szCs w:val="24"/>
        </w:rPr>
        <w:t xml:space="preserve">Test for differences of IPQ item scores between those who did vs. did not start the NHSDPP and between those who did vs. did not complete the </w:t>
      </w:r>
      <w:proofErr w:type="gramStart"/>
      <w:r w:rsidRPr="00103A0B">
        <w:rPr>
          <w:rFonts w:ascii="Arial" w:hAnsi="Arial" w:cs="Arial"/>
          <w:i/>
          <w:iCs/>
          <w:sz w:val="24"/>
          <w:szCs w:val="24"/>
        </w:rPr>
        <w:t>NHSDPP</w:t>
      </w:r>
      <w:proofErr w:type="gramEnd"/>
    </w:p>
    <w:p w14:paraId="643A9899" w14:textId="77777777" w:rsidR="00C42E4F" w:rsidRPr="00103A0B" w:rsidRDefault="00C42E4F" w:rsidP="00CD5919">
      <w:pPr>
        <w:spacing w:line="360" w:lineRule="auto"/>
        <w:jc w:val="both"/>
        <w:rPr>
          <w:rFonts w:ascii="Arial" w:hAnsi="Arial" w:cs="Arial"/>
          <w:i/>
          <w:iCs/>
          <w:sz w:val="24"/>
          <w:szCs w:val="24"/>
        </w:rPr>
      </w:pPr>
    </w:p>
    <w:p w14:paraId="36FD1BAB" w14:textId="77777777" w:rsidR="00C42E4F" w:rsidRPr="00103A0B" w:rsidRDefault="00C42E4F" w:rsidP="00CD5919">
      <w:pPr>
        <w:spacing w:line="360" w:lineRule="auto"/>
        <w:jc w:val="both"/>
        <w:rPr>
          <w:rFonts w:ascii="Arial" w:hAnsi="Arial" w:cs="Arial"/>
          <w:i/>
          <w:sz w:val="24"/>
          <w:szCs w:val="24"/>
        </w:rPr>
      </w:pPr>
    </w:p>
    <w:p w14:paraId="2533ABC1"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sz w:val="24"/>
          <w:szCs w:val="24"/>
        </w:rPr>
        <w:t>Mann-Whitney U-tests showed there to be statistically significant differences between those that took up the programme (i.e., started) and those that did not, in the IPQ items related to consequences, timeline, treatment control, and illness concern</w:t>
      </w:r>
      <w:r w:rsidRPr="00103A0B">
        <w:rPr>
          <w:rFonts w:ascii="Arial" w:hAnsi="Arial" w:cs="Arial"/>
          <w:color w:val="010205"/>
          <w:sz w:val="24"/>
          <w:szCs w:val="24"/>
        </w:rPr>
        <w:t>, and these IPQ items were used in the logistic regression model (Table 1</w:t>
      </w:r>
      <w:r w:rsidR="00EC4008" w:rsidRPr="00103A0B">
        <w:rPr>
          <w:rFonts w:ascii="Arial" w:hAnsi="Arial" w:cs="Arial"/>
          <w:color w:val="010205"/>
          <w:sz w:val="24"/>
          <w:szCs w:val="24"/>
        </w:rPr>
        <w:t xml:space="preserve">). </w:t>
      </w:r>
    </w:p>
    <w:p w14:paraId="1B94A004" w14:textId="77777777" w:rsidR="00EC4008" w:rsidRPr="00103A0B" w:rsidRDefault="00EC4008" w:rsidP="00CD5919">
      <w:pPr>
        <w:spacing w:line="360" w:lineRule="auto"/>
        <w:jc w:val="both"/>
        <w:rPr>
          <w:rFonts w:ascii="Arial" w:hAnsi="Arial" w:cs="Arial"/>
          <w:color w:val="010205"/>
          <w:sz w:val="24"/>
          <w:szCs w:val="24"/>
        </w:rPr>
      </w:pPr>
    </w:p>
    <w:p w14:paraId="1EBACB07" w14:textId="0C5C6D8D" w:rsidR="00EC4008" w:rsidRPr="00103A0B" w:rsidRDefault="00EC4008" w:rsidP="00CD5919">
      <w:pPr>
        <w:spacing w:line="360" w:lineRule="auto"/>
        <w:jc w:val="both"/>
        <w:rPr>
          <w:rFonts w:ascii="Arial" w:hAnsi="Arial" w:cs="Arial"/>
          <w:i/>
          <w:iCs/>
          <w:sz w:val="24"/>
          <w:szCs w:val="24"/>
        </w:rPr>
        <w:sectPr w:rsidR="00EC4008" w:rsidRPr="00103A0B" w:rsidSect="00BB2420">
          <w:pgSz w:w="11906" w:h="16838"/>
          <w:pgMar w:top="1440" w:right="1440" w:bottom="1440" w:left="1440" w:header="708" w:footer="708" w:gutter="0"/>
          <w:cols w:space="708"/>
          <w:docGrid w:linePitch="360"/>
        </w:sectPr>
      </w:pPr>
    </w:p>
    <w:tbl>
      <w:tblPr>
        <w:tblStyle w:val="TableGrid"/>
        <w:tblpPr w:leftFromText="180" w:rightFromText="180" w:vertAnchor="page" w:horzAnchor="margin" w:tblpY="2146"/>
        <w:tblW w:w="15096" w:type="dxa"/>
        <w:tblLook w:val="04A0" w:firstRow="1" w:lastRow="0" w:firstColumn="1" w:lastColumn="0" w:noHBand="0" w:noVBand="1"/>
      </w:tblPr>
      <w:tblGrid>
        <w:gridCol w:w="1511"/>
        <w:gridCol w:w="977"/>
        <w:gridCol w:w="1818"/>
        <w:gridCol w:w="1484"/>
        <w:gridCol w:w="1618"/>
        <w:gridCol w:w="1484"/>
        <w:gridCol w:w="1618"/>
        <w:gridCol w:w="1484"/>
        <w:gridCol w:w="1618"/>
        <w:gridCol w:w="1484"/>
      </w:tblGrid>
      <w:tr w:rsidR="00EC4008" w:rsidRPr="00103A0B" w14:paraId="5962B640" w14:textId="77777777" w:rsidTr="00803D36">
        <w:tc>
          <w:tcPr>
            <w:tcW w:w="15096" w:type="dxa"/>
            <w:gridSpan w:val="10"/>
          </w:tcPr>
          <w:p w14:paraId="31B07419" w14:textId="50E3629C"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i/>
                <w:iCs/>
                <w:sz w:val="24"/>
                <w:szCs w:val="24"/>
              </w:rPr>
              <w:lastRenderedPageBreak/>
              <w:t>Table 1- Test for differences of IPQ item scores between those who did and did not start the NHSDPP</w:t>
            </w:r>
          </w:p>
        </w:tc>
      </w:tr>
      <w:tr w:rsidR="00EC4008" w:rsidRPr="00103A0B" w14:paraId="4CBFEACD" w14:textId="77777777" w:rsidTr="00EC4008">
        <w:tc>
          <w:tcPr>
            <w:tcW w:w="1511" w:type="dxa"/>
          </w:tcPr>
          <w:p w14:paraId="2446D7FC" w14:textId="77777777" w:rsidR="00EC4008" w:rsidRPr="00103A0B" w:rsidRDefault="00EC4008" w:rsidP="00EC4008">
            <w:pPr>
              <w:spacing w:line="360" w:lineRule="auto"/>
              <w:jc w:val="both"/>
              <w:rPr>
                <w:rFonts w:ascii="Arial" w:hAnsi="Arial" w:cs="Arial"/>
                <w:color w:val="010205"/>
                <w:sz w:val="24"/>
                <w:szCs w:val="24"/>
              </w:rPr>
            </w:pPr>
          </w:p>
        </w:tc>
        <w:tc>
          <w:tcPr>
            <w:tcW w:w="977" w:type="dxa"/>
          </w:tcPr>
          <w:p w14:paraId="4CD8ADF8" w14:textId="77777777" w:rsidR="00EC4008" w:rsidRPr="00103A0B" w:rsidRDefault="00EC4008" w:rsidP="00EC4008">
            <w:pPr>
              <w:spacing w:line="360" w:lineRule="auto"/>
              <w:jc w:val="both"/>
              <w:rPr>
                <w:rFonts w:ascii="Arial" w:hAnsi="Arial" w:cs="Arial"/>
                <w:color w:val="010205"/>
                <w:sz w:val="24"/>
                <w:szCs w:val="24"/>
              </w:rPr>
            </w:pPr>
          </w:p>
        </w:tc>
        <w:tc>
          <w:tcPr>
            <w:tcW w:w="12608" w:type="dxa"/>
            <w:gridSpan w:val="8"/>
          </w:tcPr>
          <w:p w14:paraId="2F96F19D"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IPQ Items</w:t>
            </w:r>
          </w:p>
        </w:tc>
      </w:tr>
      <w:tr w:rsidR="00EC4008" w:rsidRPr="00103A0B" w14:paraId="68553BA3" w14:textId="77777777" w:rsidTr="00EC4008">
        <w:tc>
          <w:tcPr>
            <w:tcW w:w="1511" w:type="dxa"/>
          </w:tcPr>
          <w:p w14:paraId="799FA159" w14:textId="77777777" w:rsidR="00EC4008" w:rsidRPr="00103A0B" w:rsidRDefault="00EC4008" w:rsidP="00EC4008">
            <w:pPr>
              <w:spacing w:line="360" w:lineRule="auto"/>
              <w:jc w:val="both"/>
              <w:rPr>
                <w:rFonts w:ascii="Arial" w:hAnsi="Arial" w:cs="Arial"/>
                <w:color w:val="010205"/>
                <w:sz w:val="24"/>
                <w:szCs w:val="24"/>
              </w:rPr>
            </w:pPr>
          </w:p>
        </w:tc>
        <w:tc>
          <w:tcPr>
            <w:tcW w:w="977" w:type="dxa"/>
          </w:tcPr>
          <w:p w14:paraId="7BFDBC3A" w14:textId="77777777" w:rsidR="00EC4008" w:rsidRPr="00103A0B" w:rsidRDefault="00EC4008" w:rsidP="00EC4008">
            <w:pPr>
              <w:spacing w:line="360" w:lineRule="auto"/>
              <w:jc w:val="both"/>
              <w:rPr>
                <w:rFonts w:ascii="Arial" w:hAnsi="Arial" w:cs="Arial"/>
                <w:sz w:val="24"/>
                <w:szCs w:val="24"/>
              </w:rPr>
            </w:pPr>
            <w:r w:rsidRPr="00103A0B">
              <w:rPr>
                <w:rFonts w:ascii="Arial" w:hAnsi="Arial" w:cs="Arial"/>
                <w:sz w:val="24"/>
                <w:szCs w:val="24"/>
              </w:rPr>
              <w:t xml:space="preserve">Uptake </w:t>
            </w:r>
          </w:p>
        </w:tc>
        <w:tc>
          <w:tcPr>
            <w:tcW w:w="1818" w:type="dxa"/>
          </w:tcPr>
          <w:p w14:paraId="502B08A9"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sz w:val="24"/>
                <w:szCs w:val="24"/>
              </w:rPr>
              <w:t>Q1: Consequences</w:t>
            </w:r>
          </w:p>
        </w:tc>
        <w:tc>
          <w:tcPr>
            <w:tcW w:w="1484" w:type="dxa"/>
          </w:tcPr>
          <w:p w14:paraId="1DF82485"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Q2: Timeline </w:t>
            </w:r>
          </w:p>
        </w:tc>
        <w:tc>
          <w:tcPr>
            <w:tcW w:w="1618" w:type="dxa"/>
          </w:tcPr>
          <w:p w14:paraId="539DD616"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Q3: Personal control</w:t>
            </w:r>
          </w:p>
        </w:tc>
        <w:tc>
          <w:tcPr>
            <w:tcW w:w="1484" w:type="dxa"/>
          </w:tcPr>
          <w:p w14:paraId="692AE6AD"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Q4: Treatment control</w:t>
            </w:r>
          </w:p>
        </w:tc>
        <w:tc>
          <w:tcPr>
            <w:tcW w:w="1618" w:type="dxa"/>
          </w:tcPr>
          <w:p w14:paraId="2DE06F23"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Q5: Identity </w:t>
            </w:r>
          </w:p>
        </w:tc>
        <w:tc>
          <w:tcPr>
            <w:tcW w:w="1484" w:type="dxa"/>
          </w:tcPr>
          <w:p w14:paraId="161467F6"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Q6: Illness concern</w:t>
            </w:r>
          </w:p>
        </w:tc>
        <w:tc>
          <w:tcPr>
            <w:tcW w:w="1618" w:type="dxa"/>
          </w:tcPr>
          <w:p w14:paraId="27E4FE78"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Q7: Coherence</w:t>
            </w:r>
          </w:p>
        </w:tc>
        <w:tc>
          <w:tcPr>
            <w:tcW w:w="1484" w:type="dxa"/>
          </w:tcPr>
          <w:p w14:paraId="1702FA9E"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Q8: Emotional reasoning </w:t>
            </w:r>
          </w:p>
        </w:tc>
      </w:tr>
      <w:tr w:rsidR="00EC4008" w:rsidRPr="00103A0B" w14:paraId="246737D9" w14:textId="77777777" w:rsidTr="00EC4008">
        <w:tc>
          <w:tcPr>
            <w:tcW w:w="1511" w:type="dxa"/>
            <w:vMerge w:val="restart"/>
          </w:tcPr>
          <w:p w14:paraId="28DDDDEB"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N</w:t>
            </w:r>
          </w:p>
        </w:tc>
        <w:tc>
          <w:tcPr>
            <w:tcW w:w="977" w:type="dxa"/>
          </w:tcPr>
          <w:p w14:paraId="629743F4"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Yes</w:t>
            </w:r>
          </w:p>
        </w:tc>
        <w:tc>
          <w:tcPr>
            <w:tcW w:w="1818" w:type="dxa"/>
          </w:tcPr>
          <w:p w14:paraId="6016E1B2"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2,916</w:t>
            </w:r>
          </w:p>
        </w:tc>
        <w:tc>
          <w:tcPr>
            <w:tcW w:w="1484" w:type="dxa"/>
          </w:tcPr>
          <w:p w14:paraId="68DD65BE"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2,798</w:t>
            </w:r>
          </w:p>
        </w:tc>
        <w:tc>
          <w:tcPr>
            <w:tcW w:w="1618" w:type="dxa"/>
          </w:tcPr>
          <w:p w14:paraId="10952270"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2,856</w:t>
            </w:r>
          </w:p>
        </w:tc>
        <w:tc>
          <w:tcPr>
            <w:tcW w:w="1484" w:type="dxa"/>
          </w:tcPr>
          <w:p w14:paraId="4456D231"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2,907</w:t>
            </w:r>
          </w:p>
        </w:tc>
        <w:tc>
          <w:tcPr>
            <w:tcW w:w="1618" w:type="dxa"/>
          </w:tcPr>
          <w:p w14:paraId="51CA81C8"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2,861</w:t>
            </w:r>
          </w:p>
        </w:tc>
        <w:tc>
          <w:tcPr>
            <w:tcW w:w="1484" w:type="dxa"/>
          </w:tcPr>
          <w:p w14:paraId="60E1C9A5"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2,913</w:t>
            </w:r>
          </w:p>
        </w:tc>
        <w:tc>
          <w:tcPr>
            <w:tcW w:w="1618" w:type="dxa"/>
          </w:tcPr>
          <w:p w14:paraId="51019FAC"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2,907</w:t>
            </w:r>
          </w:p>
        </w:tc>
        <w:tc>
          <w:tcPr>
            <w:tcW w:w="1484" w:type="dxa"/>
          </w:tcPr>
          <w:p w14:paraId="4657766E"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2,897</w:t>
            </w:r>
          </w:p>
        </w:tc>
      </w:tr>
      <w:tr w:rsidR="00EC4008" w:rsidRPr="00103A0B" w14:paraId="41475E1D" w14:textId="77777777" w:rsidTr="00EC4008">
        <w:tc>
          <w:tcPr>
            <w:tcW w:w="1511" w:type="dxa"/>
            <w:vMerge/>
          </w:tcPr>
          <w:p w14:paraId="26D64A2A" w14:textId="77777777" w:rsidR="00EC4008" w:rsidRPr="00103A0B" w:rsidRDefault="00EC4008" w:rsidP="00EC4008">
            <w:pPr>
              <w:spacing w:line="360" w:lineRule="auto"/>
              <w:jc w:val="both"/>
              <w:rPr>
                <w:rFonts w:ascii="Arial" w:hAnsi="Arial" w:cs="Arial"/>
                <w:color w:val="010205"/>
                <w:sz w:val="24"/>
                <w:szCs w:val="24"/>
              </w:rPr>
            </w:pPr>
          </w:p>
        </w:tc>
        <w:tc>
          <w:tcPr>
            <w:tcW w:w="977" w:type="dxa"/>
          </w:tcPr>
          <w:p w14:paraId="05E7E7EE"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No</w:t>
            </w:r>
          </w:p>
        </w:tc>
        <w:tc>
          <w:tcPr>
            <w:tcW w:w="1818" w:type="dxa"/>
          </w:tcPr>
          <w:p w14:paraId="2CB9518E"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1,941</w:t>
            </w:r>
          </w:p>
        </w:tc>
        <w:tc>
          <w:tcPr>
            <w:tcW w:w="1484" w:type="dxa"/>
          </w:tcPr>
          <w:p w14:paraId="5C7A81FC"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1,847</w:t>
            </w:r>
          </w:p>
        </w:tc>
        <w:tc>
          <w:tcPr>
            <w:tcW w:w="1618" w:type="dxa"/>
          </w:tcPr>
          <w:p w14:paraId="62D992BC"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1,898</w:t>
            </w:r>
          </w:p>
        </w:tc>
        <w:tc>
          <w:tcPr>
            <w:tcW w:w="1484" w:type="dxa"/>
          </w:tcPr>
          <w:p w14:paraId="4FDF2F9B"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1,930</w:t>
            </w:r>
          </w:p>
        </w:tc>
        <w:tc>
          <w:tcPr>
            <w:tcW w:w="1618" w:type="dxa"/>
          </w:tcPr>
          <w:p w14:paraId="40322A12"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1,880</w:t>
            </w:r>
          </w:p>
        </w:tc>
        <w:tc>
          <w:tcPr>
            <w:tcW w:w="1484" w:type="dxa"/>
          </w:tcPr>
          <w:p w14:paraId="5F84C96E"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1,933</w:t>
            </w:r>
          </w:p>
        </w:tc>
        <w:tc>
          <w:tcPr>
            <w:tcW w:w="1618" w:type="dxa"/>
          </w:tcPr>
          <w:p w14:paraId="04307973"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1,930</w:t>
            </w:r>
          </w:p>
        </w:tc>
        <w:tc>
          <w:tcPr>
            <w:tcW w:w="1484" w:type="dxa"/>
          </w:tcPr>
          <w:p w14:paraId="52AFE740"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1,906</w:t>
            </w:r>
          </w:p>
        </w:tc>
      </w:tr>
      <w:tr w:rsidR="00EC4008" w:rsidRPr="00103A0B" w14:paraId="423BBB3E" w14:textId="77777777" w:rsidTr="00EC4008">
        <w:tc>
          <w:tcPr>
            <w:tcW w:w="1511" w:type="dxa"/>
            <w:vMerge w:val="restart"/>
          </w:tcPr>
          <w:p w14:paraId="69F24C89"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Median score</w:t>
            </w:r>
          </w:p>
        </w:tc>
        <w:tc>
          <w:tcPr>
            <w:tcW w:w="977" w:type="dxa"/>
          </w:tcPr>
          <w:p w14:paraId="0F6F00FC"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Yes</w:t>
            </w:r>
          </w:p>
        </w:tc>
        <w:tc>
          <w:tcPr>
            <w:tcW w:w="1818" w:type="dxa"/>
          </w:tcPr>
          <w:p w14:paraId="30857586"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2.00</w:t>
            </w:r>
          </w:p>
        </w:tc>
        <w:tc>
          <w:tcPr>
            <w:tcW w:w="1484" w:type="dxa"/>
          </w:tcPr>
          <w:p w14:paraId="0AFA7571"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3.00</w:t>
            </w:r>
          </w:p>
        </w:tc>
        <w:tc>
          <w:tcPr>
            <w:tcW w:w="1618" w:type="dxa"/>
          </w:tcPr>
          <w:p w14:paraId="457828C6"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6.00</w:t>
            </w:r>
          </w:p>
        </w:tc>
        <w:tc>
          <w:tcPr>
            <w:tcW w:w="1484" w:type="dxa"/>
          </w:tcPr>
          <w:p w14:paraId="2DC0FAAA"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8.00</w:t>
            </w:r>
          </w:p>
        </w:tc>
        <w:tc>
          <w:tcPr>
            <w:tcW w:w="1618" w:type="dxa"/>
          </w:tcPr>
          <w:p w14:paraId="5F5D1137"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0.00</w:t>
            </w:r>
          </w:p>
        </w:tc>
        <w:tc>
          <w:tcPr>
            <w:tcW w:w="1484" w:type="dxa"/>
          </w:tcPr>
          <w:p w14:paraId="106A536F"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8.00</w:t>
            </w:r>
          </w:p>
        </w:tc>
        <w:tc>
          <w:tcPr>
            <w:tcW w:w="1618" w:type="dxa"/>
          </w:tcPr>
          <w:p w14:paraId="5A0F84BE"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5.00</w:t>
            </w:r>
          </w:p>
        </w:tc>
        <w:tc>
          <w:tcPr>
            <w:tcW w:w="1484" w:type="dxa"/>
          </w:tcPr>
          <w:p w14:paraId="20644870"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2.00</w:t>
            </w:r>
          </w:p>
        </w:tc>
      </w:tr>
      <w:tr w:rsidR="00EC4008" w:rsidRPr="00103A0B" w14:paraId="5F2DF17F" w14:textId="77777777" w:rsidTr="00EC4008">
        <w:tc>
          <w:tcPr>
            <w:tcW w:w="1511" w:type="dxa"/>
            <w:vMerge/>
          </w:tcPr>
          <w:p w14:paraId="088B091A" w14:textId="77777777" w:rsidR="00EC4008" w:rsidRPr="00103A0B" w:rsidRDefault="00EC4008" w:rsidP="00EC4008">
            <w:pPr>
              <w:spacing w:line="360" w:lineRule="auto"/>
              <w:jc w:val="both"/>
              <w:rPr>
                <w:rFonts w:ascii="Arial" w:hAnsi="Arial" w:cs="Arial"/>
                <w:color w:val="010205"/>
                <w:sz w:val="24"/>
                <w:szCs w:val="24"/>
              </w:rPr>
            </w:pPr>
          </w:p>
        </w:tc>
        <w:tc>
          <w:tcPr>
            <w:tcW w:w="977" w:type="dxa"/>
          </w:tcPr>
          <w:p w14:paraId="58E8DA2C"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No</w:t>
            </w:r>
          </w:p>
        </w:tc>
        <w:tc>
          <w:tcPr>
            <w:tcW w:w="1818" w:type="dxa"/>
          </w:tcPr>
          <w:p w14:paraId="7806BEDF"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1.00</w:t>
            </w:r>
          </w:p>
        </w:tc>
        <w:tc>
          <w:tcPr>
            <w:tcW w:w="1484" w:type="dxa"/>
          </w:tcPr>
          <w:p w14:paraId="35D558A3"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3.00</w:t>
            </w:r>
          </w:p>
        </w:tc>
        <w:tc>
          <w:tcPr>
            <w:tcW w:w="1618" w:type="dxa"/>
          </w:tcPr>
          <w:p w14:paraId="54B64725"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6.00</w:t>
            </w:r>
          </w:p>
        </w:tc>
        <w:tc>
          <w:tcPr>
            <w:tcW w:w="1484" w:type="dxa"/>
          </w:tcPr>
          <w:p w14:paraId="6FD43FCA"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8.00</w:t>
            </w:r>
          </w:p>
        </w:tc>
        <w:tc>
          <w:tcPr>
            <w:tcW w:w="1618" w:type="dxa"/>
          </w:tcPr>
          <w:p w14:paraId="3CA0110F"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0.00</w:t>
            </w:r>
          </w:p>
        </w:tc>
        <w:tc>
          <w:tcPr>
            <w:tcW w:w="1484" w:type="dxa"/>
          </w:tcPr>
          <w:p w14:paraId="63BB3CD8"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7.00</w:t>
            </w:r>
          </w:p>
        </w:tc>
        <w:tc>
          <w:tcPr>
            <w:tcW w:w="1618" w:type="dxa"/>
          </w:tcPr>
          <w:p w14:paraId="211A26DA"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5.00</w:t>
            </w:r>
          </w:p>
        </w:tc>
        <w:tc>
          <w:tcPr>
            <w:tcW w:w="1484" w:type="dxa"/>
          </w:tcPr>
          <w:p w14:paraId="035140C2"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2.00</w:t>
            </w:r>
          </w:p>
        </w:tc>
      </w:tr>
      <w:tr w:rsidR="00EC4008" w:rsidRPr="00103A0B" w14:paraId="19AF19E2" w14:textId="77777777" w:rsidTr="00EC4008">
        <w:tc>
          <w:tcPr>
            <w:tcW w:w="1511" w:type="dxa"/>
          </w:tcPr>
          <w:p w14:paraId="009676A0"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Mann-Whitney </w:t>
            </w:r>
            <w:r w:rsidRPr="00103A0B">
              <w:rPr>
                <w:rFonts w:ascii="Arial" w:hAnsi="Arial" w:cs="Arial"/>
                <w:i/>
                <w:iCs/>
                <w:color w:val="010205"/>
                <w:sz w:val="24"/>
                <w:szCs w:val="24"/>
              </w:rPr>
              <w:t>U</w:t>
            </w:r>
          </w:p>
        </w:tc>
        <w:tc>
          <w:tcPr>
            <w:tcW w:w="977" w:type="dxa"/>
          </w:tcPr>
          <w:p w14:paraId="2751884E"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w:t>
            </w:r>
          </w:p>
        </w:tc>
        <w:tc>
          <w:tcPr>
            <w:tcW w:w="1818" w:type="dxa"/>
          </w:tcPr>
          <w:p w14:paraId="7DE6EA4E"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2729843.50</w:t>
            </w:r>
          </w:p>
        </w:tc>
        <w:tc>
          <w:tcPr>
            <w:tcW w:w="1484" w:type="dxa"/>
          </w:tcPr>
          <w:p w14:paraId="1EB7B31A"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2423524.00</w:t>
            </w:r>
          </w:p>
        </w:tc>
        <w:tc>
          <w:tcPr>
            <w:tcW w:w="1618" w:type="dxa"/>
          </w:tcPr>
          <w:p w14:paraId="085EB8F3"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2708774.50</w:t>
            </w:r>
          </w:p>
        </w:tc>
        <w:tc>
          <w:tcPr>
            <w:tcW w:w="1484" w:type="dxa"/>
          </w:tcPr>
          <w:p w14:paraId="34EA0736"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2452073.50</w:t>
            </w:r>
          </w:p>
        </w:tc>
        <w:tc>
          <w:tcPr>
            <w:tcW w:w="1618" w:type="dxa"/>
          </w:tcPr>
          <w:p w14:paraId="112380A8"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2682773.50</w:t>
            </w:r>
          </w:p>
        </w:tc>
        <w:tc>
          <w:tcPr>
            <w:tcW w:w="1484" w:type="dxa"/>
          </w:tcPr>
          <w:p w14:paraId="1A0B5EF0"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2543659.50</w:t>
            </w:r>
          </w:p>
        </w:tc>
        <w:tc>
          <w:tcPr>
            <w:tcW w:w="1618" w:type="dxa"/>
          </w:tcPr>
          <w:p w14:paraId="4145CF9D"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2801831.50</w:t>
            </w:r>
          </w:p>
        </w:tc>
        <w:tc>
          <w:tcPr>
            <w:tcW w:w="1484" w:type="dxa"/>
          </w:tcPr>
          <w:p w14:paraId="2E3A9D3E"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2675103.00</w:t>
            </w:r>
          </w:p>
        </w:tc>
      </w:tr>
      <w:tr w:rsidR="00EC4008" w:rsidRPr="00103A0B" w14:paraId="6E637505" w14:textId="77777777" w:rsidTr="00EC4008">
        <w:tc>
          <w:tcPr>
            <w:tcW w:w="1511" w:type="dxa"/>
          </w:tcPr>
          <w:p w14:paraId="6D80BC14"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z-score</w:t>
            </w:r>
          </w:p>
        </w:tc>
        <w:tc>
          <w:tcPr>
            <w:tcW w:w="977" w:type="dxa"/>
          </w:tcPr>
          <w:p w14:paraId="7EBC4851"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w:t>
            </w:r>
          </w:p>
        </w:tc>
        <w:tc>
          <w:tcPr>
            <w:tcW w:w="1818" w:type="dxa"/>
          </w:tcPr>
          <w:p w14:paraId="182F51C6"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-2.192</w:t>
            </w:r>
          </w:p>
        </w:tc>
        <w:tc>
          <w:tcPr>
            <w:tcW w:w="1484" w:type="dxa"/>
          </w:tcPr>
          <w:p w14:paraId="6A60E6A1"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-3.636</w:t>
            </w:r>
          </w:p>
        </w:tc>
        <w:tc>
          <w:tcPr>
            <w:tcW w:w="1618" w:type="dxa"/>
          </w:tcPr>
          <w:p w14:paraId="227C9631"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-.034</w:t>
            </w:r>
          </w:p>
        </w:tc>
        <w:tc>
          <w:tcPr>
            <w:tcW w:w="1484" w:type="dxa"/>
          </w:tcPr>
          <w:p w14:paraId="209A9844"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-4.737</w:t>
            </w:r>
          </w:p>
        </w:tc>
        <w:tc>
          <w:tcPr>
            <w:tcW w:w="1618" w:type="dxa"/>
          </w:tcPr>
          <w:p w14:paraId="65D02099"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-.156</w:t>
            </w:r>
          </w:p>
        </w:tc>
        <w:tc>
          <w:tcPr>
            <w:tcW w:w="1484" w:type="dxa"/>
          </w:tcPr>
          <w:p w14:paraId="7C7F7AC0"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-5.825</w:t>
            </w:r>
          </w:p>
        </w:tc>
        <w:tc>
          <w:tcPr>
            <w:tcW w:w="1618" w:type="dxa"/>
          </w:tcPr>
          <w:p w14:paraId="41950A8A"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-.073</w:t>
            </w:r>
          </w:p>
        </w:tc>
        <w:tc>
          <w:tcPr>
            <w:tcW w:w="1484" w:type="dxa"/>
          </w:tcPr>
          <w:p w14:paraId="0DC23477"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-1.879</w:t>
            </w:r>
          </w:p>
        </w:tc>
      </w:tr>
      <w:tr w:rsidR="00EC4008" w:rsidRPr="00103A0B" w14:paraId="1AAA9FFC" w14:textId="77777777" w:rsidTr="00EC4008">
        <w:tc>
          <w:tcPr>
            <w:tcW w:w="1511" w:type="dxa"/>
          </w:tcPr>
          <w:p w14:paraId="788D3F11"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i/>
                <w:iCs/>
                <w:color w:val="010205"/>
                <w:sz w:val="24"/>
                <w:szCs w:val="24"/>
              </w:rPr>
              <w:t>p-</w:t>
            </w:r>
            <w:r w:rsidRPr="00103A0B">
              <w:rPr>
                <w:rFonts w:ascii="Arial" w:hAnsi="Arial" w:cs="Arial"/>
                <w:color w:val="010205"/>
                <w:sz w:val="24"/>
                <w:szCs w:val="24"/>
              </w:rPr>
              <w:t>value (two-tailed)</w:t>
            </w:r>
          </w:p>
        </w:tc>
        <w:tc>
          <w:tcPr>
            <w:tcW w:w="977" w:type="dxa"/>
          </w:tcPr>
          <w:p w14:paraId="5DB971ED" w14:textId="77777777" w:rsidR="00EC4008" w:rsidRPr="00103A0B" w:rsidRDefault="00EC4008" w:rsidP="00EC4008">
            <w:pPr>
              <w:spacing w:line="360" w:lineRule="auto"/>
              <w:jc w:val="both"/>
              <w:rPr>
                <w:rFonts w:ascii="Arial" w:hAnsi="Arial" w:cs="Arial"/>
                <w:color w:val="010205"/>
                <w:sz w:val="24"/>
                <w:szCs w:val="24"/>
              </w:rPr>
            </w:pPr>
            <w:r w:rsidRPr="00103A0B">
              <w:rPr>
                <w:rFonts w:ascii="Arial" w:hAnsi="Arial" w:cs="Arial"/>
                <w:color w:val="010205"/>
                <w:sz w:val="24"/>
                <w:szCs w:val="24"/>
              </w:rPr>
              <w:t>-</w:t>
            </w:r>
          </w:p>
        </w:tc>
        <w:tc>
          <w:tcPr>
            <w:tcW w:w="1818" w:type="dxa"/>
          </w:tcPr>
          <w:p w14:paraId="2E546997"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.028</w:t>
            </w:r>
          </w:p>
        </w:tc>
        <w:tc>
          <w:tcPr>
            <w:tcW w:w="1484" w:type="dxa"/>
          </w:tcPr>
          <w:p w14:paraId="77638D2F"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&lt;.001</w:t>
            </w:r>
          </w:p>
        </w:tc>
        <w:tc>
          <w:tcPr>
            <w:tcW w:w="1618" w:type="dxa"/>
          </w:tcPr>
          <w:p w14:paraId="412C4148"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.973</w:t>
            </w:r>
          </w:p>
        </w:tc>
        <w:tc>
          <w:tcPr>
            <w:tcW w:w="1484" w:type="dxa"/>
          </w:tcPr>
          <w:p w14:paraId="59D12EB6"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&lt;.001</w:t>
            </w:r>
          </w:p>
        </w:tc>
        <w:tc>
          <w:tcPr>
            <w:tcW w:w="1618" w:type="dxa"/>
          </w:tcPr>
          <w:p w14:paraId="48F9E7DD"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.876</w:t>
            </w:r>
          </w:p>
        </w:tc>
        <w:tc>
          <w:tcPr>
            <w:tcW w:w="1484" w:type="dxa"/>
          </w:tcPr>
          <w:p w14:paraId="3640EAC5"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&lt;.001</w:t>
            </w:r>
          </w:p>
        </w:tc>
        <w:tc>
          <w:tcPr>
            <w:tcW w:w="1618" w:type="dxa"/>
          </w:tcPr>
          <w:p w14:paraId="737B471A"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.942</w:t>
            </w:r>
          </w:p>
        </w:tc>
        <w:tc>
          <w:tcPr>
            <w:tcW w:w="1484" w:type="dxa"/>
          </w:tcPr>
          <w:p w14:paraId="5B63B1D8" w14:textId="77777777" w:rsidR="00EC4008" w:rsidRPr="00103A0B" w:rsidRDefault="00EC4008" w:rsidP="00EC4008">
            <w:pPr>
              <w:spacing w:line="360" w:lineRule="auto"/>
              <w:jc w:val="both"/>
              <w:rPr>
                <w:rFonts w:ascii="Arial" w:hAnsi="Arial" w:cs="Arial"/>
                <w:color w:val="010205"/>
              </w:rPr>
            </w:pPr>
            <w:r w:rsidRPr="00103A0B">
              <w:rPr>
                <w:rFonts w:ascii="Arial" w:hAnsi="Arial" w:cs="Arial"/>
                <w:color w:val="010205"/>
              </w:rPr>
              <w:t>.060</w:t>
            </w:r>
          </w:p>
        </w:tc>
      </w:tr>
    </w:tbl>
    <w:p w14:paraId="58E53C41" w14:textId="77777777" w:rsidR="00EC4008" w:rsidRPr="00103A0B" w:rsidRDefault="00EC4008" w:rsidP="00CD5919">
      <w:pPr>
        <w:spacing w:line="360" w:lineRule="auto"/>
        <w:jc w:val="both"/>
        <w:rPr>
          <w:rFonts w:ascii="Arial" w:hAnsi="Arial" w:cs="Arial"/>
          <w:i/>
          <w:iCs/>
          <w:sz w:val="24"/>
          <w:szCs w:val="24"/>
        </w:rPr>
      </w:pPr>
    </w:p>
    <w:p w14:paraId="616A7877" w14:textId="4C9C48F1" w:rsidR="00B02A6C" w:rsidRPr="00103A0B" w:rsidRDefault="00B02A6C" w:rsidP="00CD5919">
      <w:pPr>
        <w:spacing w:line="360" w:lineRule="auto"/>
        <w:jc w:val="both"/>
        <w:rPr>
          <w:rFonts w:ascii="Arial" w:hAnsi="Arial" w:cs="Arial"/>
          <w:i/>
          <w:iCs/>
          <w:sz w:val="24"/>
          <w:szCs w:val="24"/>
        </w:rPr>
      </w:pPr>
    </w:p>
    <w:p w14:paraId="7EBCDA15" w14:textId="77777777" w:rsidR="00EC4008" w:rsidRPr="00103A0B" w:rsidRDefault="00EC4008" w:rsidP="00EC4008">
      <w:pPr>
        <w:spacing w:line="360" w:lineRule="auto"/>
        <w:jc w:val="both"/>
        <w:rPr>
          <w:rFonts w:ascii="Arial" w:hAnsi="Arial" w:cs="Arial"/>
          <w:strike/>
          <w:color w:val="010205"/>
          <w:sz w:val="24"/>
          <w:szCs w:val="24"/>
        </w:rPr>
      </w:pPr>
      <w:r w:rsidRPr="00103A0B">
        <w:rPr>
          <w:rFonts w:ascii="Arial" w:hAnsi="Arial" w:cs="Arial"/>
          <w:sz w:val="24"/>
          <w:szCs w:val="24"/>
        </w:rPr>
        <w:t xml:space="preserve">For completers, results from a Mann-Whitney U test showed there to be statistically significant differences between those that completed the programme and those that did not, in the IPQ items related to consequences and personal control, </w:t>
      </w:r>
      <w:r w:rsidRPr="00103A0B">
        <w:rPr>
          <w:rFonts w:ascii="Arial" w:hAnsi="Arial" w:cs="Arial"/>
          <w:color w:val="010205"/>
          <w:sz w:val="24"/>
          <w:szCs w:val="24"/>
        </w:rPr>
        <w:t xml:space="preserve">and these IPQ items were used in the logistic regression model (Table 2). </w:t>
      </w:r>
    </w:p>
    <w:p w14:paraId="46A57E1E" w14:textId="750F0E0F" w:rsidR="00113624" w:rsidRPr="00103A0B" w:rsidRDefault="00113624" w:rsidP="00CD5919">
      <w:pPr>
        <w:spacing w:line="360" w:lineRule="auto"/>
        <w:jc w:val="both"/>
        <w:rPr>
          <w:rFonts w:ascii="Arial" w:hAnsi="Arial" w:cs="Arial"/>
          <w:i/>
          <w:iCs/>
          <w:sz w:val="24"/>
          <w:szCs w:val="24"/>
        </w:rPr>
        <w:sectPr w:rsidR="00113624" w:rsidRPr="00103A0B" w:rsidSect="00113624">
          <w:pgSz w:w="16838" w:h="11906" w:orient="landscape"/>
          <w:pgMar w:top="1440" w:right="1440" w:bottom="1440" w:left="1440" w:header="709" w:footer="709" w:gutter="0"/>
          <w:cols w:space="708"/>
          <w:docGrid w:linePitch="360"/>
        </w:sectPr>
      </w:pPr>
    </w:p>
    <w:p w14:paraId="0AAF9A0B" w14:textId="4B5A1307" w:rsidR="00C42E4F" w:rsidRPr="00103A0B" w:rsidRDefault="00C42E4F" w:rsidP="00EC4008">
      <w:pPr>
        <w:tabs>
          <w:tab w:val="left" w:pos="1530"/>
        </w:tabs>
        <w:spacing w:line="360" w:lineRule="auto"/>
        <w:jc w:val="both"/>
        <w:rPr>
          <w:rFonts w:ascii="Arial" w:hAnsi="Arial" w:cs="Arial"/>
          <w:i/>
          <w:iCs/>
          <w:sz w:val="24"/>
          <w:szCs w:val="24"/>
        </w:rPr>
      </w:pPr>
      <w:r w:rsidRPr="00103A0B">
        <w:rPr>
          <w:rFonts w:ascii="Arial" w:hAnsi="Arial" w:cs="Arial"/>
          <w:i/>
          <w:iCs/>
          <w:sz w:val="24"/>
          <w:szCs w:val="24"/>
        </w:rPr>
        <w:lastRenderedPageBreak/>
        <w:t xml:space="preserve">Table 2-Test for differences of IPQ item scores between those who did and did not complete the </w:t>
      </w:r>
      <w:proofErr w:type="gramStart"/>
      <w:r w:rsidRPr="00103A0B">
        <w:rPr>
          <w:rFonts w:ascii="Arial" w:hAnsi="Arial" w:cs="Arial"/>
          <w:i/>
          <w:iCs/>
          <w:sz w:val="24"/>
          <w:szCs w:val="24"/>
        </w:rPr>
        <w:t>NHSDPP</w:t>
      </w:r>
      <w:proofErr w:type="gramEnd"/>
    </w:p>
    <w:tbl>
      <w:tblPr>
        <w:tblStyle w:val="TableGrid"/>
        <w:tblpPr w:leftFromText="180" w:rightFromText="180" w:vertAnchor="page" w:horzAnchor="margin" w:tblpY="2416"/>
        <w:tblW w:w="15096" w:type="dxa"/>
        <w:tblLook w:val="04A0" w:firstRow="1" w:lastRow="0" w:firstColumn="1" w:lastColumn="0" w:noHBand="0" w:noVBand="1"/>
      </w:tblPr>
      <w:tblGrid>
        <w:gridCol w:w="1512"/>
        <w:gridCol w:w="1324"/>
        <w:gridCol w:w="1818"/>
        <w:gridCol w:w="1433"/>
        <w:gridCol w:w="1554"/>
        <w:gridCol w:w="1459"/>
        <w:gridCol w:w="1529"/>
        <w:gridCol w:w="1425"/>
        <w:gridCol w:w="1586"/>
        <w:gridCol w:w="1456"/>
      </w:tblGrid>
      <w:tr w:rsidR="00C42E4F" w:rsidRPr="00103A0B" w14:paraId="7AC202B6" w14:textId="77777777" w:rsidTr="00BB2420">
        <w:tc>
          <w:tcPr>
            <w:tcW w:w="1512" w:type="dxa"/>
          </w:tcPr>
          <w:p w14:paraId="0DB54D93" w14:textId="77777777" w:rsidR="00C42E4F" w:rsidRPr="00103A0B" w:rsidRDefault="00C42E4F" w:rsidP="00CD5919">
            <w:pPr>
              <w:spacing w:line="360" w:lineRule="auto"/>
              <w:jc w:val="both"/>
              <w:rPr>
                <w:rFonts w:ascii="Arial" w:hAnsi="Arial" w:cs="Arial"/>
                <w:color w:val="010205"/>
                <w:sz w:val="24"/>
                <w:szCs w:val="24"/>
              </w:rPr>
            </w:pPr>
          </w:p>
        </w:tc>
        <w:tc>
          <w:tcPr>
            <w:tcW w:w="1324" w:type="dxa"/>
          </w:tcPr>
          <w:p w14:paraId="7F6DAF01" w14:textId="77777777" w:rsidR="00C42E4F" w:rsidRPr="00103A0B" w:rsidRDefault="00C42E4F" w:rsidP="00CD5919">
            <w:pPr>
              <w:spacing w:line="360" w:lineRule="auto"/>
              <w:jc w:val="both"/>
              <w:rPr>
                <w:rFonts w:ascii="Arial" w:hAnsi="Arial" w:cs="Arial"/>
                <w:color w:val="010205"/>
                <w:sz w:val="24"/>
                <w:szCs w:val="24"/>
              </w:rPr>
            </w:pPr>
          </w:p>
        </w:tc>
        <w:tc>
          <w:tcPr>
            <w:tcW w:w="12260" w:type="dxa"/>
            <w:gridSpan w:val="8"/>
          </w:tcPr>
          <w:p w14:paraId="2DDFB8D1"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IPQ Items</w:t>
            </w:r>
          </w:p>
        </w:tc>
      </w:tr>
      <w:tr w:rsidR="00C42E4F" w:rsidRPr="00103A0B" w14:paraId="34411E58" w14:textId="77777777" w:rsidTr="00BB2420">
        <w:tc>
          <w:tcPr>
            <w:tcW w:w="1512" w:type="dxa"/>
          </w:tcPr>
          <w:p w14:paraId="7FEF09AF" w14:textId="77777777" w:rsidR="00C42E4F" w:rsidRPr="00103A0B" w:rsidRDefault="00C42E4F" w:rsidP="00CD5919">
            <w:pPr>
              <w:spacing w:line="360" w:lineRule="auto"/>
              <w:jc w:val="both"/>
              <w:rPr>
                <w:rFonts w:ascii="Arial" w:hAnsi="Arial" w:cs="Arial"/>
                <w:color w:val="010205"/>
                <w:sz w:val="24"/>
                <w:szCs w:val="24"/>
              </w:rPr>
            </w:pPr>
          </w:p>
        </w:tc>
        <w:tc>
          <w:tcPr>
            <w:tcW w:w="1324" w:type="dxa"/>
          </w:tcPr>
          <w:p w14:paraId="10536B4C" w14:textId="77777777" w:rsidR="00C42E4F" w:rsidRPr="00103A0B" w:rsidRDefault="00C42E4F" w:rsidP="00CD5919">
            <w:pPr>
              <w:spacing w:line="360" w:lineRule="auto"/>
              <w:jc w:val="both"/>
              <w:rPr>
                <w:rFonts w:ascii="Arial" w:hAnsi="Arial" w:cs="Arial"/>
                <w:sz w:val="24"/>
                <w:szCs w:val="24"/>
              </w:rPr>
            </w:pPr>
            <w:r w:rsidRPr="00103A0B">
              <w:rPr>
                <w:rFonts w:ascii="Arial" w:hAnsi="Arial" w:cs="Arial"/>
                <w:sz w:val="24"/>
                <w:szCs w:val="24"/>
              </w:rPr>
              <w:t xml:space="preserve">Completer </w:t>
            </w:r>
          </w:p>
        </w:tc>
        <w:tc>
          <w:tcPr>
            <w:tcW w:w="1818" w:type="dxa"/>
          </w:tcPr>
          <w:p w14:paraId="6B480BAA"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sz w:val="24"/>
                <w:szCs w:val="24"/>
              </w:rPr>
              <w:t>Q1: Consequences</w:t>
            </w:r>
          </w:p>
        </w:tc>
        <w:tc>
          <w:tcPr>
            <w:tcW w:w="1433" w:type="dxa"/>
          </w:tcPr>
          <w:p w14:paraId="45F4566B"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Q2: Timeline </w:t>
            </w:r>
          </w:p>
        </w:tc>
        <w:tc>
          <w:tcPr>
            <w:tcW w:w="1554" w:type="dxa"/>
          </w:tcPr>
          <w:p w14:paraId="49A422CF"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Q3: Personal control</w:t>
            </w:r>
          </w:p>
        </w:tc>
        <w:tc>
          <w:tcPr>
            <w:tcW w:w="1459" w:type="dxa"/>
          </w:tcPr>
          <w:p w14:paraId="38D8342B"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Q4: Treatment control</w:t>
            </w:r>
          </w:p>
        </w:tc>
        <w:tc>
          <w:tcPr>
            <w:tcW w:w="1529" w:type="dxa"/>
          </w:tcPr>
          <w:p w14:paraId="59562EB6"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Q5: Identity </w:t>
            </w:r>
          </w:p>
        </w:tc>
        <w:tc>
          <w:tcPr>
            <w:tcW w:w="1425" w:type="dxa"/>
          </w:tcPr>
          <w:p w14:paraId="5A4AD4D5"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Q6: Illness concern</w:t>
            </w:r>
          </w:p>
        </w:tc>
        <w:tc>
          <w:tcPr>
            <w:tcW w:w="1586" w:type="dxa"/>
          </w:tcPr>
          <w:p w14:paraId="03D3CB9F"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Q7: Coherence</w:t>
            </w:r>
          </w:p>
        </w:tc>
        <w:tc>
          <w:tcPr>
            <w:tcW w:w="1456" w:type="dxa"/>
          </w:tcPr>
          <w:p w14:paraId="6F3736E0"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Q8: Emotional reasoning </w:t>
            </w:r>
          </w:p>
        </w:tc>
      </w:tr>
      <w:tr w:rsidR="00C42E4F" w:rsidRPr="00103A0B" w14:paraId="0A04681B" w14:textId="77777777" w:rsidTr="00BB2420">
        <w:tc>
          <w:tcPr>
            <w:tcW w:w="1512" w:type="dxa"/>
            <w:vMerge w:val="restart"/>
          </w:tcPr>
          <w:p w14:paraId="4135F042"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N</w:t>
            </w:r>
          </w:p>
        </w:tc>
        <w:tc>
          <w:tcPr>
            <w:tcW w:w="1324" w:type="dxa"/>
          </w:tcPr>
          <w:p w14:paraId="4D4EE918"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Yes</w:t>
            </w:r>
          </w:p>
        </w:tc>
        <w:tc>
          <w:tcPr>
            <w:tcW w:w="1818" w:type="dxa"/>
          </w:tcPr>
          <w:p w14:paraId="675124BE"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636</w:t>
            </w:r>
          </w:p>
        </w:tc>
        <w:tc>
          <w:tcPr>
            <w:tcW w:w="1433" w:type="dxa"/>
          </w:tcPr>
          <w:p w14:paraId="2EFB83DC"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600</w:t>
            </w:r>
          </w:p>
        </w:tc>
        <w:tc>
          <w:tcPr>
            <w:tcW w:w="1554" w:type="dxa"/>
          </w:tcPr>
          <w:p w14:paraId="01FE6BE9"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613</w:t>
            </w:r>
          </w:p>
        </w:tc>
        <w:tc>
          <w:tcPr>
            <w:tcW w:w="1459" w:type="dxa"/>
          </w:tcPr>
          <w:p w14:paraId="187E8D15"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613</w:t>
            </w:r>
          </w:p>
        </w:tc>
        <w:tc>
          <w:tcPr>
            <w:tcW w:w="1529" w:type="dxa"/>
          </w:tcPr>
          <w:p w14:paraId="49F72464"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622</w:t>
            </w:r>
          </w:p>
        </w:tc>
        <w:tc>
          <w:tcPr>
            <w:tcW w:w="1425" w:type="dxa"/>
          </w:tcPr>
          <w:p w14:paraId="293BDEEE"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626</w:t>
            </w:r>
          </w:p>
        </w:tc>
        <w:tc>
          <w:tcPr>
            <w:tcW w:w="1586" w:type="dxa"/>
          </w:tcPr>
          <w:p w14:paraId="78E418B0"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621</w:t>
            </w:r>
          </w:p>
        </w:tc>
        <w:tc>
          <w:tcPr>
            <w:tcW w:w="1456" w:type="dxa"/>
          </w:tcPr>
          <w:p w14:paraId="61941C09"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626</w:t>
            </w:r>
          </w:p>
        </w:tc>
      </w:tr>
      <w:tr w:rsidR="00C42E4F" w:rsidRPr="00103A0B" w14:paraId="508E0478" w14:textId="77777777" w:rsidTr="00BB2420">
        <w:tc>
          <w:tcPr>
            <w:tcW w:w="1512" w:type="dxa"/>
            <w:vMerge/>
          </w:tcPr>
          <w:p w14:paraId="661A7753" w14:textId="77777777" w:rsidR="00C42E4F" w:rsidRPr="00103A0B" w:rsidRDefault="00C42E4F" w:rsidP="00CD5919">
            <w:pPr>
              <w:spacing w:line="360" w:lineRule="auto"/>
              <w:jc w:val="both"/>
              <w:rPr>
                <w:rFonts w:ascii="Arial" w:hAnsi="Arial" w:cs="Arial"/>
                <w:color w:val="010205"/>
                <w:sz w:val="24"/>
                <w:szCs w:val="24"/>
              </w:rPr>
            </w:pPr>
          </w:p>
        </w:tc>
        <w:tc>
          <w:tcPr>
            <w:tcW w:w="1324" w:type="dxa"/>
          </w:tcPr>
          <w:p w14:paraId="206088BD"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No</w:t>
            </w:r>
          </w:p>
        </w:tc>
        <w:tc>
          <w:tcPr>
            <w:tcW w:w="1818" w:type="dxa"/>
          </w:tcPr>
          <w:p w14:paraId="326A8F7B"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2,280</w:t>
            </w:r>
          </w:p>
        </w:tc>
        <w:tc>
          <w:tcPr>
            <w:tcW w:w="1433" w:type="dxa"/>
          </w:tcPr>
          <w:p w14:paraId="3D0F2CD6"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2,198</w:t>
            </w:r>
          </w:p>
        </w:tc>
        <w:tc>
          <w:tcPr>
            <w:tcW w:w="1554" w:type="dxa"/>
          </w:tcPr>
          <w:p w14:paraId="0A37EEB4"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2,243</w:t>
            </w:r>
          </w:p>
        </w:tc>
        <w:tc>
          <w:tcPr>
            <w:tcW w:w="1459" w:type="dxa"/>
          </w:tcPr>
          <w:p w14:paraId="1ECD2484"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2,232</w:t>
            </w:r>
          </w:p>
        </w:tc>
        <w:tc>
          <w:tcPr>
            <w:tcW w:w="1529" w:type="dxa"/>
          </w:tcPr>
          <w:p w14:paraId="3EFEAD7A"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2,239</w:t>
            </w:r>
          </w:p>
        </w:tc>
        <w:tc>
          <w:tcPr>
            <w:tcW w:w="1425" w:type="dxa"/>
          </w:tcPr>
          <w:p w14:paraId="4B51ECC6"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2,287</w:t>
            </w:r>
          </w:p>
        </w:tc>
        <w:tc>
          <w:tcPr>
            <w:tcW w:w="1586" w:type="dxa"/>
          </w:tcPr>
          <w:p w14:paraId="20F53E66"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2,286</w:t>
            </w:r>
          </w:p>
        </w:tc>
        <w:tc>
          <w:tcPr>
            <w:tcW w:w="1456" w:type="dxa"/>
          </w:tcPr>
          <w:p w14:paraId="7B679A0E"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2,271</w:t>
            </w:r>
          </w:p>
        </w:tc>
      </w:tr>
      <w:tr w:rsidR="00C42E4F" w:rsidRPr="00103A0B" w14:paraId="47B8F714" w14:textId="77777777" w:rsidTr="00BB2420">
        <w:tc>
          <w:tcPr>
            <w:tcW w:w="1512" w:type="dxa"/>
            <w:vMerge w:val="restart"/>
          </w:tcPr>
          <w:p w14:paraId="734E5352"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Median score</w:t>
            </w:r>
          </w:p>
        </w:tc>
        <w:tc>
          <w:tcPr>
            <w:tcW w:w="1324" w:type="dxa"/>
          </w:tcPr>
          <w:p w14:paraId="1EDF67ED"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Yes</w:t>
            </w:r>
          </w:p>
        </w:tc>
        <w:tc>
          <w:tcPr>
            <w:tcW w:w="1818" w:type="dxa"/>
          </w:tcPr>
          <w:p w14:paraId="7BA2C1BE"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2.00</w:t>
            </w:r>
          </w:p>
        </w:tc>
        <w:tc>
          <w:tcPr>
            <w:tcW w:w="1433" w:type="dxa"/>
          </w:tcPr>
          <w:p w14:paraId="2DEF7D47"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3.00</w:t>
            </w:r>
          </w:p>
        </w:tc>
        <w:tc>
          <w:tcPr>
            <w:tcW w:w="1554" w:type="dxa"/>
          </w:tcPr>
          <w:p w14:paraId="57A5CBF5"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7.00</w:t>
            </w:r>
          </w:p>
        </w:tc>
        <w:tc>
          <w:tcPr>
            <w:tcW w:w="1459" w:type="dxa"/>
          </w:tcPr>
          <w:p w14:paraId="0E8E5491"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8.00</w:t>
            </w:r>
          </w:p>
        </w:tc>
        <w:tc>
          <w:tcPr>
            <w:tcW w:w="1529" w:type="dxa"/>
          </w:tcPr>
          <w:p w14:paraId="054EFAFF"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0</w:t>
            </w:r>
          </w:p>
        </w:tc>
        <w:tc>
          <w:tcPr>
            <w:tcW w:w="1425" w:type="dxa"/>
          </w:tcPr>
          <w:p w14:paraId="41FFC494"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8.00</w:t>
            </w:r>
          </w:p>
        </w:tc>
        <w:tc>
          <w:tcPr>
            <w:tcW w:w="1586" w:type="dxa"/>
          </w:tcPr>
          <w:p w14:paraId="0C254799"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5.00</w:t>
            </w:r>
          </w:p>
        </w:tc>
        <w:tc>
          <w:tcPr>
            <w:tcW w:w="1456" w:type="dxa"/>
          </w:tcPr>
          <w:p w14:paraId="0D38664B"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2.00</w:t>
            </w:r>
          </w:p>
        </w:tc>
      </w:tr>
      <w:tr w:rsidR="00C42E4F" w:rsidRPr="00103A0B" w14:paraId="5EF68C69" w14:textId="77777777" w:rsidTr="00BB2420">
        <w:tc>
          <w:tcPr>
            <w:tcW w:w="1512" w:type="dxa"/>
            <w:vMerge/>
          </w:tcPr>
          <w:p w14:paraId="1DEB9E13" w14:textId="77777777" w:rsidR="00C42E4F" w:rsidRPr="00103A0B" w:rsidRDefault="00C42E4F" w:rsidP="00CD5919">
            <w:pPr>
              <w:spacing w:line="360" w:lineRule="auto"/>
              <w:jc w:val="both"/>
              <w:rPr>
                <w:rFonts w:ascii="Arial" w:hAnsi="Arial" w:cs="Arial"/>
                <w:color w:val="010205"/>
                <w:sz w:val="24"/>
                <w:szCs w:val="24"/>
              </w:rPr>
            </w:pPr>
          </w:p>
        </w:tc>
        <w:tc>
          <w:tcPr>
            <w:tcW w:w="1324" w:type="dxa"/>
          </w:tcPr>
          <w:p w14:paraId="731BF047"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No</w:t>
            </w:r>
          </w:p>
        </w:tc>
        <w:tc>
          <w:tcPr>
            <w:tcW w:w="1818" w:type="dxa"/>
          </w:tcPr>
          <w:p w14:paraId="11DDC889"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2.00</w:t>
            </w:r>
          </w:p>
        </w:tc>
        <w:tc>
          <w:tcPr>
            <w:tcW w:w="1433" w:type="dxa"/>
          </w:tcPr>
          <w:p w14:paraId="0462E340"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3.00</w:t>
            </w:r>
          </w:p>
        </w:tc>
        <w:tc>
          <w:tcPr>
            <w:tcW w:w="1554" w:type="dxa"/>
          </w:tcPr>
          <w:p w14:paraId="60B4B98F"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6.00</w:t>
            </w:r>
          </w:p>
        </w:tc>
        <w:tc>
          <w:tcPr>
            <w:tcW w:w="1459" w:type="dxa"/>
          </w:tcPr>
          <w:p w14:paraId="103F7C58"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8.00</w:t>
            </w:r>
          </w:p>
        </w:tc>
        <w:tc>
          <w:tcPr>
            <w:tcW w:w="1529" w:type="dxa"/>
          </w:tcPr>
          <w:p w14:paraId="6E91E3D4"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0</w:t>
            </w:r>
          </w:p>
        </w:tc>
        <w:tc>
          <w:tcPr>
            <w:tcW w:w="1425" w:type="dxa"/>
          </w:tcPr>
          <w:p w14:paraId="6DDE2E21"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8.00</w:t>
            </w:r>
          </w:p>
        </w:tc>
        <w:tc>
          <w:tcPr>
            <w:tcW w:w="1586" w:type="dxa"/>
          </w:tcPr>
          <w:p w14:paraId="7F9C9A66"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5.00</w:t>
            </w:r>
          </w:p>
        </w:tc>
        <w:tc>
          <w:tcPr>
            <w:tcW w:w="1456" w:type="dxa"/>
          </w:tcPr>
          <w:p w14:paraId="35DC4958"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3.00</w:t>
            </w:r>
          </w:p>
        </w:tc>
      </w:tr>
      <w:tr w:rsidR="00C42E4F" w:rsidRPr="00103A0B" w14:paraId="4DA6917C" w14:textId="77777777" w:rsidTr="00BB2420">
        <w:tc>
          <w:tcPr>
            <w:tcW w:w="1512" w:type="dxa"/>
          </w:tcPr>
          <w:p w14:paraId="33757103"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Mann-Whitney </w:t>
            </w:r>
            <w:r w:rsidRPr="00103A0B">
              <w:rPr>
                <w:rFonts w:ascii="Arial" w:hAnsi="Arial" w:cs="Arial"/>
                <w:i/>
                <w:iCs/>
                <w:color w:val="010205"/>
                <w:sz w:val="24"/>
                <w:szCs w:val="24"/>
              </w:rPr>
              <w:t>U</w:t>
            </w:r>
          </w:p>
        </w:tc>
        <w:tc>
          <w:tcPr>
            <w:tcW w:w="1324" w:type="dxa"/>
          </w:tcPr>
          <w:p w14:paraId="3B7D43E7"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w:t>
            </w:r>
          </w:p>
        </w:tc>
        <w:tc>
          <w:tcPr>
            <w:tcW w:w="1818" w:type="dxa"/>
          </w:tcPr>
          <w:p w14:paraId="4FA2B727"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686832.500</w:t>
            </w:r>
          </w:p>
        </w:tc>
        <w:tc>
          <w:tcPr>
            <w:tcW w:w="1433" w:type="dxa"/>
          </w:tcPr>
          <w:p w14:paraId="305942E3"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638122.000</w:t>
            </w:r>
          </w:p>
        </w:tc>
        <w:tc>
          <w:tcPr>
            <w:tcW w:w="1554" w:type="dxa"/>
          </w:tcPr>
          <w:p w14:paraId="6B67D1A2"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649725.000</w:t>
            </w:r>
          </w:p>
        </w:tc>
        <w:tc>
          <w:tcPr>
            <w:tcW w:w="1459" w:type="dxa"/>
          </w:tcPr>
          <w:p w14:paraId="08E22585"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678387.500</w:t>
            </w:r>
          </w:p>
        </w:tc>
        <w:tc>
          <w:tcPr>
            <w:tcW w:w="1529" w:type="dxa"/>
          </w:tcPr>
          <w:p w14:paraId="66C627EB"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670344.000</w:t>
            </w:r>
          </w:p>
        </w:tc>
        <w:tc>
          <w:tcPr>
            <w:tcW w:w="1425" w:type="dxa"/>
          </w:tcPr>
          <w:p w14:paraId="5AF662F2"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693284.500</w:t>
            </w:r>
          </w:p>
        </w:tc>
        <w:tc>
          <w:tcPr>
            <w:tcW w:w="1586" w:type="dxa"/>
          </w:tcPr>
          <w:p w14:paraId="393ED26E"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694542.000</w:t>
            </w:r>
          </w:p>
        </w:tc>
        <w:tc>
          <w:tcPr>
            <w:tcW w:w="1456" w:type="dxa"/>
          </w:tcPr>
          <w:p w14:paraId="3A1B8ABF"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675925.500</w:t>
            </w:r>
          </w:p>
        </w:tc>
      </w:tr>
      <w:tr w:rsidR="00C42E4F" w:rsidRPr="00103A0B" w14:paraId="0C97F597" w14:textId="77777777" w:rsidTr="00BB2420">
        <w:tc>
          <w:tcPr>
            <w:tcW w:w="1512" w:type="dxa"/>
          </w:tcPr>
          <w:p w14:paraId="0A28228F"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z-score</w:t>
            </w:r>
          </w:p>
        </w:tc>
        <w:tc>
          <w:tcPr>
            <w:tcW w:w="1324" w:type="dxa"/>
          </w:tcPr>
          <w:p w14:paraId="40C279A1"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w:t>
            </w:r>
          </w:p>
        </w:tc>
        <w:tc>
          <w:tcPr>
            <w:tcW w:w="1818" w:type="dxa"/>
          </w:tcPr>
          <w:p w14:paraId="7FC0D95F"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-2.120</w:t>
            </w:r>
          </w:p>
        </w:tc>
        <w:tc>
          <w:tcPr>
            <w:tcW w:w="1433" w:type="dxa"/>
          </w:tcPr>
          <w:p w14:paraId="24600115"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-1.228</w:t>
            </w:r>
          </w:p>
        </w:tc>
        <w:tc>
          <w:tcPr>
            <w:tcW w:w="1554" w:type="dxa"/>
          </w:tcPr>
          <w:p w14:paraId="121647F1"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-2.104</w:t>
            </w:r>
          </w:p>
        </w:tc>
        <w:tc>
          <w:tcPr>
            <w:tcW w:w="1459" w:type="dxa"/>
          </w:tcPr>
          <w:p w14:paraId="7BD29CB3"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-.327</w:t>
            </w:r>
          </w:p>
        </w:tc>
        <w:tc>
          <w:tcPr>
            <w:tcW w:w="1529" w:type="dxa"/>
          </w:tcPr>
          <w:p w14:paraId="59D2690D"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-1.560</w:t>
            </w:r>
          </w:p>
        </w:tc>
        <w:tc>
          <w:tcPr>
            <w:tcW w:w="1425" w:type="dxa"/>
          </w:tcPr>
          <w:p w14:paraId="7814F275"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-1.239</w:t>
            </w:r>
          </w:p>
        </w:tc>
        <w:tc>
          <w:tcPr>
            <w:tcW w:w="1586" w:type="dxa"/>
          </w:tcPr>
          <w:p w14:paraId="56A6716E"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-.830</w:t>
            </w:r>
          </w:p>
        </w:tc>
        <w:tc>
          <w:tcPr>
            <w:tcW w:w="1456" w:type="dxa"/>
          </w:tcPr>
          <w:p w14:paraId="4A5A7DC6"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-1.933</w:t>
            </w:r>
          </w:p>
        </w:tc>
      </w:tr>
      <w:tr w:rsidR="00C42E4F" w:rsidRPr="00103A0B" w14:paraId="1522CD02" w14:textId="77777777" w:rsidTr="00BB2420">
        <w:trPr>
          <w:trHeight w:val="881"/>
        </w:trPr>
        <w:tc>
          <w:tcPr>
            <w:tcW w:w="1512" w:type="dxa"/>
          </w:tcPr>
          <w:p w14:paraId="3CB56178"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i/>
                <w:iCs/>
                <w:color w:val="010205"/>
                <w:sz w:val="24"/>
                <w:szCs w:val="24"/>
              </w:rPr>
              <w:t>p</w:t>
            </w:r>
            <w:r w:rsidRPr="00103A0B">
              <w:rPr>
                <w:rFonts w:ascii="Arial" w:hAnsi="Arial" w:cs="Arial"/>
                <w:color w:val="010205"/>
                <w:sz w:val="24"/>
                <w:szCs w:val="24"/>
              </w:rPr>
              <w:t xml:space="preserve">-value (two-tailed) </w:t>
            </w:r>
          </w:p>
        </w:tc>
        <w:tc>
          <w:tcPr>
            <w:tcW w:w="1324" w:type="dxa"/>
          </w:tcPr>
          <w:p w14:paraId="15691A9A" w14:textId="77777777" w:rsidR="00C42E4F" w:rsidRPr="00103A0B" w:rsidRDefault="00C42E4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w:t>
            </w:r>
          </w:p>
        </w:tc>
        <w:tc>
          <w:tcPr>
            <w:tcW w:w="1818" w:type="dxa"/>
          </w:tcPr>
          <w:p w14:paraId="7C2E4FE5"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.034</w:t>
            </w:r>
          </w:p>
        </w:tc>
        <w:tc>
          <w:tcPr>
            <w:tcW w:w="1433" w:type="dxa"/>
          </w:tcPr>
          <w:p w14:paraId="17BC0F1C"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.219</w:t>
            </w:r>
          </w:p>
        </w:tc>
        <w:tc>
          <w:tcPr>
            <w:tcW w:w="1554" w:type="dxa"/>
          </w:tcPr>
          <w:p w14:paraId="249C7606"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.035</w:t>
            </w:r>
          </w:p>
        </w:tc>
        <w:tc>
          <w:tcPr>
            <w:tcW w:w="1459" w:type="dxa"/>
          </w:tcPr>
          <w:p w14:paraId="21687748"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.743</w:t>
            </w:r>
          </w:p>
        </w:tc>
        <w:tc>
          <w:tcPr>
            <w:tcW w:w="1529" w:type="dxa"/>
          </w:tcPr>
          <w:p w14:paraId="3FB4DA5A"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.119</w:t>
            </w:r>
          </w:p>
        </w:tc>
        <w:tc>
          <w:tcPr>
            <w:tcW w:w="1425" w:type="dxa"/>
          </w:tcPr>
          <w:p w14:paraId="18297654"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.215</w:t>
            </w:r>
          </w:p>
        </w:tc>
        <w:tc>
          <w:tcPr>
            <w:tcW w:w="1586" w:type="dxa"/>
          </w:tcPr>
          <w:p w14:paraId="09AD40DF"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.407</w:t>
            </w:r>
          </w:p>
        </w:tc>
        <w:tc>
          <w:tcPr>
            <w:tcW w:w="1456" w:type="dxa"/>
          </w:tcPr>
          <w:p w14:paraId="569E6202" w14:textId="77777777" w:rsidR="00C42E4F" w:rsidRPr="00103A0B" w:rsidRDefault="00C42E4F" w:rsidP="00CD5919">
            <w:pPr>
              <w:spacing w:line="360" w:lineRule="auto"/>
              <w:jc w:val="both"/>
              <w:rPr>
                <w:rFonts w:ascii="Arial" w:hAnsi="Arial" w:cs="Arial"/>
                <w:color w:val="010205"/>
              </w:rPr>
            </w:pPr>
            <w:r w:rsidRPr="00103A0B">
              <w:rPr>
                <w:rFonts w:ascii="Arial" w:hAnsi="Arial" w:cs="Arial"/>
                <w:color w:val="010205"/>
              </w:rPr>
              <w:t>.053</w:t>
            </w:r>
          </w:p>
        </w:tc>
      </w:tr>
    </w:tbl>
    <w:p w14:paraId="731F76E0" w14:textId="77777777" w:rsidR="00C42E4F" w:rsidRPr="00103A0B" w:rsidRDefault="00C42E4F" w:rsidP="00CD5919">
      <w:pPr>
        <w:jc w:val="both"/>
        <w:rPr>
          <w:rFonts w:ascii="Times New Roman" w:hAnsi="Times New Roman" w:cs="Times New Roman"/>
          <w:sz w:val="24"/>
          <w:szCs w:val="24"/>
        </w:rPr>
        <w:sectPr w:rsidR="00C42E4F" w:rsidRPr="00103A0B" w:rsidSect="00BB2420">
          <w:pgSz w:w="16838" w:h="11906" w:orient="landscape"/>
          <w:pgMar w:top="1440" w:right="1440" w:bottom="1440" w:left="1440" w:header="709" w:footer="709" w:gutter="0"/>
          <w:cols w:space="708"/>
          <w:docGrid w:linePitch="360"/>
        </w:sectPr>
      </w:pPr>
    </w:p>
    <w:p w14:paraId="19207593" w14:textId="3BEB3787" w:rsidR="00C42E4F" w:rsidRPr="00103A0B" w:rsidRDefault="00D8322F" w:rsidP="00E45914">
      <w:pPr>
        <w:keepNext/>
        <w:keepLines/>
        <w:jc w:val="both"/>
        <w:rPr>
          <w:rFonts w:ascii="Arial" w:hAnsi="Arial" w:cs="Arial"/>
          <w:b/>
          <w:bCs/>
          <w:sz w:val="28"/>
          <w:szCs w:val="28"/>
        </w:rPr>
      </w:pPr>
      <w:r w:rsidRPr="00103A0B">
        <w:rPr>
          <w:rFonts w:ascii="Arial" w:hAnsi="Arial" w:cs="Arial"/>
          <w:b/>
          <w:bCs/>
          <w:sz w:val="28"/>
          <w:szCs w:val="28"/>
        </w:rPr>
        <w:lastRenderedPageBreak/>
        <w:t>Appendix 2</w:t>
      </w:r>
      <w:r w:rsidR="00BE157E" w:rsidRPr="00103A0B">
        <w:rPr>
          <w:rFonts w:ascii="Arial" w:hAnsi="Arial" w:cs="Arial"/>
          <w:b/>
          <w:bCs/>
          <w:sz w:val="28"/>
          <w:szCs w:val="28"/>
        </w:rPr>
        <w:t>8</w:t>
      </w:r>
      <w:r w:rsidRPr="00103A0B">
        <w:rPr>
          <w:rFonts w:ascii="Arial" w:hAnsi="Arial" w:cs="Arial"/>
          <w:b/>
          <w:bCs/>
          <w:sz w:val="28"/>
          <w:szCs w:val="28"/>
        </w:rPr>
        <w:t>: Test for differences of variables included and excluded in LR</w:t>
      </w:r>
      <w:r w:rsidR="00486402" w:rsidRPr="00103A0B">
        <w:rPr>
          <w:rFonts w:ascii="Arial" w:hAnsi="Arial" w:cs="Arial"/>
          <w:b/>
          <w:bCs/>
          <w:sz w:val="28"/>
          <w:szCs w:val="28"/>
        </w:rPr>
        <w:t xml:space="preserve"> (Chapter 7)</w:t>
      </w:r>
    </w:p>
    <w:p w14:paraId="3C92F5C3" w14:textId="77777777" w:rsidR="00D8322F" w:rsidRPr="00103A0B" w:rsidRDefault="00D8322F" w:rsidP="00CD5919">
      <w:pPr>
        <w:spacing w:line="360" w:lineRule="auto"/>
        <w:jc w:val="both"/>
        <w:rPr>
          <w:rFonts w:ascii="Arial" w:hAnsi="Arial" w:cs="Arial"/>
          <w:sz w:val="24"/>
          <w:szCs w:val="24"/>
        </w:rPr>
        <w:sectPr w:rsidR="00D8322F" w:rsidRPr="00103A0B" w:rsidSect="00BB2420">
          <w:pgSz w:w="11906" w:h="16838"/>
          <w:pgMar w:top="1440" w:right="1440" w:bottom="1440" w:left="1440" w:header="709" w:footer="709" w:gutter="0"/>
          <w:cols w:space="708"/>
          <w:docGrid w:linePitch="360"/>
        </w:sectPr>
      </w:pPr>
      <w:r w:rsidRPr="00103A0B">
        <w:rPr>
          <w:rFonts w:ascii="Arial" w:hAnsi="Arial" w:cs="Arial"/>
          <w:sz w:val="24"/>
          <w:szCs w:val="24"/>
        </w:rPr>
        <w:t xml:space="preserve">There were no statistically significant differences between those participants included in the logistic regression for uptake and those excluded, except for programme location, WEMWBS and the IPQ item related to timeline </w:t>
      </w:r>
      <w:r w:rsidRPr="00103A0B">
        <w:rPr>
          <w:rFonts w:ascii="Arial" w:hAnsi="Arial" w:cs="Arial"/>
          <w:color w:val="010205"/>
          <w:sz w:val="24"/>
          <w:szCs w:val="24"/>
        </w:rPr>
        <w:t>(Tables 1 &amp; 2). There was a significant association between programme location and those excluded and included in the logistic regression (ꭕ2 (5, N=10,739) =643.178, p=&lt;.001) (Table 2). However, the association was weak (</w:t>
      </w:r>
      <w:r w:rsidRPr="00103A0B">
        <w:rPr>
          <w:rFonts w:ascii="Arial" w:hAnsi="Arial" w:cs="Arial"/>
          <w:sz w:val="24"/>
          <w:szCs w:val="24"/>
        </w:rPr>
        <w:sym w:font="Symbol" w:char="F066"/>
      </w:r>
      <w:r w:rsidRPr="00103A0B">
        <w:rPr>
          <w:rFonts w:ascii="Arial" w:hAnsi="Arial" w:cs="Arial"/>
          <w:sz w:val="24"/>
          <w:szCs w:val="24"/>
        </w:rPr>
        <w:t>=.245)</w:t>
      </w:r>
      <w:r w:rsidRPr="00103A0B">
        <w:rPr>
          <w:rFonts w:ascii="Arial" w:hAnsi="Arial" w:cs="Arial"/>
          <w:color w:val="010205"/>
          <w:sz w:val="24"/>
          <w:szCs w:val="24"/>
        </w:rPr>
        <w:t xml:space="preserve"> and accounted for just 6% of the variance (</w:t>
      </w:r>
      <w:r w:rsidRPr="00103A0B">
        <w:rPr>
          <w:rFonts w:ascii="Arial" w:hAnsi="Arial" w:cs="Arial"/>
          <w:sz w:val="24"/>
          <w:szCs w:val="24"/>
        </w:rPr>
        <w:sym w:font="Symbol" w:char="F066"/>
      </w:r>
      <w:r w:rsidRPr="00103A0B">
        <w:rPr>
          <w:rFonts w:ascii="Arial" w:hAnsi="Arial" w:cs="Arial"/>
          <w:sz w:val="24"/>
          <w:szCs w:val="24"/>
          <w:vertAlign w:val="superscript"/>
        </w:rPr>
        <w:t>2</w:t>
      </w:r>
      <w:r w:rsidRPr="00103A0B">
        <w:rPr>
          <w:rFonts w:ascii="Arial" w:hAnsi="Arial" w:cs="Arial"/>
          <w:sz w:val="24"/>
          <w:szCs w:val="24"/>
        </w:rPr>
        <w:t>=0.06)</w:t>
      </w:r>
      <w:r w:rsidRPr="00103A0B">
        <w:rPr>
          <w:rFonts w:ascii="Arial" w:hAnsi="Arial" w:cs="Arial"/>
          <w:color w:val="010205"/>
          <w:sz w:val="24"/>
          <w:szCs w:val="24"/>
        </w:rPr>
        <w:t xml:space="preserve">. There was a significant association between WEMWBS and those excluded and included in the logistic regression (ꭕ2 (2, N=10,679) =11.601, p=.003) (Table 2). However, the association was weak </w:t>
      </w:r>
      <w:r w:rsidRPr="00103A0B">
        <w:rPr>
          <w:rFonts w:ascii="Arial" w:hAnsi="Arial" w:cs="Arial"/>
          <w:sz w:val="24"/>
          <w:szCs w:val="24"/>
        </w:rPr>
        <w:t>(</w:t>
      </w:r>
      <w:r w:rsidRPr="00103A0B">
        <w:rPr>
          <w:rFonts w:ascii="Arial" w:hAnsi="Arial" w:cs="Arial"/>
          <w:sz w:val="24"/>
          <w:szCs w:val="24"/>
        </w:rPr>
        <w:sym w:font="Symbol" w:char="F066"/>
      </w:r>
      <w:r w:rsidRPr="00103A0B">
        <w:rPr>
          <w:rFonts w:ascii="Arial" w:hAnsi="Arial" w:cs="Arial"/>
          <w:sz w:val="24"/>
          <w:szCs w:val="24"/>
        </w:rPr>
        <w:t>=.033)</w:t>
      </w:r>
      <w:r w:rsidRPr="00103A0B">
        <w:rPr>
          <w:rFonts w:ascii="Arial" w:hAnsi="Arial" w:cs="Arial"/>
          <w:color w:val="010205"/>
          <w:sz w:val="24"/>
          <w:szCs w:val="24"/>
        </w:rPr>
        <w:t xml:space="preserve"> and accounted for just 0.1% of the variance (</w:t>
      </w:r>
      <w:r w:rsidRPr="00103A0B">
        <w:rPr>
          <w:rFonts w:ascii="Arial" w:hAnsi="Arial" w:cs="Arial"/>
          <w:sz w:val="24"/>
          <w:szCs w:val="24"/>
        </w:rPr>
        <w:sym w:font="Symbol" w:char="F066"/>
      </w:r>
      <w:r w:rsidRPr="00103A0B">
        <w:rPr>
          <w:rFonts w:ascii="Arial" w:hAnsi="Arial" w:cs="Arial"/>
          <w:sz w:val="24"/>
          <w:szCs w:val="24"/>
          <w:vertAlign w:val="superscript"/>
        </w:rPr>
        <w:t>2</w:t>
      </w:r>
      <w:r w:rsidRPr="00103A0B">
        <w:rPr>
          <w:rFonts w:ascii="Arial" w:hAnsi="Arial" w:cs="Arial"/>
          <w:sz w:val="24"/>
          <w:szCs w:val="24"/>
        </w:rPr>
        <w:t>=0.001)</w:t>
      </w:r>
      <w:r w:rsidRPr="00103A0B">
        <w:rPr>
          <w:rFonts w:ascii="Arial" w:hAnsi="Arial" w:cs="Arial"/>
          <w:color w:val="010205"/>
          <w:sz w:val="24"/>
          <w:szCs w:val="24"/>
        </w:rPr>
        <w:t>. The IPQ scores for timeline were significantly not different in those included and excluded in the logistic regression for uptake (</w:t>
      </w:r>
      <w:proofErr w:type="spellStart"/>
      <w:r w:rsidRPr="00103A0B">
        <w:rPr>
          <w:rFonts w:ascii="Arial" w:hAnsi="Arial" w:cs="Arial"/>
          <w:i/>
          <w:iCs/>
          <w:color w:val="010205"/>
          <w:sz w:val="24"/>
          <w:szCs w:val="24"/>
        </w:rPr>
        <w:t>Mdn</w:t>
      </w:r>
      <w:proofErr w:type="spellEnd"/>
      <w:r w:rsidRPr="00103A0B">
        <w:rPr>
          <w:rFonts w:ascii="Arial" w:hAnsi="Arial" w:cs="Arial"/>
          <w:color w:val="010205"/>
          <w:sz w:val="24"/>
          <w:szCs w:val="24"/>
        </w:rPr>
        <w:t>=3.00) (Table 1).</w:t>
      </w:r>
    </w:p>
    <w:p w14:paraId="6CEB03CB" w14:textId="77777777" w:rsidR="00D8322F" w:rsidRPr="00103A0B" w:rsidRDefault="00D8322F" w:rsidP="00CD5919">
      <w:pPr>
        <w:spacing w:line="360" w:lineRule="auto"/>
        <w:jc w:val="both"/>
        <w:rPr>
          <w:rFonts w:ascii="Arial" w:hAnsi="Arial" w:cs="Arial"/>
          <w:i/>
          <w:iCs/>
          <w:sz w:val="24"/>
          <w:szCs w:val="24"/>
        </w:rPr>
      </w:pPr>
      <w:r w:rsidRPr="00103A0B">
        <w:rPr>
          <w:rFonts w:ascii="Arial" w:hAnsi="Arial" w:cs="Arial"/>
          <w:i/>
          <w:iCs/>
          <w:sz w:val="24"/>
          <w:szCs w:val="24"/>
        </w:rPr>
        <w:lastRenderedPageBreak/>
        <w:t xml:space="preserve">Table 1- Test for differences (Mann-Whitney U test) of variables between those included and excluded in the LR for </w:t>
      </w:r>
      <w:proofErr w:type="gramStart"/>
      <w:r w:rsidRPr="00103A0B">
        <w:rPr>
          <w:rFonts w:ascii="Arial" w:hAnsi="Arial" w:cs="Arial"/>
          <w:i/>
          <w:iCs/>
          <w:sz w:val="24"/>
          <w:szCs w:val="24"/>
        </w:rPr>
        <w:t>uptake</w:t>
      </w:r>
      <w:proofErr w:type="gramEnd"/>
    </w:p>
    <w:tbl>
      <w:tblPr>
        <w:tblStyle w:val="TableGrid"/>
        <w:tblpPr w:leftFromText="180" w:rightFromText="180" w:vertAnchor="page" w:horzAnchor="margin" w:tblpY="2416"/>
        <w:tblW w:w="14415" w:type="dxa"/>
        <w:tblLook w:val="04A0" w:firstRow="1" w:lastRow="0" w:firstColumn="1" w:lastColumn="0" w:noHBand="0" w:noVBand="1"/>
      </w:tblPr>
      <w:tblGrid>
        <w:gridCol w:w="2076"/>
        <w:gridCol w:w="1345"/>
        <w:gridCol w:w="2619"/>
        <w:gridCol w:w="2047"/>
        <w:gridCol w:w="2048"/>
        <w:gridCol w:w="2047"/>
        <w:gridCol w:w="2233"/>
      </w:tblGrid>
      <w:tr w:rsidR="00D8322F" w:rsidRPr="00103A0B" w14:paraId="1D44DB4F" w14:textId="77777777" w:rsidTr="00BB2420">
        <w:trPr>
          <w:trHeight w:val="558"/>
        </w:trPr>
        <w:tc>
          <w:tcPr>
            <w:tcW w:w="2076" w:type="dxa"/>
          </w:tcPr>
          <w:p w14:paraId="0EFD674E" w14:textId="77777777" w:rsidR="00D8322F" w:rsidRPr="00103A0B" w:rsidRDefault="00D8322F" w:rsidP="00CD5919">
            <w:pPr>
              <w:spacing w:line="360" w:lineRule="auto"/>
              <w:jc w:val="both"/>
              <w:rPr>
                <w:rFonts w:ascii="Arial" w:hAnsi="Arial" w:cs="Arial"/>
                <w:color w:val="010205"/>
                <w:sz w:val="24"/>
                <w:szCs w:val="24"/>
              </w:rPr>
            </w:pPr>
          </w:p>
        </w:tc>
        <w:tc>
          <w:tcPr>
            <w:tcW w:w="1345" w:type="dxa"/>
          </w:tcPr>
          <w:p w14:paraId="2A70C5D2" w14:textId="77777777" w:rsidR="00D8322F" w:rsidRPr="00103A0B" w:rsidRDefault="00D8322F" w:rsidP="00CD5919">
            <w:pPr>
              <w:spacing w:line="360" w:lineRule="auto"/>
              <w:jc w:val="both"/>
              <w:rPr>
                <w:rFonts w:ascii="Arial" w:hAnsi="Arial" w:cs="Arial"/>
                <w:sz w:val="24"/>
                <w:szCs w:val="24"/>
              </w:rPr>
            </w:pPr>
          </w:p>
        </w:tc>
        <w:tc>
          <w:tcPr>
            <w:tcW w:w="10994" w:type="dxa"/>
            <w:gridSpan w:val="5"/>
          </w:tcPr>
          <w:p w14:paraId="4361E2C1"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LR variables</w:t>
            </w:r>
          </w:p>
        </w:tc>
      </w:tr>
      <w:tr w:rsidR="00D8322F" w:rsidRPr="00103A0B" w14:paraId="31EB22C4" w14:textId="77777777" w:rsidTr="00BB2420">
        <w:trPr>
          <w:trHeight w:val="1233"/>
        </w:trPr>
        <w:tc>
          <w:tcPr>
            <w:tcW w:w="2076" w:type="dxa"/>
          </w:tcPr>
          <w:p w14:paraId="759E2D54" w14:textId="77777777" w:rsidR="00D8322F" w:rsidRPr="00103A0B" w:rsidRDefault="00D8322F" w:rsidP="00CD5919">
            <w:pPr>
              <w:spacing w:line="360" w:lineRule="auto"/>
              <w:jc w:val="both"/>
              <w:rPr>
                <w:rFonts w:ascii="Arial" w:hAnsi="Arial" w:cs="Arial"/>
                <w:color w:val="010205"/>
                <w:sz w:val="24"/>
                <w:szCs w:val="24"/>
              </w:rPr>
            </w:pPr>
          </w:p>
        </w:tc>
        <w:tc>
          <w:tcPr>
            <w:tcW w:w="1345" w:type="dxa"/>
          </w:tcPr>
          <w:p w14:paraId="503DE23B" w14:textId="77777777" w:rsidR="00D8322F" w:rsidRPr="00103A0B" w:rsidRDefault="00D8322F" w:rsidP="00CD5919">
            <w:pPr>
              <w:spacing w:line="360" w:lineRule="auto"/>
              <w:jc w:val="both"/>
              <w:rPr>
                <w:rFonts w:ascii="Arial" w:hAnsi="Arial" w:cs="Arial"/>
                <w:sz w:val="24"/>
                <w:szCs w:val="24"/>
              </w:rPr>
            </w:pPr>
            <w:r w:rsidRPr="00103A0B">
              <w:rPr>
                <w:rFonts w:ascii="Arial" w:hAnsi="Arial" w:cs="Arial"/>
                <w:sz w:val="24"/>
                <w:szCs w:val="24"/>
              </w:rPr>
              <w:t xml:space="preserve">Included in LR </w:t>
            </w:r>
          </w:p>
        </w:tc>
        <w:tc>
          <w:tcPr>
            <w:tcW w:w="2619" w:type="dxa"/>
          </w:tcPr>
          <w:p w14:paraId="711CCEDE"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sz w:val="24"/>
                <w:szCs w:val="24"/>
              </w:rPr>
              <w:t>Q1: Consequences</w:t>
            </w:r>
          </w:p>
        </w:tc>
        <w:tc>
          <w:tcPr>
            <w:tcW w:w="2047" w:type="dxa"/>
          </w:tcPr>
          <w:p w14:paraId="793907E4"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Q2: Timeline </w:t>
            </w:r>
          </w:p>
        </w:tc>
        <w:tc>
          <w:tcPr>
            <w:tcW w:w="2048" w:type="dxa"/>
          </w:tcPr>
          <w:p w14:paraId="1BF0AFBD"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Q4: Treatment control</w:t>
            </w:r>
          </w:p>
        </w:tc>
        <w:tc>
          <w:tcPr>
            <w:tcW w:w="2047" w:type="dxa"/>
          </w:tcPr>
          <w:p w14:paraId="7B92AD83"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Q6: Illness concern</w:t>
            </w:r>
          </w:p>
        </w:tc>
        <w:tc>
          <w:tcPr>
            <w:tcW w:w="2233" w:type="dxa"/>
          </w:tcPr>
          <w:p w14:paraId="45178236"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GS-ES</w:t>
            </w:r>
          </w:p>
        </w:tc>
      </w:tr>
      <w:tr w:rsidR="00D8322F" w:rsidRPr="00103A0B" w14:paraId="7C30B074" w14:textId="77777777" w:rsidTr="00BB2420">
        <w:trPr>
          <w:trHeight w:val="401"/>
        </w:trPr>
        <w:tc>
          <w:tcPr>
            <w:tcW w:w="2076" w:type="dxa"/>
            <w:vMerge w:val="restart"/>
          </w:tcPr>
          <w:p w14:paraId="24A1882E"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N</w:t>
            </w:r>
          </w:p>
        </w:tc>
        <w:tc>
          <w:tcPr>
            <w:tcW w:w="1345" w:type="dxa"/>
          </w:tcPr>
          <w:p w14:paraId="63F2116B"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Yes</w:t>
            </w:r>
          </w:p>
        </w:tc>
        <w:tc>
          <w:tcPr>
            <w:tcW w:w="2619" w:type="dxa"/>
          </w:tcPr>
          <w:p w14:paraId="5893255D"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3,756</w:t>
            </w:r>
          </w:p>
        </w:tc>
        <w:tc>
          <w:tcPr>
            <w:tcW w:w="2047" w:type="dxa"/>
          </w:tcPr>
          <w:p w14:paraId="200D456B"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3,756</w:t>
            </w:r>
          </w:p>
        </w:tc>
        <w:tc>
          <w:tcPr>
            <w:tcW w:w="2048" w:type="dxa"/>
          </w:tcPr>
          <w:p w14:paraId="382CCB2D"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3,756</w:t>
            </w:r>
          </w:p>
        </w:tc>
        <w:tc>
          <w:tcPr>
            <w:tcW w:w="2047" w:type="dxa"/>
          </w:tcPr>
          <w:p w14:paraId="297B44C2"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3,756</w:t>
            </w:r>
          </w:p>
        </w:tc>
        <w:tc>
          <w:tcPr>
            <w:tcW w:w="2233" w:type="dxa"/>
          </w:tcPr>
          <w:p w14:paraId="79097DEC"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3,756</w:t>
            </w:r>
          </w:p>
        </w:tc>
      </w:tr>
      <w:tr w:rsidR="00D8322F" w:rsidRPr="00103A0B" w14:paraId="6BAFC5FF" w14:textId="77777777" w:rsidTr="00BB2420">
        <w:trPr>
          <w:trHeight w:val="416"/>
        </w:trPr>
        <w:tc>
          <w:tcPr>
            <w:tcW w:w="2076" w:type="dxa"/>
            <w:vMerge/>
          </w:tcPr>
          <w:p w14:paraId="72EE5DBB" w14:textId="77777777" w:rsidR="00D8322F" w:rsidRPr="00103A0B" w:rsidRDefault="00D8322F" w:rsidP="00CD5919">
            <w:pPr>
              <w:spacing w:line="360" w:lineRule="auto"/>
              <w:jc w:val="both"/>
              <w:rPr>
                <w:rFonts w:ascii="Arial" w:hAnsi="Arial" w:cs="Arial"/>
                <w:color w:val="010205"/>
                <w:sz w:val="24"/>
                <w:szCs w:val="24"/>
              </w:rPr>
            </w:pPr>
          </w:p>
        </w:tc>
        <w:tc>
          <w:tcPr>
            <w:tcW w:w="1345" w:type="dxa"/>
          </w:tcPr>
          <w:p w14:paraId="3D8EB80F"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No</w:t>
            </w:r>
          </w:p>
        </w:tc>
        <w:tc>
          <w:tcPr>
            <w:tcW w:w="2619" w:type="dxa"/>
          </w:tcPr>
          <w:p w14:paraId="2737EB4C"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1,844</w:t>
            </w:r>
          </w:p>
        </w:tc>
        <w:tc>
          <w:tcPr>
            <w:tcW w:w="2047" w:type="dxa"/>
          </w:tcPr>
          <w:p w14:paraId="274A7FE7"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1,603</w:t>
            </w:r>
          </w:p>
        </w:tc>
        <w:tc>
          <w:tcPr>
            <w:tcW w:w="2048" w:type="dxa"/>
          </w:tcPr>
          <w:p w14:paraId="70198AB8"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1,685</w:t>
            </w:r>
          </w:p>
        </w:tc>
        <w:tc>
          <w:tcPr>
            <w:tcW w:w="2047" w:type="dxa"/>
          </w:tcPr>
          <w:p w14:paraId="1EEBB1D4"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1,829</w:t>
            </w:r>
          </w:p>
        </w:tc>
        <w:tc>
          <w:tcPr>
            <w:tcW w:w="2233" w:type="dxa"/>
          </w:tcPr>
          <w:p w14:paraId="5311C497"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2,477</w:t>
            </w:r>
          </w:p>
        </w:tc>
      </w:tr>
      <w:tr w:rsidR="00D8322F" w:rsidRPr="00103A0B" w14:paraId="40C29D85" w14:textId="77777777" w:rsidTr="00BB2420">
        <w:trPr>
          <w:trHeight w:val="416"/>
        </w:trPr>
        <w:tc>
          <w:tcPr>
            <w:tcW w:w="2076" w:type="dxa"/>
            <w:vMerge w:val="restart"/>
          </w:tcPr>
          <w:p w14:paraId="514BAC1D"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Median score</w:t>
            </w:r>
          </w:p>
        </w:tc>
        <w:tc>
          <w:tcPr>
            <w:tcW w:w="1345" w:type="dxa"/>
          </w:tcPr>
          <w:p w14:paraId="5F16C4B4"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Yes</w:t>
            </w:r>
          </w:p>
        </w:tc>
        <w:tc>
          <w:tcPr>
            <w:tcW w:w="2619" w:type="dxa"/>
          </w:tcPr>
          <w:p w14:paraId="07850403"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1.00</w:t>
            </w:r>
          </w:p>
        </w:tc>
        <w:tc>
          <w:tcPr>
            <w:tcW w:w="2047" w:type="dxa"/>
          </w:tcPr>
          <w:p w14:paraId="14F799AB"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3.00</w:t>
            </w:r>
          </w:p>
        </w:tc>
        <w:tc>
          <w:tcPr>
            <w:tcW w:w="2048" w:type="dxa"/>
          </w:tcPr>
          <w:p w14:paraId="79CEFFE5"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8.00</w:t>
            </w:r>
          </w:p>
        </w:tc>
        <w:tc>
          <w:tcPr>
            <w:tcW w:w="2047" w:type="dxa"/>
          </w:tcPr>
          <w:p w14:paraId="153BFF09"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8.00</w:t>
            </w:r>
          </w:p>
        </w:tc>
        <w:tc>
          <w:tcPr>
            <w:tcW w:w="2233" w:type="dxa"/>
          </w:tcPr>
          <w:p w14:paraId="39B3C613"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30.00</w:t>
            </w:r>
          </w:p>
        </w:tc>
      </w:tr>
      <w:tr w:rsidR="00D8322F" w:rsidRPr="00103A0B" w14:paraId="24B92413" w14:textId="77777777" w:rsidTr="00BB2420">
        <w:trPr>
          <w:trHeight w:val="416"/>
        </w:trPr>
        <w:tc>
          <w:tcPr>
            <w:tcW w:w="2076" w:type="dxa"/>
            <w:vMerge/>
          </w:tcPr>
          <w:p w14:paraId="0521D043" w14:textId="77777777" w:rsidR="00D8322F" w:rsidRPr="00103A0B" w:rsidRDefault="00D8322F" w:rsidP="00CD5919">
            <w:pPr>
              <w:spacing w:line="360" w:lineRule="auto"/>
              <w:jc w:val="both"/>
              <w:rPr>
                <w:rFonts w:ascii="Arial" w:hAnsi="Arial" w:cs="Arial"/>
                <w:color w:val="010205"/>
                <w:sz w:val="24"/>
                <w:szCs w:val="24"/>
              </w:rPr>
            </w:pPr>
          </w:p>
        </w:tc>
        <w:tc>
          <w:tcPr>
            <w:tcW w:w="1345" w:type="dxa"/>
          </w:tcPr>
          <w:p w14:paraId="7D3F3EC0"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No</w:t>
            </w:r>
          </w:p>
        </w:tc>
        <w:tc>
          <w:tcPr>
            <w:tcW w:w="2619" w:type="dxa"/>
          </w:tcPr>
          <w:p w14:paraId="7E575697"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2.00</w:t>
            </w:r>
          </w:p>
        </w:tc>
        <w:tc>
          <w:tcPr>
            <w:tcW w:w="2047" w:type="dxa"/>
          </w:tcPr>
          <w:p w14:paraId="77A1CF05"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3.00</w:t>
            </w:r>
          </w:p>
        </w:tc>
        <w:tc>
          <w:tcPr>
            <w:tcW w:w="2048" w:type="dxa"/>
          </w:tcPr>
          <w:p w14:paraId="158FEFE0"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8.00</w:t>
            </w:r>
          </w:p>
        </w:tc>
        <w:tc>
          <w:tcPr>
            <w:tcW w:w="2047" w:type="dxa"/>
          </w:tcPr>
          <w:p w14:paraId="4DF21DFF"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8.00</w:t>
            </w:r>
          </w:p>
        </w:tc>
        <w:tc>
          <w:tcPr>
            <w:tcW w:w="2233" w:type="dxa"/>
          </w:tcPr>
          <w:p w14:paraId="5C758D43"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30.00</w:t>
            </w:r>
          </w:p>
        </w:tc>
      </w:tr>
      <w:tr w:rsidR="00D8322F" w:rsidRPr="00103A0B" w14:paraId="77DBC6A8" w14:textId="77777777" w:rsidTr="00BB2420">
        <w:trPr>
          <w:trHeight w:val="817"/>
        </w:trPr>
        <w:tc>
          <w:tcPr>
            <w:tcW w:w="2076" w:type="dxa"/>
          </w:tcPr>
          <w:p w14:paraId="6DA9B37B"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 xml:space="preserve">Mann-Whitney </w:t>
            </w:r>
            <w:r w:rsidRPr="00103A0B">
              <w:rPr>
                <w:rFonts w:ascii="Arial" w:hAnsi="Arial" w:cs="Arial"/>
                <w:i/>
                <w:iCs/>
                <w:color w:val="010205"/>
                <w:sz w:val="24"/>
                <w:szCs w:val="24"/>
              </w:rPr>
              <w:t>U</w:t>
            </w:r>
          </w:p>
        </w:tc>
        <w:tc>
          <w:tcPr>
            <w:tcW w:w="1345" w:type="dxa"/>
          </w:tcPr>
          <w:p w14:paraId="225779EF"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w:t>
            </w:r>
          </w:p>
        </w:tc>
        <w:tc>
          <w:tcPr>
            <w:tcW w:w="2619" w:type="dxa"/>
          </w:tcPr>
          <w:p w14:paraId="10ED903B"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3389359.00</w:t>
            </w:r>
          </w:p>
        </w:tc>
        <w:tc>
          <w:tcPr>
            <w:tcW w:w="2047" w:type="dxa"/>
          </w:tcPr>
          <w:p w14:paraId="04C2E913"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2845993.00</w:t>
            </w:r>
          </w:p>
        </w:tc>
        <w:tc>
          <w:tcPr>
            <w:tcW w:w="2048" w:type="dxa"/>
          </w:tcPr>
          <w:p w14:paraId="447435E0"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3101241.00</w:t>
            </w:r>
          </w:p>
        </w:tc>
        <w:tc>
          <w:tcPr>
            <w:tcW w:w="2047" w:type="dxa"/>
          </w:tcPr>
          <w:p w14:paraId="3943A027"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3422312.50</w:t>
            </w:r>
          </w:p>
        </w:tc>
        <w:tc>
          <w:tcPr>
            <w:tcW w:w="2233" w:type="dxa"/>
          </w:tcPr>
          <w:p w14:paraId="7263C079"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4581832.50</w:t>
            </w:r>
          </w:p>
        </w:tc>
      </w:tr>
      <w:tr w:rsidR="00D8322F" w:rsidRPr="00103A0B" w14:paraId="7B4EE88F" w14:textId="77777777" w:rsidTr="00BB2420">
        <w:trPr>
          <w:trHeight w:val="401"/>
        </w:trPr>
        <w:tc>
          <w:tcPr>
            <w:tcW w:w="2076" w:type="dxa"/>
          </w:tcPr>
          <w:p w14:paraId="45612007"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z-score</w:t>
            </w:r>
          </w:p>
        </w:tc>
        <w:tc>
          <w:tcPr>
            <w:tcW w:w="1345" w:type="dxa"/>
          </w:tcPr>
          <w:p w14:paraId="3A169644"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w:t>
            </w:r>
          </w:p>
        </w:tc>
        <w:tc>
          <w:tcPr>
            <w:tcW w:w="2619" w:type="dxa"/>
          </w:tcPr>
          <w:p w14:paraId="0F8F93DC"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-1.357</w:t>
            </w:r>
          </w:p>
        </w:tc>
        <w:tc>
          <w:tcPr>
            <w:tcW w:w="2047" w:type="dxa"/>
          </w:tcPr>
          <w:p w14:paraId="12281AA5"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-3.216</w:t>
            </w:r>
          </w:p>
        </w:tc>
        <w:tc>
          <w:tcPr>
            <w:tcW w:w="2048" w:type="dxa"/>
          </w:tcPr>
          <w:p w14:paraId="2792D681"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-1.211</w:t>
            </w:r>
          </w:p>
        </w:tc>
        <w:tc>
          <w:tcPr>
            <w:tcW w:w="2047" w:type="dxa"/>
          </w:tcPr>
          <w:p w14:paraId="473BCCEF"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-.227</w:t>
            </w:r>
          </w:p>
        </w:tc>
        <w:tc>
          <w:tcPr>
            <w:tcW w:w="2233" w:type="dxa"/>
          </w:tcPr>
          <w:p w14:paraId="5C31BDE5"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-1.010</w:t>
            </w:r>
          </w:p>
        </w:tc>
      </w:tr>
      <w:tr w:rsidR="00D8322F" w:rsidRPr="00103A0B" w14:paraId="43072243" w14:textId="77777777" w:rsidTr="00BB2420">
        <w:trPr>
          <w:trHeight w:val="802"/>
        </w:trPr>
        <w:tc>
          <w:tcPr>
            <w:tcW w:w="2076" w:type="dxa"/>
          </w:tcPr>
          <w:p w14:paraId="1D3CA525"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i/>
                <w:iCs/>
                <w:color w:val="010205"/>
                <w:sz w:val="24"/>
                <w:szCs w:val="24"/>
              </w:rPr>
              <w:t>p-</w:t>
            </w:r>
            <w:r w:rsidRPr="00103A0B">
              <w:rPr>
                <w:rFonts w:ascii="Arial" w:hAnsi="Arial" w:cs="Arial"/>
                <w:color w:val="010205"/>
                <w:sz w:val="24"/>
                <w:szCs w:val="24"/>
              </w:rPr>
              <w:t>value (two-tailed)</w:t>
            </w:r>
          </w:p>
        </w:tc>
        <w:tc>
          <w:tcPr>
            <w:tcW w:w="1345" w:type="dxa"/>
          </w:tcPr>
          <w:p w14:paraId="3A984533"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w:t>
            </w:r>
          </w:p>
        </w:tc>
        <w:tc>
          <w:tcPr>
            <w:tcW w:w="2619" w:type="dxa"/>
          </w:tcPr>
          <w:p w14:paraId="7EA37750"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.175</w:t>
            </w:r>
          </w:p>
        </w:tc>
        <w:tc>
          <w:tcPr>
            <w:tcW w:w="2047" w:type="dxa"/>
          </w:tcPr>
          <w:p w14:paraId="60252455"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.001</w:t>
            </w:r>
          </w:p>
        </w:tc>
        <w:tc>
          <w:tcPr>
            <w:tcW w:w="2048" w:type="dxa"/>
          </w:tcPr>
          <w:p w14:paraId="0BEFBCDB"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.226</w:t>
            </w:r>
          </w:p>
        </w:tc>
        <w:tc>
          <w:tcPr>
            <w:tcW w:w="2047" w:type="dxa"/>
          </w:tcPr>
          <w:p w14:paraId="072CC739"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.821</w:t>
            </w:r>
          </w:p>
        </w:tc>
        <w:tc>
          <w:tcPr>
            <w:tcW w:w="2233" w:type="dxa"/>
          </w:tcPr>
          <w:p w14:paraId="5BE388E2" w14:textId="77777777" w:rsidR="00D8322F" w:rsidRPr="00103A0B" w:rsidRDefault="00D8322F" w:rsidP="00CD5919">
            <w:pPr>
              <w:spacing w:line="360" w:lineRule="auto"/>
              <w:jc w:val="both"/>
              <w:rPr>
                <w:rFonts w:ascii="Arial" w:hAnsi="Arial" w:cs="Arial"/>
                <w:color w:val="010205"/>
                <w:sz w:val="24"/>
                <w:szCs w:val="24"/>
              </w:rPr>
            </w:pPr>
            <w:r w:rsidRPr="00103A0B">
              <w:rPr>
                <w:rFonts w:ascii="Arial" w:hAnsi="Arial" w:cs="Arial"/>
                <w:color w:val="010205"/>
                <w:sz w:val="24"/>
                <w:szCs w:val="24"/>
              </w:rPr>
              <w:t>.313</w:t>
            </w:r>
          </w:p>
        </w:tc>
      </w:tr>
    </w:tbl>
    <w:p w14:paraId="03BA4E38" w14:textId="77777777" w:rsidR="00D8322F" w:rsidRPr="00103A0B" w:rsidRDefault="00D8322F" w:rsidP="00CD5919">
      <w:pPr>
        <w:jc w:val="both"/>
        <w:rPr>
          <w:rFonts w:ascii="Times New Roman" w:hAnsi="Times New Roman" w:cs="Times New Roman"/>
          <w:sz w:val="24"/>
          <w:szCs w:val="24"/>
        </w:rPr>
      </w:pPr>
    </w:p>
    <w:p w14:paraId="1D5760B6" w14:textId="77777777" w:rsidR="00D8322F" w:rsidRPr="00103A0B" w:rsidRDefault="00D8322F" w:rsidP="00CD5919">
      <w:pPr>
        <w:jc w:val="both"/>
        <w:rPr>
          <w:rFonts w:ascii="Times New Roman" w:hAnsi="Times New Roman" w:cs="Times New Roman"/>
          <w:sz w:val="24"/>
          <w:szCs w:val="24"/>
        </w:rPr>
      </w:pPr>
    </w:p>
    <w:p w14:paraId="3C25D998" w14:textId="77777777" w:rsidR="00D8322F" w:rsidRPr="00103A0B" w:rsidRDefault="00D8322F" w:rsidP="00CD5919">
      <w:pPr>
        <w:spacing w:line="400" w:lineRule="atLeast"/>
        <w:jc w:val="both"/>
        <w:rPr>
          <w:rFonts w:ascii="Times New Roman" w:hAnsi="Times New Roman" w:cs="Times New Roman"/>
          <w:sz w:val="24"/>
          <w:szCs w:val="24"/>
        </w:rPr>
      </w:pPr>
    </w:p>
    <w:p w14:paraId="13196DE5" w14:textId="77777777" w:rsidR="00D8322F" w:rsidRPr="00103A0B" w:rsidRDefault="00D8322F" w:rsidP="00CD5919">
      <w:pPr>
        <w:jc w:val="both"/>
        <w:rPr>
          <w:rFonts w:ascii="Times New Roman" w:hAnsi="Times New Roman" w:cs="Times New Roman"/>
          <w:sz w:val="24"/>
          <w:szCs w:val="24"/>
        </w:rPr>
      </w:pPr>
    </w:p>
    <w:p w14:paraId="3F48DD05" w14:textId="0D939159" w:rsidR="00D8322F" w:rsidRPr="00103A0B" w:rsidRDefault="00D8322F" w:rsidP="00113624">
      <w:pPr>
        <w:spacing w:line="360" w:lineRule="auto"/>
        <w:jc w:val="both"/>
        <w:rPr>
          <w:rFonts w:ascii="Arial" w:hAnsi="Arial" w:cs="Arial"/>
          <w:i/>
          <w:iCs/>
          <w:sz w:val="24"/>
          <w:szCs w:val="24"/>
        </w:rPr>
      </w:pPr>
      <w:r w:rsidRPr="00103A0B">
        <w:rPr>
          <w:rFonts w:ascii="Arial" w:hAnsi="Arial" w:cs="Arial"/>
          <w:i/>
          <w:iCs/>
          <w:sz w:val="24"/>
          <w:szCs w:val="24"/>
        </w:rPr>
        <w:t xml:space="preserve">Table 2- Test for differences (Multi-dimensional Chi-Square test) of variables between those included and excluded in the LR for </w:t>
      </w:r>
      <w:proofErr w:type="gramStart"/>
      <w:r w:rsidRPr="00103A0B">
        <w:rPr>
          <w:rFonts w:ascii="Arial" w:hAnsi="Arial" w:cs="Arial"/>
          <w:i/>
          <w:iCs/>
          <w:sz w:val="24"/>
          <w:szCs w:val="24"/>
        </w:rPr>
        <w:t>uptake</w:t>
      </w:r>
      <w:proofErr w:type="gramEnd"/>
    </w:p>
    <w:tbl>
      <w:tblPr>
        <w:tblStyle w:val="TableGrid"/>
        <w:tblW w:w="14170" w:type="dxa"/>
        <w:tblLook w:val="04A0" w:firstRow="1" w:lastRow="0" w:firstColumn="1" w:lastColumn="0" w:noHBand="0" w:noVBand="1"/>
      </w:tblPr>
      <w:tblGrid>
        <w:gridCol w:w="1835"/>
        <w:gridCol w:w="1937"/>
        <w:gridCol w:w="1948"/>
        <w:gridCol w:w="1923"/>
        <w:gridCol w:w="884"/>
        <w:gridCol w:w="1777"/>
        <w:gridCol w:w="748"/>
        <w:gridCol w:w="2141"/>
        <w:gridCol w:w="977"/>
      </w:tblGrid>
      <w:tr w:rsidR="00D8322F" w:rsidRPr="00103A0B" w14:paraId="2C6AF3B8" w14:textId="77777777" w:rsidTr="00113624">
        <w:trPr>
          <w:trHeight w:val="261"/>
          <w:tblHeader/>
        </w:trPr>
        <w:tc>
          <w:tcPr>
            <w:tcW w:w="0" w:type="auto"/>
          </w:tcPr>
          <w:p w14:paraId="6953D3E4"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lastRenderedPageBreak/>
              <w:t>Variables</w:t>
            </w:r>
          </w:p>
        </w:tc>
        <w:tc>
          <w:tcPr>
            <w:tcW w:w="0" w:type="auto"/>
          </w:tcPr>
          <w:p w14:paraId="4FF4D22E"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7E300E51"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sz w:val="24"/>
                <w:szCs w:val="24"/>
              </w:rPr>
              <w:t>Excluded in LR count (residual)</w:t>
            </w:r>
          </w:p>
        </w:tc>
        <w:tc>
          <w:tcPr>
            <w:tcW w:w="0" w:type="auto"/>
          </w:tcPr>
          <w:p w14:paraId="14A230F0"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sz w:val="24"/>
                <w:szCs w:val="24"/>
              </w:rPr>
              <w:t>Included in LR count (residual)</w:t>
            </w:r>
          </w:p>
        </w:tc>
        <w:tc>
          <w:tcPr>
            <w:tcW w:w="884" w:type="dxa"/>
          </w:tcPr>
          <w:p w14:paraId="2D3C363D"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Total (N)</w:t>
            </w:r>
          </w:p>
        </w:tc>
        <w:tc>
          <w:tcPr>
            <w:tcW w:w="1777" w:type="dxa"/>
          </w:tcPr>
          <w:p w14:paraId="79F98DD6"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sz w:val="24"/>
                <w:szCs w:val="24"/>
              </w:rPr>
              <w:t>Pearson Chi Square (ꭕ</w:t>
            </w:r>
            <w:r w:rsidRPr="00103A0B">
              <w:rPr>
                <w:rFonts w:ascii="Arial" w:hAnsi="Arial" w:cs="Arial"/>
                <w:sz w:val="16"/>
                <w:szCs w:val="16"/>
              </w:rPr>
              <w:t>2</w:t>
            </w:r>
            <w:r w:rsidRPr="00103A0B">
              <w:rPr>
                <w:rFonts w:ascii="Arial" w:hAnsi="Arial" w:cs="Arial"/>
                <w:sz w:val="24"/>
                <w:szCs w:val="24"/>
              </w:rPr>
              <w:t>)</w:t>
            </w:r>
          </w:p>
        </w:tc>
        <w:tc>
          <w:tcPr>
            <w:tcW w:w="748" w:type="dxa"/>
          </w:tcPr>
          <w:p w14:paraId="75C3361D" w14:textId="77777777" w:rsidR="00D8322F" w:rsidRPr="00103A0B" w:rsidRDefault="00D8322F" w:rsidP="00CD5919">
            <w:pPr>
              <w:spacing w:line="360" w:lineRule="auto"/>
              <w:contextualSpacing/>
              <w:jc w:val="both"/>
              <w:rPr>
                <w:rFonts w:ascii="Arial" w:hAnsi="Arial" w:cs="Arial"/>
                <w:b/>
                <w:sz w:val="24"/>
                <w:szCs w:val="24"/>
              </w:rPr>
            </w:pPr>
            <w:proofErr w:type="spellStart"/>
            <w:r w:rsidRPr="00103A0B">
              <w:rPr>
                <w:rFonts w:ascii="Arial" w:hAnsi="Arial" w:cs="Arial"/>
                <w:sz w:val="24"/>
                <w:szCs w:val="24"/>
              </w:rPr>
              <w:t>df</w:t>
            </w:r>
            <w:proofErr w:type="spellEnd"/>
          </w:p>
        </w:tc>
        <w:tc>
          <w:tcPr>
            <w:tcW w:w="2141" w:type="dxa"/>
          </w:tcPr>
          <w:p w14:paraId="5CFFDB9D" w14:textId="77777777" w:rsidR="00D8322F" w:rsidRPr="00103A0B" w:rsidRDefault="00D8322F" w:rsidP="00CD5919">
            <w:pPr>
              <w:jc w:val="both"/>
              <w:rPr>
                <w:rFonts w:ascii="Arial" w:hAnsi="Arial" w:cs="Arial"/>
                <w:color w:val="010205"/>
                <w:sz w:val="24"/>
                <w:szCs w:val="24"/>
              </w:rPr>
            </w:pPr>
            <w:r w:rsidRPr="00103A0B">
              <w:rPr>
                <w:rFonts w:ascii="Arial" w:hAnsi="Arial" w:cs="Arial"/>
                <w:color w:val="010205"/>
                <w:sz w:val="24"/>
                <w:szCs w:val="24"/>
              </w:rPr>
              <w:t xml:space="preserve">Asymptotic Significance (2-sided) </w:t>
            </w:r>
            <w:r w:rsidRPr="00103A0B">
              <w:rPr>
                <w:rFonts w:ascii="Arial" w:hAnsi="Arial" w:cs="Arial"/>
                <w:i/>
                <w:iCs/>
                <w:color w:val="010205"/>
                <w:sz w:val="24"/>
                <w:szCs w:val="24"/>
              </w:rPr>
              <w:t>p-</w:t>
            </w:r>
            <w:r w:rsidRPr="00103A0B">
              <w:rPr>
                <w:rFonts w:ascii="Arial" w:hAnsi="Arial" w:cs="Arial"/>
                <w:color w:val="010205"/>
                <w:sz w:val="24"/>
                <w:szCs w:val="24"/>
              </w:rPr>
              <w:t>value</w:t>
            </w:r>
          </w:p>
        </w:tc>
        <w:tc>
          <w:tcPr>
            <w:tcW w:w="977" w:type="dxa"/>
          </w:tcPr>
          <w:p w14:paraId="5E98F139"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sz w:val="24"/>
                <w:szCs w:val="24"/>
              </w:rPr>
              <w:t>Phi (</w:t>
            </w:r>
            <w:r w:rsidRPr="00103A0B">
              <w:rPr>
                <w:rFonts w:ascii="Arial" w:hAnsi="Arial" w:cs="Arial"/>
                <w:sz w:val="24"/>
                <w:szCs w:val="24"/>
              </w:rPr>
              <w:sym w:font="Symbol" w:char="F066"/>
            </w:r>
            <w:r w:rsidRPr="00103A0B">
              <w:rPr>
                <w:rFonts w:ascii="Arial" w:hAnsi="Arial" w:cs="Arial"/>
                <w:sz w:val="24"/>
                <w:szCs w:val="24"/>
              </w:rPr>
              <w:t>)</w:t>
            </w:r>
          </w:p>
        </w:tc>
      </w:tr>
      <w:tr w:rsidR="00D8322F" w:rsidRPr="00103A0B" w14:paraId="0E51F6D8" w14:textId="77777777" w:rsidTr="00BB2420">
        <w:trPr>
          <w:trHeight w:val="261"/>
        </w:trPr>
        <w:tc>
          <w:tcPr>
            <w:tcW w:w="0" w:type="auto"/>
          </w:tcPr>
          <w:p w14:paraId="1E14B5C8" w14:textId="77777777" w:rsidR="00D8322F" w:rsidRPr="00103A0B" w:rsidRDefault="00D8322F" w:rsidP="00CD5919">
            <w:pPr>
              <w:spacing w:line="360" w:lineRule="auto"/>
              <w:contextualSpacing/>
              <w:jc w:val="both"/>
              <w:rPr>
                <w:rFonts w:ascii="Arial" w:hAnsi="Arial" w:cs="Arial"/>
                <w:b/>
                <w:bCs/>
                <w:sz w:val="24"/>
                <w:szCs w:val="24"/>
              </w:rPr>
            </w:pPr>
            <w:r w:rsidRPr="00103A0B">
              <w:rPr>
                <w:rFonts w:ascii="Arial" w:hAnsi="Arial" w:cs="Arial"/>
                <w:b/>
                <w:bCs/>
                <w:sz w:val="24"/>
                <w:szCs w:val="24"/>
              </w:rPr>
              <w:t>Programme area</w:t>
            </w:r>
          </w:p>
        </w:tc>
        <w:tc>
          <w:tcPr>
            <w:tcW w:w="0" w:type="auto"/>
          </w:tcPr>
          <w:p w14:paraId="1B8E8EA1"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47026937"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6983</w:t>
            </w:r>
          </w:p>
        </w:tc>
        <w:tc>
          <w:tcPr>
            <w:tcW w:w="0" w:type="auto"/>
          </w:tcPr>
          <w:p w14:paraId="428B3BB2"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3756</w:t>
            </w:r>
          </w:p>
        </w:tc>
        <w:tc>
          <w:tcPr>
            <w:tcW w:w="0" w:type="auto"/>
          </w:tcPr>
          <w:p w14:paraId="727DF7E6"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10739</w:t>
            </w:r>
          </w:p>
        </w:tc>
        <w:tc>
          <w:tcPr>
            <w:tcW w:w="0" w:type="auto"/>
          </w:tcPr>
          <w:p w14:paraId="659C2365"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643.178</w:t>
            </w:r>
          </w:p>
        </w:tc>
        <w:tc>
          <w:tcPr>
            <w:tcW w:w="748" w:type="dxa"/>
          </w:tcPr>
          <w:p w14:paraId="3206C8D0"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5</w:t>
            </w:r>
          </w:p>
        </w:tc>
        <w:tc>
          <w:tcPr>
            <w:tcW w:w="2141" w:type="dxa"/>
          </w:tcPr>
          <w:p w14:paraId="49529559"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&lt;.001</w:t>
            </w:r>
          </w:p>
        </w:tc>
        <w:tc>
          <w:tcPr>
            <w:tcW w:w="977" w:type="dxa"/>
          </w:tcPr>
          <w:p w14:paraId="0038639C"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.245</w:t>
            </w:r>
          </w:p>
        </w:tc>
      </w:tr>
      <w:tr w:rsidR="00D8322F" w:rsidRPr="00103A0B" w14:paraId="2BD2DD8A" w14:textId="77777777" w:rsidTr="00BB2420">
        <w:trPr>
          <w:trHeight w:val="261"/>
        </w:trPr>
        <w:tc>
          <w:tcPr>
            <w:tcW w:w="0" w:type="auto"/>
            <w:vMerge w:val="restart"/>
          </w:tcPr>
          <w:p w14:paraId="79778586"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794A51B4" w14:textId="77777777" w:rsidR="00D8322F" w:rsidRPr="00103A0B" w:rsidRDefault="00D8322F" w:rsidP="00CD5919">
            <w:pPr>
              <w:spacing w:line="360" w:lineRule="auto"/>
              <w:contextualSpacing/>
              <w:jc w:val="both"/>
              <w:rPr>
                <w:rFonts w:ascii="Arial" w:hAnsi="Arial" w:cs="Arial"/>
                <w:sz w:val="24"/>
                <w:szCs w:val="24"/>
              </w:rPr>
            </w:pPr>
            <w:proofErr w:type="gramStart"/>
            <w:r w:rsidRPr="00103A0B">
              <w:rPr>
                <w:rFonts w:ascii="Arial" w:hAnsi="Arial" w:cs="Arial"/>
                <w:sz w:val="24"/>
                <w:szCs w:val="24"/>
              </w:rPr>
              <w:t>North East</w:t>
            </w:r>
            <w:proofErr w:type="gramEnd"/>
            <w:r w:rsidRPr="00103A0B">
              <w:rPr>
                <w:rFonts w:ascii="Arial" w:hAnsi="Arial" w:cs="Arial"/>
                <w:sz w:val="24"/>
                <w:szCs w:val="24"/>
              </w:rPr>
              <w:t xml:space="preserve"> London</w:t>
            </w:r>
          </w:p>
        </w:tc>
        <w:tc>
          <w:tcPr>
            <w:tcW w:w="0" w:type="auto"/>
          </w:tcPr>
          <w:p w14:paraId="332D6BB0"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990 (116.1)</w:t>
            </w:r>
          </w:p>
        </w:tc>
        <w:tc>
          <w:tcPr>
            <w:tcW w:w="0" w:type="auto"/>
          </w:tcPr>
          <w:p w14:paraId="70891E2B"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354 (-116.1)</w:t>
            </w:r>
          </w:p>
        </w:tc>
        <w:tc>
          <w:tcPr>
            <w:tcW w:w="0" w:type="auto"/>
          </w:tcPr>
          <w:p w14:paraId="575752A7"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1344</w:t>
            </w:r>
          </w:p>
        </w:tc>
        <w:tc>
          <w:tcPr>
            <w:tcW w:w="0" w:type="auto"/>
            <w:vMerge w:val="restart"/>
          </w:tcPr>
          <w:p w14:paraId="4C0AB466" w14:textId="77777777" w:rsidR="00D8322F" w:rsidRPr="00103A0B" w:rsidRDefault="00D8322F" w:rsidP="00CD5919">
            <w:pPr>
              <w:spacing w:line="360" w:lineRule="auto"/>
              <w:contextualSpacing/>
              <w:jc w:val="both"/>
              <w:rPr>
                <w:rFonts w:ascii="Arial" w:hAnsi="Arial" w:cs="Arial"/>
                <w:b/>
                <w:sz w:val="24"/>
                <w:szCs w:val="24"/>
              </w:rPr>
            </w:pPr>
          </w:p>
        </w:tc>
        <w:tc>
          <w:tcPr>
            <w:tcW w:w="748" w:type="dxa"/>
            <w:vMerge w:val="restart"/>
          </w:tcPr>
          <w:p w14:paraId="51B77DD4" w14:textId="77777777" w:rsidR="00D8322F" w:rsidRPr="00103A0B" w:rsidRDefault="00D8322F" w:rsidP="00CD5919">
            <w:pPr>
              <w:spacing w:line="360" w:lineRule="auto"/>
              <w:contextualSpacing/>
              <w:jc w:val="both"/>
              <w:rPr>
                <w:rFonts w:ascii="Arial" w:hAnsi="Arial" w:cs="Arial"/>
                <w:b/>
                <w:sz w:val="24"/>
                <w:szCs w:val="24"/>
              </w:rPr>
            </w:pPr>
          </w:p>
        </w:tc>
        <w:tc>
          <w:tcPr>
            <w:tcW w:w="2141" w:type="dxa"/>
            <w:vMerge w:val="restart"/>
          </w:tcPr>
          <w:p w14:paraId="07630084" w14:textId="77777777" w:rsidR="00D8322F" w:rsidRPr="00103A0B" w:rsidRDefault="00D8322F" w:rsidP="00CD5919">
            <w:pPr>
              <w:spacing w:line="360" w:lineRule="auto"/>
              <w:contextualSpacing/>
              <w:jc w:val="both"/>
              <w:rPr>
                <w:rFonts w:ascii="Arial" w:hAnsi="Arial" w:cs="Arial"/>
                <w:b/>
                <w:sz w:val="24"/>
                <w:szCs w:val="24"/>
              </w:rPr>
            </w:pPr>
          </w:p>
        </w:tc>
        <w:tc>
          <w:tcPr>
            <w:tcW w:w="977" w:type="dxa"/>
            <w:vMerge w:val="restart"/>
          </w:tcPr>
          <w:p w14:paraId="7C177AE7" w14:textId="77777777" w:rsidR="00D8322F" w:rsidRPr="00103A0B" w:rsidRDefault="00D8322F" w:rsidP="00CD5919">
            <w:pPr>
              <w:spacing w:line="360" w:lineRule="auto"/>
              <w:contextualSpacing/>
              <w:jc w:val="both"/>
              <w:rPr>
                <w:rFonts w:ascii="Arial" w:hAnsi="Arial" w:cs="Arial"/>
                <w:b/>
                <w:sz w:val="24"/>
                <w:szCs w:val="24"/>
              </w:rPr>
            </w:pPr>
          </w:p>
        </w:tc>
      </w:tr>
      <w:tr w:rsidR="00D8322F" w:rsidRPr="00103A0B" w14:paraId="759AC780" w14:textId="77777777" w:rsidTr="00BB2420">
        <w:trPr>
          <w:trHeight w:val="261"/>
        </w:trPr>
        <w:tc>
          <w:tcPr>
            <w:tcW w:w="0" w:type="auto"/>
            <w:vMerge/>
          </w:tcPr>
          <w:p w14:paraId="5389C715"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7A74333"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Cumbria</w:t>
            </w:r>
          </w:p>
        </w:tc>
        <w:tc>
          <w:tcPr>
            <w:tcW w:w="0" w:type="auto"/>
          </w:tcPr>
          <w:p w14:paraId="16C9DBD0"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1011 (-2.7)</w:t>
            </w:r>
          </w:p>
        </w:tc>
        <w:tc>
          <w:tcPr>
            <w:tcW w:w="0" w:type="auto"/>
          </w:tcPr>
          <w:p w14:paraId="59027DB2"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548 (2.7)</w:t>
            </w:r>
          </w:p>
        </w:tc>
        <w:tc>
          <w:tcPr>
            <w:tcW w:w="0" w:type="auto"/>
          </w:tcPr>
          <w:p w14:paraId="4F9D0C46"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1559</w:t>
            </w:r>
          </w:p>
        </w:tc>
        <w:tc>
          <w:tcPr>
            <w:tcW w:w="0" w:type="auto"/>
            <w:vMerge/>
          </w:tcPr>
          <w:p w14:paraId="56ECC7DF" w14:textId="77777777" w:rsidR="00D8322F" w:rsidRPr="00103A0B" w:rsidRDefault="00D8322F" w:rsidP="00CD5919">
            <w:pPr>
              <w:spacing w:line="360" w:lineRule="auto"/>
              <w:contextualSpacing/>
              <w:jc w:val="both"/>
              <w:rPr>
                <w:rFonts w:ascii="Arial" w:hAnsi="Arial" w:cs="Arial"/>
                <w:b/>
                <w:sz w:val="24"/>
                <w:szCs w:val="24"/>
              </w:rPr>
            </w:pPr>
          </w:p>
        </w:tc>
        <w:tc>
          <w:tcPr>
            <w:tcW w:w="748" w:type="dxa"/>
            <w:vMerge/>
          </w:tcPr>
          <w:p w14:paraId="54BCAC2C" w14:textId="77777777" w:rsidR="00D8322F" w:rsidRPr="00103A0B" w:rsidRDefault="00D8322F" w:rsidP="00CD5919">
            <w:pPr>
              <w:spacing w:line="360" w:lineRule="auto"/>
              <w:contextualSpacing/>
              <w:jc w:val="both"/>
              <w:rPr>
                <w:rFonts w:ascii="Arial" w:hAnsi="Arial" w:cs="Arial"/>
                <w:b/>
                <w:sz w:val="24"/>
                <w:szCs w:val="24"/>
              </w:rPr>
            </w:pPr>
          </w:p>
        </w:tc>
        <w:tc>
          <w:tcPr>
            <w:tcW w:w="2141" w:type="dxa"/>
            <w:vMerge/>
          </w:tcPr>
          <w:p w14:paraId="6525FEFB" w14:textId="77777777" w:rsidR="00D8322F" w:rsidRPr="00103A0B" w:rsidRDefault="00D8322F" w:rsidP="00CD5919">
            <w:pPr>
              <w:spacing w:line="360" w:lineRule="auto"/>
              <w:contextualSpacing/>
              <w:jc w:val="both"/>
              <w:rPr>
                <w:rFonts w:ascii="Arial" w:hAnsi="Arial" w:cs="Arial"/>
                <w:b/>
                <w:sz w:val="24"/>
                <w:szCs w:val="24"/>
              </w:rPr>
            </w:pPr>
          </w:p>
        </w:tc>
        <w:tc>
          <w:tcPr>
            <w:tcW w:w="977" w:type="dxa"/>
            <w:vMerge/>
          </w:tcPr>
          <w:p w14:paraId="7DB3CBB5" w14:textId="77777777" w:rsidR="00D8322F" w:rsidRPr="00103A0B" w:rsidRDefault="00D8322F" w:rsidP="00CD5919">
            <w:pPr>
              <w:spacing w:line="360" w:lineRule="auto"/>
              <w:contextualSpacing/>
              <w:jc w:val="both"/>
              <w:rPr>
                <w:rFonts w:ascii="Arial" w:hAnsi="Arial" w:cs="Arial"/>
                <w:b/>
                <w:sz w:val="24"/>
                <w:szCs w:val="24"/>
              </w:rPr>
            </w:pPr>
          </w:p>
        </w:tc>
      </w:tr>
      <w:tr w:rsidR="00D8322F" w:rsidRPr="00103A0B" w14:paraId="1192D806" w14:textId="77777777" w:rsidTr="00BB2420">
        <w:trPr>
          <w:trHeight w:val="261"/>
        </w:trPr>
        <w:tc>
          <w:tcPr>
            <w:tcW w:w="0" w:type="auto"/>
            <w:vMerge/>
          </w:tcPr>
          <w:p w14:paraId="4DE4774E"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50C1C446"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 xml:space="preserve">Herefordshire </w:t>
            </w:r>
          </w:p>
        </w:tc>
        <w:tc>
          <w:tcPr>
            <w:tcW w:w="0" w:type="auto"/>
          </w:tcPr>
          <w:p w14:paraId="3493A293"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538 (-105.1)</w:t>
            </w:r>
          </w:p>
        </w:tc>
        <w:tc>
          <w:tcPr>
            <w:tcW w:w="0" w:type="auto"/>
          </w:tcPr>
          <w:p w14:paraId="1ED09F85"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451 (105.1)</w:t>
            </w:r>
          </w:p>
        </w:tc>
        <w:tc>
          <w:tcPr>
            <w:tcW w:w="0" w:type="auto"/>
          </w:tcPr>
          <w:p w14:paraId="44847B0C"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989</w:t>
            </w:r>
          </w:p>
        </w:tc>
        <w:tc>
          <w:tcPr>
            <w:tcW w:w="0" w:type="auto"/>
            <w:vMerge/>
          </w:tcPr>
          <w:p w14:paraId="29714B03" w14:textId="77777777" w:rsidR="00D8322F" w:rsidRPr="00103A0B" w:rsidRDefault="00D8322F" w:rsidP="00CD5919">
            <w:pPr>
              <w:spacing w:line="360" w:lineRule="auto"/>
              <w:contextualSpacing/>
              <w:jc w:val="both"/>
              <w:rPr>
                <w:rFonts w:ascii="Arial" w:hAnsi="Arial" w:cs="Arial"/>
                <w:b/>
                <w:sz w:val="24"/>
                <w:szCs w:val="24"/>
              </w:rPr>
            </w:pPr>
          </w:p>
        </w:tc>
        <w:tc>
          <w:tcPr>
            <w:tcW w:w="748" w:type="dxa"/>
            <w:vMerge/>
          </w:tcPr>
          <w:p w14:paraId="7A5768C9" w14:textId="77777777" w:rsidR="00D8322F" w:rsidRPr="00103A0B" w:rsidRDefault="00D8322F" w:rsidP="00CD5919">
            <w:pPr>
              <w:spacing w:line="360" w:lineRule="auto"/>
              <w:contextualSpacing/>
              <w:jc w:val="both"/>
              <w:rPr>
                <w:rFonts w:ascii="Arial" w:hAnsi="Arial" w:cs="Arial"/>
                <w:b/>
                <w:sz w:val="24"/>
                <w:szCs w:val="24"/>
              </w:rPr>
            </w:pPr>
          </w:p>
        </w:tc>
        <w:tc>
          <w:tcPr>
            <w:tcW w:w="2141" w:type="dxa"/>
            <w:vMerge/>
          </w:tcPr>
          <w:p w14:paraId="065BD7CA" w14:textId="77777777" w:rsidR="00D8322F" w:rsidRPr="00103A0B" w:rsidRDefault="00D8322F" w:rsidP="00CD5919">
            <w:pPr>
              <w:spacing w:line="360" w:lineRule="auto"/>
              <w:contextualSpacing/>
              <w:jc w:val="both"/>
              <w:rPr>
                <w:rFonts w:ascii="Arial" w:hAnsi="Arial" w:cs="Arial"/>
                <w:b/>
                <w:sz w:val="24"/>
                <w:szCs w:val="24"/>
              </w:rPr>
            </w:pPr>
          </w:p>
        </w:tc>
        <w:tc>
          <w:tcPr>
            <w:tcW w:w="977" w:type="dxa"/>
            <w:vMerge/>
          </w:tcPr>
          <w:p w14:paraId="0C722219" w14:textId="77777777" w:rsidR="00D8322F" w:rsidRPr="00103A0B" w:rsidRDefault="00D8322F" w:rsidP="00CD5919">
            <w:pPr>
              <w:spacing w:line="360" w:lineRule="auto"/>
              <w:contextualSpacing/>
              <w:jc w:val="both"/>
              <w:rPr>
                <w:rFonts w:ascii="Arial" w:hAnsi="Arial" w:cs="Arial"/>
                <w:b/>
                <w:sz w:val="24"/>
                <w:szCs w:val="24"/>
              </w:rPr>
            </w:pPr>
          </w:p>
        </w:tc>
      </w:tr>
      <w:tr w:rsidR="00D8322F" w:rsidRPr="00103A0B" w14:paraId="73E38A51" w14:textId="77777777" w:rsidTr="00BB2420">
        <w:trPr>
          <w:trHeight w:val="261"/>
        </w:trPr>
        <w:tc>
          <w:tcPr>
            <w:tcW w:w="0" w:type="auto"/>
            <w:vMerge/>
          </w:tcPr>
          <w:p w14:paraId="497627D5"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54E3056C"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Berkshire</w:t>
            </w:r>
          </w:p>
        </w:tc>
        <w:tc>
          <w:tcPr>
            <w:tcW w:w="0" w:type="auto"/>
          </w:tcPr>
          <w:p w14:paraId="2453E16B"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327 (-255.6)</w:t>
            </w:r>
          </w:p>
        </w:tc>
        <w:tc>
          <w:tcPr>
            <w:tcW w:w="0" w:type="auto"/>
          </w:tcPr>
          <w:p w14:paraId="40FB8FE7"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569 (255.6)</w:t>
            </w:r>
          </w:p>
        </w:tc>
        <w:tc>
          <w:tcPr>
            <w:tcW w:w="0" w:type="auto"/>
          </w:tcPr>
          <w:p w14:paraId="0DCC5615"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896</w:t>
            </w:r>
          </w:p>
        </w:tc>
        <w:tc>
          <w:tcPr>
            <w:tcW w:w="0" w:type="auto"/>
            <w:vMerge/>
          </w:tcPr>
          <w:p w14:paraId="730F09D7" w14:textId="77777777" w:rsidR="00D8322F" w:rsidRPr="00103A0B" w:rsidRDefault="00D8322F" w:rsidP="00CD5919">
            <w:pPr>
              <w:spacing w:line="360" w:lineRule="auto"/>
              <w:contextualSpacing/>
              <w:jc w:val="both"/>
              <w:rPr>
                <w:rFonts w:ascii="Arial" w:hAnsi="Arial" w:cs="Arial"/>
                <w:b/>
                <w:sz w:val="24"/>
                <w:szCs w:val="24"/>
              </w:rPr>
            </w:pPr>
          </w:p>
        </w:tc>
        <w:tc>
          <w:tcPr>
            <w:tcW w:w="748" w:type="dxa"/>
            <w:vMerge/>
          </w:tcPr>
          <w:p w14:paraId="22F96F60" w14:textId="77777777" w:rsidR="00D8322F" w:rsidRPr="00103A0B" w:rsidRDefault="00D8322F" w:rsidP="00CD5919">
            <w:pPr>
              <w:spacing w:line="360" w:lineRule="auto"/>
              <w:contextualSpacing/>
              <w:jc w:val="both"/>
              <w:rPr>
                <w:rFonts w:ascii="Arial" w:hAnsi="Arial" w:cs="Arial"/>
                <w:b/>
                <w:sz w:val="24"/>
                <w:szCs w:val="24"/>
              </w:rPr>
            </w:pPr>
          </w:p>
        </w:tc>
        <w:tc>
          <w:tcPr>
            <w:tcW w:w="2141" w:type="dxa"/>
            <w:vMerge/>
          </w:tcPr>
          <w:p w14:paraId="56326980" w14:textId="77777777" w:rsidR="00D8322F" w:rsidRPr="00103A0B" w:rsidRDefault="00D8322F" w:rsidP="00CD5919">
            <w:pPr>
              <w:spacing w:line="360" w:lineRule="auto"/>
              <w:contextualSpacing/>
              <w:jc w:val="both"/>
              <w:rPr>
                <w:rFonts w:ascii="Arial" w:hAnsi="Arial" w:cs="Arial"/>
                <w:b/>
                <w:sz w:val="24"/>
                <w:szCs w:val="24"/>
              </w:rPr>
            </w:pPr>
          </w:p>
        </w:tc>
        <w:tc>
          <w:tcPr>
            <w:tcW w:w="977" w:type="dxa"/>
            <w:vMerge/>
          </w:tcPr>
          <w:p w14:paraId="6706331B" w14:textId="77777777" w:rsidR="00D8322F" w:rsidRPr="00103A0B" w:rsidRDefault="00D8322F" w:rsidP="00CD5919">
            <w:pPr>
              <w:spacing w:line="360" w:lineRule="auto"/>
              <w:contextualSpacing/>
              <w:jc w:val="both"/>
              <w:rPr>
                <w:rFonts w:ascii="Arial" w:hAnsi="Arial" w:cs="Arial"/>
                <w:b/>
                <w:sz w:val="24"/>
                <w:szCs w:val="24"/>
              </w:rPr>
            </w:pPr>
          </w:p>
        </w:tc>
      </w:tr>
      <w:tr w:rsidR="00D8322F" w:rsidRPr="00103A0B" w14:paraId="7F19FDC3" w14:textId="77777777" w:rsidTr="00BB2420">
        <w:trPr>
          <w:trHeight w:val="261"/>
        </w:trPr>
        <w:tc>
          <w:tcPr>
            <w:tcW w:w="0" w:type="auto"/>
            <w:vMerge/>
          </w:tcPr>
          <w:p w14:paraId="7B3E3AC3"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1D613611"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South London</w:t>
            </w:r>
          </w:p>
        </w:tc>
        <w:tc>
          <w:tcPr>
            <w:tcW w:w="0" w:type="auto"/>
          </w:tcPr>
          <w:p w14:paraId="3563DAF4"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2974 (-17.8)</w:t>
            </w:r>
          </w:p>
        </w:tc>
        <w:tc>
          <w:tcPr>
            <w:tcW w:w="0" w:type="auto"/>
          </w:tcPr>
          <w:p w14:paraId="52D3A5FF"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1627 (17.8)</w:t>
            </w:r>
          </w:p>
        </w:tc>
        <w:tc>
          <w:tcPr>
            <w:tcW w:w="0" w:type="auto"/>
          </w:tcPr>
          <w:p w14:paraId="1C93FBEF"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4601</w:t>
            </w:r>
          </w:p>
        </w:tc>
        <w:tc>
          <w:tcPr>
            <w:tcW w:w="0" w:type="auto"/>
            <w:vMerge/>
          </w:tcPr>
          <w:p w14:paraId="7434C08F" w14:textId="77777777" w:rsidR="00D8322F" w:rsidRPr="00103A0B" w:rsidRDefault="00D8322F" w:rsidP="00CD5919">
            <w:pPr>
              <w:spacing w:line="360" w:lineRule="auto"/>
              <w:contextualSpacing/>
              <w:jc w:val="both"/>
              <w:rPr>
                <w:rFonts w:ascii="Arial" w:hAnsi="Arial" w:cs="Arial"/>
                <w:b/>
                <w:sz w:val="24"/>
                <w:szCs w:val="24"/>
              </w:rPr>
            </w:pPr>
          </w:p>
        </w:tc>
        <w:tc>
          <w:tcPr>
            <w:tcW w:w="748" w:type="dxa"/>
            <w:vMerge/>
          </w:tcPr>
          <w:p w14:paraId="26CC2BC1" w14:textId="77777777" w:rsidR="00D8322F" w:rsidRPr="00103A0B" w:rsidRDefault="00D8322F" w:rsidP="00CD5919">
            <w:pPr>
              <w:spacing w:line="360" w:lineRule="auto"/>
              <w:contextualSpacing/>
              <w:jc w:val="both"/>
              <w:rPr>
                <w:rFonts w:ascii="Arial" w:hAnsi="Arial" w:cs="Arial"/>
                <w:b/>
                <w:sz w:val="24"/>
                <w:szCs w:val="24"/>
              </w:rPr>
            </w:pPr>
          </w:p>
        </w:tc>
        <w:tc>
          <w:tcPr>
            <w:tcW w:w="2141" w:type="dxa"/>
            <w:vMerge/>
          </w:tcPr>
          <w:p w14:paraId="01B7640F" w14:textId="77777777" w:rsidR="00D8322F" w:rsidRPr="00103A0B" w:rsidRDefault="00D8322F" w:rsidP="00CD5919">
            <w:pPr>
              <w:spacing w:line="360" w:lineRule="auto"/>
              <w:contextualSpacing/>
              <w:jc w:val="both"/>
              <w:rPr>
                <w:rFonts w:ascii="Arial" w:hAnsi="Arial" w:cs="Arial"/>
                <w:b/>
                <w:sz w:val="24"/>
                <w:szCs w:val="24"/>
              </w:rPr>
            </w:pPr>
          </w:p>
        </w:tc>
        <w:tc>
          <w:tcPr>
            <w:tcW w:w="977" w:type="dxa"/>
            <w:vMerge/>
          </w:tcPr>
          <w:p w14:paraId="738637DD" w14:textId="77777777" w:rsidR="00D8322F" w:rsidRPr="00103A0B" w:rsidRDefault="00D8322F" w:rsidP="00CD5919">
            <w:pPr>
              <w:spacing w:line="360" w:lineRule="auto"/>
              <w:contextualSpacing/>
              <w:jc w:val="both"/>
              <w:rPr>
                <w:rFonts w:ascii="Arial" w:hAnsi="Arial" w:cs="Arial"/>
                <w:b/>
                <w:sz w:val="24"/>
                <w:szCs w:val="24"/>
              </w:rPr>
            </w:pPr>
          </w:p>
        </w:tc>
      </w:tr>
      <w:tr w:rsidR="00D8322F" w:rsidRPr="00103A0B" w14:paraId="28A75DE5" w14:textId="77777777" w:rsidTr="00BB2420">
        <w:trPr>
          <w:trHeight w:val="261"/>
        </w:trPr>
        <w:tc>
          <w:tcPr>
            <w:tcW w:w="0" w:type="auto"/>
            <w:vMerge/>
          </w:tcPr>
          <w:p w14:paraId="232928F0"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7D1445D7"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 xml:space="preserve">West Yorkshire </w:t>
            </w:r>
          </w:p>
        </w:tc>
        <w:tc>
          <w:tcPr>
            <w:tcW w:w="0" w:type="auto"/>
          </w:tcPr>
          <w:p w14:paraId="0DC85453"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1143 (265.2)</w:t>
            </w:r>
          </w:p>
        </w:tc>
        <w:tc>
          <w:tcPr>
            <w:tcW w:w="0" w:type="auto"/>
          </w:tcPr>
          <w:p w14:paraId="5957BA82"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207 (-265.2)</w:t>
            </w:r>
          </w:p>
        </w:tc>
        <w:tc>
          <w:tcPr>
            <w:tcW w:w="0" w:type="auto"/>
          </w:tcPr>
          <w:p w14:paraId="159AFC93" w14:textId="77777777" w:rsidR="00D8322F" w:rsidRPr="00103A0B" w:rsidRDefault="00D8322F" w:rsidP="00CD5919">
            <w:pPr>
              <w:spacing w:line="360" w:lineRule="auto"/>
              <w:contextualSpacing/>
              <w:jc w:val="both"/>
              <w:rPr>
                <w:rFonts w:ascii="Arial" w:hAnsi="Arial" w:cs="Arial"/>
                <w:b/>
                <w:sz w:val="24"/>
                <w:szCs w:val="24"/>
              </w:rPr>
            </w:pPr>
            <w:r w:rsidRPr="00103A0B">
              <w:rPr>
                <w:rFonts w:ascii="Arial" w:hAnsi="Arial" w:cs="Arial"/>
                <w:color w:val="010205"/>
                <w:sz w:val="24"/>
                <w:szCs w:val="24"/>
              </w:rPr>
              <w:t>1350</w:t>
            </w:r>
          </w:p>
        </w:tc>
        <w:tc>
          <w:tcPr>
            <w:tcW w:w="0" w:type="auto"/>
            <w:vMerge/>
          </w:tcPr>
          <w:p w14:paraId="75D843BA" w14:textId="77777777" w:rsidR="00D8322F" w:rsidRPr="00103A0B" w:rsidRDefault="00D8322F" w:rsidP="00CD5919">
            <w:pPr>
              <w:spacing w:line="360" w:lineRule="auto"/>
              <w:contextualSpacing/>
              <w:jc w:val="both"/>
              <w:rPr>
                <w:rFonts w:ascii="Arial" w:hAnsi="Arial" w:cs="Arial"/>
                <w:b/>
                <w:sz w:val="24"/>
                <w:szCs w:val="24"/>
              </w:rPr>
            </w:pPr>
          </w:p>
        </w:tc>
        <w:tc>
          <w:tcPr>
            <w:tcW w:w="748" w:type="dxa"/>
            <w:vMerge/>
          </w:tcPr>
          <w:p w14:paraId="04AB3CD9" w14:textId="77777777" w:rsidR="00D8322F" w:rsidRPr="00103A0B" w:rsidRDefault="00D8322F" w:rsidP="00CD5919">
            <w:pPr>
              <w:spacing w:line="360" w:lineRule="auto"/>
              <w:contextualSpacing/>
              <w:jc w:val="both"/>
              <w:rPr>
                <w:rFonts w:ascii="Arial" w:hAnsi="Arial" w:cs="Arial"/>
                <w:b/>
                <w:sz w:val="24"/>
                <w:szCs w:val="24"/>
              </w:rPr>
            </w:pPr>
          </w:p>
        </w:tc>
        <w:tc>
          <w:tcPr>
            <w:tcW w:w="2141" w:type="dxa"/>
            <w:vMerge/>
          </w:tcPr>
          <w:p w14:paraId="3849F120" w14:textId="77777777" w:rsidR="00D8322F" w:rsidRPr="00103A0B" w:rsidRDefault="00D8322F" w:rsidP="00CD5919">
            <w:pPr>
              <w:spacing w:line="360" w:lineRule="auto"/>
              <w:contextualSpacing/>
              <w:jc w:val="both"/>
              <w:rPr>
                <w:rFonts w:ascii="Arial" w:hAnsi="Arial" w:cs="Arial"/>
                <w:b/>
                <w:sz w:val="24"/>
                <w:szCs w:val="24"/>
              </w:rPr>
            </w:pPr>
          </w:p>
        </w:tc>
        <w:tc>
          <w:tcPr>
            <w:tcW w:w="977" w:type="dxa"/>
            <w:vMerge/>
          </w:tcPr>
          <w:p w14:paraId="07B43D7B" w14:textId="77777777" w:rsidR="00D8322F" w:rsidRPr="00103A0B" w:rsidRDefault="00D8322F" w:rsidP="00CD5919">
            <w:pPr>
              <w:spacing w:line="360" w:lineRule="auto"/>
              <w:contextualSpacing/>
              <w:jc w:val="both"/>
              <w:rPr>
                <w:rFonts w:ascii="Arial" w:hAnsi="Arial" w:cs="Arial"/>
                <w:b/>
                <w:sz w:val="24"/>
                <w:szCs w:val="24"/>
              </w:rPr>
            </w:pPr>
          </w:p>
        </w:tc>
      </w:tr>
      <w:tr w:rsidR="00D8322F" w:rsidRPr="00103A0B" w14:paraId="5C1D0F9D" w14:textId="77777777" w:rsidTr="00BB2420">
        <w:trPr>
          <w:trHeight w:val="261"/>
        </w:trPr>
        <w:tc>
          <w:tcPr>
            <w:tcW w:w="0" w:type="auto"/>
          </w:tcPr>
          <w:p w14:paraId="37C9D53C" w14:textId="77777777" w:rsidR="00D8322F" w:rsidRPr="00103A0B" w:rsidRDefault="00D8322F" w:rsidP="00CD5919">
            <w:pPr>
              <w:spacing w:line="360" w:lineRule="auto"/>
              <w:contextualSpacing/>
              <w:jc w:val="both"/>
              <w:rPr>
                <w:rFonts w:ascii="Arial" w:hAnsi="Arial" w:cs="Arial"/>
                <w:b/>
                <w:bCs/>
                <w:sz w:val="24"/>
                <w:szCs w:val="24"/>
              </w:rPr>
            </w:pPr>
            <w:r w:rsidRPr="00103A0B">
              <w:rPr>
                <w:rFonts w:ascii="Arial" w:hAnsi="Arial" w:cs="Arial"/>
                <w:b/>
                <w:bCs/>
                <w:sz w:val="24"/>
                <w:szCs w:val="24"/>
              </w:rPr>
              <w:t>Gender</w:t>
            </w:r>
          </w:p>
        </w:tc>
        <w:tc>
          <w:tcPr>
            <w:tcW w:w="0" w:type="auto"/>
          </w:tcPr>
          <w:p w14:paraId="55063DBB"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B7B0E17"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6901</w:t>
            </w:r>
          </w:p>
        </w:tc>
        <w:tc>
          <w:tcPr>
            <w:tcW w:w="0" w:type="auto"/>
          </w:tcPr>
          <w:p w14:paraId="6AD87C6B"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3756</w:t>
            </w:r>
          </w:p>
        </w:tc>
        <w:tc>
          <w:tcPr>
            <w:tcW w:w="0" w:type="auto"/>
          </w:tcPr>
          <w:p w14:paraId="0E29FCA6"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10657</w:t>
            </w:r>
          </w:p>
        </w:tc>
        <w:tc>
          <w:tcPr>
            <w:tcW w:w="0" w:type="auto"/>
          </w:tcPr>
          <w:p w14:paraId="7BCE35CE"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.516</w:t>
            </w:r>
          </w:p>
        </w:tc>
        <w:tc>
          <w:tcPr>
            <w:tcW w:w="748" w:type="dxa"/>
          </w:tcPr>
          <w:p w14:paraId="30F3274F"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w:t>
            </w:r>
          </w:p>
        </w:tc>
        <w:tc>
          <w:tcPr>
            <w:tcW w:w="2141" w:type="dxa"/>
          </w:tcPr>
          <w:p w14:paraId="7B37C4C2"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.473</w:t>
            </w:r>
          </w:p>
        </w:tc>
        <w:tc>
          <w:tcPr>
            <w:tcW w:w="977" w:type="dxa"/>
          </w:tcPr>
          <w:p w14:paraId="2584361F"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-.007</w:t>
            </w:r>
          </w:p>
        </w:tc>
      </w:tr>
      <w:tr w:rsidR="00D8322F" w:rsidRPr="00103A0B" w14:paraId="090D81A6" w14:textId="77777777" w:rsidTr="00BB2420">
        <w:trPr>
          <w:trHeight w:val="261"/>
        </w:trPr>
        <w:tc>
          <w:tcPr>
            <w:tcW w:w="0" w:type="auto"/>
            <w:vMerge w:val="restart"/>
          </w:tcPr>
          <w:p w14:paraId="61ECD765"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561023F8"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Female</w:t>
            </w:r>
          </w:p>
        </w:tc>
        <w:tc>
          <w:tcPr>
            <w:tcW w:w="0" w:type="auto"/>
          </w:tcPr>
          <w:p w14:paraId="4440B89C"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3811 (17.6)</w:t>
            </w:r>
          </w:p>
        </w:tc>
        <w:tc>
          <w:tcPr>
            <w:tcW w:w="0" w:type="auto"/>
          </w:tcPr>
          <w:p w14:paraId="01F71882"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2047 (-17.6)</w:t>
            </w:r>
          </w:p>
        </w:tc>
        <w:tc>
          <w:tcPr>
            <w:tcW w:w="0" w:type="auto"/>
          </w:tcPr>
          <w:p w14:paraId="7F73F2E9"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5858</w:t>
            </w:r>
          </w:p>
        </w:tc>
        <w:tc>
          <w:tcPr>
            <w:tcW w:w="0" w:type="auto"/>
            <w:vMerge w:val="restart"/>
          </w:tcPr>
          <w:p w14:paraId="1E3AE3FD"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val="restart"/>
          </w:tcPr>
          <w:p w14:paraId="54491762"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val="restart"/>
          </w:tcPr>
          <w:p w14:paraId="1312E677"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val="restart"/>
          </w:tcPr>
          <w:p w14:paraId="5720313B"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5037CD3B" w14:textId="77777777" w:rsidTr="00BB2420">
        <w:trPr>
          <w:trHeight w:val="261"/>
        </w:trPr>
        <w:tc>
          <w:tcPr>
            <w:tcW w:w="0" w:type="auto"/>
            <w:vMerge/>
          </w:tcPr>
          <w:p w14:paraId="66336F48"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5E40FCEA"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Male</w:t>
            </w:r>
          </w:p>
        </w:tc>
        <w:tc>
          <w:tcPr>
            <w:tcW w:w="0" w:type="auto"/>
          </w:tcPr>
          <w:p w14:paraId="7E337C17" w14:textId="77777777" w:rsidR="00D8322F" w:rsidRPr="00103A0B" w:rsidRDefault="00D8322F" w:rsidP="00CD5919">
            <w:pPr>
              <w:spacing w:before="240" w:line="360" w:lineRule="auto"/>
              <w:contextualSpacing/>
              <w:jc w:val="both"/>
              <w:rPr>
                <w:rFonts w:ascii="Arial" w:hAnsi="Arial" w:cs="Arial"/>
                <w:sz w:val="24"/>
                <w:szCs w:val="24"/>
              </w:rPr>
            </w:pPr>
            <w:r w:rsidRPr="00103A0B">
              <w:rPr>
                <w:rFonts w:ascii="Arial" w:hAnsi="Arial" w:cs="Arial"/>
                <w:color w:val="010205"/>
                <w:sz w:val="24"/>
                <w:szCs w:val="24"/>
              </w:rPr>
              <w:t>3090 (-17.6)</w:t>
            </w:r>
          </w:p>
        </w:tc>
        <w:tc>
          <w:tcPr>
            <w:tcW w:w="0" w:type="auto"/>
          </w:tcPr>
          <w:p w14:paraId="182C6B74" w14:textId="77777777" w:rsidR="00D8322F" w:rsidRPr="00103A0B" w:rsidRDefault="00D8322F" w:rsidP="00CD5919">
            <w:pPr>
              <w:spacing w:before="240" w:line="360" w:lineRule="auto"/>
              <w:contextualSpacing/>
              <w:jc w:val="both"/>
              <w:rPr>
                <w:rFonts w:ascii="Arial" w:hAnsi="Arial" w:cs="Arial"/>
                <w:sz w:val="24"/>
                <w:szCs w:val="24"/>
              </w:rPr>
            </w:pPr>
            <w:r w:rsidRPr="00103A0B">
              <w:rPr>
                <w:rFonts w:ascii="Arial" w:hAnsi="Arial" w:cs="Arial"/>
                <w:color w:val="010205"/>
                <w:sz w:val="24"/>
                <w:szCs w:val="24"/>
              </w:rPr>
              <w:t>1709 (17.6)</w:t>
            </w:r>
          </w:p>
        </w:tc>
        <w:tc>
          <w:tcPr>
            <w:tcW w:w="0" w:type="auto"/>
          </w:tcPr>
          <w:p w14:paraId="7B230699" w14:textId="77777777" w:rsidR="00D8322F" w:rsidRPr="00103A0B" w:rsidRDefault="00D8322F" w:rsidP="00CD5919">
            <w:pPr>
              <w:spacing w:before="240" w:line="360" w:lineRule="auto"/>
              <w:contextualSpacing/>
              <w:jc w:val="both"/>
              <w:rPr>
                <w:rFonts w:ascii="Arial" w:hAnsi="Arial" w:cs="Arial"/>
                <w:color w:val="010205"/>
                <w:sz w:val="24"/>
                <w:szCs w:val="24"/>
              </w:rPr>
            </w:pPr>
            <w:r w:rsidRPr="00103A0B">
              <w:rPr>
                <w:rFonts w:ascii="Arial" w:hAnsi="Arial" w:cs="Arial"/>
                <w:color w:val="010205"/>
                <w:sz w:val="24"/>
                <w:szCs w:val="24"/>
              </w:rPr>
              <w:t>4799</w:t>
            </w:r>
          </w:p>
        </w:tc>
        <w:tc>
          <w:tcPr>
            <w:tcW w:w="0" w:type="auto"/>
            <w:vMerge/>
          </w:tcPr>
          <w:p w14:paraId="09C10409" w14:textId="77777777" w:rsidR="00D8322F" w:rsidRPr="00103A0B" w:rsidRDefault="00D8322F" w:rsidP="00CD5919">
            <w:pPr>
              <w:spacing w:before="240" w:line="360" w:lineRule="auto"/>
              <w:contextualSpacing/>
              <w:jc w:val="both"/>
              <w:rPr>
                <w:rFonts w:ascii="Arial" w:hAnsi="Arial" w:cs="Arial"/>
                <w:color w:val="010205"/>
                <w:sz w:val="24"/>
                <w:szCs w:val="24"/>
              </w:rPr>
            </w:pPr>
          </w:p>
        </w:tc>
        <w:tc>
          <w:tcPr>
            <w:tcW w:w="748" w:type="dxa"/>
            <w:vMerge/>
          </w:tcPr>
          <w:p w14:paraId="4CC488D6" w14:textId="77777777" w:rsidR="00D8322F" w:rsidRPr="00103A0B" w:rsidRDefault="00D8322F" w:rsidP="00CD5919">
            <w:pPr>
              <w:spacing w:before="240" w:line="360" w:lineRule="auto"/>
              <w:contextualSpacing/>
              <w:jc w:val="both"/>
              <w:rPr>
                <w:rFonts w:ascii="Arial" w:hAnsi="Arial" w:cs="Arial"/>
                <w:color w:val="010205"/>
                <w:sz w:val="24"/>
                <w:szCs w:val="24"/>
              </w:rPr>
            </w:pPr>
          </w:p>
        </w:tc>
        <w:tc>
          <w:tcPr>
            <w:tcW w:w="2141" w:type="dxa"/>
            <w:vMerge/>
          </w:tcPr>
          <w:p w14:paraId="2AC26318" w14:textId="77777777" w:rsidR="00D8322F" w:rsidRPr="00103A0B" w:rsidRDefault="00D8322F" w:rsidP="00CD5919">
            <w:pPr>
              <w:spacing w:before="240" w:line="360" w:lineRule="auto"/>
              <w:contextualSpacing/>
              <w:jc w:val="both"/>
              <w:rPr>
                <w:rFonts w:ascii="Arial" w:hAnsi="Arial" w:cs="Arial"/>
                <w:color w:val="010205"/>
                <w:sz w:val="24"/>
                <w:szCs w:val="24"/>
              </w:rPr>
            </w:pPr>
          </w:p>
        </w:tc>
        <w:tc>
          <w:tcPr>
            <w:tcW w:w="977" w:type="dxa"/>
            <w:vMerge/>
          </w:tcPr>
          <w:p w14:paraId="7E605207" w14:textId="77777777" w:rsidR="00D8322F" w:rsidRPr="00103A0B" w:rsidRDefault="00D8322F" w:rsidP="00CD5919">
            <w:pPr>
              <w:spacing w:before="240" w:line="360" w:lineRule="auto"/>
              <w:contextualSpacing/>
              <w:jc w:val="both"/>
              <w:rPr>
                <w:rFonts w:ascii="Arial" w:hAnsi="Arial" w:cs="Arial"/>
                <w:color w:val="010205"/>
                <w:sz w:val="24"/>
                <w:szCs w:val="24"/>
              </w:rPr>
            </w:pPr>
          </w:p>
        </w:tc>
      </w:tr>
      <w:tr w:rsidR="00D8322F" w:rsidRPr="00103A0B" w14:paraId="62F15BC3" w14:textId="77777777" w:rsidTr="00BB2420">
        <w:trPr>
          <w:trHeight w:val="261"/>
        </w:trPr>
        <w:tc>
          <w:tcPr>
            <w:tcW w:w="0" w:type="auto"/>
          </w:tcPr>
          <w:p w14:paraId="07C91F7D" w14:textId="77777777" w:rsidR="00D8322F" w:rsidRPr="00103A0B" w:rsidRDefault="00D8322F" w:rsidP="00CD5919">
            <w:pPr>
              <w:spacing w:line="360" w:lineRule="auto"/>
              <w:contextualSpacing/>
              <w:jc w:val="both"/>
              <w:rPr>
                <w:rFonts w:ascii="Arial" w:hAnsi="Arial" w:cs="Arial"/>
                <w:b/>
                <w:bCs/>
                <w:sz w:val="24"/>
                <w:szCs w:val="24"/>
              </w:rPr>
            </w:pPr>
            <w:r w:rsidRPr="00103A0B">
              <w:rPr>
                <w:rFonts w:ascii="Arial" w:hAnsi="Arial" w:cs="Arial"/>
                <w:b/>
                <w:bCs/>
                <w:sz w:val="24"/>
                <w:szCs w:val="24"/>
              </w:rPr>
              <w:t>Age</w:t>
            </w:r>
          </w:p>
        </w:tc>
        <w:tc>
          <w:tcPr>
            <w:tcW w:w="0" w:type="auto"/>
          </w:tcPr>
          <w:p w14:paraId="49C9A3B9"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579ADB94"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6968</w:t>
            </w:r>
          </w:p>
        </w:tc>
        <w:tc>
          <w:tcPr>
            <w:tcW w:w="0" w:type="auto"/>
          </w:tcPr>
          <w:p w14:paraId="6AE6A1C4"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3756</w:t>
            </w:r>
          </w:p>
        </w:tc>
        <w:tc>
          <w:tcPr>
            <w:tcW w:w="0" w:type="auto"/>
          </w:tcPr>
          <w:p w14:paraId="2CD8D6B6"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10724</w:t>
            </w:r>
          </w:p>
        </w:tc>
        <w:tc>
          <w:tcPr>
            <w:tcW w:w="0" w:type="auto"/>
          </w:tcPr>
          <w:p w14:paraId="15B1DD5C"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15.426</w:t>
            </w:r>
          </w:p>
        </w:tc>
        <w:tc>
          <w:tcPr>
            <w:tcW w:w="748" w:type="dxa"/>
          </w:tcPr>
          <w:p w14:paraId="6385D2B5"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8</w:t>
            </w:r>
          </w:p>
        </w:tc>
        <w:tc>
          <w:tcPr>
            <w:tcW w:w="2141" w:type="dxa"/>
          </w:tcPr>
          <w:p w14:paraId="1FF1641D"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.051</w:t>
            </w:r>
          </w:p>
        </w:tc>
        <w:tc>
          <w:tcPr>
            <w:tcW w:w="977" w:type="dxa"/>
          </w:tcPr>
          <w:p w14:paraId="0A9A77C4"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.038</w:t>
            </w:r>
          </w:p>
        </w:tc>
      </w:tr>
      <w:tr w:rsidR="00D8322F" w:rsidRPr="00103A0B" w14:paraId="1BFFF624" w14:textId="77777777" w:rsidTr="00BB2420">
        <w:trPr>
          <w:trHeight w:val="261"/>
        </w:trPr>
        <w:tc>
          <w:tcPr>
            <w:tcW w:w="0" w:type="auto"/>
            <w:vMerge w:val="restart"/>
          </w:tcPr>
          <w:p w14:paraId="605A4591"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022BC3F1"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&lt;40</w:t>
            </w:r>
          </w:p>
        </w:tc>
        <w:tc>
          <w:tcPr>
            <w:tcW w:w="0" w:type="auto"/>
          </w:tcPr>
          <w:p w14:paraId="6408961E"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313 (1.8)</w:t>
            </w:r>
          </w:p>
        </w:tc>
        <w:tc>
          <w:tcPr>
            <w:tcW w:w="0" w:type="auto"/>
          </w:tcPr>
          <w:p w14:paraId="3873E520"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166 (-1.8)</w:t>
            </w:r>
          </w:p>
        </w:tc>
        <w:tc>
          <w:tcPr>
            <w:tcW w:w="0" w:type="auto"/>
          </w:tcPr>
          <w:p w14:paraId="5129E081"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479</w:t>
            </w:r>
          </w:p>
        </w:tc>
        <w:tc>
          <w:tcPr>
            <w:tcW w:w="0" w:type="auto"/>
            <w:vMerge w:val="restart"/>
          </w:tcPr>
          <w:p w14:paraId="4E969392"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val="restart"/>
          </w:tcPr>
          <w:p w14:paraId="01A838A9"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val="restart"/>
          </w:tcPr>
          <w:p w14:paraId="2D925F19"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val="restart"/>
          </w:tcPr>
          <w:p w14:paraId="6357024B"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64BBBC70" w14:textId="77777777" w:rsidTr="00BB2420">
        <w:trPr>
          <w:trHeight w:val="261"/>
        </w:trPr>
        <w:tc>
          <w:tcPr>
            <w:tcW w:w="0" w:type="auto"/>
            <w:vMerge/>
          </w:tcPr>
          <w:p w14:paraId="45927AAD"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1F791026"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40-44</w:t>
            </w:r>
          </w:p>
        </w:tc>
        <w:tc>
          <w:tcPr>
            <w:tcW w:w="0" w:type="auto"/>
          </w:tcPr>
          <w:p w14:paraId="026D385B"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321 (4.6)</w:t>
            </w:r>
          </w:p>
        </w:tc>
        <w:tc>
          <w:tcPr>
            <w:tcW w:w="0" w:type="auto"/>
          </w:tcPr>
          <w:p w14:paraId="3317B787"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166 (-4.6)</w:t>
            </w:r>
          </w:p>
        </w:tc>
        <w:tc>
          <w:tcPr>
            <w:tcW w:w="0" w:type="auto"/>
          </w:tcPr>
          <w:p w14:paraId="2FE87FED"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487</w:t>
            </w:r>
          </w:p>
        </w:tc>
        <w:tc>
          <w:tcPr>
            <w:tcW w:w="0" w:type="auto"/>
            <w:vMerge/>
          </w:tcPr>
          <w:p w14:paraId="05807554"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2C21BCE8"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2558DC43"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5D06B0DB"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5B49D888" w14:textId="77777777" w:rsidTr="00BB2420">
        <w:trPr>
          <w:trHeight w:val="261"/>
        </w:trPr>
        <w:tc>
          <w:tcPr>
            <w:tcW w:w="0" w:type="auto"/>
            <w:vMerge/>
          </w:tcPr>
          <w:p w14:paraId="113910B2"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554247BE"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45-49</w:t>
            </w:r>
          </w:p>
        </w:tc>
        <w:tc>
          <w:tcPr>
            <w:tcW w:w="0" w:type="auto"/>
          </w:tcPr>
          <w:p w14:paraId="6AC71E03"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484 (10.3)</w:t>
            </w:r>
          </w:p>
        </w:tc>
        <w:tc>
          <w:tcPr>
            <w:tcW w:w="0" w:type="auto"/>
          </w:tcPr>
          <w:p w14:paraId="73D738B2"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245 (-10.3)</w:t>
            </w:r>
          </w:p>
        </w:tc>
        <w:tc>
          <w:tcPr>
            <w:tcW w:w="0" w:type="auto"/>
          </w:tcPr>
          <w:p w14:paraId="22A6FC2D"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729</w:t>
            </w:r>
          </w:p>
        </w:tc>
        <w:tc>
          <w:tcPr>
            <w:tcW w:w="0" w:type="auto"/>
            <w:vMerge/>
          </w:tcPr>
          <w:p w14:paraId="7B251965"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594C29BB"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59E9D674"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7AD51314"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4C506147" w14:textId="77777777" w:rsidTr="00BB2420">
        <w:trPr>
          <w:trHeight w:val="261"/>
        </w:trPr>
        <w:tc>
          <w:tcPr>
            <w:tcW w:w="0" w:type="auto"/>
            <w:vMerge/>
          </w:tcPr>
          <w:p w14:paraId="3B04B365"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3E63094D"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50-54</w:t>
            </w:r>
          </w:p>
        </w:tc>
        <w:tc>
          <w:tcPr>
            <w:tcW w:w="0" w:type="auto"/>
          </w:tcPr>
          <w:p w14:paraId="7868A01E"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712 (-13.8)</w:t>
            </w:r>
          </w:p>
        </w:tc>
        <w:tc>
          <w:tcPr>
            <w:tcW w:w="0" w:type="auto"/>
          </w:tcPr>
          <w:p w14:paraId="60D3943C"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405 (13.8)</w:t>
            </w:r>
          </w:p>
        </w:tc>
        <w:tc>
          <w:tcPr>
            <w:tcW w:w="0" w:type="auto"/>
          </w:tcPr>
          <w:p w14:paraId="2FEAAD05"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1117</w:t>
            </w:r>
          </w:p>
        </w:tc>
        <w:tc>
          <w:tcPr>
            <w:tcW w:w="0" w:type="auto"/>
            <w:vMerge/>
          </w:tcPr>
          <w:p w14:paraId="58FC6FE2"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675D0D7C"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77DB4CD3"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331F2161"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7D288C56" w14:textId="77777777" w:rsidTr="00BB2420">
        <w:trPr>
          <w:trHeight w:val="261"/>
        </w:trPr>
        <w:tc>
          <w:tcPr>
            <w:tcW w:w="0" w:type="auto"/>
            <w:vMerge/>
          </w:tcPr>
          <w:p w14:paraId="42B0AEDE"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0F315ED5"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55-59</w:t>
            </w:r>
          </w:p>
        </w:tc>
        <w:tc>
          <w:tcPr>
            <w:tcW w:w="0" w:type="auto"/>
          </w:tcPr>
          <w:p w14:paraId="740FBF3B"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872 (-6.5)</w:t>
            </w:r>
          </w:p>
        </w:tc>
        <w:tc>
          <w:tcPr>
            <w:tcW w:w="0" w:type="auto"/>
          </w:tcPr>
          <w:p w14:paraId="1B2840EF"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480 (6.5)</w:t>
            </w:r>
          </w:p>
        </w:tc>
        <w:tc>
          <w:tcPr>
            <w:tcW w:w="0" w:type="auto"/>
          </w:tcPr>
          <w:p w14:paraId="724FC618"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1352</w:t>
            </w:r>
          </w:p>
        </w:tc>
        <w:tc>
          <w:tcPr>
            <w:tcW w:w="0" w:type="auto"/>
            <w:vMerge/>
          </w:tcPr>
          <w:p w14:paraId="796F8C8A"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476F73DB"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19BC7DCA"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6F327111"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3BCB79D4" w14:textId="77777777" w:rsidTr="00BB2420">
        <w:trPr>
          <w:trHeight w:val="261"/>
        </w:trPr>
        <w:tc>
          <w:tcPr>
            <w:tcW w:w="0" w:type="auto"/>
            <w:vMerge/>
          </w:tcPr>
          <w:p w14:paraId="179CC67E"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74777E00"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60-64</w:t>
            </w:r>
          </w:p>
        </w:tc>
        <w:tc>
          <w:tcPr>
            <w:tcW w:w="0" w:type="auto"/>
          </w:tcPr>
          <w:p w14:paraId="2729C8FA"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850 (-9.6)</w:t>
            </w:r>
          </w:p>
        </w:tc>
        <w:tc>
          <w:tcPr>
            <w:tcW w:w="0" w:type="auto"/>
          </w:tcPr>
          <w:p w14:paraId="090FE5C8"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473 (9.6)</w:t>
            </w:r>
          </w:p>
        </w:tc>
        <w:tc>
          <w:tcPr>
            <w:tcW w:w="0" w:type="auto"/>
          </w:tcPr>
          <w:p w14:paraId="41EEDDA8"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1323</w:t>
            </w:r>
          </w:p>
        </w:tc>
        <w:tc>
          <w:tcPr>
            <w:tcW w:w="0" w:type="auto"/>
            <w:vMerge/>
          </w:tcPr>
          <w:p w14:paraId="03BA521F"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1DED2BCE"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2EB64EAF"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22F5690A"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24925708" w14:textId="77777777" w:rsidTr="00BB2420">
        <w:trPr>
          <w:trHeight w:val="261"/>
        </w:trPr>
        <w:tc>
          <w:tcPr>
            <w:tcW w:w="0" w:type="auto"/>
            <w:vMerge/>
          </w:tcPr>
          <w:p w14:paraId="080D81A7"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093389A9"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65-69</w:t>
            </w:r>
          </w:p>
        </w:tc>
        <w:tc>
          <w:tcPr>
            <w:tcW w:w="0" w:type="auto"/>
          </w:tcPr>
          <w:p w14:paraId="1934CF65"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995 (-47.2)</w:t>
            </w:r>
          </w:p>
        </w:tc>
        <w:tc>
          <w:tcPr>
            <w:tcW w:w="0" w:type="auto"/>
          </w:tcPr>
          <w:p w14:paraId="1A05159C"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609 (47.2)</w:t>
            </w:r>
          </w:p>
        </w:tc>
        <w:tc>
          <w:tcPr>
            <w:tcW w:w="0" w:type="auto"/>
          </w:tcPr>
          <w:p w14:paraId="501AB2D3"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1604</w:t>
            </w:r>
          </w:p>
        </w:tc>
        <w:tc>
          <w:tcPr>
            <w:tcW w:w="0" w:type="auto"/>
            <w:vMerge/>
          </w:tcPr>
          <w:p w14:paraId="2B4B287D"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7D5D0319"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744CBF0E"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3F4A685C"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0B76C164" w14:textId="77777777" w:rsidTr="00BB2420">
        <w:trPr>
          <w:trHeight w:val="261"/>
        </w:trPr>
        <w:tc>
          <w:tcPr>
            <w:tcW w:w="0" w:type="auto"/>
            <w:vMerge/>
          </w:tcPr>
          <w:p w14:paraId="1D219DEF"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2DB48D00"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70-74</w:t>
            </w:r>
          </w:p>
        </w:tc>
        <w:tc>
          <w:tcPr>
            <w:tcW w:w="0" w:type="auto"/>
          </w:tcPr>
          <w:p w14:paraId="0292152A"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1092 (3.7)</w:t>
            </w:r>
          </w:p>
        </w:tc>
        <w:tc>
          <w:tcPr>
            <w:tcW w:w="0" w:type="auto"/>
          </w:tcPr>
          <w:p w14:paraId="3942AFC5"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583 (-3.7)</w:t>
            </w:r>
          </w:p>
        </w:tc>
        <w:tc>
          <w:tcPr>
            <w:tcW w:w="0" w:type="auto"/>
          </w:tcPr>
          <w:p w14:paraId="4E5DE54B"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1675</w:t>
            </w:r>
          </w:p>
        </w:tc>
        <w:tc>
          <w:tcPr>
            <w:tcW w:w="0" w:type="auto"/>
            <w:vMerge/>
          </w:tcPr>
          <w:p w14:paraId="03325F18"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3E76BDF6"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6C626095"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15201949"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08CE291E" w14:textId="77777777" w:rsidTr="00BB2420">
        <w:trPr>
          <w:trHeight w:val="261"/>
        </w:trPr>
        <w:tc>
          <w:tcPr>
            <w:tcW w:w="0" w:type="auto"/>
            <w:vMerge/>
          </w:tcPr>
          <w:p w14:paraId="65E5D1D2"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3CAF63D8"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 75</w:t>
            </w:r>
          </w:p>
        </w:tc>
        <w:tc>
          <w:tcPr>
            <w:tcW w:w="0" w:type="auto"/>
          </w:tcPr>
          <w:p w14:paraId="2F96274B"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1329 (56.8)</w:t>
            </w:r>
          </w:p>
        </w:tc>
        <w:tc>
          <w:tcPr>
            <w:tcW w:w="0" w:type="auto"/>
          </w:tcPr>
          <w:p w14:paraId="2E6E2936"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629 (-56.8)</w:t>
            </w:r>
          </w:p>
        </w:tc>
        <w:tc>
          <w:tcPr>
            <w:tcW w:w="0" w:type="auto"/>
          </w:tcPr>
          <w:p w14:paraId="532FC299"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1958</w:t>
            </w:r>
          </w:p>
        </w:tc>
        <w:tc>
          <w:tcPr>
            <w:tcW w:w="0" w:type="auto"/>
            <w:vMerge/>
          </w:tcPr>
          <w:p w14:paraId="6A495A72"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1B1FB2B7"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2A17CE27"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6E4C866E"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277BCC58" w14:textId="77777777" w:rsidTr="00BB2420">
        <w:trPr>
          <w:trHeight w:val="261"/>
        </w:trPr>
        <w:tc>
          <w:tcPr>
            <w:tcW w:w="0" w:type="auto"/>
          </w:tcPr>
          <w:p w14:paraId="680C20D0" w14:textId="77777777" w:rsidR="00D8322F" w:rsidRPr="00103A0B" w:rsidRDefault="00D8322F" w:rsidP="00CD5919">
            <w:pPr>
              <w:spacing w:line="360" w:lineRule="auto"/>
              <w:contextualSpacing/>
              <w:jc w:val="both"/>
              <w:rPr>
                <w:rFonts w:ascii="Arial" w:hAnsi="Arial" w:cs="Arial"/>
                <w:b/>
                <w:bCs/>
                <w:sz w:val="24"/>
                <w:szCs w:val="24"/>
              </w:rPr>
            </w:pPr>
            <w:r w:rsidRPr="00103A0B">
              <w:rPr>
                <w:rFonts w:ascii="Arial" w:hAnsi="Arial" w:cs="Arial"/>
                <w:b/>
                <w:bCs/>
                <w:sz w:val="24"/>
                <w:szCs w:val="24"/>
              </w:rPr>
              <w:t>Ethnicity</w:t>
            </w:r>
          </w:p>
        </w:tc>
        <w:tc>
          <w:tcPr>
            <w:tcW w:w="0" w:type="auto"/>
          </w:tcPr>
          <w:p w14:paraId="3453BF41"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0BDCE57A"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4591</w:t>
            </w:r>
          </w:p>
        </w:tc>
        <w:tc>
          <w:tcPr>
            <w:tcW w:w="0" w:type="auto"/>
          </w:tcPr>
          <w:p w14:paraId="345C2A06"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3756</w:t>
            </w:r>
          </w:p>
        </w:tc>
        <w:tc>
          <w:tcPr>
            <w:tcW w:w="0" w:type="auto"/>
          </w:tcPr>
          <w:p w14:paraId="4EC50491"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8347</w:t>
            </w:r>
          </w:p>
        </w:tc>
        <w:tc>
          <w:tcPr>
            <w:tcW w:w="0" w:type="auto"/>
          </w:tcPr>
          <w:p w14:paraId="774D0717"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5.582</w:t>
            </w:r>
          </w:p>
        </w:tc>
        <w:tc>
          <w:tcPr>
            <w:tcW w:w="748" w:type="dxa"/>
          </w:tcPr>
          <w:p w14:paraId="6115E415"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4</w:t>
            </w:r>
          </w:p>
        </w:tc>
        <w:tc>
          <w:tcPr>
            <w:tcW w:w="2141" w:type="dxa"/>
          </w:tcPr>
          <w:p w14:paraId="1FDBD4AB"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.233</w:t>
            </w:r>
          </w:p>
        </w:tc>
        <w:tc>
          <w:tcPr>
            <w:tcW w:w="977" w:type="dxa"/>
          </w:tcPr>
          <w:p w14:paraId="4F7A7232"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.026</w:t>
            </w:r>
          </w:p>
        </w:tc>
      </w:tr>
      <w:tr w:rsidR="00D8322F" w:rsidRPr="00103A0B" w14:paraId="141F1B4D" w14:textId="77777777" w:rsidTr="00BB2420">
        <w:trPr>
          <w:trHeight w:val="261"/>
        </w:trPr>
        <w:tc>
          <w:tcPr>
            <w:tcW w:w="0" w:type="auto"/>
            <w:vMerge w:val="restart"/>
          </w:tcPr>
          <w:p w14:paraId="535B2030"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9EEB191"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White British or White</w:t>
            </w:r>
          </w:p>
        </w:tc>
        <w:tc>
          <w:tcPr>
            <w:tcW w:w="0" w:type="auto"/>
          </w:tcPr>
          <w:p w14:paraId="051F099B"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2936 (13.2)</w:t>
            </w:r>
          </w:p>
        </w:tc>
        <w:tc>
          <w:tcPr>
            <w:tcW w:w="0" w:type="auto"/>
          </w:tcPr>
          <w:p w14:paraId="12C03170"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2378 (-13.2)</w:t>
            </w:r>
          </w:p>
        </w:tc>
        <w:tc>
          <w:tcPr>
            <w:tcW w:w="0" w:type="auto"/>
          </w:tcPr>
          <w:p w14:paraId="72355D04"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5314</w:t>
            </w:r>
          </w:p>
        </w:tc>
        <w:tc>
          <w:tcPr>
            <w:tcW w:w="0" w:type="auto"/>
            <w:vMerge w:val="restart"/>
          </w:tcPr>
          <w:p w14:paraId="043E5FAA"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val="restart"/>
          </w:tcPr>
          <w:p w14:paraId="67E89DF3"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val="restart"/>
          </w:tcPr>
          <w:p w14:paraId="62005F06"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val="restart"/>
          </w:tcPr>
          <w:p w14:paraId="434A4AA9"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6185C541" w14:textId="77777777" w:rsidTr="00BB2420">
        <w:trPr>
          <w:trHeight w:val="261"/>
        </w:trPr>
        <w:tc>
          <w:tcPr>
            <w:tcW w:w="0" w:type="auto"/>
            <w:vMerge/>
          </w:tcPr>
          <w:p w14:paraId="08670DA7"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74836761"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Black</w:t>
            </w:r>
          </w:p>
        </w:tc>
        <w:tc>
          <w:tcPr>
            <w:tcW w:w="0" w:type="auto"/>
          </w:tcPr>
          <w:p w14:paraId="7021D86A"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789 (-30.5)</w:t>
            </w:r>
          </w:p>
        </w:tc>
        <w:tc>
          <w:tcPr>
            <w:tcW w:w="0" w:type="auto"/>
          </w:tcPr>
          <w:p w14:paraId="5D78552A"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701 (30.5)</w:t>
            </w:r>
          </w:p>
        </w:tc>
        <w:tc>
          <w:tcPr>
            <w:tcW w:w="0" w:type="auto"/>
          </w:tcPr>
          <w:p w14:paraId="6C68136F"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1490</w:t>
            </w:r>
          </w:p>
        </w:tc>
        <w:tc>
          <w:tcPr>
            <w:tcW w:w="0" w:type="auto"/>
            <w:vMerge/>
          </w:tcPr>
          <w:p w14:paraId="6FBE67BB"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769E6C0A"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36A3A642"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3F2DF7BC"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774791C4" w14:textId="77777777" w:rsidTr="00BB2420">
        <w:trPr>
          <w:trHeight w:val="261"/>
        </w:trPr>
        <w:tc>
          <w:tcPr>
            <w:tcW w:w="0" w:type="auto"/>
            <w:vMerge/>
          </w:tcPr>
          <w:p w14:paraId="63ED4646"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20ADC858"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Asian</w:t>
            </w:r>
          </w:p>
        </w:tc>
        <w:tc>
          <w:tcPr>
            <w:tcW w:w="0" w:type="auto"/>
          </w:tcPr>
          <w:p w14:paraId="45EB9470"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649 (14.3)</w:t>
            </w:r>
          </w:p>
        </w:tc>
        <w:tc>
          <w:tcPr>
            <w:tcW w:w="0" w:type="auto"/>
          </w:tcPr>
          <w:p w14:paraId="79AA5690"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505 (-14.3)</w:t>
            </w:r>
          </w:p>
        </w:tc>
        <w:tc>
          <w:tcPr>
            <w:tcW w:w="0" w:type="auto"/>
          </w:tcPr>
          <w:p w14:paraId="16C7D644"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1154</w:t>
            </w:r>
          </w:p>
        </w:tc>
        <w:tc>
          <w:tcPr>
            <w:tcW w:w="0" w:type="auto"/>
            <w:vMerge/>
          </w:tcPr>
          <w:p w14:paraId="0B739D3D"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6D63D8EA"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2A858C35"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6060A930"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0EB10C81" w14:textId="77777777" w:rsidTr="00BB2420">
        <w:trPr>
          <w:trHeight w:val="261"/>
        </w:trPr>
        <w:tc>
          <w:tcPr>
            <w:tcW w:w="0" w:type="auto"/>
            <w:vMerge/>
          </w:tcPr>
          <w:p w14:paraId="0FB00BA9"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FBC04D2"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Mixed</w:t>
            </w:r>
          </w:p>
        </w:tc>
        <w:tc>
          <w:tcPr>
            <w:tcW w:w="0" w:type="auto"/>
          </w:tcPr>
          <w:p w14:paraId="1B11CF7F"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105 (-5.6)</w:t>
            </w:r>
          </w:p>
        </w:tc>
        <w:tc>
          <w:tcPr>
            <w:tcW w:w="0" w:type="auto"/>
          </w:tcPr>
          <w:p w14:paraId="1552017F"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96 (5.6)</w:t>
            </w:r>
          </w:p>
        </w:tc>
        <w:tc>
          <w:tcPr>
            <w:tcW w:w="0" w:type="auto"/>
          </w:tcPr>
          <w:p w14:paraId="06102E1F"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201</w:t>
            </w:r>
          </w:p>
        </w:tc>
        <w:tc>
          <w:tcPr>
            <w:tcW w:w="0" w:type="auto"/>
            <w:vMerge/>
          </w:tcPr>
          <w:p w14:paraId="35C60B97"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09B77FC4"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5FAD48DC"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15D104C7"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41E277AF" w14:textId="77777777" w:rsidTr="00BB2420">
        <w:trPr>
          <w:trHeight w:val="261"/>
        </w:trPr>
        <w:tc>
          <w:tcPr>
            <w:tcW w:w="0" w:type="auto"/>
            <w:vMerge/>
          </w:tcPr>
          <w:p w14:paraId="39396BE8"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AED8237"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Other</w:t>
            </w:r>
          </w:p>
        </w:tc>
        <w:tc>
          <w:tcPr>
            <w:tcW w:w="0" w:type="auto"/>
          </w:tcPr>
          <w:p w14:paraId="34A95724"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112 (8.6)</w:t>
            </w:r>
          </w:p>
        </w:tc>
        <w:tc>
          <w:tcPr>
            <w:tcW w:w="0" w:type="auto"/>
          </w:tcPr>
          <w:p w14:paraId="5F80CDED"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76 (-8.6)</w:t>
            </w:r>
          </w:p>
        </w:tc>
        <w:tc>
          <w:tcPr>
            <w:tcW w:w="0" w:type="auto"/>
          </w:tcPr>
          <w:p w14:paraId="6B68F2BC"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188</w:t>
            </w:r>
          </w:p>
        </w:tc>
        <w:tc>
          <w:tcPr>
            <w:tcW w:w="0" w:type="auto"/>
            <w:vMerge/>
          </w:tcPr>
          <w:p w14:paraId="3434F6E1"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6EEFF4D2"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06900963"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5EC4E06C"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04BD9F64" w14:textId="77777777" w:rsidTr="00BB2420">
        <w:trPr>
          <w:trHeight w:val="261"/>
        </w:trPr>
        <w:tc>
          <w:tcPr>
            <w:tcW w:w="0" w:type="auto"/>
          </w:tcPr>
          <w:p w14:paraId="2816565C" w14:textId="77777777" w:rsidR="00D8322F" w:rsidRPr="00103A0B" w:rsidRDefault="00D8322F" w:rsidP="00CD5919">
            <w:pPr>
              <w:spacing w:line="360" w:lineRule="auto"/>
              <w:contextualSpacing/>
              <w:jc w:val="both"/>
              <w:rPr>
                <w:rFonts w:ascii="Arial" w:hAnsi="Arial" w:cs="Arial"/>
                <w:b/>
                <w:bCs/>
                <w:sz w:val="24"/>
                <w:szCs w:val="24"/>
              </w:rPr>
            </w:pPr>
            <w:r w:rsidRPr="00103A0B">
              <w:rPr>
                <w:rFonts w:ascii="Arial" w:hAnsi="Arial" w:cs="Arial"/>
                <w:b/>
                <w:bCs/>
                <w:sz w:val="24"/>
                <w:szCs w:val="24"/>
              </w:rPr>
              <w:t>Deprivation quintile</w:t>
            </w:r>
          </w:p>
        </w:tc>
        <w:tc>
          <w:tcPr>
            <w:tcW w:w="0" w:type="auto"/>
          </w:tcPr>
          <w:p w14:paraId="7BFBBC78" w14:textId="77777777" w:rsidR="00D8322F" w:rsidRPr="00103A0B" w:rsidRDefault="00D8322F" w:rsidP="00CD5919">
            <w:pPr>
              <w:jc w:val="both"/>
              <w:rPr>
                <w:rFonts w:ascii="Arial" w:hAnsi="Arial" w:cs="Arial"/>
                <w:sz w:val="24"/>
                <w:szCs w:val="24"/>
              </w:rPr>
            </w:pPr>
          </w:p>
        </w:tc>
        <w:tc>
          <w:tcPr>
            <w:tcW w:w="0" w:type="auto"/>
          </w:tcPr>
          <w:p w14:paraId="037A3884"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6860</w:t>
            </w:r>
          </w:p>
        </w:tc>
        <w:tc>
          <w:tcPr>
            <w:tcW w:w="0" w:type="auto"/>
          </w:tcPr>
          <w:p w14:paraId="02D6C93E"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3756</w:t>
            </w:r>
          </w:p>
        </w:tc>
        <w:tc>
          <w:tcPr>
            <w:tcW w:w="0" w:type="auto"/>
          </w:tcPr>
          <w:p w14:paraId="04F3063A"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10616</w:t>
            </w:r>
          </w:p>
        </w:tc>
        <w:tc>
          <w:tcPr>
            <w:tcW w:w="0" w:type="auto"/>
          </w:tcPr>
          <w:p w14:paraId="7A42831C"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3.985</w:t>
            </w:r>
          </w:p>
        </w:tc>
        <w:tc>
          <w:tcPr>
            <w:tcW w:w="748" w:type="dxa"/>
          </w:tcPr>
          <w:p w14:paraId="64ACC82A"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4</w:t>
            </w:r>
          </w:p>
        </w:tc>
        <w:tc>
          <w:tcPr>
            <w:tcW w:w="2141" w:type="dxa"/>
          </w:tcPr>
          <w:p w14:paraId="5387DFAE"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.408</w:t>
            </w:r>
          </w:p>
        </w:tc>
        <w:tc>
          <w:tcPr>
            <w:tcW w:w="977" w:type="dxa"/>
          </w:tcPr>
          <w:p w14:paraId="1E9CE9AF"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.019</w:t>
            </w:r>
          </w:p>
        </w:tc>
      </w:tr>
      <w:tr w:rsidR="00D8322F" w:rsidRPr="00103A0B" w14:paraId="3DC8833A" w14:textId="77777777" w:rsidTr="00BB2420">
        <w:trPr>
          <w:trHeight w:val="261"/>
        </w:trPr>
        <w:tc>
          <w:tcPr>
            <w:tcW w:w="0" w:type="auto"/>
            <w:vMerge w:val="restart"/>
          </w:tcPr>
          <w:p w14:paraId="7998775F"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928729E" w14:textId="77777777" w:rsidR="00D8322F" w:rsidRPr="00103A0B" w:rsidRDefault="00D8322F" w:rsidP="00CD5919">
            <w:pPr>
              <w:jc w:val="both"/>
              <w:rPr>
                <w:rFonts w:ascii="Arial" w:hAnsi="Arial" w:cs="Arial"/>
                <w:sz w:val="24"/>
                <w:szCs w:val="24"/>
              </w:rPr>
            </w:pPr>
            <w:r w:rsidRPr="00103A0B">
              <w:rPr>
                <w:rFonts w:ascii="Arial" w:hAnsi="Arial" w:cs="Arial"/>
                <w:sz w:val="24"/>
                <w:szCs w:val="24"/>
              </w:rPr>
              <w:t>1 (most deprived)</w:t>
            </w:r>
          </w:p>
        </w:tc>
        <w:tc>
          <w:tcPr>
            <w:tcW w:w="0" w:type="auto"/>
          </w:tcPr>
          <w:p w14:paraId="4FC20205"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1593 (4.7)</w:t>
            </w:r>
          </w:p>
        </w:tc>
        <w:tc>
          <w:tcPr>
            <w:tcW w:w="0" w:type="auto"/>
          </w:tcPr>
          <w:p w14:paraId="60D465DC"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865 (-4.7)</w:t>
            </w:r>
          </w:p>
        </w:tc>
        <w:tc>
          <w:tcPr>
            <w:tcW w:w="0" w:type="auto"/>
          </w:tcPr>
          <w:p w14:paraId="4F54A647"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2458</w:t>
            </w:r>
          </w:p>
        </w:tc>
        <w:tc>
          <w:tcPr>
            <w:tcW w:w="0" w:type="auto"/>
            <w:vMerge w:val="restart"/>
          </w:tcPr>
          <w:p w14:paraId="7D7BC735"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val="restart"/>
          </w:tcPr>
          <w:p w14:paraId="10963F28"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val="restart"/>
          </w:tcPr>
          <w:p w14:paraId="6F01A198"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val="restart"/>
          </w:tcPr>
          <w:p w14:paraId="2CA129AC"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3F1A06B5" w14:textId="77777777" w:rsidTr="00BB2420">
        <w:trPr>
          <w:trHeight w:val="261"/>
        </w:trPr>
        <w:tc>
          <w:tcPr>
            <w:tcW w:w="0" w:type="auto"/>
            <w:vMerge/>
          </w:tcPr>
          <w:p w14:paraId="505F1672"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AECED1A" w14:textId="77777777" w:rsidR="00D8322F" w:rsidRPr="00103A0B" w:rsidRDefault="00D8322F" w:rsidP="00CD5919">
            <w:pPr>
              <w:jc w:val="both"/>
              <w:rPr>
                <w:rFonts w:ascii="Arial" w:hAnsi="Arial" w:cs="Arial"/>
                <w:sz w:val="24"/>
                <w:szCs w:val="24"/>
              </w:rPr>
            </w:pPr>
            <w:r w:rsidRPr="00103A0B">
              <w:rPr>
                <w:rFonts w:ascii="Arial" w:hAnsi="Arial" w:cs="Arial"/>
                <w:sz w:val="24"/>
                <w:szCs w:val="24"/>
              </w:rPr>
              <w:t>2</w:t>
            </w:r>
          </w:p>
        </w:tc>
        <w:tc>
          <w:tcPr>
            <w:tcW w:w="0" w:type="auto"/>
          </w:tcPr>
          <w:p w14:paraId="1E50E88C"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1678 (12.8)</w:t>
            </w:r>
          </w:p>
        </w:tc>
        <w:tc>
          <w:tcPr>
            <w:tcW w:w="0" w:type="auto"/>
          </w:tcPr>
          <w:p w14:paraId="20F5FE21"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899 (-12.8)</w:t>
            </w:r>
          </w:p>
        </w:tc>
        <w:tc>
          <w:tcPr>
            <w:tcW w:w="0" w:type="auto"/>
          </w:tcPr>
          <w:p w14:paraId="18230578"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2577</w:t>
            </w:r>
          </w:p>
        </w:tc>
        <w:tc>
          <w:tcPr>
            <w:tcW w:w="0" w:type="auto"/>
            <w:vMerge/>
          </w:tcPr>
          <w:p w14:paraId="12957908"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0B50D05F"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36568349"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2FF758E5"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308AD4CC" w14:textId="77777777" w:rsidTr="00BB2420">
        <w:trPr>
          <w:trHeight w:val="261"/>
        </w:trPr>
        <w:tc>
          <w:tcPr>
            <w:tcW w:w="0" w:type="auto"/>
            <w:vMerge/>
          </w:tcPr>
          <w:p w14:paraId="64802C76"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24369B7D"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3</w:t>
            </w:r>
          </w:p>
        </w:tc>
        <w:tc>
          <w:tcPr>
            <w:tcW w:w="0" w:type="auto"/>
          </w:tcPr>
          <w:p w14:paraId="5DF7BE1C"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1356 (-37.8)</w:t>
            </w:r>
          </w:p>
        </w:tc>
        <w:tc>
          <w:tcPr>
            <w:tcW w:w="0" w:type="auto"/>
          </w:tcPr>
          <w:p w14:paraId="04451EC1"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801 (37.8)</w:t>
            </w:r>
          </w:p>
        </w:tc>
        <w:tc>
          <w:tcPr>
            <w:tcW w:w="0" w:type="auto"/>
          </w:tcPr>
          <w:p w14:paraId="6AB978C6"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2157</w:t>
            </w:r>
          </w:p>
        </w:tc>
        <w:tc>
          <w:tcPr>
            <w:tcW w:w="0" w:type="auto"/>
            <w:vMerge/>
          </w:tcPr>
          <w:p w14:paraId="685B39A4"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0EBF3022"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57A63CE0"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1F7A43E1"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174D61EC" w14:textId="77777777" w:rsidTr="00BB2420">
        <w:trPr>
          <w:trHeight w:val="261"/>
        </w:trPr>
        <w:tc>
          <w:tcPr>
            <w:tcW w:w="0" w:type="auto"/>
            <w:vMerge/>
          </w:tcPr>
          <w:p w14:paraId="59126994"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326939F1"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4</w:t>
            </w:r>
          </w:p>
        </w:tc>
        <w:tc>
          <w:tcPr>
            <w:tcW w:w="0" w:type="auto"/>
          </w:tcPr>
          <w:p w14:paraId="09E0B0F7"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1105 (16.8)</w:t>
            </w:r>
          </w:p>
        </w:tc>
        <w:tc>
          <w:tcPr>
            <w:tcW w:w="0" w:type="auto"/>
          </w:tcPr>
          <w:p w14:paraId="0BF1A21D"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579 (-16.8)</w:t>
            </w:r>
          </w:p>
        </w:tc>
        <w:tc>
          <w:tcPr>
            <w:tcW w:w="0" w:type="auto"/>
          </w:tcPr>
          <w:p w14:paraId="4FE4F6B8"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1684</w:t>
            </w:r>
          </w:p>
        </w:tc>
        <w:tc>
          <w:tcPr>
            <w:tcW w:w="0" w:type="auto"/>
            <w:vMerge/>
          </w:tcPr>
          <w:p w14:paraId="1DD9D5ED"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48F099D9"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514AEEE0"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42BAE76F"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73380280" w14:textId="77777777" w:rsidTr="00BB2420">
        <w:trPr>
          <w:trHeight w:val="261"/>
        </w:trPr>
        <w:tc>
          <w:tcPr>
            <w:tcW w:w="0" w:type="auto"/>
            <w:vMerge/>
          </w:tcPr>
          <w:p w14:paraId="0EB250FC"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9D99A80"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5 (least deprived)</w:t>
            </w:r>
          </w:p>
        </w:tc>
        <w:tc>
          <w:tcPr>
            <w:tcW w:w="0" w:type="auto"/>
          </w:tcPr>
          <w:p w14:paraId="5C09213A"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1128 (3.6)</w:t>
            </w:r>
          </w:p>
        </w:tc>
        <w:tc>
          <w:tcPr>
            <w:tcW w:w="0" w:type="auto"/>
          </w:tcPr>
          <w:p w14:paraId="654C8A28"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612 (-3.6)</w:t>
            </w:r>
          </w:p>
        </w:tc>
        <w:tc>
          <w:tcPr>
            <w:tcW w:w="0" w:type="auto"/>
          </w:tcPr>
          <w:p w14:paraId="445D0370"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1740</w:t>
            </w:r>
          </w:p>
        </w:tc>
        <w:tc>
          <w:tcPr>
            <w:tcW w:w="0" w:type="auto"/>
            <w:vMerge/>
          </w:tcPr>
          <w:p w14:paraId="3F59B089"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6ED6513B"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2EF73FFE"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5E5EBAFA"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030F9979" w14:textId="77777777" w:rsidTr="00BB2420">
        <w:trPr>
          <w:trHeight w:val="261"/>
        </w:trPr>
        <w:tc>
          <w:tcPr>
            <w:tcW w:w="0" w:type="auto"/>
          </w:tcPr>
          <w:p w14:paraId="46C4E81A" w14:textId="77777777" w:rsidR="00D8322F" w:rsidRPr="00103A0B" w:rsidRDefault="00D8322F" w:rsidP="00CD5919">
            <w:pPr>
              <w:spacing w:line="360" w:lineRule="auto"/>
              <w:contextualSpacing/>
              <w:jc w:val="both"/>
              <w:rPr>
                <w:rFonts w:ascii="Arial" w:hAnsi="Arial" w:cs="Arial"/>
                <w:b/>
                <w:bCs/>
                <w:sz w:val="24"/>
                <w:szCs w:val="24"/>
              </w:rPr>
            </w:pPr>
            <w:r w:rsidRPr="00103A0B">
              <w:rPr>
                <w:rFonts w:ascii="Arial" w:hAnsi="Arial" w:cs="Arial"/>
                <w:b/>
                <w:bCs/>
                <w:sz w:val="24"/>
                <w:szCs w:val="24"/>
              </w:rPr>
              <w:t>WEMWBS</w:t>
            </w:r>
          </w:p>
        </w:tc>
        <w:tc>
          <w:tcPr>
            <w:tcW w:w="0" w:type="auto"/>
          </w:tcPr>
          <w:p w14:paraId="0B09142D"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7657B6F2"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6923</w:t>
            </w:r>
          </w:p>
        </w:tc>
        <w:tc>
          <w:tcPr>
            <w:tcW w:w="0" w:type="auto"/>
          </w:tcPr>
          <w:p w14:paraId="1E124F63"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3756</w:t>
            </w:r>
          </w:p>
        </w:tc>
        <w:tc>
          <w:tcPr>
            <w:tcW w:w="0" w:type="auto"/>
          </w:tcPr>
          <w:p w14:paraId="3F7C4AFA"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10679</w:t>
            </w:r>
          </w:p>
        </w:tc>
        <w:tc>
          <w:tcPr>
            <w:tcW w:w="0" w:type="auto"/>
          </w:tcPr>
          <w:p w14:paraId="1E5533A3"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11.601</w:t>
            </w:r>
          </w:p>
        </w:tc>
        <w:tc>
          <w:tcPr>
            <w:tcW w:w="748" w:type="dxa"/>
          </w:tcPr>
          <w:p w14:paraId="45AAAD63"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2</w:t>
            </w:r>
          </w:p>
        </w:tc>
        <w:tc>
          <w:tcPr>
            <w:tcW w:w="2141" w:type="dxa"/>
          </w:tcPr>
          <w:p w14:paraId="3FCA7925"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.003</w:t>
            </w:r>
          </w:p>
        </w:tc>
        <w:tc>
          <w:tcPr>
            <w:tcW w:w="977" w:type="dxa"/>
          </w:tcPr>
          <w:p w14:paraId="55965389"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.033</w:t>
            </w:r>
          </w:p>
        </w:tc>
      </w:tr>
      <w:tr w:rsidR="00D8322F" w:rsidRPr="00103A0B" w14:paraId="2709818C" w14:textId="77777777" w:rsidTr="00BB2420">
        <w:trPr>
          <w:trHeight w:val="261"/>
        </w:trPr>
        <w:tc>
          <w:tcPr>
            <w:tcW w:w="0" w:type="auto"/>
            <w:vMerge w:val="restart"/>
          </w:tcPr>
          <w:p w14:paraId="087F5D40"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19290CC3"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 xml:space="preserve">High </w:t>
            </w:r>
          </w:p>
        </w:tc>
        <w:tc>
          <w:tcPr>
            <w:tcW w:w="0" w:type="auto"/>
          </w:tcPr>
          <w:p w14:paraId="56DB5B43"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2035 (42.8)</w:t>
            </w:r>
          </w:p>
        </w:tc>
        <w:tc>
          <w:tcPr>
            <w:tcW w:w="0" w:type="auto"/>
          </w:tcPr>
          <w:p w14:paraId="38490068"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1038 (-42.8)</w:t>
            </w:r>
          </w:p>
        </w:tc>
        <w:tc>
          <w:tcPr>
            <w:tcW w:w="0" w:type="auto"/>
          </w:tcPr>
          <w:p w14:paraId="63A15684"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3073</w:t>
            </w:r>
          </w:p>
        </w:tc>
        <w:tc>
          <w:tcPr>
            <w:tcW w:w="0" w:type="auto"/>
            <w:vMerge w:val="restart"/>
          </w:tcPr>
          <w:p w14:paraId="3F8103C2"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val="restart"/>
          </w:tcPr>
          <w:p w14:paraId="537A0257"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val="restart"/>
          </w:tcPr>
          <w:p w14:paraId="0AB8ADC8"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val="restart"/>
          </w:tcPr>
          <w:p w14:paraId="69EF93E4"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7A338DAB" w14:textId="77777777" w:rsidTr="00BB2420">
        <w:trPr>
          <w:trHeight w:val="261"/>
        </w:trPr>
        <w:tc>
          <w:tcPr>
            <w:tcW w:w="0" w:type="auto"/>
            <w:vMerge/>
          </w:tcPr>
          <w:p w14:paraId="32BBAB08"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49D1D35"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Medium</w:t>
            </w:r>
          </w:p>
        </w:tc>
        <w:tc>
          <w:tcPr>
            <w:tcW w:w="0" w:type="auto"/>
          </w:tcPr>
          <w:p w14:paraId="7A766925"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3746 (-82.1)</w:t>
            </w:r>
          </w:p>
        </w:tc>
        <w:tc>
          <w:tcPr>
            <w:tcW w:w="0" w:type="auto"/>
          </w:tcPr>
          <w:p w14:paraId="2BACAA0D"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2159 (82.1)</w:t>
            </w:r>
          </w:p>
        </w:tc>
        <w:tc>
          <w:tcPr>
            <w:tcW w:w="0" w:type="auto"/>
          </w:tcPr>
          <w:p w14:paraId="1A048712"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5905</w:t>
            </w:r>
          </w:p>
        </w:tc>
        <w:tc>
          <w:tcPr>
            <w:tcW w:w="0" w:type="auto"/>
            <w:vMerge/>
          </w:tcPr>
          <w:p w14:paraId="3ABE88EB"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3A976EDF"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5E853022"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3694815D" w14:textId="77777777" w:rsidR="00D8322F" w:rsidRPr="00103A0B" w:rsidRDefault="00D8322F" w:rsidP="00CD5919">
            <w:pPr>
              <w:spacing w:line="360" w:lineRule="auto"/>
              <w:contextualSpacing/>
              <w:jc w:val="both"/>
              <w:rPr>
                <w:rFonts w:ascii="Arial" w:hAnsi="Arial" w:cs="Arial"/>
                <w:color w:val="010205"/>
                <w:sz w:val="24"/>
                <w:szCs w:val="24"/>
              </w:rPr>
            </w:pPr>
          </w:p>
        </w:tc>
      </w:tr>
      <w:tr w:rsidR="00D8322F" w:rsidRPr="00103A0B" w14:paraId="6C8EA15D" w14:textId="77777777" w:rsidTr="00BB2420">
        <w:trPr>
          <w:trHeight w:val="261"/>
        </w:trPr>
        <w:tc>
          <w:tcPr>
            <w:tcW w:w="0" w:type="auto"/>
            <w:vMerge/>
          </w:tcPr>
          <w:p w14:paraId="26CEE4DD" w14:textId="77777777" w:rsidR="00D8322F" w:rsidRPr="00103A0B" w:rsidRDefault="00D8322F" w:rsidP="00CD5919">
            <w:pPr>
              <w:spacing w:line="360" w:lineRule="auto"/>
              <w:contextualSpacing/>
              <w:jc w:val="both"/>
              <w:rPr>
                <w:rFonts w:ascii="Arial" w:hAnsi="Arial" w:cs="Arial"/>
                <w:sz w:val="24"/>
                <w:szCs w:val="24"/>
              </w:rPr>
            </w:pPr>
          </w:p>
        </w:tc>
        <w:tc>
          <w:tcPr>
            <w:tcW w:w="0" w:type="auto"/>
          </w:tcPr>
          <w:p w14:paraId="6A2EC2FB"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sz w:val="24"/>
                <w:szCs w:val="24"/>
              </w:rPr>
              <w:t>Low</w:t>
            </w:r>
          </w:p>
        </w:tc>
        <w:tc>
          <w:tcPr>
            <w:tcW w:w="0" w:type="auto"/>
          </w:tcPr>
          <w:p w14:paraId="1EFB0914"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1142 (39.3)</w:t>
            </w:r>
          </w:p>
        </w:tc>
        <w:tc>
          <w:tcPr>
            <w:tcW w:w="0" w:type="auto"/>
          </w:tcPr>
          <w:p w14:paraId="1F97FB57" w14:textId="77777777" w:rsidR="00D8322F" w:rsidRPr="00103A0B" w:rsidRDefault="00D8322F" w:rsidP="00CD5919">
            <w:pPr>
              <w:spacing w:line="360" w:lineRule="auto"/>
              <w:contextualSpacing/>
              <w:jc w:val="both"/>
              <w:rPr>
                <w:rFonts w:ascii="Arial" w:hAnsi="Arial" w:cs="Arial"/>
                <w:sz w:val="24"/>
                <w:szCs w:val="24"/>
              </w:rPr>
            </w:pPr>
            <w:r w:rsidRPr="00103A0B">
              <w:rPr>
                <w:rFonts w:ascii="Arial" w:hAnsi="Arial" w:cs="Arial"/>
                <w:color w:val="010205"/>
                <w:sz w:val="24"/>
                <w:szCs w:val="24"/>
              </w:rPr>
              <w:t>559 (-39.3)</w:t>
            </w:r>
          </w:p>
        </w:tc>
        <w:tc>
          <w:tcPr>
            <w:tcW w:w="0" w:type="auto"/>
          </w:tcPr>
          <w:p w14:paraId="2491FF7D" w14:textId="77777777" w:rsidR="00D8322F" w:rsidRPr="00103A0B" w:rsidRDefault="00D8322F" w:rsidP="00CD5919">
            <w:pPr>
              <w:spacing w:line="360" w:lineRule="auto"/>
              <w:contextualSpacing/>
              <w:jc w:val="both"/>
              <w:rPr>
                <w:rFonts w:ascii="Arial" w:hAnsi="Arial" w:cs="Arial"/>
                <w:color w:val="010205"/>
                <w:sz w:val="24"/>
                <w:szCs w:val="24"/>
              </w:rPr>
            </w:pPr>
            <w:r w:rsidRPr="00103A0B">
              <w:rPr>
                <w:rFonts w:ascii="Arial" w:hAnsi="Arial" w:cs="Arial"/>
                <w:color w:val="010205"/>
                <w:sz w:val="24"/>
                <w:szCs w:val="24"/>
              </w:rPr>
              <w:t>1701</w:t>
            </w:r>
          </w:p>
        </w:tc>
        <w:tc>
          <w:tcPr>
            <w:tcW w:w="0" w:type="auto"/>
            <w:vMerge/>
          </w:tcPr>
          <w:p w14:paraId="100331CF" w14:textId="77777777" w:rsidR="00D8322F" w:rsidRPr="00103A0B" w:rsidRDefault="00D8322F" w:rsidP="00CD5919">
            <w:pPr>
              <w:spacing w:line="360" w:lineRule="auto"/>
              <w:contextualSpacing/>
              <w:jc w:val="both"/>
              <w:rPr>
                <w:rFonts w:ascii="Arial" w:hAnsi="Arial" w:cs="Arial"/>
                <w:color w:val="010205"/>
                <w:sz w:val="24"/>
                <w:szCs w:val="24"/>
              </w:rPr>
            </w:pPr>
          </w:p>
        </w:tc>
        <w:tc>
          <w:tcPr>
            <w:tcW w:w="748" w:type="dxa"/>
            <w:vMerge/>
          </w:tcPr>
          <w:p w14:paraId="659A8C0B" w14:textId="77777777" w:rsidR="00D8322F" w:rsidRPr="00103A0B" w:rsidRDefault="00D8322F" w:rsidP="00CD5919">
            <w:pPr>
              <w:spacing w:line="360" w:lineRule="auto"/>
              <w:contextualSpacing/>
              <w:jc w:val="both"/>
              <w:rPr>
                <w:rFonts w:ascii="Arial" w:hAnsi="Arial" w:cs="Arial"/>
                <w:color w:val="010205"/>
                <w:sz w:val="24"/>
                <w:szCs w:val="24"/>
              </w:rPr>
            </w:pPr>
          </w:p>
        </w:tc>
        <w:tc>
          <w:tcPr>
            <w:tcW w:w="2141" w:type="dxa"/>
            <w:vMerge/>
          </w:tcPr>
          <w:p w14:paraId="74FB6486" w14:textId="77777777" w:rsidR="00D8322F" w:rsidRPr="00103A0B" w:rsidRDefault="00D8322F" w:rsidP="00CD5919">
            <w:pPr>
              <w:spacing w:line="360" w:lineRule="auto"/>
              <w:contextualSpacing/>
              <w:jc w:val="both"/>
              <w:rPr>
                <w:rFonts w:ascii="Arial" w:hAnsi="Arial" w:cs="Arial"/>
                <w:color w:val="010205"/>
                <w:sz w:val="24"/>
                <w:szCs w:val="24"/>
              </w:rPr>
            </w:pPr>
          </w:p>
        </w:tc>
        <w:tc>
          <w:tcPr>
            <w:tcW w:w="977" w:type="dxa"/>
            <w:vMerge/>
          </w:tcPr>
          <w:p w14:paraId="6B4C6369" w14:textId="77777777" w:rsidR="00D8322F" w:rsidRPr="00103A0B" w:rsidRDefault="00D8322F" w:rsidP="00CD5919">
            <w:pPr>
              <w:spacing w:line="360" w:lineRule="auto"/>
              <w:contextualSpacing/>
              <w:jc w:val="both"/>
              <w:rPr>
                <w:rFonts w:ascii="Arial" w:hAnsi="Arial" w:cs="Arial"/>
                <w:color w:val="010205"/>
                <w:sz w:val="24"/>
                <w:szCs w:val="24"/>
              </w:rPr>
            </w:pPr>
          </w:p>
        </w:tc>
      </w:tr>
    </w:tbl>
    <w:p w14:paraId="36D14E1E" w14:textId="77777777" w:rsidR="00D8322F" w:rsidRPr="00103A0B" w:rsidRDefault="00D8322F" w:rsidP="00CD5919">
      <w:pPr>
        <w:jc w:val="both"/>
        <w:rPr>
          <w:rFonts w:ascii="Times New Roman" w:hAnsi="Times New Roman" w:cs="Times New Roman"/>
          <w:sz w:val="24"/>
          <w:szCs w:val="24"/>
        </w:rPr>
      </w:pPr>
    </w:p>
    <w:p w14:paraId="16AEACF1" w14:textId="77777777" w:rsidR="00D8322F" w:rsidRPr="00103A0B" w:rsidRDefault="00D8322F" w:rsidP="00CD5919">
      <w:pPr>
        <w:jc w:val="both"/>
        <w:rPr>
          <w:rFonts w:ascii="Times New Roman" w:hAnsi="Times New Roman" w:cs="Times New Roman"/>
          <w:sz w:val="24"/>
          <w:szCs w:val="24"/>
        </w:rPr>
      </w:pPr>
    </w:p>
    <w:p w14:paraId="008B92D0" w14:textId="77777777" w:rsidR="00D8322F" w:rsidRPr="00103A0B" w:rsidRDefault="00D8322F" w:rsidP="00CD5919">
      <w:pPr>
        <w:jc w:val="both"/>
        <w:rPr>
          <w:rFonts w:ascii="Times New Roman" w:hAnsi="Times New Roman" w:cs="Times New Roman"/>
          <w:sz w:val="24"/>
          <w:szCs w:val="24"/>
        </w:rPr>
        <w:sectPr w:rsidR="00D8322F" w:rsidRPr="00103A0B" w:rsidSect="00D8322F">
          <w:pgSz w:w="16838" w:h="11906" w:orient="landscape"/>
          <w:pgMar w:top="1440" w:right="1440" w:bottom="1440" w:left="1440" w:header="709" w:footer="709" w:gutter="0"/>
          <w:cols w:space="708"/>
          <w:docGrid w:linePitch="360"/>
        </w:sectPr>
      </w:pPr>
    </w:p>
    <w:p w14:paraId="30C0F2B0" w14:textId="1E56781C" w:rsidR="00310843" w:rsidRPr="00103A0B" w:rsidRDefault="00862237" w:rsidP="00E45914">
      <w:pPr>
        <w:keepNext/>
        <w:keepLines/>
        <w:jc w:val="both"/>
        <w:rPr>
          <w:rFonts w:ascii="Arial" w:hAnsi="Arial" w:cs="Arial"/>
          <w:b/>
          <w:bCs/>
          <w:sz w:val="28"/>
          <w:szCs w:val="28"/>
        </w:rPr>
      </w:pPr>
      <w:r w:rsidRPr="00103A0B">
        <w:rPr>
          <w:rFonts w:ascii="Arial" w:hAnsi="Arial" w:cs="Arial"/>
          <w:b/>
          <w:bCs/>
          <w:sz w:val="28"/>
          <w:szCs w:val="28"/>
        </w:rPr>
        <w:lastRenderedPageBreak/>
        <w:t>A</w:t>
      </w:r>
      <w:r w:rsidR="00310843" w:rsidRPr="00103A0B">
        <w:rPr>
          <w:rFonts w:ascii="Arial" w:hAnsi="Arial" w:cs="Arial"/>
          <w:b/>
          <w:bCs/>
          <w:sz w:val="28"/>
          <w:szCs w:val="28"/>
        </w:rPr>
        <w:t>ppendix 2</w:t>
      </w:r>
      <w:r w:rsidR="00BE157E" w:rsidRPr="00103A0B">
        <w:rPr>
          <w:rFonts w:ascii="Arial" w:hAnsi="Arial" w:cs="Arial"/>
          <w:b/>
          <w:bCs/>
          <w:sz w:val="28"/>
          <w:szCs w:val="28"/>
        </w:rPr>
        <w:t>9</w:t>
      </w:r>
      <w:r w:rsidR="00310843" w:rsidRPr="00103A0B">
        <w:rPr>
          <w:rFonts w:ascii="Arial" w:hAnsi="Arial" w:cs="Arial"/>
          <w:b/>
          <w:bCs/>
          <w:sz w:val="28"/>
          <w:szCs w:val="28"/>
        </w:rPr>
        <w:t>: Results from LR for uptake using imputed data</w:t>
      </w:r>
      <w:r w:rsidR="00486402" w:rsidRPr="00103A0B">
        <w:rPr>
          <w:rFonts w:ascii="Arial" w:hAnsi="Arial" w:cs="Arial"/>
          <w:b/>
          <w:bCs/>
          <w:sz w:val="28"/>
          <w:szCs w:val="28"/>
        </w:rPr>
        <w:t xml:space="preserve"> (Chapter 7)</w:t>
      </w:r>
    </w:p>
    <w:p w14:paraId="24323ECF" w14:textId="5F3E730F" w:rsidR="00310843" w:rsidRPr="00103A0B" w:rsidRDefault="00310843" w:rsidP="00CD5919">
      <w:pPr>
        <w:spacing w:line="360" w:lineRule="auto"/>
        <w:contextualSpacing/>
        <w:jc w:val="both"/>
        <w:rPr>
          <w:rFonts w:ascii="Arial" w:hAnsi="Arial" w:cs="Arial"/>
          <w:i/>
          <w:iCs/>
          <w:sz w:val="24"/>
          <w:szCs w:val="24"/>
        </w:rPr>
      </w:pPr>
      <w:r w:rsidRPr="00103A0B">
        <w:rPr>
          <w:rFonts w:ascii="Arial" w:hAnsi="Arial" w:cs="Arial"/>
          <w:i/>
          <w:iCs/>
          <w:sz w:val="24"/>
          <w:szCs w:val="24"/>
        </w:rPr>
        <w:t xml:space="preserve">Pooled results from the binomial logistic regression for uptake using multiple imputed </w:t>
      </w:r>
      <w:proofErr w:type="gramStart"/>
      <w:r w:rsidRPr="00103A0B">
        <w:rPr>
          <w:rFonts w:ascii="Arial" w:hAnsi="Arial" w:cs="Arial"/>
          <w:i/>
          <w:iCs/>
          <w:sz w:val="24"/>
          <w:szCs w:val="24"/>
        </w:rPr>
        <w:t>data</w:t>
      </w:r>
      <w:proofErr w:type="gramEnd"/>
    </w:p>
    <w:p w14:paraId="36A04C2A" w14:textId="77777777" w:rsidR="00310843" w:rsidRPr="00103A0B" w:rsidRDefault="00310843" w:rsidP="00CD5919">
      <w:pPr>
        <w:tabs>
          <w:tab w:val="left" w:pos="1215"/>
        </w:tabs>
        <w:contextualSpacing/>
        <w:jc w:val="both"/>
        <w:rPr>
          <w:rFonts w:ascii="Arial" w:hAnsi="Arial" w:cs="Arial"/>
          <w:sz w:val="24"/>
          <w:szCs w:val="24"/>
        </w:rPr>
      </w:pPr>
    </w:p>
    <w:p w14:paraId="3E96AD3E" w14:textId="77777777" w:rsidR="00310843" w:rsidRPr="00103A0B" w:rsidRDefault="00310843" w:rsidP="00CD5919">
      <w:pPr>
        <w:spacing w:line="360" w:lineRule="auto"/>
        <w:jc w:val="both"/>
        <w:rPr>
          <w:rFonts w:ascii="Arial" w:hAnsi="Arial" w:cs="Arial"/>
          <w:sz w:val="24"/>
          <w:szCs w:val="24"/>
        </w:rPr>
      </w:pPr>
      <w:r w:rsidRPr="00103A0B">
        <w:rPr>
          <w:rFonts w:ascii="Arial" w:hAnsi="Arial" w:cs="Arial"/>
          <w:sz w:val="24"/>
          <w:szCs w:val="24"/>
        </w:rPr>
        <w:t xml:space="preserve">Some statistically significant predictors in the complete-case analysis did not remain significant in the imputed analysis, and these included: programme area (Cumbria &amp; West Yorkshire), age (45-54 years), deprivation (quintile 4) and ethnicity (Black). Also, ethnicity (mixed) reached near significance in the complete-case analysis only. Programme area (Herefordshire), gender and ethnicity (Asian) were significant in the imputed analysis but not in the complete-case analysis, with programme area (Berkshire), deprivation (quintile 4) and age (50-54 years) reaching near significance. The odds of females starting the NHSDPP was 15% higher than males (OR= 1.15; CI= 1.04-1.26; </w:t>
      </w:r>
      <w:r w:rsidRPr="00103A0B">
        <w:rPr>
          <w:rFonts w:ascii="Arial" w:hAnsi="Arial" w:cs="Arial"/>
          <w:i/>
          <w:iCs/>
          <w:sz w:val="24"/>
          <w:szCs w:val="24"/>
        </w:rPr>
        <w:t>p</w:t>
      </w:r>
      <w:r w:rsidRPr="00103A0B">
        <w:rPr>
          <w:rFonts w:ascii="Arial" w:hAnsi="Arial" w:cs="Arial"/>
          <w:sz w:val="24"/>
          <w:szCs w:val="24"/>
        </w:rPr>
        <w:t>=</w:t>
      </w:r>
      <w:r w:rsidRPr="00103A0B">
        <w:rPr>
          <w:rFonts w:ascii="Arial" w:hAnsi="Arial" w:cs="Arial"/>
          <w:color w:val="010205"/>
          <w:sz w:val="24"/>
          <w:szCs w:val="24"/>
        </w:rPr>
        <w:t>.005</w:t>
      </w:r>
      <w:r w:rsidRPr="00103A0B">
        <w:rPr>
          <w:rFonts w:ascii="Arial" w:hAnsi="Arial" w:cs="Arial"/>
          <w:sz w:val="24"/>
          <w:szCs w:val="24"/>
        </w:rPr>
        <w:t>). Compared with participants classified as White British/White, the odds of starting the NHSDPP was lower in those from an Asian ethnic group (OR=0.76; CI=0.62-0.93;</w:t>
      </w:r>
      <w:r w:rsidRPr="00103A0B">
        <w:rPr>
          <w:rFonts w:ascii="Arial" w:hAnsi="Arial" w:cs="Arial"/>
          <w:color w:val="010205"/>
          <w:sz w:val="24"/>
          <w:szCs w:val="24"/>
        </w:rPr>
        <w:t xml:space="preserve"> </w:t>
      </w:r>
      <w:r w:rsidRPr="00103A0B">
        <w:rPr>
          <w:rFonts w:ascii="Arial" w:hAnsi="Arial" w:cs="Arial"/>
          <w:i/>
          <w:iCs/>
          <w:color w:val="010205"/>
          <w:sz w:val="24"/>
          <w:szCs w:val="24"/>
        </w:rPr>
        <w:t>p</w:t>
      </w:r>
      <w:r w:rsidRPr="00103A0B">
        <w:rPr>
          <w:rFonts w:ascii="Arial" w:hAnsi="Arial" w:cs="Arial"/>
          <w:color w:val="010205"/>
          <w:sz w:val="24"/>
          <w:szCs w:val="24"/>
        </w:rPr>
        <w:t>=.011</w:t>
      </w:r>
      <w:r w:rsidRPr="00103A0B">
        <w:rPr>
          <w:rFonts w:ascii="Arial" w:hAnsi="Arial" w:cs="Arial"/>
          <w:sz w:val="24"/>
          <w:szCs w:val="24"/>
        </w:rPr>
        <w:t xml:space="preserve">). </w:t>
      </w:r>
    </w:p>
    <w:p w14:paraId="3580F007" w14:textId="77777777" w:rsidR="00310843" w:rsidRPr="00103A0B" w:rsidRDefault="00310843" w:rsidP="00CD5919">
      <w:pPr>
        <w:tabs>
          <w:tab w:val="left" w:pos="1215"/>
        </w:tabs>
        <w:contextualSpacing/>
        <w:jc w:val="both"/>
        <w:rPr>
          <w:rFonts w:ascii="Arial" w:hAnsi="Arial" w:cs="Arial"/>
          <w:sz w:val="24"/>
          <w:szCs w:val="24"/>
        </w:rPr>
        <w:sectPr w:rsidR="00310843" w:rsidRPr="00103A0B" w:rsidSect="00BB2420">
          <w:pgSz w:w="11906" w:h="16838"/>
          <w:pgMar w:top="1440" w:right="1440" w:bottom="1440" w:left="1440" w:header="709" w:footer="709" w:gutter="0"/>
          <w:cols w:space="708"/>
          <w:docGrid w:linePitch="360"/>
        </w:sectPr>
      </w:pPr>
    </w:p>
    <w:tbl>
      <w:tblPr>
        <w:tblStyle w:val="TableGrid"/>
        <w:tblW w:w="15260" w:type="dxa"/>
        <w:tblLayout w:type="fixed"/>
        <w:tblLook w:val="04A0" w:firstRow="1" w:lastRow="0" w:firstColumn="1" w:lastColumn="0" w:noHBand="0" w:noVBand="1"/>
      </w:tblPr>
      <w:tblGrid>
        <w:gridCol w:w="3256"/>
        <w:gridCol w:w="1984"/>
        <w:gridCol w:w="992"/>
        <w:gridCol w:w="1985"/>
        <w:gridCol w:w="992"/>
        <w:gridCol w:w="1985"/>
        <w:gridCol w:w="992"/>
        <w:gridCol w:w="1984"/>
        <w:gridCol w:w="1090"/>
      </w:tblGrid>
      <w:tr w:rsidR="00310843" w:rsidRPr="00103A0B" w14:paraId="5C2ABAD5" w14:textId="77777777" w:rsidTr="00113624">
        <w:trPr>
          <w:trHeight w:val="278"/>
          <w:tblHeader/>
        </w:trPr>
        <w:tc>
          <w:tcPr>
            <w:tcW w:w="3256" w:type="dxa"/>
          </w:tcPr>
          <w:p w14:paraId="2E85017A" w14:textId="77777777" w:rsidR="00310843" w:rsidRPr="00103A0B" w:rsidRDefault="00310843" w:rsidP="00113624">
            <w:pPr>
              <w:spacing w:line="276" w:lineRule="auto"/>
              <w:contextualSpacing/>
              <w:jc w:val="both"/>
              <w:rPr>
                <w:rFonts w:ascii="Arial" w:hAnsi="Arial" w:cs="Arial"/>
                <w:sz w:val="24"/>
                <w:szCs w:val="24"/>
              </w:rPr>
            </w:pPr>
          </w:p>
        </w:tc>
        <w:tc>
          <w:tcPr>
            <w:tcW w:w="2976" w:type="dxa"/>
            <w:gridSpan w:val="2"/>
          </w:tcPr>
          <w:p w14:paraId="3F96835B"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sz w:val="24"/>
                <w:szCs w:val="24"/>
              </w:rPr>
              <w:t>Step 1</w:t>
            </w:r>
          </w:p>
        </w:tc>
        <w:tc>
          <w:tcPr>
            <w:tcW w:w="2977" w:type="dxa"/>
            <w:gridSpan w:val="2"/>
          </w:tcPr>
          <w:p w14:paraId="0C3A1254"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sz w:val="24"/>
                <w:szCs w:val="24"/>
              </w:rPr>
              <w:t>Step 2</w:t>
            </w:r>
          </w:p>
        </w:tc>
        <w:tc>
          <w:tcPr>
            <w:tcW w:w="2977" w:type="dxa"/>
            <w:gridSpan w:val="2"/>
          </w:tcPr>
          <w:p w14:paraId="2ADDD2F2"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sz w:val="24"/>
                <w:szCs w:val="24"/>
              </w:rPr>
              <w:t>Step 3</w:t>
            </w:r>
          </w:p>
        </w:tc>
        <w:tc>
          <w:tcPr>
            <w:tcW w:w="3074" w:type="dxa"/>
            <w:gridSpan w:val="2"/>
          </w:tcPr>
          <w:p w14:paraId="1AF24AC2"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sz w:val="24"/>
                <w:szCs w:val="24"/>
              </w:rPr>
              <w:t>Step 4</w:t>
            </w:r>
          </w:p>
        </w:tc>
      </w:tr>
      <w:tr w:rsidR="00310843" w:rsidRPr="00103A0B" w14:paraId="2E0A1463" w14:textId="77777777" w:rsidTr="00113624">
        <w:trPr>
          <w:trHeight w:val="278"/>
        </w:trPr>
        <w:tc>
          <w:tcPr>
            <w:tcW w:w="3256" w:type="dxa"/>
          </w:tcPr>
          <w:p w14:paraId="6E4E6CB8" w14:textId="77777777" w:rsidR="00310843" w:rsidRPr="00103A0B" w:rsidRDefault="00310843" w:rsidP="00113624">
            <w:pPr>
              <w:spacing w:line="276" w:lineRule="auto"/>
              <w:contextualSpacing/>
              <w:jc w:val="both"/>
              <w:rPr>
                <w:rFonts w:ascii="Arial" w:hAnsi="Arial" w:cs="Arial"/>
                <w:sz w:val="24"/>
                <w:szCs w:val="24"/>
              </w:rPr>
            </w:pPr>
          </w:p>
        </w:tc>
        <w:tc>
          <w:tcPr>
            <w:tcW w:w="1984" w:type="dxa"/>
          </w:tcPr>
          <w:p w14:paraId="51ADCBE6"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sz w:val="24"/>
                <w:szCs w:val="24"/>
              </w:rPr>
              <w:t>OR (95% CI)</w:t>
            </w:r>
          </w:p>
        </w:tc>
        <w:tc>
          <w:tcPr>
            <w:tcW w:w="992" w:type="dxa"/>
          </w:tcPr>
          <w:p w14:paraId="1374168A" w14:textId="77777777" w:rsidR="00310843" w:rsidRPr="00103A0B" w:rsidRDefault="00310843" w:rsidP="00113624">
            <w:pPr>
              <w:spacing w:line="276" w:lineRule="auto"/>
              <w:contextualSpacing/>
              <w:jc w:val="both"/>
              <w:rPr>
                <w:rFonts w:ascii="Arial" w:hAnsi="Arial" w:cs="Arial"/>
                <w:i/>
                <w:iCs/>
                <w:sz w:val="24"/>
                <w:szCs w:val="24"/>
              </w:rPr>
            </w:pPr>
            <w:r w:rsidRPr="00103A0B">
              <w:rPr>
                <w:rFonts w:ascii="Arial" w:hAnsi="Arial" w:cs="Arial"/>
                <w:i/>
                <w:iCs/>
                <w:sz w:val="24"/>
                <w:szCs w:val="24"/>
              </w:rPr>
              <w:t>p</w:t>
            </w:r>
          </w:p>
        </w:tc>
        <w:tc>
          <w:tcPr>
            <w:tcW w:w="1985" w:type="dxa"/>
          </w:tcPr>
          <w:p w14:paraId="679179C2"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sz w:val="24"/>
                <w:szCs w:val="24"/>
              </w:rPr>
              <w:t>OR (95% CI)</w:t>
            </w:r>
          </w:p>
        </w:tc>
        <w:tc>
          <w:tcPr>
            <w:tcW w:w="992" w:type="dxa"/>
          </w:tcPr>
          <w:p w14:paraId="52F8E835"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i/>
                <w:iCs/>
                <w:sz w:val="24"/>
                <w:szCs w:val="24"/>
              </w:rPr>
              <w:t>p</w:t>
            </w:r>
          </w:p>
        </w:tc>
        <w:tc>
          <w:tcPr>
            <w:tcW w:w="1985" w:type="dxa"/>
          </w:tcPr>
          <w:p w14:paraId="31F12633"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sz w:val="24"/>
                <w:szCs w:val="24"/>
              </w:rPr>
              <w:t>OR (95% CI)</w:t>
            </w:r>
          </w:p>
        </w:tc>
        <w:tc>
          <w:tcPr>
            <w:tcW w:w="992" w:type="dxa"/>
          </w:tcPr>
          <w:p w14:paraId="0B53506B"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i/>
                <w:iCs/>
                <w:sz w:val="24"/>
                <w:szCs w:val="24"/>
              </w:rPr>
              <w:t>p</w:t>
            </w:r>
          </w:p>
        </w:tc>
        <w:tc>
          <w:tcPr>
            <w:tcW w:w="1984" w:type="dxa"/>
          </w:tcPr>
          <w:p w14:paraId="1640BCD7"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sz w:val="24"/>
                <w:szCs w:val="24"/>
              </w:rPr>
              <w:t>OR (95% CI)</w:t>
            </w:r>
          </w:p>
        </w:tc>
        <w:tc>
          <w:tcPr>
            <w:tcW w:w="1090" w:type="dxa"/>
          </w:tcPr>
          <w:p w14:paraId="4C993EC6" w14:textId="77777777" w:rsidR="00310843" w:rsidRPr="00103A0B" w:rsidRDefault="00310843" w:rsidP="00113624">
            <w:pPr>
              <w:spacing w:line="276" w:lineRule="auto"/>
              <w:contextualSpacing/>
              <w:jc w:val="both"/>
              <w:rPr>
                <w:rFonts w:ascii="Arial" w:hAnsi="Arial" w:cs="Arial"/>
                <w:sz w:val="24"/>
                <w:szCs w:val="24"/>
              </w:rPr>
            </w:pPr>
            <w:r w:rsidRPr="00103A0B">
              <w:rPr>
                <w:rFonts w:ascii="Arial" w:hAnsi="Arial" w:cs="Arial"/>
                <w:i/>
                <w:iCs/>
                <w:sz w:val="24"/>
                <w:szCs w:val="24"/>
              </w:rPr>
              <w:t>p</w:t>
            </w:r>
          </w:p>
        </w:tc>
      </w:tr>
      <w:tr w:rsidR="00310843" w:rsidRPr="00103A0B" w14:paraId="0BC37E67" w14:textId="77777777" w:rsidTr="00113624">
        <w:trPr>
          <w:trHeight w:val="278"/>
        </w:trPr>
        <w:tc>
          <w:tcPr>
            <w:tcW w:w="3256" w:type="dxa"/>
          </w:tcPr>
          <w:p w14:paraId="53BCE75D"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Variables </w:t>
            </w:r>
          </w:p>
        </w:tc>
        <w:tc>
          <w:tcPr>
            <w:tcW w:w="1984" w:type="dxa"/>
          </w:tcPr>
          <w:p w14:paraId="1104CCFB" w14:textId="77777777" w:rsidR="00310843" w:rsidRPr="00103A0B" w:rsidRDefault="00310843" w:rsidP="00113624">
            <w:pPr>
              <w:spacing w:line="276" w:lineRule="auto"/>
              <w:jc w:val="both"/>
              <w:rPr>
                <w:rFonts w:ascii="Arial" w:hAnsi="Arial" w:cs="Arial"/>
              </w:rPr>
            </w:pPr>
          </w:p>
        </w:tc>
        <w:tc>
          <w:tcPr>
            <w:tcW w:w="992" w:type="dxa"/>
          </w:tcPr>
          <w:p w14:paraId="003865C5" w14:textId="77777777" w:rsidR="00310843" w:rsidRPr="00103A0B" w:rsidRDefault="00310843" w:rsidP="00113624">
            <w:pPr>
              <w:spacing w:line="276" w:lineRule="auto"/>
              <w:jc w:val="both"/>
              <w:rPr>
                <w:rFonts w:ascii="Arial" w:hAnsi="Arial" w:cs="Arial"/>
              </w:rPr>
            </w:pPr>
          </w:p>
        </w:tc>
        <w:tc>
          <w:tcPr>
            <w:tcW w:w="1985" w:type="dxa"/>
          </w:tcPr>
          <w:p w14:paraId="0EA4ECF8" w14:textId="77777777" w:rsidR="00310843" w:rsidRPr="00103A0B" w:rsidRDefault="00310843" w:rsidP="00113624">
            <w:pPr>
              <w:spacing w:line="276" w:lineRule="auto"/>
              <w:jc w:val="both"/>
              <w:rPr>
                <w:rFonts w:ascii="Arial" w:hAnsi="Arial" w:cs="Arial"/>
              </w:rPr>
            </w:pPr>
          </w:p>
        </w:tc>
        <w:tc>
          <w:tcPr>
            <w:tcW w:w="992" w:type="dxa"/>
          </w:tcPr>
          <w:p w14:paraId="682394A0" w14:textId="77777777" w:rsidR="00310843" w:rsidRPr="00103A0B" w:rsidRDefault="00310843" w:rsidP="00113624">
            <w:pPr>
              <w:spacing w:line="276" w:lineRule="auto"/>
              <w:jc w:val="both"/>
              <w:rPr>
                <w:rFonts w:ascii="Arial" w:hAnsi="Arial" w:cs="Arial"/>
              </w:rPr>
            </w:pPr>
          </w:p>
        </w:tc>
        <w:tc>
          <w:tcPr>
            <w:tcW w:w="1985" w:type="dxa"/>
          </w:tcPr>
          <w:p w14:paraId="38099E9D" w14:textId="77777777" w:rsidR="00310843" w:rsidRPr="00103A0B" w:rsidRDefault="00310843" w:rsidP="00113624">
            <w:pPr>
              <w:spacing w:line="276" w:lineRule="auto"/>
              <w:jc w:val="both"/>
              <w:rPr>
                <w:rFonts w:ascii="Arial" w:hAnsi="Arial" w:cs="Arial"/>
              </w:rPr>
            </w:pPr>
          </w:p>
        </w:tc>
        <w:tc>
          <w:tcPr>
            <w:tcW w:w="992" w:type="dxa"/>
          </w:tcPr>
          <w:p w14:paraId="6416CCF1" w14:textId="77777777" w:rsidR="00310843" w:rsidRPr="00103A0B" w:rsidRDefault="00310843" w:rsidP="00113624">
            <w:pPr>
              <w:spacing w:line="276" w:lineRule="auto"/>
              <w:jc w:val="both"/>
              <w:rPr>
                <w:rFonts w:ascii="Arial" w:hAnsi="Arial" w:cs="Arial"/>
              </w:rPr>
            </w:pPr>
          </w:p>
        </w:tc>
        <w:tc>
          <w:tcPr>
            <w:tcW w:w="1984" w:type="dxa"/>
          </w:tcPr>
          <w:p w14:paraId="59C12692" w14:textId="77777777" w:rsidR="00310843" w:rsidRPr="00103A0B" w:rsidRDefault="00310843" w:rsidP="00113624">
            <w:pPr>
              <w:spacing w:line="276" w:lineRule="auto"/>
              <w:jc w:val="both"/>
              <w:rPr>
                <w:rFonts w:ascii="Arial" w:hAnsi="Arial" w:cs="Arial"/>
              </w:rPr>
            </w:pPr>
          </w:p>
        </w:tc>
        <w:tc>
          <w:tcPr>
            <w:tcW w:w="1090" w:type="dxa"/>
          </w:tcPr>
          <w:p w14:paraId="61F193E4" w14:textId="77777777" w:rsidR="00310843" w:rsidRPr="00103A0B" w:rsidRDefault="00310843" w:rsidP="00113624">
            <w:pPr>
              <w:spacing w:line="276" w:lineRule="auto"/>
              <w:jc w:val="both"/>
              <w:rPr>
                <w:rFonts w:ascii="Arial" w:hAnsi="Arial" w:cs="Arial"/>
              </w:rPr>
            </w:pPr>
          </w:p>
        </w:tc>
      </w:tr>
      <w:tr w:rsidR="00310843" w:rsidRPr="00103A0B" w14:paraId="7E378449" w14:textId="77777777" w:rsidTr="00113624">
        <w:trPr>
          <w:trHeight w:val="278"/>
        </w:trPr>
        <w:tc>
          <w:tcPr>
            <w:tcW w:w="3256" w:type="dxa"/>
          </w:tcPr>
          <w:p w14:paraId="65D4F076"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b/>
                <w:bCs/>
                <w:sz w:val="24"/>
                <w:szCs w:val="24"/>
              </w:rPr>
              <w:t>Programme area</w:t>
            </w:r>
            <w:r w:rsidRPr="00103A0B">
              <w:rPr>
                <w:rFonts w:ascii="Arial" w:hAnsi="Arial" w:cs="Arial"/>
                <w:sz w:val="24"/>
                <w:szCs w:val="24"/>
              </w:rPr>
              <w:t xml:space="preserve"> [</w:t>
            </w:r>
            <w:proofErr w:type="gramStart"/>
            <w:r w:rsidRPr="00103A0B">
              <w:rPr>
                <w:rFonts w:ascii="Arial" w:hAnsi="Arial" w:cs="Arial"/>
                <w:sz w:val="24"/>
                <w:szCs w:val="24"/>
              </w:rPr>
              <w:t>North East</w:t>
            </w:r>
            <w:proofErr w:type="gramEnd"/>
            <w:r w:rsidRPr="00103A0B">
              <w:rPr>
                <w:rFonts w:ascii="Arial" w:hAnsi="Arial" w:cs="Arial"/>
                <w:sz w:val="24"/>
                <w:szCs w:val="24"/>
              </w:rPr>
              <w:t xml:space="preserve"> London]:  Cumbria</w:t>
            </w:r>
          </w:p>
        </w:tc>
        <w:tc>
          <w:tcPr>
            <w:tcW w:w="1984" w:type="dxa"/>
          </w:tcPr>
          <w:p w14:paraId="3519BDC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0.88 (0.73-1.07)</w:t>
            </w:r>
          </w:p>
        </w:tc>
        <w:tc>
          <w:tcPr>
            <w:tcW w:w="992" w:type="dxa"/>
          </w:tcPr>
          <w:p w14:paraId="379340A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.198</w:t>
            </w:r>
          </w:p>
        </w:tc>
        <w:tc>
          <w:tcPr>
            <w:tcW w:w="1985" w:type="dxa"/>
          </w:tcPr>
          <w:p w14:paraId="2723548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0.91 (0.75-1.10)</w:t>
            </w:r>
          </w:p>
        </w:tc>
        <w:tc>
          <w:tcPr>
            <w:tcW w:w="992" w:type="dxa"/>
          </w:tcPr>
          <w:p w14:paraId="116F8CE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.317</w:t>
            </w:r>
          </w:p>
        </w:tc>
        <w:tc>
          <w:tcPr>
            <w:tcW w:w="1985" w:type="dxa"/>
          </w:tcPr>
          <w:p w14:paraId="7F7E228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0.90 (0.74-1.10)</w:t>
            </w:r>
          </w:p>
        </w:tc>
        <w:tc>
          <w:tcPr>
            <w:tcW w:w="992" w:type="dxa"/>
          </w:tcPr>
          <w:p w14:paraId="2500A63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.297</w:t>
            </w:r>
          </w:p>
        </w:tc>
        <w:tc>
          <w:tcPr>
            <w:tcW w:w="1984" w:type="dxa"/>
          </w:tcPr>
          <w:p w14:paraId="24F52C9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0.90 (0.74-1.09)</w:t>
            </w:r>
          </w:p>
        </w:tc>
        <w:tc>
          <w:tcPr>
            <w:tcW w:w="1090" w:type="dxa"/>
          </w:tcPr>
          <w:p w14:paraId="6CBBDDC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.288</w:t>
            </w:r>
          </w:p>
        </w:tc>
      </w:tr>
      <w:tr w:rsidR="00310843" w:rsidRPr="00103A0B" w14:paraId="399D32CE" w14:textId="77777777" w:rsidTr="00113624">
        <w:trPr>
          <w:trHeight w:val="278"/>
        </w:trPr>
        <w:tc>
          <w:tcPr>
            <w:tcW w:w="3256" w:type="dxa"/>
          </w:tcPr>
          <w:p w14:paraId="32DAEDDD"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Herefordshire </w:t>
            </w:r>
          </w:p>
        </w:tc>
        <w:tc>
          <w:tcPr>
            <w:tcW w:w="1984" w:type="dxa"/>
          </w:tcPr>
          <w:p w14:paraId="13E40F2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0.81 (0.66-0.99)</w:t>
            </w:r>
          </w:p>
        </w:tc>
        <w:tc>
          <w:tcPr>
            <w:tcW w:w="992" w:type="dxa"/>
          </w:tcPr>
          <w:p w14:paraId="2F270DA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.043</w:t>
            </w:r>
          </w:p>
        </w:tc>
        <w:tc>
          <w:tcPr>
            <w:tcW w:w="1985" w:type="dxa"/>
          </w:tcPr>
          <w:p w14:paraId="0843DDD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0.82 (0.66-1.01)</w:t>
            </w:r>
          </w:p>
        </w:tc>
        <w:tc>
          <w:tcPr>
            <w:tcW w:w="992" w:type="dxa"/>
          </w:tcPr>
          <w:p w14:paraId="2EA26BF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.059</w:t>
            </w:r>
          </w:p>
        </w:tc>
        <w:tc>
          <w:tcPr>
            <w:tcW w:w="1985" w:type="dxa"/>
          </w:tcPr>
          <w:p w14:paraId="28144A3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0.81 (0.66- (1.00)</w:t>
            </w:r>
          </w:p>
        </w:tc>
        <w:tc>
          <w:tcPr>
            <w:tcW w:w="992" w:type="dxa"/>
          </w:tcPr>
          <w:p w14:paraId="2D70841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.048</w:t>
            </w:r>
          </w:p>
        </w:tc>
        <w:tc>
          <w:tcPr>
            <w:tcW w:w="1984" w:type="dxa"/>
          </w:tcPr>
          <w:p w14:paraId="5087305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0.80 (0.65-0.99)</w:t>
            </w:r>
          </w:p>
        </w:tc>
        <w:tc>
          <w:tcPr>
            <w:tcW w:w="1090" w:type="dxa"/>
          </w:tcPr>
          <w:p w14:paraId="6D56E50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.040</w:t>
            </w:r>
          </w:p>
        </w:tc>
      </w:tr>
      <w:tr w:rsidR="00310843" w:rsidRPr="00103A0B" w14:paraId="28FF5EA6" w14:textId="77777777" w:rsidTr="00113624">
        <w:trPr>
          <w:trHeight w:val="278"/>
        </w:trPr>
        <w:tc>
          <w:tcPr>
            <w:tcW w:w="3256" w:type="dxa"/>
          </w:tcPr>
          <w:p w14:paraId="5EB2ED03"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Berkshire </w:t>
            </w:r>
          </w:p>
        </w:tc>
        <w:tc>
          <w:tcPr>
            <w:tcW w:w="1984" w:type="dxa"/>
          </w:tcPr>
          <w:p w14:paraId="113B86A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0.82 (0.67-0.99)</w:t>
            </w:r>
          </w:p>
        </w:tc>
        <w:tc>
          <w:tcPr>
            <w:tcW w:w="992" w:type="dxa"/>
          </w:tcPr>
          <w:p w14:paraId="33AA549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.044</w:t>
            </w:r>
          </w:p>
        </w:tc>
        <w:tc>
          <w:tcPr>
            <w:tcW w:w="1985" w:type="dxa"/>
          </w:tcPr>
          <w:p w14:paraId="287D0CF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0.82 (0.67-1.00)</w:t>
            </w:r>
          </w:p>
        </w:tc>
        <w:tc>
          <w:tcPr>
            <w:tcW w:w="992" w:type="dxa"/>
          </w:tcPr>
          <w:p w14:paraId="606711D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.053</w:t>
            </w:r>
          </w:p>
        </w:tc>
        <w:tc>
          <w:tcPr>
            <w:tcW w:w="1985" w:type="dxa"/>
          </w:tcPr>
          <w:p w14:paraId="6D24EC4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0.82 (0.67-1.00)</w:t>
            </w:r>
          </w:p>
        </w:tc>
        <w:tc>
          <w:tcPr>
            <w:tcW w:w="992" w:type="dxa"/>
          </w:tcPr>
          <w:p w14:paraId="3C88507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.046</w:t>
            </w:r>
          </w:p>
        </w:tc>
        <w:tc>
          <w:tcPr>
            <w:tcW w:w="1984" w:type="dxa"/>
          </w:tcPr>
          <w:p w14:paraId="5483600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0.82 (0.67-1.00)</w:t>
            </w:r>
          </w:p>
        </w:tc>
        <w:tc>
          <w:tcPr>
            <w:tcW w:w="1090" w:type="dxa"/>
          </w:tcPr>
          <w:p w14:paraId="4F090B3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.046</w:t>
            </w:r>
          </w:p>
        </w:tc>
      </w:tr>
      <w:tr w:rsidR="00310843" w:rsidRPr="00103A0B" w14:paraId="0B0163E0" w14:textId="77777777" w:rsidTr="00113624">
        <w:trPr>
          <w:trHeight w:val="278"/>
        </w:trPr>
        <w:tc>
          <w:tcPr>
            <w:tcW w:w="3256" w:type="dxa"/>
          </w:tcPr>
          <w:p w14:paraId="67DEC5D7"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South London </w:t>
            </w:r>
          </w:p>
        </w:tc>
        <w:tc>
          <w:tcPr>
            <w:tcW w:w="1984" w:type="dxa"/>
          </w:tcPr>
          <w:p w14:paraId="6858CA8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1.01 (0.87-1.18)</w:t>
            </w:r>
          </w:p>
        </w:tc>
        <w:tc>
          <w:tcPr>
            <w:tcW w:w="992" w:type="dxa"/>
          </w:tcPr>
          <w:p w14:paraId="315DAB4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.912</w:t>
            </w:r>
          </w:p>
        </w:tc>
        <w:tc>
          <w:tcPr>
            <w:tcW w:w="1985" w:type="dxa"/>
          </w:tcPr>
          <w:p w14:paraId="71818D2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(0.85-1.17)</w:t>
            </w:r>
          </w:p>
        </w:tc>
        <w:tc>
          <w:tcPr>
            <w:tcW w:w="992" w:type="dxa"/>
          </w:tcPr>
          <w:p w14:paraId="1210E56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.932</w:t>
            </w:r>
          </w:p>
        </w:tc>
        <w:tc>
          <w:tcPr>
            <w:tcW w:w="1985" w:type="dxa"/>
          </w:tcPr>
          <w:p w14:paraId="2D3CE71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(0.84-1.15)</w:t>
            </w:r>
          </w:p>
        </w:tc>
        <w:tc>
          <w:tcPr>
            <w:tcW w:w="992" w:type="dxa"/>
          </w:tcPr>
          <w:p w14:paraId="147A85A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.848</w:t>
            </w:r>
          </w:p>
        </w:tc>
        <w:tc>
          <w:tcPr>
            <w:tcW w:w="1984" w:type="dxa"/>
          </w:tcPr>
          <w:p w14:paraId="3B65E36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0.98 (0.84-1.15)</w:t>
            </w:r>
          </w:p>
        </w:tc>
        <w:tc>
          <w:tcPr>
            <w:tcW w:w="1090" w:type="dxa"/>
          </w:tcPr>
          <w:p w14:paraId="4ED2E0A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.824</w:t>
            </w:r>
          </w:p>
        </w:tc>
      </w:tr>
      <w:tr w:rsidR="00310843" w:rsidRPr="00103A0B" w14:paraId="123E4135" w14:textId="77777777" w:rsidTr="00113624">
        <w:trPr>
          <w:trHeight w:val="278"/>
        </w:trPr>
        <w:tc>
          <w:tcPr>
            <w:tcW w:w="3256" w:type="dxa"/>
          </w:tcPr>
          <w:p w14:paraId="4F614FDB"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West Yorkshire </w:t>
            </w:r>
          </w:p>
        </w:tc>
        <w:tc>
          <w:tcPr>
            <w:tcW w:w="1984" w:type="dxa"/>
          </w:tcPr>
          <w:p w14:paraId="6341695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1.05 (0.87-1.27)</w:t>
            </w:r>
          </w:p>
        </w:tc>
        <w:tc>
          <w:tcPr>
            <w:tcW w:w="992" w:type="dxa"/>
          </w:tcPr>
          <w:p w14:paraId="5F72EDD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.586</w:t>
            </w:r>
          </w:p>
        </w:tc>
        <w:tc>
          <w:tcPr>
            <w:tcW w:w="1985" w:type="dxa"/>
          </w:tcPr>
          <w:p w14:paraId="571B5CF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1.07 (0.88-1.30)</w:t>
            </w:r>
          </w:p>
        </w:tc>
        <w:tc>
          <w:tcPr>
            <w:tcW w:w="992" w:type="dxa"/>
          </w:tcPr>
          <w:p w14:paraId="4FCB813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.491</w:t>
            </w:r>
          </w:p>
        </w:tc>
        <w:tc>
          <w:tcPr>
            <w:tcW w:w="1985" w:type="dxa"/>
          </w:tcPr>
          <w:p w14:paraId="4D283DD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1.07 (0.88-1.29)</w:t>
            </w:r>
          </w:p>
        </w:tc>
        <w:tc>
          <w:tcPr>
            <w:tcW w:w="992" w:type="dxa"/>
          </w:tcPr>
          <w:p w14:paraId="1BD969C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.502</w:t>
            </w:r>
          </w:p>
        </w:tc>
        <w:tc>
          <w:tcPr>
            <w:tcW w:w="1984" w:type="dxa"/>
          </w:tcPr>
          <w:p w14:paraId="7EBBB6C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1.06 (0.88-1.29)</w:t>
            </w:r>
          </w:p>
        </w:tc>
        <w:tc>
          <w:tcPr>
            <w:tcW w:w="1090" w:type="dxa"/>
          </w:tcPr>
          <w:p w14:paraId="025F048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.521</w:t>
            </w:r>
          </w:p>
        </w:tc>
      </w:tr>
      <w:tr w:rsidR="00310843" w:rsidRPr="00103A0B" w14:paraId="0472AC19" w14:textId="77777777" w:rsidTr="00113624">
        <w:trPr>
          <w:trHeight w:val="278"/>
        </w:trPr>
        <w:tc>
          <w:tcPr>
            <w:tcW w:w="3256" w:type="dxa"/>
          </w:tcPr>
          <w:p w14:paraId="795859A2" w14:textId="77777777" w:rsidR="00310843" w:rsidRPr="00103A0B" w:rsidRDefault="00310843" w:rsidP="00113624">
            <w:pPr>
              <w:spacing w:line="276" w:lineRule="auto"/>
              <w:jc w:val="both"/>
              <w:rPr>
                <w:rFonts w:ascii="Arial" w:hAnsi="Arial" w:cs="Arial"/>
                <w:sz w:val="24"/>
                <w:szCs w:val="24"/>
              </w:rPr>
            </w:pPr>
            <w:bookmarkStart w:id="430" w:name="_Hlk53915349"/>
            <w:r w:rsidRPr="00103A0B">
              <w:rPr>
                <w:rFonts w:ascii="Arial" w:hAnsi="Arial" w:cs="Arial"/>
                <w:b/>
                <w:bCs/>
                <w:sz w:val="24"/>
                <w:szCs w:val="24"/>
              </w:rPr>
              <w:t>Gender</w:t>
            </w:r>
            <w:r w:rsidRPr="00103A0B">
              <w:rPr>
                <w:rFonts w:ascii="Arial" w:hAnsi="Arial" w:cs="Arial"/>
                <w:sz w:val="24"/>
                <w:szCs w:val="24"/>
              </w:rPr>
              <w:t xml:space="preserve"> [Male]: Female</w:t>
            </w:r>
          </w:p>
        </w:tc>
        <w:tc>
          <w:tcPr>
            <w:tcW w:w="1984" w:type="dxa"/>
          </w:tcPr>
          <w:p w14:paraId="4D73825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1.17 (1.07-1.29)</w:t>
            </w:r>
          </w:p>
        </w:tc>
        <w:tc>
          <w:tcPr>
            <w:tcW w:w="992" w:type="dxa"/>
          </w:tcPr>
          <w:p w14:paraId="635CA31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85" w:type="dxa"/>
          </w:tcPr>
          <w:p w14:paraId="73EA895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1.15 (1.05-1.26)</w:t>
            </w:r>
          </w:p>
        </w:tc>
        <w:tc>
          <w:tcPr>
            <w:tcW w:w="992" w:type="dxa"/>
          </w:tcPr>
          <w:p w14:paraId="07A4C25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.004</w:t>
            </w:r>
          </w:p>
        </w:tc>
        <w:tc>
          <w:tcPr>
            <w:tcW w:w="1985" w:type="dxa"/>
          </w:tcPr>
          <w:p w14:paraId="56BFC8A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1.15 (1.04-1.26)</w:t>
            </w:r>
          </w:p>
        </w:tc>
        <w:tc>
          <w:tcPr>
            <w:tcW w:w="992" w:type="dxa"/>
          </w:tcPr>
          <w:p w14:paraId="1680F0E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.005</w:t>
            </w:r>
          </w:p>
        </w:tc>
        <w:tc>
          <w:tcPr>
            <w:tcW w:w="1984" w:type="dxa"/>
          </w:tcPr>
          <w:p w14:paraId="6BA79A8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1.15 (1.04-1.26)</w:t>
            </w:r>
          </w:p>
        </w:tc>
        <w:tc>
          <w:tcPr>
            <w:tcW w:w="1090" w:type="dxa"/>
          </w:tcPr>
          <w:p w14:paraId="17DFEC2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.005</w:t>
            </w:r>
          </w:p>
        </w:tc>
      </w:tr>
      <w:bookmarkEnd w:id="430"/>
      <w:tr w:rsidR="00310843" w:rsidRPr="00103A0B" w14:paraId="357F83C3" w14:textId="77777777" w:rsidTr="00113624">
        <w:trPr>
          <w:trHeight w:val="278"/>
        </w:trPr>
        <w:tc>
          <w:tcPr>
            <w:tcW w:w="3256" w:type="dxa"/>
          </w:tcPr>
          <w:p w14:paraId="3E40E318"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b/>
                <w:bCs/>
                <w:sz w:val="24"/>
                <w:szCs w:val="24"/>
              </w:rPr>
              <w:t>Age</w:t>
            </w:r>
            <w:r w:rsidRPr="00103A0B">
              <w:rPr>
                <w:rFonts w:ascii="Arial" w:hAnsi="Arial" w:cs="Arial"/>
                <w:sz w:val="24"/>
                <w:szCs w:val="24"/>
              </w:rPr>
              <w:t xml:space="preserve"> [&lt;40]: 40-44</w:t>
            </w:r>
          </w:p>
        </w:tc>
        <w:tc>
          <w:tcPr>
            <w:tcW w:w="1984" w:type="dxa"/>
          </w:tcPr>
          <w:p w14:paraId="5A54E96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0.93 (0.71-1.22)</w:t>
            </w:r>
          </w:p>
        </w:tc>
        <w:tc>
          <w:tcPr>
            <w:tcW w:w="992" w:type="dxa"/>
          </w:tcPr>
          <w:p w14:paraId="068B24E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.620</w:t>
            </w:r>
          </w:p>
        </w:tc>
        <w:tc>
          <w:tcPr>
            <w:tcW w:w="1985" w:type="dxa"/>
          </w:tcPr>
          <w:p w14:paraId="2312AD5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0.95 (0.73-1.25)</w:t>
            </w:r>
          </w:p>
        </w:tc>
        <w:tc>
          <w:tcPr>
            <w:tcW w:w="992" w:type="dxa"/>
          </w:tcPr>
          <w:p w14:paraId="1E91E2F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.733</w:t>
            </w:r>
          </w:p>
        </w:tc>
        <w:tc>
          <w:tcPr>
            <w:tcW w:w="1985" w:type="dxa"/>
          </w:tcPr>
          <w:p w14:paraId="5DBDD6B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0.96 (0.73-1.25)</w:t>
            </w:r>
          </w:p>
        </w:tc>
        <w:tc>
          <w:tcPr>
            <w:tcW w:w="992" w:type="dxa"/>
          </w:tcPr>
          <w:p w14:paraId="56E2AC9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.743</w:t>
            </w:r>
          </w:p>
        </w:tc>
        <w:tc>
          <w:tcPr>
            <w:tcW w:w="1984" w:type="dxa"/>
          </w:tcPr>
          <w:p w14:paraId="510386E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0.96 (0.73-1.26)</w:t>
            </w:r>
          </w:p>
        </w:tc>
        <w:tc>
          <w:tcPr>
            <w:tcW w:w="1090" w:type="dxa"/>
          </w:tcPr>
          <w:p w14:paraId="0F5B1D4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.750</w:t>
            </w:r>
          </w:p>
        </w:tc>
      </w:tr>
      <w:tr w:rsidR="00310843" w:rsidRPr="00103A0B" w14:paraId="29DFEDD5" w14:textId="77777777" w:rsidTr="00113624">
        <w:trPr>
          <w:trHeight w:val="278"/>
        </w:trPr>
        <w:tc>
          <w:tcPr>
            <w:tcW w:w="3256" w:type="dxa"/>
          </w:tcPr>
          <w:p w14:paraId="77EEAE8C"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45-49</w:t>
            </w:r>
          </w:p>
        </w:tc>
        <w:tc>
          <w:tcPr>
            <w:tcW w:w="1984" w:type="dxa"/>
          </w:tcPr>
          <w:p w14:paraId="1AAB217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1.12 (0.86-1.44)</w:t>
            </w:r>
          </w:p>
        </w:tc>
        <w:tc>
          <w:tcPr>
            <w:tcW w:w="992" w:type="dxa"/>
          </w:tcPr>
          <w:p w14:paraId="32301F7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.401</w:t>
            </w:r>
          </w:p>
        </w:tc>
        <w:tc>
          <w:tcPr>
            <w:tcW w:w="1985" w:type="dxa"/>
          </w:tcPr>
          <w:p w14:paraId="7B33B90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1.15 (0.88-1.50)</w:t>
            </w:r>
          </w:p>
        </w:tc>
        <w:tc>
          <w:tcPr>
            <w:tcW w:w="992" w:type="dxa"/>
          </w:tcPr>
          <w:p w14:paraId="0A4EF0A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.302</w:t>
            </w:r>
          </w:p>
        </w:tc>
        <w:tc>
          <w:tcPr>
            <w:tcW w:w="1985" w:type="dxa"/>
          </w:tcPr>
          <w:p w14:paraId="1172204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1.15 (0.88-1.50)</w:t>
            </w:r>
          </w:p>
        </w:tc>
        <w:tc>
          <w:tcPr>
            <w:tcW w:w="992" w:type="dxa"/>
          </w:tcPr>
          <w:p w14:paraId="624D7B8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.304</w:t>
            </w:r>
          </w:p>
        </w:tc>
        <w:tc>
          <w:tcPr>
            <w:tcW w:w="1984" w:type="dxa"/>
          </w:tcPr>
          <w:p w14:paraId="51885F7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1.16 (0.89-1.50)</w:t>
            </w:r>
          </w:p>
        </w:tc>
        <w:tc>
          <w:tcPr>
            <w:tcW w:w="1090" w:type="dxa"/>
          </w:tcPr>
          <w:p w14:paraId="77C3B41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.285</w:t>
            </w:r>
          </w:p>
        </w:tc>
      </w:tr>
      <w:tr w:rsidR="00310843" w:rsidRPr="00103A0B" w14:paraId="58BBEC52" w14:textId="77777777" w:rsidTr="00113624">
        <w:trPr>
          <w:trHeight w:val="278"/>
        </w:trPr>
        <w:tc>
          <w:tcPr>
            <w:tcW w:w="3256" w:type="dxa"/>
          </w:tcPr>
          <w:p w14:paraId="0EB3CF63"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50-54</w:t>
            </w:r>
          </w:p>
        </w:tc>
        <w:tc>
          <w:tcPr>
            <w:tcW w:w="1984" w:type="dxa"/>
          </w:tcPr>
          <w:p w14:paraId="2327B5A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1.24 (0.97-1.57)</w:t>
            </w:r>
          </w:p>
        </w:tc>
        <w:tc>
          <w:tcPr>
            <w:tcW w:w="992" w:type="dxa"/>
          </w:tcPr>
          <w:p w14:paraId="456F787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.081</w:t>
            </w:r>
          </w:p>
        </w:tc>
        <w:tc>
          <w:tcPr>
            <w:tcW w:w="1985" w:type="dxa"/>
          </w:tcPr>
          <w:p w14:paraId="606E4A8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1.26 (0.99-1.61)</w:t>
            </w:r>
          </w:p>
        </w:tc>
        <w:tc>
          <w:tcPr>
            <w:tcW w:w="992" w:type="dxa"/>
          </w:tcPr>
          <w:p w14:paraId="022EAF5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.062</w:t>
            </w:r>
          </w:p>
        </w:tc>
        <w:tc>
          <w:tcPr>
            <w:tcW w:w="1985" w:type="dxa"/>
          </w:tcPr>
          <w:p w14:paraId="540A0F5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1.26 (0.99-1.61)</w:t>
            </w:r>
          </w:p>
        </w:tc>
        <w:tc>
          <w:tcPr>
            <w:tcW w:w="992" w:type="dxa"/>
          </w:tcPr>
          <w:p w14:paraId="20FC9D2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.060</w:t>
            </w:r>
          </w:p>
        </w:tc>
        <w:tc>
          <w:tcPr>
            <w:tcW w:w="1984" w:type="dxa"/>
          </w:tcPr>
          <w:p w14:paraId="1625083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1.27 (1.00-1.62)</w:t>
            </w:r>
          </w:p>
        </w:tc>
        <w:tc>
          <w:tcPr>
            <w:tcW w:w="1090" w:type="dxa"/>
          </w:tcPr>
          <w:p w14:paraId="25B981F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.054</w:t>
            </w:r>
          </w:p>
        </w:tc>
      </w:tr>
      <w:tr w:rsidR="00310843" w:rsidRPr="00103A0B" w14:paraId="459D22AB" w14:textId="77777777" w:rsidTr="00113624">
        <w:trPr>
          <w:trHeight w:val="278"/>
        </w:trPr>
        <w:tc>
          <w:tcPr>
            <w:tcW w:w="3256" w:type="dxa"/>
          </w:tcPr>
          <w:p w14:paraId="3C65EED7"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55-59</w:t>
            </w:r>
          </w:p>
        </w:tc>
        <w:tc>
          <w:tcPr>
            <w:tcW w:w="1984" w:type="dxa"/>
          </w:tcPr>
          <w:p w14:paraId="2D887AE9"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1.43 (1.14-1.79)</w:t>
            </w:r>
          </w:p>
        </w:tc>
        <w:tc>
          <w:tcPr>
            <w:tcW w:w="992" w:type="dxa"/>
          </w:tcPr>
          <w:p w14:paraId="67DFF716"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.002</w:t>
            </w:r>
          </w:p>
        </w:tc>
        <w:tc>
          <w:tcPr>
            <w:tcW w:w="1985" w:type="dxa"/>
          </w:tcPr>
          <w:p w14:paraId="1616FAE9"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1.47 (1.17-1.84)</w:t>
            </w:r>
          </w:p>
        </w:tc>
        <w:tc>
          <w:tcPr>
            <w:tcW w:w="992" w:type="dxa"/>
          </w:tcPr>
          <w:p w14:paraId="0AA4700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85" w:type="dxa"/>
          </w:tcPr>
          <w:p w14:paraId="616B4710"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1.47 (1.17-1.84)</w:t>
            </w:r>
          </w:p>
        </w:tc>
        <w:tc>
          <w:tcPr>
            <w:tcW w:w="992" w:type="dxa"/>
          </w:tcPr>
          <w:p w14:paraId="6B920E5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84" w:type="dxa"/>
          </w:tcPr>
          <w:p w14:paraId="5D3C5400"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1.47 (1.18-1.85)</w:t>
            </w:r>
          </w:p>
        </w:tc>
        <w:tc>
          <w:tcPr>
            <w:tcW w:w="1090" w:type="dxa"/>
          </w:tcPr>
          <w:p w14:paraId="6E6F79B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r>
      <w:tr w:rsidR="00310843" w:rsidRPr="00103A0B" w14:paraId="70C6D2F8" w14:textId="77777777" w:rsidTr="00113624">
        <w:trPr>
          <w:trHeight w:val="278"/>
        </w:trPr>
        <w:tc>
          <w:tcPr>
            <w:tcW w:w="3256" w:type="dxa"/>
          </w:tcPr>
          <w:p w14:paraId="3847D529"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60-64</w:t>
            </w:r>
          </w:p>
        </w:tc>
        <w:tc>
          <w:tcPr>
            <w:tcW w:w="1984" w:type="dxa"/>
          </w:tcPr>
          <w:p w14:paraId="36C953F8"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1.46 (1.16-1.84)</w:t>
            </w:r>
          </w:p>
        </w:tc>
        <w:tc>
          <w:tcPr>
            <w:tcW w:w="992" w:type="dxa"/>
          </w:tcPr>
          <w:p w14:paraId="64A7354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.002</w:t>
            </w:r>
          </w:p>
        </w:tc>
        <w:tc>
          <w:tcPr>
            <w:tcW w:w="1985" w:type="dxa"/>
          </w:tcPr>
          <w:p w14:paraId="7DB392A5"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1.51 (1.19-1.91)</w:t>
            </w:r>
          </w:p>
        </w:tc>
        <w:tc>
          <w:tcPr>
            <w:tcW w:w="992" w:type="dxa"/>
          </w:tcPr>
          <w:p w14:paraId="6D0DCA6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85" w:type="dxa"/>
          </w:tcPr>
          <w:p w14:paraId="451C0653"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1.50 (1.19-1.91)</w:t>
            </w:r>
          </w:p>
        </w:tc>
        <w:tc>
          <w:tcPr>
            <w:tcW w:w="992" w:type="dxa"/>
          </w:tcPr>
          <w:p w14:paraId="5F2B7DA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84" w:type="dxa"/>
          </w:tcPr>
          <w:p w14:paraId="2281931E"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1.51 (1.19-1.91)</w:t>
            </w:r>
          </w:p>
        </w:tc>
        <w:tc>
          <w:tcPr>
            <w:tcW w:w="1090" w:type="dxa"/>
          </w:tcPr>
          <w:p w14:paraId="5FF5B8F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r>
      <w:tr w:rsidR="00310843" w:rsidRPr="00103A0B" w14:paraId="548E9ED4" w14:textId="77777777" w:rsidTr="00113624">
        <w:trPr>
          <w:trHeight w:val="278"/>
        </w:trPr>
        <w:tc>
          <w:tcPr>
            <w:tcW w:w="3256" w:type="dxa"/>
          </w:tcPr>
          <w:p w14:paraId="1698671D"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65-69</w:t>
            </w:r>
          </w:p>
        </w:tc>
        <w:tc>
          <w:tcPr>
            <w:tcW w:w="1984" w:type="dxa"/>
          </w:tcPr>
          <w:p w14:paraId="6FB8701D"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1.94 (1.51-2.49)</w:t>
            </w:r>
          </w:p>
        </w:tc>
        <w:tc>
          <w:tcPr>
            <w:tcW w:w="992" w:type="dxa"/>
          </w:tcPr>
          <w:p w14:paraId="11B20BA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5" w:type="dxa"/>
          </w:tcPr>
          <w:p w14:paraId="7676276F"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2.02 (1.57-2.60)</w:t>
            </w:r>
          </w:p>
        </w:tc>
        <w:tc>
          <w:tcPr>
            <w:tcW w:w="992" w:type="dxa"/>
          </w:tcPr>
          <w:p w14:paraId="2DD3D3B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5" w:type="dxa"/>
          </w:tcPr>
          <w:p w14:paraId="326F1B22"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2.02 (1.57-2.60)</w:t>
            </w:r>
          </w:p>
        </w:tc>
        <w:tc>
          <w:tcPr>
            <w:tcW w:w="992" w:type="dxa"/>
          </w:tcPr>
          <w:p w14:paraId="6B70AB8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4" w:type="dxa"/>
          </w:tcPr>
          <w:p w14:paraId="5C718BD9"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2.02 (1.56-2.60)</w:t>
            </w:r>
          </w:p>
        </w:tc>
        <w:tc>
          <w:tcPr>
            <w:tcW w:w="1090" w:type="dxa"/>
          </w:tcPr>
          <w:p w14:paraId="0B0EDF0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13264A4A" w14:textId="77777777" w:rsidTr="00113624">
        <w:trPr>
          <w:trHeight w:val="278"/>
        </w:trPr>
        <w:tc>
          <w:tcPr>
            <w:tcW w:w="3256" w:type="dxa"/>
          </w:tcPr>
          <w:p w14:paraId="7E7006F3"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70-74</w:t>
            </w:r>
          </w:p>
        </w:tc>
        <w:tc>
          <w:tcPr>
            <w:tcW w:w="1984" w:type="dxa"/>
          </w:tcPr>
          <w:p w14:paraId="2AC7939C"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1.92 (1.48-2.47)</w:t>
            </w:r>
          </w:p>
        </w:tc>
        <w:tc>
          <w:tcPr>
            <w:tcW w:w="992" w:type="dxa"/>
          </w:tcPr>
          <w:p w14:paraId="4576A0E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5" w:type="dxa"/>
          </w:tcPr>
          <w:p w14:paraId="7307F14B"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2.03 (1.57-2.62)</w:t>
            </w:r>
          </w:p>
        </w:tc>
        <w:tc>
          <w:tcPr>
            <w:tcW w:w="992" w:type="dxa"/>
          </w:tcPr>
          <w:p w14:paraId="12C0C49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5" w:type="dxa"/>
          </w:tcPr>
          <w:p w14:paraId="0843399E"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2.03 (1.58-2.63)</w:t>
            </w:r>
          </w:p>
        </w:tc>
        <w:tc>
          <w:tcPr>
            <w:tcW w:w="992" w:type="dxa"/>
          </w:tcPr>
          <w:p w14:paraId="1606049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4" w:type="dxa"/>
          </w:tcPr>
          <w:p w14:paraId="7FEA01EB"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2.04 (1.58-2.64)</w:t>
            </w:r>
          </w:p>
        </w:tc>
        <w:tc>
          <w:tcPr>
            <w:tcW w:w="1090" w:type="dxa"/>
          </w:tcPr>
          <w:p w14:paraId="4F588D0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0C3B4270" w14:textId="77777777" w:rsidTr="00113624">
        <w:trPr>
          <w:trHeight w:val="278"/>
        </w:trPr>
        <w:tc>
          <w:tcPr>
            <w:tcW w:w="3256" w:type="dxa"/>
          </w:tcPr>
          <w:p w14:paraId="3EFCB414"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 ≥75</w:t>
            </w:r>
          </w:p>
        </w:tc>
        <w:tc>
          <w:tcPr>
            <w:tcW w:w="1984" w:type="dxa"/>
          </w:tcPr>
          <w:p w14:paraId="7F9529C5"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1.66 (1.30-2.11)</w:t>
            </w:r>
          </w:p>
        </w:tc>
        <w:tc>
          <w:tcPr>
            <w:tcW w:w="992" w:type="dxa"/>
          </w:tcPr>
          <w:p w14:paraId="187067D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5" w:type="dxa"/>
          </w:tcPr>
          <w:p w14:paraId="2B4CBE49"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1.80 (1.40-2.32)</w:t>
            </w:r>
          </w:p>
        </w:tc>
        <w:tc>
          <w:tcPr>
            <w:tcW w:w="992" w:type="dxa"/>
          </w:tcPr>
          <w:p w14:paraId="3A2CB0D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5" w:type="dxa"/>
          </w:tcPr>
          <w:p w14:paraId="5F88018A"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1.80 (1.40-2.31)</w:t>
            </w:r>
          </w:p>
        </w:tc>
        <w:tc>
          <w:tcPr>
            <w:tcW w:w="992" w:type="dxa"/>
          </w:tcPr>
          <w:p w14:paraId="7FAFED2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4" w:type="dxa"/>
          </w:tcPr>
          <w:p w14:paraId="1B294809"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1.81 (1.41-2.32)</w:t>
            </w:r>
          </w:p>
        </w:tc>
        <w:tc>
          <w:tcPr>
            <w:tcW w:w="1090" w:type="dxa"/>
          </w:tcPr>
          <w:p w14:paraId="19BD3F8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6DF90DAA" w14:textId="77777777" w:rsidTr="00113624">
        <w:trPr>
          <w:trHeight w:val="278"/>
        </w:trPr>
        <w:tc>
          <w:tcPr>
            <w:tcW w:w="3256" w:type="dxa"/>
          </w:tcPr>
          <w:p w14:paraId="58708A18"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b/>
                <w:bCs/>
                <w:sz w:val="24"/>
                <w:szCs w:val="24"/>
              </w:rPr>
              <w:t>Ethnicity</w:t>
            </w:r>
            <w:r w:rsidRPr="00103A0B">
              <w:rPr>
                <w:rFonts w:ascii="Arial" w:hAnsi="Arial" w:cs="Arial"/>
                <w:sz w:val="24"/>
                <w:szCs w:val="24"/>
              </w:rPr>
              <w:t xml:space="preserve"> [White]:  Black</w:t>
            </w:r>
          </w:p>
        </w:tc>
        <w:tc>
          <w:tcPr>
            <w:tcW w:w="1984" w:type="dxa"/>
          </w:tcPr>
          <w:p w14:paraId="706E988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0.97 (0.83-1.13)</w:t>
            </w:r>
          </w:p>
        </w:tc>
        <w:tc>
          <w:tcPr>
            <w:tcW w:w="992" w:type="dxa"/>
          </w:tcPr>
          <w:p w14:paraId="5DDE5CC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.703</w:t>
            </w:r>
          </w:p>
        </w:tc>
        <w:tc>
          <w:tcPr>
            <w:tcW w:w="1985" w:type="dxa"/>
          </w:tcPr>
          <w:p w14:paraId="3699B06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0.93 (0.77-1.12)</w:t>
            </w:r>
          </w:p>
        </w:tc>
        <w:tc>
          <w:tcPr>
            <w:tcW w:w="992" w:type="dxa"/>
          </w:tcPr>
          <w:p w14:paraId="4112550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.405</w:t>
            </w:r>
          </w:p>
        </w:tc>
        <w:tc>
          <w:tcPr>
            <w:tcW w:w="1985" w:type="dxa"/>
          </w:tcPr>
          <w:p w14:paraId="775420E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0.93 (0.77-1.12)</w:t>
            </w:r>
          </w:p>
        </w:tc>
        <w:tc>
          <w:tcPr>
            <w:tcW w:w="992" w:type="dxa"/>
          </w:tcPr>
          <w:p w14:paraId="717EABA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.409</w:t>
            </w:r>
          </w:p>
        </w:tc>
        <w:tc>
          <w:tcPr>
            <w:tcW w:w="1984" w:type="dxa"/>
          </w:tcPr>
          <w:p w14:paraId="238B59C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0.94 (0.78-1.13)</w:t>
            </w:r>
          </w:p>
        </w:tc>
        <w:tc>
          <w:tcPr>
            <w:tcW w:w="1090" w:type="dxa"/>
          </w:tcPr>
          <w:p w14:paraId="33FF8E0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.456</w:t>
            </w:r>
          </w:p>
        </w:tc>
      </w:tr>
      <w:tr w:rsidR="00310843" w:rsidRPr="00103A0B" w14:paraId="50A560AE" w14:textId="77777777" w:rsidTr="00113624">
        <w:trPr>
          <w:trHeight w:val="278"/>
        </w:trPr>
        <w:tc>
          <w:tcPr>
            <w:tcW w:w="3256" w:type="dxa"/>
          </w:tcPr>
          <w:p w14:paraId="068E3284" w14:textId="77777777" w:rsidR="00310843" w:rsidRPr="00103A0B" w:rsidRDefault="00310843" w:rsidP="00113624">
            <w:pPr>
              <w:spacing w:line="276" w:lineRule="auto"/>
              <w:jc w:val="both"/>
              <w:rPr>
                <w:rFonts w:ascii="Arial" w:hAnsi="Arial" w:cs="Arial"/>
                <w:sz w:val="24"/>
                <w:szCs w:val="24"/>
              </w:rPr>
            </w:pPr>
            <w:bookmarkStart w:id="431" w:name="_Hlk53915407"/>
            <w:r w:rsidRPr="00103A0B">
              <w:rPr>
                <w:rFonts w:ascii="Arial" w:hAnsi="Arial" w:cs="Arial"/>
                <w:sz w:val="24"/>
                <w:szCs w:val="24"/>
              </w:rPr>
              <w:t>Asian</w:t>
            </w:r>
          </w:p>
        </w:tc>
        <w:tc>
          <w:tcPr>
            <w:tcW w:w="1984" w:type="dxa"/>
          </w:tcPr>
          <w:p w14:paraId="183499E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0.82 (0.69-0.98)</w:t>
            </w:r>
          </w:p>
        </w:tc>
        <w:tc>
          <w:tcPr>
            <w:tcW w:w="992" w:type="dxa"/>
          </w:tcPr>
          <w:p w14:paraId="3500928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.029</w:t>
            </w:r>
          </w:p>
        </w:tc>
        <w:tc>
          <w:tcPr>
            <w:tcW w:w="1985" w:type="dxa"/>
          </w:tcPr>
          <w:p w14:paraId="7202F31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0.76 (0.62-0.94)</w:t>
            </w:r>
          </w:p>
        </w:tc>
        <w:tc>
          <w:tcPr>
            <w:tcW w:w="992" w:type="dxa"/>
          </w:tcPr>
          <w:p w14:paraId="7634278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.013</w:t>
            </w:r>
          </w:p>
        </w:tc>
        <w:tc>
          <w:tcPr>
            <w:tcW w:w="1985" w:type="dxa"/>
          </w:tcPr>
          <w:p w14:paraId="49DD10D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0.76 (0.62-0.94)</w:t>
            </w:r>
          </w:p>
        </w:tc>
        <w:tc>
          <w:tcPr>
            <w:tcW w:w="992" w:type="dxa"/>
          </w:tcPr>
          <w:p w14:paraId="40DB641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.013</w:t>
            </w:r>
          </w:p>
        </w:tc>
        <w:tc>
          <w:tcPr>
            <w:tcW w:w="1984" w:type="dxa"/>
          </w:tcPr>
          <w:p w14:paraId="3B9AABD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0.76 (0.62-0.93)</w:t>
            </w:r>
          </w:p>
        </w:tc>
        <w:tc>
          <w:tcPr>
            <w:tcW w:w="1090" w:type="dxa"/>
          </w:tcPr>
          <w:p w14:paraId="37BFB59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.011</w:t>
            </w:r>
          </w:p>
        </w:tc>
      </w:tr>
      <w:bookmarkEnd w:id="431"/>
      <w:tr w:rsidR="00310843" w:rsidRPr="00103A0B" w14:paraId="6A01D1BC" w14:textId="77777777" w:rsidTr="00113624">
        <w:trPr>
          <w:trHeight w:val="278"/>
        </w:trPr>
        <w:tc>
          <w:tcPr>
            <w:tcW w:w="3256" w:type="dxa"/>
          </w:tcPr>
          <w:p w14:paraId="737AC75A"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Mixed</w:t>
            </w:r>
          </w:p>
        </w:tc>
        <w:tc>
          <w:tcPr>
            <w:tcW w:w="1984" w:type="dxa"/>
          </w:tcPr>
          <w:p w14:paraId="483EC73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1.13 (0.70-1.83)</w:t>
            </w:r>
          </w:p>
        </w:tc>
        <w:tc>
          <w:tcPr>
            <w:tcW w:w="992" w:type="dxa"/>
          </w:tcPr>
          <w:p w14:paraId="2B6DB58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.586</w:t>
            </w:r>
          </w:p>
        </w:tc>
        <w:tc>
          <w:tcPr>
            <w:tcW w:w="1985" w:type="dxa"/>
          </w:tcPr>
          <w:p w14:paraId="2ADA553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1.08 (0.64-1.80)</w:t>
            </w:r>
          </w:p>
        </w:tc>
        <w:tc>
          <w:tcPr>
            <w:tcW w:w="992" w:type="dxa"/>
          </w:tcPr>
          <w:p w14:paraId="1502D50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.757</w:t>
            </w:r>
          </w:p>
        </w:tc>
        <w:tc>
          <w:tcPr>
            <w:tcW w:w="1985" w:type="dxa"/>
          </w:tcPr>
          <w:p w14:paraId="28B4198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1.07 (0.65-1.76)</w:t>
            </w:r>
          </w:p>
        </w:tc>
        <w:tc>
          <w:tcPr>
            <w:tcW w:w="992" w:type="dxa"/>
          </w:tcPr>
          <w:p w14:paraId="2045418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.779</w:t>
            </w:r>
          </w:p>
        </w:tc>
        <w:tc>
          <w:tcPr>
            <w:tcW w:w="1984" w:type="dxa"/>
          </w:tcPr>
          <w:p w14:paraId="1BEF322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1.07 (0.65-1.77)</w:t>
            </w:r>
          </w:p>
        </w:tc>
        <w:tc>
          <w:tcPr>
            <w:tcW w:w="1090" w:type="dxa"/>
          </w:tcPr>
          <w:p w14:paraId="4262F94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.764</w:t>
            </w:r>
          </w:p>
        </w:tc>
      </w:tr>
      <w:tr w:rsidR="00310843" w:rsidRPr="00103A0B" w14:paraId="5C82CAF4" w14:textId="77777777" w:rsidTr="00113624">
        <w:trPr>
          <w:trHeight w:val="278"/>
        </w:trPr>
        <w:tc>
          <w:tcPr>
            <w:tcW w:w="3256" w:type="dxa"/>
          </w:tcPr>
          <w:p w14:paraId="62D81B4C"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Other</w:t>
            </w:r>
          </w:p>
        </w:tc>
        <w:tc>
          <w:tcPr>
            <w:tcW w:w="1984" w:type="dxa"/>
          </w:tcPr>
          <w:p w14:paraId="179C121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0.85 (0.61-1.18)</w:t>
            </w:r>
          </w:p>
        </w:tc>
        <w:tc>
          <w:tcPr>
            <w:tcW w:w="992" w:type="dxa"/>
          </w:tcPr>
          <w:p w14:paraId="596DFFC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.317</w:t>
            </w:r>
          </w:p>
        </w:tc>
        <w:tc>
          <w:tcPr>
            <w:tcW w:w="1985" w:type="dxa"/>
          </w:tcPr>
          <w:p w14:paraId="6BF93FF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0.83 (0.60-1.16)</w:t>
            </w:r>
          </w:p>
        </w:tc>
        <w:tc>
          <w:tcPr>
            <w:tcW w:w="992" w:type="dxa"/>
          </w:tcPr>
          <w:p w14:paraId="5417D10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.272</w:t>
            </w:r>
          </w:p>
        </w:tc>
        <w:tc>
          <w:tcPr>
            <w:tcW w:w="1985" w:type="dxa"/>
          </w:tcPr>
          <w:p w14:paraId="30BBD65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0.85 (0.61-1.18)</w:t>
            </w:r>
          </w:p>
        </w:tc>
        <w:tc>
          <w:tcPr>
            <w:tcW w:w="992" w:type="dxa"/>
          </w:tcPr>
          <w:p w14:paraId="311A695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.311</w:t>
            </w:r>
          </w:p>
        </w:tc>
        <w:tc>
          <w:tcPr>
            <w:tcW w:w="1984" w:type="dxa"/>
          </w:tcPr>
          <w:p w14:paraId="5D4764F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0.85 (0.61-1.18)</w:t>
            </w:r>
          </w:p>
        </w:tc>
        <w:tc>
          <w:tcPr>
            <w:tcW w:w="1090" w:type="dxa"/>
          </w:tcPr>
          <w:p w14:paraId="16F8A94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.323</w:t>
            </w:r>
          </w:p>
        </w:tc>
      </w:tr>
      <w:tr w:rsidR="00310843" w:rsidRPr="00103A0B" w14:paraId="0517700C" w14:textId="77777777" w:rsidTr="00113624">
        <w:trPr>
          <w:trHeight w:val="278"/>
        </w:trPr>
        <w:tc>
          <w:tcPr>
            <w:tcW w:w="3256" w:type="dxa"/>
          </w:tcPr>
          <w:p w14:paraId="20B0DB65"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b/>
                <w:bCs/>
                <w:sz w:val="24"/>
                <w:szCs w:val="24"/>
              </w:rPr>
              <w:t>Deprivation Quintile</w:t>
            </w:r>
            <w:r w:rsidRPr="00103A0B">
              <w:rPr>
                <w:rFonts w:ascii="Arial" w:hAnsi="Arial" w:cs="Arial"/>
                <w:sz w:val="24"/>
                <w:szCs w:val="24"/>
              </w:rPr>
              <w:t xml:space="preserve"> [1 most deprived]: Quintile 2</w:t>
            </w:r>
          </w:p>
        </w:tc>
        <w:tc>
          <w:tcPr>
            <w:tcW w:w="1984" w:type="dxa"/>
          </w:tcPr>
          <w:p w14:paraId="3BDD629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1.03 (0.91-1.16)</w:t>
            </w:r>
          </w:p>
        </w:tc>
        <w:tc>
          <w:tcPr>
            <w:tcW w:w="992" w:type="dxa"/>
          </w:tcPr>
          <w:p w14:paraId="371D38B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.660</w:t>
            </w:r>
          </w:p>
        </w:tc>
        <w:tc>
          <w:tcPr>
            <w:tcW w:w="1985" w:type="dxa"/>
          </w:tcPr>
          <w:p w14:paraId="7714AA5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1.02 (0.91-1.15)</w:t>
            </w:r>
          </w:p>
        </w:tc>
        <w:tc>
          <w:tcPr>
            <w:tcW w:w="992" w:type="dxa"/>
          </w:tcPr>
          <w:p w14:paraId="6ED8268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.737</w:t>
            </w:r>
          </w:p>
        </w:tc>
        <w:tc>
          <w:tcPr>
            <w:tcW w:w="1985" w:type="dxa"/>
          </w:tcPr>
          <w:p w14:paraId="754B996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1.02 (0.90-1.15)</w:t>
            </w:r>
          </w:p>
        </w:tc>
        <w:tc>
          <w:tcPr>
            <w:tcW w:w="992" w:type="dxa"/>
          </w:tcPr>
          <w:p w14:paraId="70490EC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.745</w:t>
            </w:r>
          </w:p>
        </w:tc>
        <w:tc>
          <w:tcPr>
            <w:tcW w:w="1984" w:type="dxa"/>
          </w:tcPr>
          <w:p w14:paraId="3DCA07E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1.02 (0.90-1.15)</w:t>
            </w:r>
          </w:p>
        </w:tc>
        <w:tc>
          <w:tcPr>
            <w:tcW w:w="1090" w:type="dxa"/>
          </w:tcPr>
          <w:p w14:paraId="0A9EB1C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.800</w:t>
            </w:r>
          </w:p>
        </w:tc>
      </w:tr>
      <w:tr w:rsidR="00310843" w:rsidRPr="00103A0B" w14:paraId="6EA472EE" w14:textId="77777777" w:rsidTr="00113624">
        <w:trPr>
          <w:trHeight w:val="278"/>
        </w:trPr>
        <w:tc>
          <w:tcPr>
            <w:tcW w:w="3256" w:type="dxa"/>
          </w:tcPr>
          <w:p w14:paraId="6F3231C8"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Quintile 3</w:t>
            </w:r>
          </w:p>
        </w:tc>
        <w:tc>
          <w:tcPr>
            <w:tcW w:w="1984" w:type="dxa"/>
          </w:tcPr>
          <w:p w14:paraId="73ACB30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1.04 (0.90-1.19)</w:t>
            </w:r>
          </w:p>
        </w:tc>
        <w:tc>
          <w:tcPr>
            <w:tcW w:w="992" w:type="dxa"/>
          </w:tcPr>
          <w:p w14:paraId="435DDB0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.598</w:t>
            </w:r>
          </w:p>
        </w:tc>
        <w:tc>
          <w:tcPr>
            <w:tcW w:w="1985" w:type="dxa"/>
          </w:tcPr>
          <w:p w14:paraId="02A9802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1.04 (0.90-1.19)</w:t>
            </w:r>
          </w:p>
        </w:tc>
        <w:tc>
          <w:tcPr>
            <w:tcW w:w="992" w:type="dxa"/>
          </w:tcPr>
          <w:p w14:paraId="3BA535E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.640</w:t>
            </w:r>
          </w:p>
        </w:tc>
        <w:tc>
          <w:tcPr>
            <w:tcW w:w="1985" w:type="dxa"/>
          </w:tcPr>
          <w:p w14:paraId="4C109B9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1.04 (0.90-1.19)</w:t>
            </w:r>
          </w:p>
        </w:tc>
        <w:tc>
          <w:tcPr>
            <w:tcW w:w="992" w:type="dxa"/>
          </w:tcPr>
          <w:p w14:paraId="342D7F5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.637</w:t>
            </w:r>
          </w:p>
        </w:tc>
        <w:tc>
          <w:tcPr>
            <w:tcW w:w="1984" w:type="dxa"/>
          </w:tcPr>
          <w:p w14:paraId="507C03A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1.03 (0.89-1.19)</w:t>
            </w:r>
          </w:p>
        </w:tc>
        <w:tc>
          <w:tcPr>
            <w:tcW w:w="1090" w:type="dxa"/>
          </w:tcPr>
          <w:p w14:paraId="40A4001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.683</w:t>
            </w:r>
          </w:p>
        </w:tc>
      </w:tr>
      <w:tr w:rsidR="00310843" w:rsidRPr="00103A0B" w14:paraId="4DA67B19" w14:textId="77777777" w:rsidTr="00113624">
        <w:trPr>
          <w:trHeight w:val="278"/>
        </w:trPr>
        <w:tc>
          <w:tcPr>
            <w:tcW w:w="3256" w:type="dxa"/>
          </w:tcPr>
          <w:p w14:paraId="35DA08FA"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Quintile 4</w:t>
            </w:r>
          </w:p>
        </w:tc>
        <w:tc>
          <w:tcPr>
            <w:tcW w:w="1984" w:type="dxa"/>
          </w:tcPr>
          <w:p w14:paraId="089723A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1.19 (1.02-1.38)</w:t>
            </w:r>
          </w:p>
        </w:tc>
        <w:tc>
          <w:tcPr>
            <w:tcW w:w="992" w:type="dxa"/>
          </w:tcPr>
          <w:p w14:paraId="2940A14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.028</w:t>
            </w:r>
          </w:p>
        </w:tc>
        <w:tc>
          <w:tcPr>
            <w:tcW w:w="1985" w:type="dxa"/>
          </w:tcPr>
          <w:p w14:paraId="2F77FD2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1.17 (1.00-1.38)</w:t>
            </w:r>
          </w:p>
        </w:tc>
        <w:tc>
          <w:tcPr>
            <w:tcW w:w="992" w:type="dxa"/>
          </w:tcPr>
          <w:p w14:paraId="2938A62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.053</w:t>
            </w:r>
          </w:p>
        </w:tc>
        <w:tc>
          <w:tcPr>
            <w:tcW w:w="1985" w:type="dxa"/>
          </w:tcPr>
          <w:p w14:paraId="7D4A005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1.18 (1.00-1.38)</w:t>
            </w:r>
          </w:p>
        </w:tc>
        <w:tc>
          <w:tcPr>
            <w:tcW w:w="992" w:type="dxa"/>
          </w:tcPr>
          <w:p w14:paraId="1AFC57A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.049</w:t>
            </w:r>
          </w:p>
        </w:tc>
        <w:tc>
          <w:tcPr>
            <w:tcW w:w="1984" w:type="dxa"/>
          </w:tcPr>
          <w:p w14:paraId="5DBBB5A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1.17 (1.00-1.37)</w:t>
            </w:r>
          </w:p>
        </w:tc>
        <w:tc>
          <w:tcPr>
            <w:tcW w:w="1090" w:type="dxa"/>
          </w:tcPr>
          <w:p w14:paraId="0534978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.057</w:t>
            </w:r>
          </w:p>
        </w:tc>
      </w:tr>
      <w:tr w:rsidR="00310843" w:rsidRPr="00103A0B" w14:paraId="3676C15F" w14:textId="77777777" w:rsidTr="00113624">
        <w:trPr>
          <w:trHeight w:val="278"/>
        </w:trPr>
        <w:tc>
          <w:tcPr>
            <w:tcW w:w="3256" w:type="dxa"/>
          </w:tcPr>
          <w:p w14:paraId="06CD527D"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Quintile 5 (least deprived) </w:t>
            </w:r>
          </w:p>
        </w:tc>
        <w:tc>
          <w:tcPr>
            <w:tcW w:w="1984" w:type="dxa"/>
          </w:tcPr>
          <w:p w14:paraId="0DE2482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1.33 (1.14-1.54)</w:t>
            </w:r>
          </w:p>
        </w:tc>
        <w:tc>
          <w:tcPr>
            <w:tcW w:w="992" w:type="dxa"/>
          </w:tcPr>
          <w:p w14:paraId="3CF793C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5" w:type="dxa"/>
          </w:tcPr>
          <w:p w14:paraId="00EC2FC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1.31 (1.13-1.53)</w:t>
            </w:r>
          </w:p>
        </w:tc>
        <w:tc>
          <w:tcPr>
            <w:tcW w:w="992" w:type="dxa"/>
          </w:tcPr>
          <w:p w14:paraId="7FF2996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5" w:type="dxa"/>
          </w:tcPr>
          <w:p w14:paraId="18F3B44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1.32 (1.13-1.53)</w:t>
            </w:r>
          </w:p>
        </w:tc>
        <w:tc>
          <w:tcPr>
            <w:tcW w:w="992" w:type="dxa"/>
          </w:tcPr>
          <w:p w14:paraId="5858AFA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4" w:type="dxa"/>
          </w:tcPr>
          <w:p w14:paraId="5D58B1E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1.31 (1.13-1.52)</w:t>
            </w:r>
          </w:p>
        </w:tc>
        <w:tc>
          <w:tcPr>
            <w:tcW w:w="1090" w:type="dxa"/>
          </w:tcPr>
          <w:p w14:paraId="2EACCE6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25081E37" w14:textId="77777777" w:rsidTr="00113624">
        <w:trPr>
          <w:trHeight w:val="278"/>
        </w:trPr>
        <w:tc>
          <w:tcPr>
            <w:tcW w:w="3256" w:type="dxa"/>
          </w:tcPr>
          <w:p w14:paraId="04E53AB3"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lastRenderedPageBreak/>
              <w:t xml:space="preserve">Brief IPQ </w:t>
            </w:r>
            <w:r w:rsidRPr="00103A0B">
              <w:rPr>
                <w:rFonts w:ascii="Arial" w:hAnsi="Arial" w:cs="Arial"/>
                <w:sz w:val="24"/>
                <w:szCs w:val="24"/>
              </w:rPr>
              <w:t xml:space="preserve">Question 1: </w:t>
            </w:r>
            <w:r w:rsidRPr="00103A0B">
              <w:rPr>
                <w:rFonts w:ascii="Arial" w:hAnsi="Arial" w:cs="Arial"/>
                <w:b/>
                <w:bCs/>
                <w:sz w:val="24"/>
                <w:szCs w:val="24"/>
              </w:rPr>
              <w:t xml:space="preserve"> </w:t>
            </w:r>
            <w:r w:rsidRPr="00103A0B">
              <w:rPr>
                <w:rFonts w:ascii="Arial" w:hAnsi="Arial" w:cs="Arial"/>
                <w:sz w:val="24"/>
                <w:szCs w:val="24"/>
              </w:rPr>
              <w:t>consequences</w:t>
            </w:r>
          </w:p>
        </w:tc>
        <w:tc>
          <w:tcPr>
            <w:tcW w:w="1984" w:type="dxa"/>
          </w:tcPr>
          <w:p w14:paraId="690988B1"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2DCDD9D3"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4D2A403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(0.96-1.02)</w:t>
            </w:r>
          </w:p>
        </w:tc>
        <w:tc>
          <w:tcPr>
            <w:tcW w:w="992" w:type="dxa"/>
          </w:tcPr>
          <w:p w14:paraId="68EEE35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.627</w:t>
            </w:r>
          </w:p>
        </w:tc>
        <w:tc>
          <w:tcPr>
            <w:tcW w:w="1985" w:type="dxa"/>
          </w:tcPr>
          <w:p w14:paraId="2F94342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(0.96-1.02)</w:t>
            </w:r>
          </w:p>
        </w:tc>
        <w:tc>
          <w:tcPr>
            <w:tcW w:w="992" w:type="dxa"/>
          </w:tcPr>
          <w:p w14:paraId="63A1BB2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.590</w:t>
            </w:r>
          </w:p>
        </w:tc>
        <w:tc>
          <w:tcPr>
            <w:tcW w:w="1984" w:type="dxa"/>
          </w:tcPr>
          <w:p w14:paraId="4E965C4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(0.96-1.02)</w:t>
            </w:r>
          </w:p>
        </w:tc>
        <w:tc>
          <w:tcPr>
            <w:tcW w:w="1090" w:type="dxa"/>
          </w:tcPr>
          <w:p w14:paraId="795DF83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.569</w:t>
            </w:r>
          </w:p>
        </w:tc>
      </w:tr>
      <w:tr w:rsidR="00310843" w:rsidRPr="00103A0B" w14:paraId="4241A7AA" w14:textId="77777777" w:rsidTr="00113624">
        <w:trPr>
          <w:trHeight w:val="278"/>
        </w:trPr>
        <w:tc>
          <w:tcPr>
            <w:tcW w:w="3256" w:type="dxa"/>
          </w:tcPr>
          <w:p w14:paraId="437BDB5A"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t xml:space="preserve">Brief IPQ </w:t>
            </w:r>
            <w:r w:rsidRPr="00103A0B">
              <w:rPr>
                <w:rFonts w:ascii="Arial" w:hAnsi="Arial" w:cs="Arial"/>
                <w:sz w:val="24"/>
                <w:szCs w:val="24"/>
              </w:rPr>
              <w:t xml:space="preserve">Question 2: timeline </w:t>
            </w:r>
            <w:r w:rsidRPr="00103A0B">
              <w:rPr>
                <w:rFonts w:ascii="Arial" w:hAnsi="Arial" w:cs="Arial"/>
                <w:b/>
                <w:bCs/>
                <w:sz w:val="24"/>
                <w:szCs w:val="24"/>
              </w:rPr>
              <w:t xml:space="preserve"> </w:t>
            </w:r>
          </w:p>
        </w:tc>
        <w:tc>
          <w:tcPr>
            <w:tcW w:w="1984" w:type="dxa"/>
          </w:tcPr>
          <w:p w14:paraId="019AEE74"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2FBA9B0E"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24DB236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1.02 (0.98-1.06)</w:t>
            </w:r>
          </w:p>
        </w:tc>
        <w:tc>
          <w:tcPr>
            <w:tcW w:w="992" w:type="dxa"/>
          </w:tcPr>
          <w:p w14:paraId="05EB12E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.250</w:t>
            </w:r>
          </w:p>
        </w:tc>
        <w:tc>
          <w:tcPr>
            <w:tcW w:w="1985" w:type="dxa"/>
          </w:tcPr>
          <w:p w14:paraId="26412B9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1.02 (0.98-1.06)</w:t>
            </w:r>
          </w:p>
        </w:tc>
        <w:tc>
          <w:tcPr>
            <w:tcW w:w="992" w:type="dxa"/>
          </w:tcPr>
          <w:p w14:paraId="2D32A8E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.252</w:t>
            </w:r>
          </w:p>
        </w:tc>
        <w:tc>
          <w:tcPr>
            <w:tcW w:w="1984" w:type="dxa"/>
          </w:tcPr>
          <w:p w14:paraId="0B872C2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1.02 (0.98-1.06)</w:t>
            </w:r>
          </w:p>
        </w:tc>
        <w:tc>
          <w:tcPr>
            <w:tcW w:w="1090" w:type="dxa"/>
          </w:tcPr>
          <w:p w14:paraId="5BB4CDA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.254</w:t>
            </w:r>
          </w:p>
        </w:tc>
      </w:tr>
      <w:tr w:rsidR="00310843" w:rsidRPr="00103A0B" w14:paraId="252ED5FD" w14:textId="77777777" w:rsidTr="00113624">
        <w:trPr>
          <w:trHeight w:val="278"/>
        </w:trPr>
        <w:tc>
          <w:tcPr>
            <w:tcW w:w="3256" w:type="dxa"/>
          </w:tcPr>
          <w:p w14:paraId="6BCA04D0"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t xml:space="preserve">Brief IPQ </w:t>
            </w:r>
            <w:r w:rsidRPr="00103A0B">
              <w:rPr>
                <w:rFonts w:ascii="Arial" w:hAnsi="Arial" w:cs="Arial"/>
                <w:sz w:val="24"/>
                <w:szCs w:val="24"/>
              </w:rPr>
              <w:t xml:space="preserve">Question 4: treatment control </w:t>
            </w:r>
            <w:r w:rsidRPr="00103A0B">
              <w:rPr>
                <w:rFonts w:ascii="Arial" w:hAnsi="Arial" w:cs="Arial"/>
                <w:b/>
                <w:bCs/>
                <w:sz w:val="24"/>
                <w:szCs w:val="24"/>
              </w:rPr>
              <w:t xml:space="preserve"> </w:t>
            </w:r>
          </w:p>
        </w:tc>
        <w:tc>
          <w:tcPr>
            <w:tcW w:w="1984" w:type="dxa"/>
          </w:tcPr>
          <w:p w14:paraId="40279A85"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4A5FBD01"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55E29D4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1.04 (1.02-1.06)</w:t>
            </w:r>
          </w:p>
        </w:tc>
        <w:tc>
          <w:tcPr>
            <w:tcW w:w="992" w:type="dxa"/>
          </w:tcPr>
          <w:p w14:paraId="71B8F61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85" w:type="dxa"/>
          </w:tcPr>
          <w:p w14:paraId="5FC7061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1.04 (1.02-1.06)</w:t>
            </w:r>
          </w:p>
        </w:tc>
        <w:tc>
          <w:tcPr>
            <w:tcW w:w="992" w:type="dxa"/>
          </w:tcPr>
          <w:p w14:paraId="7141598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84" w:type="dxa"/>
          </w:tcPr>
          <w:p w14:paraId="73145A3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1.04 (1.02-1.06)</w:t>
            </w:r>
          </w:p>
        </w:tc>
        <w:tc>
          <w:tcPr>
            <w:tcW w:w="1090" w:type="dxa"/>
          </w:tcPr>
          <w:p w14:paraId="6ED60FF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r>
      <w:tr w:rsidR="00310843" w:rsidRPr="00103A0B" w14:paraId="5AECEB25" w14:textId="77777777" w:rsidTr="00113624">
        <w:trPr>
          <w:trHeight w:val="278"/>
        </w:trPr>
        <w:tc>
          <w:tcPr>
            <w:tcW w:w="3256" w:type="dxa"/>
          </w:tcPr>
          <w:p w14:paraId="10D4165E"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t xml:space="preserve">Brief IPQ </w:t>
            </w:r>
            <w:r w:rsidRPr="00103A0B">
              <w:rPr>
                <w:rFonts w:ascii="Arial" w:hAnsi="Arial" w:cs="Arial"/>
                <w:sz w:val="24"/>
                <w:szCs w:val="24"/>
              </w:rPr>
              <w:t>Question 6: illness concern</w:t>
            </w:r>
            <w:r w:rsidRPr="00103A0B">
              <w:rPr>
                <w:rFonts w:ascii="Arial" w:hAnsi="Arial" w:cs="Arial"/>
                <w:b/>
                <w:bCs/>
                <w:sz w:val="24"/>
                <w:szCs w:val="24"/>
              </w:rPr>
              <w:t xml:space="preserve"> </w:t>
            </w:r>
          </w:p>
        </w:tc>
        <w:tc>
          <w:tcPr>
            <w:tcW w:w="1984" w:type="dxa"/>
          </w:tcPr>
          <w:p w14:paraId="336AC441"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21F7BC9E"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380BCC6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1.06 (1.03-1.08)</w:t>
            </w:r>
          </w:p>
        </w:tc>
        <w:tc>
          <w:tcPr>
            <w:tcW w:w="992" w:type="dxa"/>
          </w:tcPr>
          <w:p w14:paraId="37AE089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5" w:type="dxa"/>
          </w:tcPr>
          <w:p w14:paraId="2A8CCCB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1.06 (1.03-1.08)</w:t>
            </w:r>
          </w:p>
        </w:tc>
        <w:tc>
          <w:tcPr>
            <w:tcW w:w="992" w:type="dxa"/>
          </w:tcPr>
          <w:p w14:paraId="7696815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84" w:type="dxa"/>
          </w:tcPr>
          <w:p w14:paraId="06ECBFE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1.06 (1.03-1.08)</w:t>
            </w:r>
          </w:p>
        </w:tc>
        <w:tc>
          <w:tcPr>
            <w:tcW w:w="1090" w:type="dxa"/>
          </w:tcPr>
          <w:p w14:paraId="438B87F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7B091CE9" w14:textId="77777777" w:rsidTr="00113624">
        <w:trPr>
          <w:trHeight w:val="278"/>
        </w:trPr>
        <w:tc>
          <w:tcPr>
            <w:tcW w:w="3256" w:type="dxa"/>
          </w:tcPr>
          <w:p w14:paraId="4E05DC68"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t xml:space="preserve">NGS-ES </w:t>
            </w:r>
            <w:r w:rsidRPr="00103A0B">
              <w:rPr>
                <w:rFonts w:ascii="Arial" w:hAnsi="Arial" w:cs="Arial"/>
                <w:sz w:val="24"/>
                <w:szCs w:val="24"/>
              </w:rPr>
              <w:t>score</w:t>
            </w:r>
          </w:p>
        </w:tc>
        <w:tc>
          <w:tcPr>
            <w:tcW w:w="1984" w:type="dxa"/>
          </w:tcPr>
          <w:p w14:paraId="51E5662F"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688E0232"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2AF7324C"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68516A4B"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1667B38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1.00 (0.99-1.00)</w:t>
            </w:r>
          </w:p>
        </w:tc>
        <w:tc>
          <w:tcPr>
            <w:tcW w:w="992" w:type="dxa"/>
          </w:tcPr>
          <w:p w14:paraId="235F650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.258</w:t>
            </w:r>
          </w:p>
        </w:tc>
        <w:tc>
          <w:tcPr>
            <w:tcW w:w="1984" w:type="dxa"/>
          </w:tcPr>
          <w:p w14:paraId="1DB3008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1.00 (0.99-1.00)</w:t>
            </w:r>
          </w:p>
        </w:tc>
        <w:tc>
          <w:tcPr>
            <w:tcW w:w="1090" w:type="dxa"/>
          </w:tcPr>
          <w:p w14:paraId="7729009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.242</w:t>
            </w:r>
          </w:p>
        </w:tc>
      </w:tr>
      <w:tr w:rsidR="00310843" w:rsidRPr="00103A0B" w14:paraId="14E413D0" w14:textId="77777777" w:rsidTr="00113624">
        <w:trPr>
          <w:trHeight w:val="278"/>
        </w:trPr>
        <w:tc>
          <w:tcPr>
            <w:tcW w:w="3256" w:type="dxa"/>
          </w:tcPr>
          <w:p w14:paraId="27A71859"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t xml:space="preserve">WEMWBS </w:t>
            </w:r>
            <w:r w:rsidRPr="00103A0B">
              <w:rPr>
                <w:rFonts w:ascii="Arial" w:hAnsi="Arial" w:cs="Arial"/>
                <w:sz w:val="24"/>
                <w:szCs w:val="24"/>
              </w:rPr>
              <w:t>[High score]: Medium score</w:t>
            </w:r>
            <w:r w:rsidRPr="00103A0B">
              <w:rPr>
                <w:rFonts w:ascii="Arial" w:hAnsi="Arial" w:cs="Arial"/>
                <w:b/>
                <w:bCs/>
                <w:sz w:val="24"/>
                <w:szCs w:val="24"/>
              </w:rPr>
              <w:t xml:space="preserve"> </w:t>
            </w:r>
          </w:p>
        </w:tc>
        <w:tc>
          <w:tcPr>
            <w:tcW w:w="1984" w:type="dxa"/>
          </w:tcPr>
          <w:p w14:paraId="505DD1FE"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3A4DD7F0"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5761E3C9"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616C6870"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16EF8966"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7E76D96E"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4" w:type="dxa"/>
          </w:tcPr>
          <w:p w14:paraId="308046D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1.16 (1.05-1.28)</w:t>
            </w:r>
          </w:p>
        </w:tc>
        <w:tc>
          <w:tcPr>
            <w:tcW w:w="1090" w:type="dxa"/>
          </w:tcPr>
          <w:p w14:paraId="4429DBD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.004</w:t>
            </w:r>
          </w:p>
        </w:tc>
      </w:tr>
      <w:tr w:rsidR="00310843" w:rsidRPr="00103A0B" w14:paraId="4706C2AA" w14:textId="77777777" w:rsidTr="00113624">
        <w:trPr>
          <w:trHeight w:val="278"/>
        </w:trPr>
        <w:tc>
          <w:tcPr>
            <w:tcW w:w="3256" w:type="dxa"/>
          </w:tcPr>
          <w:p w14:paraId="0CD8CF55"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sz w:val="24"/>
                <w:szCs w:val="24"/>
              </w:rPr>
              <w:t>WEMWBS: Low score</w:t>
            </w:r>
          </w:p>
        </w:tc>
        <w:tc>
          <w:tcPr>
            <w:tcW w:w="1984" w:type="dxa"/>
          </w:tcPr>
          <w:p w14:paraId="7496AF44"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53CEB72B"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3C55C304"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4127347D"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5" w:type="dxa"/>
          </w:tcPr>
          <w:p w14:paraId="1815768E"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92" w:type="dxa"/>
          </w:tcPr>
          <w:p w14:paraId="0A71E295"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84" w:type="dxa"/>
          </w:tcPr>
          <w:p w14:paraId="4E0E1C0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0.98 (0.86-1.12)</w:t>
            </w:r>
          </w:p>
        </w:tc>
        <w:tc>
          <w:tcPr>
            <w:tcW w:w="1090" w:type="dxa"/>
          </w:tcPr>
          <w:p w14:paraId="0E57528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.748</w:t>
            </w:r>
          </w:p>
        </w:tc>
      </w:tr>
    </w:tbl>
    <w:p w14:paraId="6966CC9F" w14:textId="77777777" w:rsidR="00310843" w:rsidRPr="00103A0B" w:rsidRDefault="00310843" w:rsidP="00CD5919">
      <w:pPr>
        <w:spacing w:line="360" w:lineRule="auto"/>
        <w:jc w:val="both"/>
        <w:rPr>
          <w:rFonts w:ascii="Arial" w:hAnsi="Arial" w:cs="Arial"/>
        </w:rPr>
        <w:sectPr w:rsidR="00310843" w:rsidRPr="00103A0B" w:rsidSect="00BB2420">
          <w:pgSz w:w="16838" w:h="11906" w:orient="landscape"/>
          <w:pgMar w:top="1440" w:right="1440" w:bottom="1440" w:left="1440" w:header="709" w:footer="709" w:gutter="0"/>
          <w:cols w:space="708"/>
          <w:docGrid w:linePitch="360"/>
        </w:sectPr>
      </w:pPr>
      <w:r w:rsidRPr="00103A0B">
        <w:rPr>
          <w:rFonts w:ascii="Arial" w:hAnsi="Arial" w:cs="Arial"/>
        </w:rPr>
        <w:t xml:space="preserve">Abbreviations: OR= Odds Ratio (Exp(B) value); CI= 95% confidence interval; IPQ=Illness perceptions questionnaire; NGS-ES= New general self-efficacy scale; WEMWBS= Warwick-Edinburgh mental well-being scale; </w:t>
      </w:r>
      <w:proofErr w:type="gramStart"/>
      <w:r w:rsidRPr="00103A0B">
        <w:rPr>
          <w:rFonts w:ascii="Arial" w:hAnsi="Arial" w:cs="Arial"/>
        </w:rPr>
        <w:t>[]=</w:t>
      </w:r>
      <w:proofErr w:type="gramEnd"/>
      <w:r w:rsidRPr="00103A0B">
        <w:rPr>
          <w:rFonts w:ascii="Arial" w:hAnsi="Arial" w:cs="Arial"/>
        </w:rPr>
        <w:t xml:space="preserve">Referent.  </w:t>
      </w:r>
    </w:p>
    <w:p w14:paraId="27C4D9F0" w14:textId="1837E535" w:rsidR="00310843" w:rsidRPr="00103A0B" w:rsidRDefault="00310843" w:rsidP="00E45914">
      <w:pPr>
        <w:keepNext/>
        <w:keepLines/>
        <w:jc w:val="both"/>
        <w:rPr>
          <w:rFonts w:ascii="Arial" w:hAnsi="Arial" w:cs="Arial"/>
          <w:b/>
          <w:bCs/>
          <w:sz w:val="28"/>
          <w:szCs w:val="28"/>
        </w:rPr>
      </w:pPr>
      <w:r w:rsidRPr="00103A0B">
        <w:rPr>
          <w:rFonts w:ascii="Arial" w:hAnsi="Arial" w:cs="Arial"/>
          <w:b/>
          <w:bCs/>
          <w:sz w:val="28"/>
          <w:szCs w:val="28"/>
        </w:rPr>
        <w:lastRenderedPageBreak/>
        <w:t xml:space="preserve">Appendix </w:t>
      </w:r>
      <w:r w:rsidR="00BE157E" w:rsidRPr="00103A0B">
        <w:rPr>
          <w:rFonts w:ascii="Arial" w:hAnsi="Arial" w:cs="Arial"/>
          <w:b/>
          <w:bCs/>
          <w:sz w:val="28"/>
          <w:szCs w:val="28"/>
        </w:rPr>
        <w:t>30</w:t>
      </w:r>
      <w:r w:rsidRPr="00103A0B">
        <w:rPr>
          <w:rFonts w:ascii="Arial" w:hAnsi="Arial" w:cs="Arial"/>
          <w:b/>
          <w:bCs/>
          <w:sz w:val="28"/>
          <w:szCs w:val="28"/>
        </w:rPr>
        <w:t>: Results from LR for completion using imputed data</w:t>
      </w:r>
      <w:r w:rsidR="00486402" w:rsidRPr="00103A0B">
        <w:rPr>
          <w:rFonts w:ascii="Arial" w:hAnsi="Arial" w:cs="Arial"/>
          <w:b/>
          <w:bCs/>
          <w:sz w:val="28"/>
          <w:szCs w:val="28"/>
        </w:rPr>
        <w:t xml:space="preserve"> (Chapter 7)</w:t>
      </w:r>
    </w:p>
    <w:p w14:paraId="350135CF" w14:textId="31C28DFF" w:rsidR="00310843" w:rsidRPr="00103A0B" w:rsidRDefault="00310843" w:rsidP="00CD5919">
      <w:pPr>
        <w:spacing w:line="360" w:lineRule="auto"/>
        <w:jc w:val="both"/>
        <w:rPr>
          <w:rFonts w:ascii="Arial" w:hAnsi="Arial" w:cs="Arial"/>
          <w:i/>
          <w:iCs/>
          <w:sz w:val="24"/>
          <w:szCs w:val="24"/>
        </w:rPr>
      </w:pPr>
      <w:r w:rsidRPr="00103A0B">
        <w:rPr>
          <w:rFonts w:ascii="Arial" w:hAnsi="Arial" w:cs="Arial"/>
          <w:i/>
          <w:iCs/>
          <w:sz w:val="24"/>
          <w:szCs w:val="24"/>
        </w:rPr>
        <w:t xml:space="preserve">Pooled results from the binomial logistic regression for completion using multiple imputed </w:t>
      </w:r>
      <w:proofErr w:type="gramStart"/>
      <w:r w:rsidRPr="00103A0B">
        <w:rPr>
          <w:rFonts w:ascii="Arial" w:hAnsi="Arial" w:cs="Arial"/>
          <w:i/>
          <w:iCs/>
          <w:sz w:val="24"/>
          <w:szCs w:val="24"/>
        </w:rPr>
        <w:t>data</w:t>
      </w:r>
      <w:proofErr w:type="gramEnd"/>
    </w:p>
    <w:p w14:paraId="0A7A0CB6" w14:textId="77777777" w:rsidR="00310843" w:rsidRPr="00103A0B" w:rsidRDefault="00310843" w:rsidP="00CD5919">
      <w:pPr>
        <w:spacing w:line="360" w:lineRule="auto"/>
        <w:jc w:val="both"/>
        <w:rPr>
          <w:rFonts w:ascii="Arial" w:hAnsi="Arial" w:cs="Arial"/>
          <w:i/>
          <w:iCs/>
          <w:sz w:val="24"/>
          <w:szCs w:val="24"/>
        </w:rPr>
      </w:pPr>
    </w:p>
    <w:p w14:paraId="074652AD" w14:textId="77777777" w:rsidR="00310843" w:rsidRPr="00103A0B" w:rsidRDefault="00310843" w:rsidP="00CD5919">
      <w:pPr>
        <w:spacing w:line="360" w:lineRule="auto"/>
        <w:jc w:val="both"/>
        <w:rPr>
          <w:rFonts w:ascii="Arial" w:hAnsi="Arial" w:cs="Arial"/>
          <w:sz w:val="24"/>
          <w:szCs w:val="24"/>
        </w:rPr>
      </w:pPr>
      <w:r w:rsidRPr="00103A0B">
        <w:rPr>
          <w:rFonts w:ascii="Arial" w:hAnsi="Arial" w:cs="Arial"/>
          <w:sz w:val="24"/>
          <w:szCs w:val="24"/>
        </w:rPr>
        <w:t xml:space="preserve">Ethnicity (Asian) and deprivation (quintile 4) were significant predictors in the complete-case analysis but did not remain significant in the imputed analysis. Also, WEMWBS (low scores) and ethnicity (Black) reached near significance in the complete-case analysis only. Age (55-69 and ≥75 years), deprivation (quintile 2) and WEMWBS (low scores) were significant predictors in the imputed analysis but not in the complete-case analysis, with age (50-54 years), Asian and other ethnicity reaching near significance. Compared with individuals with high WEMWBS scores, those with low WEMWBS scores had 33% decreased odds of completing the NHSDPP (OR=0.67; CI=0.50-0.89; </w:t>
      </w:r>
      <w:r w:rsidRPr="00103A0B">
        <w:rPr>
          <w:rFonts w:ascii="Arial" w:hAnsi="Arial" w:cs="Arial"/>
          <w:i/>
          <w:iCs/>
          <w:sz w:val="24"/>
          <w:szCs w:val="24"/>
        </w:rPr>
        <w:t>p</w:t>
      </w:r>
      <w:r w:rsidRPr="00103A0B">
        <w:rPr>
          <w:rFonts w:ascii="Arial" w:hAnsi="Arial" w:cs="Arial"/>
          <w:sz w:val="24"/>
          <w:szCs w:val="24"/>
        </w:rPr>
        <w:t>=</w:t>
      </w:r>
      <w:r w:rsidRPr="00103A0B">
        <w:rPr>
          <w:rFonts w:ascii="Arial" w:hAnsi="Arial" w:cs="Arial"/>
          <w:color w:val="010205"/>
          <w:sz w:val="24"/>
          <w:szCs w:val="24"/>
        </w:rPr>
        <w:t>.006</w:t>
      </w:r>
      <w:r w:rsidRPr="00103A0B">
        <w:rPr>
          <w:rFonts w:ascii="Arial" w:hAnsi="Arial" w:cs="Arial"/>
          <w:sz w:val="24"/>
          <w:szCs w:val="24"/>
        </w:rPr>
        <w:t xml:space="preserve">). </w:t>
      </w:r>
    </w:p>
    <w:p w14:paraId="2FDE5EF0" w14:textId="77777777" w:rsidR="00310843" w:rsidRPr="00103A0B" w:rsidRDefault="00310843" w:rsidP="00CD5919">
      <w:pPr>
        <w:spacing w:line="360" w:lineRule="auto"/>
        <w:jc w:val="both"/>
        <w:rPr>
          <w:rFonts w:ascii="Arial" w:hAnsi="Arial" w:cs="Arial"/>
          <w:i/>
          <w:iCs/>
          <w:sz w:val="24"/>
          <w:szCs w:val="24"/>
        </w:rPr>
      </w:pPr>
    </w:p>
    <w:p w14:paraId="00ECD77C" w14:textId="77777777" w:rsidR="00310843" w:rsidRPr="00103A0B" w:rsidRDefault="00310843" w:rsidP="00CD5919">
      <w:pPr>
        <w:spacing w:line="360" w:lineRule="auto"/>
        <w:jc w:val="both"/>
        <w:rPr>
          <w:rFonts w:ascii="Arial" w:hAnsi="Arial" w:cs="Arial"/>
          <w:i/>
          <w:iCs/>
          <w:sz w:val="24"/>
          <w:szCs w:val="24"/>
        </w:rPr>
        <w:sectPr w:rsidR="00310843" w:rsidRPr="00103A0B" w:rsidSect="00BB2420">
          <w:pgSz w:w="11906" w:h="16838"/>
          <w:pgMar w:top="1440" w:right="1440" w:bottom="1440" w:left="1440" w:header="709" w:footer="709" w:gutter="0"/>
          <w:cols w:space="708"/>
          <w:docGrid w:linePitch="360"/>
        </w:sectPr>
      </w:pPr>
    </w:p>
    <w:p w14:paraId="19136FAA" w14:textId="77777777" w:rsidR="00310843" w:rsidRPr="00103A0B" w:rsidRDefault="00310843" w:rsidP="00CD5919">
      <w:pPr>
        <w:spacing w:line="360" w:lineRule="auto"/>
        <w:jc w:val="both"/>
        <w:rPr>
          <w:rFonts w:ascii="Arial" w:hAnsi="Arial" w:cs="Arial"/>
          <w:sz w:val="24"/>
          <w:szCs w:val="24"/>
        </w:rPr>
      </w:pPr>
    </w:p>
    <w:tbl>
      <w:tblPr>
        <w:tblStyle w:val="TableGrid"/>
        <w:tblW w:w="14793" w:type="dxa"/>
        <w:tblLayout w:type="fixed"/>
        <w:tblLook w:val="04A0" w:firstRow="1" w:lastRow="0" w:firstColumn="1" w:lastColumn="0" w:noHBand="0" w:noVBand="1"/>
      </w:tblPr>
      <w:tblGrid>
        <w:gridCol w:w="3156"/>
        <w:gridCol w:w="1923"/>
        <w:gridCol w:w="962"/>
        <w:gridCol w:w="1924"/>
        <w:gridCol w:w="962"/>
        <w:gridCol w:w="1924"/>
        <w:gridCol w:w="962"/>
        <w:gridCol w:w="1923"/>
        <w:gridCol w:w="1057"/>
      </w:tblGrid>
      <w:tr w:rsidR="00310843" w:rsidRPr="00103A0B" w14:paraId="6FE89196" w14:textId="77777777" w:rsidTr="00411247">
        <w:trPr>
          <w:trHeight w:val="279"/>
          <w:tblHeader/>
        </w:trPr>
        <w:tc>
          <w:tcPr>
            <w:tcW w:w="3156" w:type="dxa"/>
          </w:tcPr>
          <w:p w14:paraId="19AF8868" w14:textId="77777777" w:rsidR="00310843" w:rsidRPr="00103A0B" w:rsidRDefault="00310843" w:rsidP="00113624">
            <w:pPr>
              <w:spacing w:line="276" w:lineRule="auto"/>
              <w:jc w:val="both"/>
              <w:rPr>
                <w:rFonts w:ascii="Arial" w:hAnsi="Arial" w:cs="Arial"/>
                <w:sz w:val="24"/>
                <w:szCs w:val="24"/>
              </w:rPr>
            </w:pPr>
          </w:p>
        </w:tc>
        <w:tc>
          <w:tcPr>
            <w:tcW w:w="2885" w:type="dxa"/>
            <w:gridSpan w:val="2"/>
          </w:tcPr>
          <w:p w14:paraId="7E10ACDF"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Step 1</w:t>
            </w:r>
          </w:p>
        </w:tc>
        <w:tc>
          <w:tcPr>
            <w:tcW w:w="2886" w:type="dxa"/>
            <w:gridSpan w:val="2"/>
          </w:tcPr>
          <w:p w14:paraId="60C4DA36"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Step 2</w:t>
            </w:r>
          </w:p>
        </w:tc>
        <w:tc>
          <w:tcPr>
            <w:tcW w:w="2886" w:type="dxa"/>
            <w:gridSpan w:val="2"/>
          </w:tcPr>
          <w:p w14:paraId="7AF44120"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Step 3</w:t>
            </w:r>
          </w:p>
        </w:tc>
        <w:tc>
          <w:tcPr>
            <w:tcW w:w="2980" w:type="dxa"/>
            <w:gridSpan w:val="2"/>
          </w:tcPr>
          <w:p w14:paraId="07735DF7"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Step 4</w:t>
            </w:r>
          </w:p>
        </w:tc>
      </w:tr>
      <w:tr w:rsidR="00310843" w:rsidRPr="00103A0B" w14:paraId="211E9C0A" w14:textId="77777777" w:rsidTr="00411247">
        <w:trPr>
          <w:trHeight w:val="279"/>
        </w:trPr>
        <w:tc>
          <w:tcPr>
            <w:tcW w:w="3156" w:type="dxa"/>
          </w:tcPr>
          <w:p w14:paraId="482624EC" w14:textId="77777777" w:rsidR="00310843" w:rsidRPr="00103A0B" w:rsidRDefault="00310843" w:rsidP="00113624">
            <w:pPr>
              <w:spacing w:line="276" w:lineRule="auto"/>
              <w:jc w:val="both"/>
              <w:rPr>
                <w:rFonts w:ascii="Arial" w:hAnsi="Arial" w:cs="Arial"/>
                <w:sz w:val="24"/>
                <w:szCs w:val="24"/>
              </w:rPr>
            </w:pPr>
          </w:p>
        </w:tc>
        <w:tc>
          <w:tcPr>
            <w:tcW w:w="1923" w:type="dxa"/>
          </w:tcPr>
          <w:p w14:paraId="7A634E44"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OR (95% CI)</w:t>
            </w:r>
          </w:p>
        </w:tc>
        <w:tc>
          <w:tcPr>
            <w:tcW w:w="961" w:type="dxa"/>
          </w:tcPr>
          <w:p w14:paraId="4EBE936B" w14:textId="77777777" w:rsidR="00310843" w:rsidRPr="00103A0B" w:rsidRDefault="00310843" w:rsidP="00113624">
            <w:pPr>
              <w:spacing w:line="276" w:lineRule="auto"/>
              <w:jc w:val="both"/>
              <w:rPr>
                <w:rFonts w:ascii="Arial" w:hAnsi="Arial" w:cs="Arial"/>
                <w:i/>
                <w:iCs/>
                <w:sz w:val="24"/>
                <w:szCs w:val="24"/>
              </w:rPr>
            </w:pPr>
            <w:r w:rsidRPr="00103A0B">
              <w:rPr>
                <w:rFonts w:ascii="Arial" w:hAnsi="Arial" w:cs="Arial"/>
                <w:i/>
                <w:iCs/>
                <w:sz w:val="24"/>
                <w:szCs w:val="24"/>
              </w:rPr>
              <w:t>p</w:t>
            </w:r>
          </w:p>
        </w:tc>
        <w:tc>
          <w:tcPr>
            <w:tcW w:w="1924" w:type="dxa"/>
          </w:tcPr>
          <w:p w14:paraId="002A4E82"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OR (95% CI)</w:t>
            </w:r>
          </w:p>
        </w:tc>
        <w:tc>
          <w:tcPr>
            <w:tcW w:w="961" w:type="dxa"/>
          </w:tcPr>
          <w:p w14:paraId="72129482"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i/>
                <w:iCs/>
                <w:sz w:val="24"/>
                <w:szCs w:val="24"/>
              </w:rPr>
              <w:t>p</w:t>
            </w:r>
          </w:p>
        </w:tc>
        <w:tc>
          <w:tcPr>
            <w:tcW w:w="1924" w:type="dxa"/>
          </w:tcPr>
          <w:p w14:paraId="4DD843C7"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OR (95% CI)</w:t>
            </w:r>
          </w:p>
        </w:tc>
        <w:tc>
          <w:tcPr>
            <w:tcW w:w="961" w:type="dxa"/>
          </w:tcPr>
          <w:p w14:paraId="7CACF797"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i/>
                <w:iCs/>
                <w:sz w:val="24"/>
                <w:szCs w:val="24"/>
              </w:rPr>
              <w:t>p</w:t>
            </w:r>
          </w:p>
        </w:tc>
        <w:tc>
          <w:tcPr>
            <w:tcW w:w="1923" w:type="dxa"/>
          </w:tcPr>
          <w:p w14:paraId="12A354F1"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OR (95% CI)</w:t>
            </w:r>
          </w:p>
        </w:tc>
        <w:tc>
          <w:tcPr>
            <w:tcW w:w="1056" w:type="dxa"/>
          </w:tcPr>
          <w:p w14:paraId="1EFE6969"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i/>
                <w:iCs/>
                <w:sz w:val="24"/>
                <w:szCs w:val="24"/>
              </w:rPr>
              <w:t>p</w:t>
            </w:r>
          </w:p>
        </w:tc>
      </w:tr>
      <w:tr w:rsidR="00310843" w:rsidRPr="00103A0B" w14:paraId="098498AA" w14:textId="77777777" w:rsidTr="00411247">
        <w:trPr>
          <w:trHeight w:val="279"/>
        </w:trPr>
        <w:tc>
          <w:tcPr>
            <w:tcW w:w="3156" w:type="dxa"/>
          </w:tcPr>
          <w:p w14:paraId="2E54FCA2"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Variables </w:t>
            </w:r>
          </w:p>
        </w:tc>
        <w:tc>
          <w:tcPr>
            <w:tcW w:w="1923" w:type="dxa"/>
          </w:tcPr>
          <w:p w14:paraId="0D6C93E5" w14:textId="77777777" w:rsidR="00310843" w:rsidRPr="00103A0B" w:rsidRDefault="00310843" w:rsidP="00113624">
            <w:pPr>
              <w:spacing w:line="276" w:lineRule="auto"/>
              <w:jc w:val="both"/>
              <w:rPr>
                <w:rFonts w:ascii="Arial" w:hAnsi="Arial" w:cs="Arial"/>
              </w:rPr>
            </w:pPr>
          </w:p>
        </w:tc>
        <w:tc>
          <w:tcPr>
            <w:tcW w:w="961" w:type="dxa"/>
          </w:tcPr>
          <w:p w14:paraId="19725EC8" w14:textId="77777777" w:rsidR="00310843" w:rsidRPr="00103A0B" w:rsidRDefault="00310843" w:rsidP="00113624">
            <w:pPr>
              <w:spacing w:line="276" w:lineRule="auto"/>
              <w:jc w:val="both"/>
              <w:rPr>
                <w:rFonts w:ascii="Arial" w:hAnsi="Arial" w:cs="Arial"/>
              </w:rPr>
            </w:pPr>
          </w:p>
        </w:tc>
        <w:tc>
          <w:tcPr>
            <w:tcW w:w="1924" w:type="dxa"/>
          </w:tcPr>
          <w:p w14:paraId="53AAE709" w14:textId="77777777" w:rsidR="00310843" w:rsidRPr="00103A0B" w:rsidRDefault="00310843" w:rsidP="00113624">
            <w:pPr>
              <w:spacing w:line="276" w:lineRule="auto"/>
              <w:jc w:val="both"/>
              <w:rPr>
                <w:rFonts w:ascii="Arial" w:hAnsi="Arial" w:cs="Arial"/>
              </w:rPr>
            </w:pPr>
          </w:p>
        </w:tc>
        <w:tc>
          <w:tcPr>
            <w:tcW w:w="961" w:type="dxa"/>
          </w:tcPr>
          <w:p w14:paraId="5E6E2FF1" w14:textId="77777777" w:rsidR="00310843" w:rsidRPr="00103A0B" w:rsidRDefault="00310843" w:rsidP="00113624">
            <w:pPr>
              <w:spacing w:line="276" w:lineRule="auto"/>
              <w:jc w:val="both"/>
              <w:rPr>
                <w:rFonts w:ascii="Arial" w:hAnsi="Arial" w:cs="Arial"/>
              </w:rPr>
            </w:pPr>
          </w:p>
        </w:tc>
        <w:tc>
          <w:tcPr>
            <w:tcW w:w="1924" w:type="dxa"/>
          </w:tcPr>
          <w:p w14:paraId="44320B10" w14:textId="77777777" w:rsidR="00310843" w:rsidRPr="00103A0B" w:rsidRDefault="00310843" w:rsidP="00113624">
            <w:pPr>
              <w:spacing w:line="276" w:lineRule="auto"/>
              <w:jc w:val="both"/>
              <w:rPr>
                <w:rFonts w:ascii="Arial" w:hAnsi="Arial" w:cs="Arial"/>
              </w:rPr>
            </w:pPr>
          </w:p>
        </w:tc>
        <w:tc>
          <w:tcPr>
            <w:tcW w:w="961" w:type="dxa"/>
          </w:tcPr>
          <w:p w14:paraId="4EDF4ED6" w14:textId="77777777" w:rsidR="00310843" w:rsidRPr="00103A0B" w:rsidRDefault="00310843" w:rsidP="00113624">
            <w:pPr>
              <w:spacing w:line="276" w:lineRule="auto"/>
              <w:jc w:val="both"/>
              <w:rPr>
                <w:rFonts w:ascii="Arial" w:hAnsi="Arial" w:cs="Arial"/>
              </w:rPr>
            </w:pPr>
          </w:p>
        </w:tc>
        <w:tc>
          <w:tcPr>
            <w:tcW w:w="1923" w:type="dxa"/>
          </w:tcPr>
          <w:p w14:paraId="67E04267" w14:textId="77777777" w:rsidR="00310843" w:rsidRPr="00103A0B" w:rsidRDefault="00310843" w:rsidP="00113624">
            <w:pPr>
              <w:spacing w:line="276" w:lineRule="auto"/>
              <w:jc w:val="both"/>
              <w:rPr>
                <w:rFonts w:ascii="Arial" w:hAnsi="Arial" w:cs="Arial"/>
              </w:rPr>
            </w:pPr>
          </w:p>
        </w:tc>
        <w:tc>
          <w:tcPr>
            <w:tcW w:w="1056" w:type="dxa"/>
          </w:tcPr>
          <w:p w14:paraId="21606161" w14:textId="77777777" w:rsidR="00310843" w:rsidRPr="00103A0B" w:rsidRDefault="00310843" w:rsidP="00113624">
            <w:pPr>
              <w:spacing w:line="276" w:lineRule="auto"/>
              <w:jc w:val="both"/>
              <w:rPr>
                <w:rFonts w:ascii="Arial" w:hAnsi="Arial" w:cs="Arial"/>
              </w:rPr>
            </w:pPr>
          </w:p>
        </w:tc>
      </w:tr>
      <w:tr w:rsidR="00310843" w:rsidRPr="00103A0B" w14:paraId="5D9923E9" w14:textId="77777777" w:rsidTr="00411247">
        <w:trPr>
          <w:trHeight w:val="279"/>
        </w:trPr>
        <w:tc>
          <w:tcPr>
            <w:tcW w:w="3156" w:type="dxa"/>
          </w:tcPr>
          <w:p w14:paraId="3EE15DBE"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b/>
                <w:bCs/>
                <w:sz w:val="24"/>
                <w:szCs w:val="24"/>
              </w:rPr>
              <w:t>Programme area</w:t>
            </w:r>
            <w:r w:rsidRPr="00103A0B">
              <w:rPr>
                <w:rFonts w:ascii="Arial" w:hAnsi="Arial" w:cs="Arial"/>
                <w:sz w:val="24"/>
                <w:szCs w:val="24"/>
              </w:rPr>
              <w:t xml:space="preserve"> [West Yorkshire]:  Cumbria</w:t>
            </w:r>
          </w:p>
        </w:tc>
        <w:tc>
          <w:tcPr>
            <w:tcW w:w="1923" w:type="dxa"/>
          </w:tcPr>
          <w:p w14:paraId="66D60D6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19.32 (9.76-38.25)</w:t>
            </w:r>
          </w:p>
        </w:tc>
        <w:tc>
          <w:tcPr>
            <w:tcW w:w="961" w:type="dxa"/>
          </w:tcPr>
          <w:p w14:paraId="3CCCF7E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1E4FC17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19.33 (9.76-38.27)</w:t>
            </w:r>
          </w:p>
        </w:tc>
        <w:tc>
          <w:tcPr>
            <w:tcW w:w="961" w:type="dxa"/>
          </w:tcPr>
          <w:p w14:paraId="74BEF7C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5D349AE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19.35 (9.78-38.31)</w:t>
            </w:r>
          </w:p>
        </w:tc>
        <w:tc>
          <w:tcPr>
            <w:tcW w:w="961" w:type="dxa"/>
          </w:tcPr>
          <w:p w14:paraId="46279BC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3" w:type="dxa"/>
          </w:tcPr>
          <w:p w14:paraId="789132C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19.59 (9.89-38.79)</w:t>
            </w:r>
          </w:p>
        </w:tc>
        <w:tc>
          <w:tcPr>
            <w:tcW w:w="1056" w:type="dxa"/>
          </w:tcPr>
          <w:p w14:paraId="75551F2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578C20FA" w14:textId="77777777" w:rsidTr="00411247">
        <w:trPr>
          <w:trHeight w:val="279"/>
        </w:trPr>
        <w:tc>
          <w:tcPr>
            <w:tcW w:w="3156" w:type="dxa"/>
          </w:tcPr>
          <w:p w14:paraId="57038E84"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Herefordshire </w:t>
            </w:r>
          </w:p>
        </w:tc>
        <w:tc>
          <w:tcPr>
            <w:tcW w:w="1923" w:type="dxa"/>
          </w:tcPr>
          <w:p w14:paraId="3E7F34D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35.57 (17.85-70.89)</w:t>
            </w:r>
          </w:p>
        </w:tc>
        <w:tc>
          <w:tcPr>
            <w:tcW w:w="961" w:type="dxa"/>
          </w:tcPr>
          <w:p w14:paraId="311C1D7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1EA3188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35.62 (17.87-70.99)</w:t>
            </w:r>
          </w:p>
        </w:tc>
        <w:tc>
          <w:tcPr>
            <w:tcW w:w="961" w:type="dxa"/>
          </w:tcPr>
          <w:p w14:paraId="71F0B2A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3A02B90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35.06 (17.59-69.91)</w:t>
            </w:r>
          </w:p>
        </w:tc>
        <w:tc>
          <w:tcPr>
            <w:tcW w:w="961" w:type="dxa"/>
          </w:tcPr>
          <w:p w14:paraId="15817E9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3" w:type="dxa"/>
          </w:tcPr>
          <w:p w14:paraId="23E2250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35.06 (17.58-69.91)</w:t>
            </w:r>
          </w:p>
        </w:tc>
        <w:tc>
          <w:tcPr>
            <w:tcW w:w="1056" w:type="dxa"/>
          </w:tcPr>
          <w:p w14:paraId="35B40E0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10A68618" w14:textId="77777777" w:rsidTr="00411247">
        <w:trPr>
          <w:trHeight w:val="279"/>
        </w:trPr>
        <w:tc>
          <w:tcPr>
            <w:tcW w:w="3156" w:type="dxa"/>
          </w:tcPr>
          <w:p w14:paraId="35D9F442"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Berkshire   </w:t>
            </w:r>
          </w:p>
        </w:tc>
        <w:tc>
          <w:tcPr>
            <w:tcW w:w="1923" w:type="dxa"/>
          </w:tcPr>
          <w:p w14:paraId="057C4ED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18.35 (9.05-37.20)</w:t>
            </w:r>
          </w:p>
        </w:tc>
        <w:tc>
          <w:tcPr>
            <w:tcW w:w="961" w:type="dxa"/>
          </w:tcPr>
          <w:p w14:paraId="0CEA215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0D0D00A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18.38 (9.06-37.27)</w:t>
            </w:r>
          </w:p>
        </w:tc>
        <w:tc>
          <w:tcPr>
            <w:tcW w:w="961" w:type="dxa"/>
          </w:tcPr>
          <w:p w14:paraId="46DE296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53E668F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18.48 (9.11-37.47)</w:t>
            </w:r>
          </w:p>
        </w:tc>
        <w:tc>
          <w:tcPr>
            <w:tcW w:w="961" w:type="dxa"/>
          </w:tcPr>
          <w:p w14:paraId="4955E02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3" w:type="dxa"/>
          </w:tcPr>
          <w:p w14:paraId="7E857E9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18.49 (9.11-37.51)</w:t>
            </w:r>
          </w:p>
        </w:tc>
        <w:tc>
          <w:tcPr>
            <w:tcW w:w="1056" w:type="dxa"/>
          </w:tcPr>
          <w:p w14:paraId="6255CD0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2F5A0A18" w14:textId="77777777" w:rsidTr="00411247">
        <w:trPr>
          <w:trHeight w:val="279"/>
        </w:trPr>
        <w:tc>
          <w:tcPr>
            <w:tcW w:w="3156" w:type="dxa"/>
          </w:tcPr>
          <w:p w14:paraId="5F72FB51"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South London </w:t>
            </w:r>
          </w:p>
        </w:tc>
        <w:tc>
          <w:tcPr>
            <w:tcW w:w="1923" w:type="dxa"/>
          </w:tcPr>
          <w:p w14:paraId="59203FE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20.71 (10.54-40.70)</w:t>
            </w:r>
          </w:p>
        </w:tc>
        <w:tc>
          <w:tcPr>
            <w:tcW w:w="961" w:type="dxa"/>
          </w:tcPr>
          <w:p w14:paraId="45401C7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4791E19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20.68 (10.52-40.65)</w:t>
            </w:r>
          </w:p>
        </w:tc>
        <w:tc>
          <w:tcPr>
            <w:tcW w:w="961" w:type="dxa"/>
          </w:tcPr>
          <w:p w14:paraId="42894E0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288438E4"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20.44 (10.40-40.19)</w:t>
            </w:r>
          </w:p>
        </w:tc>
        <w:tc>
          <w:tcPr>
            <w:tcW w:w="961" w:type="dxa"/>
          </w:tcPr>
          <w:p w14:paraId="7387597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3" w:type="dxa"/>
          </w:tcPr>
          <w:p w14:paraId="2A7F435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20.44 (10.40-40.19)</w:t>
            </w:r>
          </w:p>
        </w:tc>
        <w:tc>
          <w:tcPr>
            <w:tcW w:w="1056" w:type="dxa"/>
          </w:tcPr>
          <w:p w14:paraId="6F47C4E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1BF9D71E" w14:textId="77777777" w:rsidTr="00411247">
        <w:trPr>
          <w:trHeight w:val="279"/>
        </w:trPr>
        <w:tc>
          <w:tcPr>
            <w:tcW w:w="3156" w:type="dxa"/>
          </w:tcPr>
          <w:p w14:paraId="2C42007B" w14:textId="77777777" w:rsidR="00310843" w:rsidRPr="00103A0B" w:rsidRDefault="00310843" w:rsidP="00113624">
            <w:pPr>
              <w:spacing w:line="276" w:lineRule="auto"/>
              <w:jc w:val="both"/>
              <w:rPr>
                <w:rFonts w:ascii="Arial" w:hAnsi="Arial" w:cs="Arial"/>
                <w:sz w:val="24"/>
                <w:szCs w:val="24"/>
              </w:rPr>
            </w:pPr>
            <w:proofErr w:type="gramStart"/>
            <w:r w:rsidRPr="00103A0B">
              <w:rPr>
                <w:rFonts w:ascii="Arial" w:hAnsi="Arial" w:cs="Arial"/>
                <w:sz w:val="24"/>
                <w:szCs w:val="24"/>
              </w:rPr>
              <w:t>North East</w:t>
            </w:r>
            <w:proofErr w:type="gramEnd"/>
            <w:r w:rsidRPr="00103A0B">
              <w:rPr>
                <w:rFonts w:ascii="Arial" w:hAnsi="Arial" w:cs="Arial"/>
                <w:sz w:val="24"/>
                <w:szCs w:val="24"/>
              </w:rPr>
              <w:t xml:space="preserve"> London  </w:t>
            </w:r>
          </w:p>
        </w:tc>
        <w:tc>
          <w:tcPr>
            <w:tcW w:w="1923" w:type="dxa"/>
          </w:tcPr>
          <w:p w14:paraId="7B19264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20.19 (9.82-41.52)</w:t>
            </w:r>
          </w:p>
        </w:tc>
        <w:tc>
          <w:tcPr>
            <w:tcW w:w="961" w:type="dxa"/>
          </w:tcPr>
          <w:p w14:paraId="0EDE697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0580642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20.11 (9.78-41.37)</w:t>
            </w:r>
          </w:p>
        </w:tc>
        <w:tc>
          <w:tcPr>
            <w:tcW w:w="961" w:type="dxa"/>
          </w:tcPr>
          <w:p w14:paraId="298E096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490C605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20.26 (9.85-41.66)</w:t>
            </w:r>
          </w:p>
        </w:tc>
        <w:tc>
          <w:tcPr>
            <w:tcW w:w="961" w:type="dxa"/>
          </w:tcPr>
          <w:p w14:paraId="7AD9610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3" w:type="dxa"/>
          </w:tcPr>
          <w:p w14:paraId="006BCE1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20.49 (9.96-42.13)</w:t>
            </w:r>
          </w:p>
        </w:tc>
        <w:tc>
          <w:tcPr>
            <w:tcW w:w="1056" w:type="dxa"/>
          </w:tcPr>
          <w:p w14:paraId="42CF0B8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51F7354A" w14:textId="77777777" w:rsidTr="00411247">
        <w:trPr>
          <w:trHeight w:val="279"/>
        </w:trPr>
        <w:tc>
          <w:tcPr>
            <w:tcW w:w="3156" w:type="dxa"/>
          </w:tcPr>
          <w:p w14:paraId="5ABE6B1F"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b/>
                <w:bCs/>
                <w:sz w:val="24"/>
                <w:szCs w:val="24"/>
              </w:rPr>
              <w:t>Gender</w:t>
            </w:r>
            <w:r w:rsidRPr="00103A0B">
              <w:rPr>
                <w:rFonts w:ascii="Arial" w:hAnsi="Arial" w:cs="Arial"/>
                <w:sz w:val="24"/>
                <w:szCs w:val="24"/>
              </w:rPr>
              <w:t xml:space="preserve"> [Male]: Female</w:t>
            </w:r>
          </w:p>
        </w:tc>
        <w:tc>
          <w:tcPr>
            <w:tcW w:w="1923" w:type="dxa"/>
          </w:tcPr>
          <w:p w14:paraId="56205A3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0.95 (0.81-1.12)</w:t>
            </w:r>
          </w:p>
        </w:tc>
        <w:tc>
          <w:tcPr>
            <w:tcW w:w="961" w:type="dxa"/>
          </w:tcPr>
          <w:p w14:paraId="323163D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.560</w:t>
            </w:r>
          </w:p>
        </w:tc>
        <w:tc>
          <w:tcPr>
            <w:tcW w:w="1924" w:type="dxa"/>
          </w:tcPr>
          <w:p w14:paraId="2BD01EF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0.96 (0.82-1.12)</w:t>
            </w:r>
          </w:p>
        </w:tc>
        <w:tc>
          <w:tcPr>
            <w:tcW w:w="961" w:type="dxa"/>
          </w:tcPr>
          <w:p w14:paraId="6A41179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.596</w:t>
            </w:r>
          </w:p>
        </w:tc>
        <w:tc>
          <w:tcPr>
            <w:tcW w:w="1924" w:type="dxa"/>
          </w:tcPr>
          <w:p w14:paraId="5E31D8B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0.95 (0.81-1.12)</w:t>
            </w:r>
          </w:p>
        </w:tc>
        <w:tc>
          <w:tcPr>
            <w:tcW w:w="961" w:type="dxa"/>
          </w:tcPr>
          <w:p w14:paraId="395493F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.556</w:t>
            </w:r>
          </w:p>
        </w:tc>
        <w:tc>
          <w:tcPr>
            <w:tcW w:w="1923" w:type="dxa"/>
          </w:tcPr>
          <w:p w14:paraId="7CBC50C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0.97 (0.83-1.14)</w:t>
            </w:r>
          </w:p>
        </w:tc>
        <w:tc>
          <w:tcPr>
            <w:tcW w:w="1056" w:type="dxa"/>
          </w:tcPr>
          <w:p w14:paraId="5F72CB8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.685</w:t>
            </w:r>
          </w:p>
        </w:tc>
      </w:tr>
      <w:tr w:rsidR="00310843" w:rsidRPr="00103A0B" w14:paraId="32EFB4AB" w14:textId="77777777" w:rsidTr="00411247">
        <w:trPr>
          <w:trHeight w:val="279"/>
        </w:trPr>
        <w:tc>
          <w:tcPr>
            <w:tcW w:w="3156" w:type="dxa"/>
          </w:tcPr>
          <w:p w14:paraId="13C42EA7"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b/>
                <w:bCs/>
                <w:sz w:val="24"/>
                <w:szCs w:val="24"/>
              </w:rPr>
              <w:t>Age</w:t>
            </w:r>
            <w:r w:rsidRPr="00103A0B">
              <w:rPr>
                <w:rFonts w:ascii="Arial" w:hAnsi="Arial" w:cs="Arial"/>
                <w:sz w:val="24"/>
                <w:szCs w:val="24"/>
              </w:rPr>
              <w:t xml:space="preserve"> [&lt;40]: 40-44</w:t>
            </w:r>
          </w:p>
        </w:tc>
        <w:tc>
          <w:tcPr>
            <w:tcW w:w="1923" w:type="dxa"/>
          </w:tcPr>
          <w:p w14:paraId="683E7D2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1.25 (0.55-2.86)</w:t>
            </w:r>
          </w:p>
        </w:tc>
        <w:tc>
          <w:tcPr>
            <w:tcW w:w="961" w:type="dxa"/>
          </w:tcPr>
          <w:p w14:paraId="4055369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.591</w:t>
            </w:r>
          </w:p>
        </w:tc>
        <w:tc>
          <w:tcPr>
            <w:tcW w:w="1924" w:type="dxa"/>
          </w:tcPr>
          <w:p w14:paraId="201CE3E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1.25 (0.55-2.86)</w:t>
            </w:r>
          </w:p>
        </w:tc>
        <w:tc>
          <w:tcPr>
            <w:tcW w:w="961" w:type="dxa"/>
          </w:tcPr>
          <w:p w14:paraId="0F5FD79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.593</w:t>
            </w:r>
          </w:p>
        </w:tc>
        <w:tc>
          <w:tcPr>
            <w:tcW w:w="1924" w:type="dxa"/>
          </w:tcPr>
          <w:p w14:paraId="6ADF221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1.27 (0.56-2.91)</w:t>
            </w:r>
          </w:p>
        </w:tc>
        <w:tc>
          <w:tcPr>
            <w:tcW w:w="961" w:type="dxa"/>
          </w:tcPr>
          <w:p w14:paraId="0D2C6CF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.566</w:t>
            </w:r>
          </w:p>
        </w:tc>
        <w:tc>
          <w:tcPr>
            <w:tcW w:w="1923" w:type="dxa"/>
          </w:tcPr>
          <w:p w14:paraId="7C5DA6B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1.27 (0.55-2.89)</w:t>
            </w:r>
          </w:p>
        </w:tc>
        <w:tc>
          <w:tcPr>
            <w:tcW w:w="1056" w:type="dxa"/>
          </w:tcPr>
          <w:p w14:paraId="2FD2541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.578</w:t>
            </w:r>
          </w:p>
        </w:tc>
      </w:tr>
      <w:tr w:rsidR="00310843" w:rsidRPr="00103A0B" w14:paraId="545044C9" w14:textId="77777777" w:rsidTr="00411247">
        <w:trPr>
          <w:trHeight w:val="279"/>
        </w:trPr>
        <w:tc>
          <w:tcPr>
            <w:tcW w:w="3156" w:type="dxa"/>
          </w:tcPr>
          <w:p w14:paraId="30F2C935"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45-49</w:t>
            </w:r>
          </w:p>
        </w:tc>
        <w:tc>
          <w:tcPr>
            <w:tcW w:w="1923" w:type="dxa"/>
          </w:tcPr>
          <w:p w14:paraId="6D1DBBD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1.23 (0.58-2.61)</w:t>
            </w:r>
          </w:p>
        </w:tc>
        <w:tc>
          <w:tcPr>
            <w:tcW w:w="961" w:type="dxa"/>
          </w:tcPr>
          <w:p w14:paraId="28BCDD4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.584</w:t>
            </w:r>
          </w:p>
        </w:tc>
        <w:tc>
          <w:tcPr>
            <w:tcW w:w="1924" w:type="dxa"/>
          </w:tcPr>
          <w:p w14:paraId="7082F93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1.22 (0.57-2.57)</w:t>
            </w:r>
          </w:p>
        </w:tc>
        <w:tc>
          <w:tcPr>
            <w:tcW w:w="961" w:type="dxa"/>
          </w:tcPr>
          <w:p w14:paraId="6BA0755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.611</w:t>
            </w:r>
          </w:p>
        </w:tc>
        <w:tc>
          <w:tcPr>
            <w:tcW w:w="1924" w:type="dxa"/>
          </w:tcPr>
          <w:p w14:paraId="05C1B4D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1.23 (0.58-2.60)</w:t>
            </w:r>
          </w:p>
        </w:tc>
        <w:tc>
          <w:tcPr>
            <w:tcW w:w="961" w:type="dxa"/>
          </w:tcPr>
          <w:p w14:paraId="73426A4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.591</w:t>
            </w:r>
          </w:p>
        </w:tc>
        <w:tc>
          <w:tcPr>
            <w:tcW w:w="1923" w:type="dxa"/>
          </w:tcPr>
          <w:p w14:paraId="55F4E48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1.24 (0.58-2.62)</w:t>
            </w:r>
          </w:p>
        </w:tc>
        <w:tc>
          <w:tcPr>
            <w:tcW w:w="1056" w:type="dxa"/>
          </w:tcPr>
          <w:p w14:paraId="2EF0509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.580</w:t>
            </w:r>
          </w:p>
        </w:tc>
      </w:tr>
      <w:tr w:rsidR="00310843" w:rsidRPr="00103A0B" w14:paraId="1EDFC11E" w14:textId="77777777" w:rsidTr="00411247">
        <w:trPr>
          <w:trHeight w:val="279"/>
        </w:trPr>
        <w:tc>
          <w:tcPr>
            <w:tcW w:w="3156" w:type="dxa"/>
          </w:tcPr>
          <w:p w14:paraId="266BB900"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50-54</w:t>
            </w:r>
          </w:p>
        </w:tc>
        <w:tc>
          <w:tcPr>
            <w:tcW w:w="1923" w:type="dxa"/>
          </w:tcPr>
          <w:p w14:paraId="0DA4F0A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1.80 (0.91-3.56)</w:t>
            </w:r>
          </w:p>
        </w:tc>
        <w:tc>
          <w:tcPr>
            <w:tcW w:w="961" w:type="dxa"/>
          </w:tcPr>
          <w:p w14:paraId="0BB0B3E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.089</w:t>
            </w:r>
          </w:p>
        </w:tc>
        <w:tc>
          <w:tcPr>
            <w:tcW w:w="1924" w:type="dxa"/>
          </w:tcPr>
          <w:p w14:paraId="14F23CC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1.78 (0.90-3.51)</w:t>
            </w:r>
          </w:p>
        </w:tc>
        <w:tc>
          <w:tcPr>
            <w:tcW w:w="961" w:type="dxa"/>
          </w:tcPr>
          <w:p w14:paraId="2C113C1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.098</w:t>
            </w:r>
          </w:p>
        </w:tc>
        <w:tc>
          <w:tcPr>
            <w:tcW w:w="1924" w:type="dxa"/>
          </w:tcPr>
          <w:p w14:paraId="2C3AE38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1.80 (0.91-3.55)</w:t>
            </w:r>
          </w:p>
        </w:tc>
        <w:tc>
          <w:tcPr>
            <w:tcW w:w="961" w:type="dxa"/>
          </w:tcPr>
          <w:p w14:paraId="6A3742C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.092</w:t>
            </w:r>
          </w:p>
        </w:tc>
        <w:tc>
          <w:tcPr>
            <w:tcW w:w="1923" w:type="dxa"/>
          </w:tcPr>
          <w:p w14:paraId="6508ACF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1.81 (0.92-3.59)</w:t>
            </w:r>
          </w:p>
        </w:tc>
        <w:tc>
          <w:tcPr>
            <w:tcW w:w="1056" w:type="dxa"/>
          </w:tcPr>
          <w:p w14:paraId="18E1860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.087</w:t>
            </w:r>
          </w:p>
        </w:tc>
      </w:tr>
      <w:tr w:rsidR="00310843" w:rsidRPr="00103A0B" w14:paraId="2AC051A3" w14:textId="77777777" w:rsidTr="00411247">
        <w:trPr>
          <w:trHeight w:val="279"/>
        </w:trPr>
        <w:tc>
          <w:tcPr>
            <w:tcW w:w="3156" w:type="dxa"/>
          </w:tcPr>
          <w:p w14:paraId="09005812"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55-59</w:t>
            </w:r>
          </w:p>
        </w:tc>
        <w:tc>
          <w:tcPr>
            <w:tcW w:w="1923" w:type="dxa"/>
          </w:tcPr>
          <w:p w14:paraId="6D3F588B"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2.03 (1.05-3.95)</w:t>
            </w:r>
          </w:p>
        </w:tc>
        <w:tc>
          <w:tcPr>
            <w:tcW w:w="961" w:type="dxa"/>
          </w:tcPr>
          <w:p w14:paraId="3234BA91"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.037</w:t>
            </w:r>
          </w:p>
        </w:tc>
        <w:tc>
          <w:tcPr>
            <w:tcW w:w="1924" w:type="dxa"/>
          </w:tcPr>
          <w:p w14:paraId="2BE62013"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2.00 (1.03-3.90)</w:t>
            </w:r>
          </w:p>
        </w:tc>
        <w:tc>
          <w:tcPr>
            <w:tcW w:w="961" w:type="dxa"/>
          </w:tcPr>
          <w:p w14:paraId="366932B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.041</w:t>
            </w:r>
          </w:p>
        </w:tc>
        <w:tc>
          <w:tcPr>
            <w:tcW w:w="1924" w:type="dxa"/>
          </w:tcPr>
          <w:p w14:paraId="7CCCABEA"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2.02 (1.04-3.94)</w:t>
            </w:r>
          </w:p>
        </w:tc>
        <w:tc>
          <w:tcPr>
            <w:tcW w:w="961" w:type="dxa"/>
          </w:tcPr>
          <w:p w14:paraId="52EC2AB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.038</w:t>
            </w:r>
          </w:p>
        </w:tc>
        <w:tc>
          <w:tcPr>
            <w:tcW w:w="1923" w:type="dxa"/>
          </w:tcPr>
          <w:p w14:paraId="493082E1"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2.03 (1.04-3.96)</w:t>
            </w:r>
          </w:p>
        </w:tc>
        <w:tc>
          <w:tcPr>
            <w:tcW w:w="1056" w:type="dxa"/>
          </w:tcPr>
          <w:p w14:paraId="6519D2F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.037</w:t>
            </w:r>
          </w:p>
        </w:tc>
      </w:tr>
      <w:tr w:rsidR="00310843" w:rsidRPr="00103A0B" w14:paraId="4E5B8E54" w14:textId="77777777" w:rsidTr="00411247">
        <w:trPr>
          <w:trHeight w:val="279"/>
        </w:trPr>
        <w:tc>
          <w:tcPr>
            <w:tcW w:w="3156" w:type="dxa"/>
          </w:tcPr>
          <w:p w14:paraId="2F089B41"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60-64</w:t>
            </w:r>
          </w:p>
        </w:tc>
        <w:tc>
          <w:tcPr>
            <w:tcW w:w="1923" w:type="dxa"/>
          </w:tcPr>
          <w:p w14:paraId="7838D990"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2.34 (1.21-4.54)</w:t>
            </w:r>
          </w:p>
        </w:tc>
        <w:tc>
          <w:tcPr>
            <w:tcW w:w="961" w:type="dxa"/>
          </w:tcPr>
          <w:p w14:paraId="37FF580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.012</w:t>
            </w:r>
          </w:p>
        </w:tc>
        <w:tc>
          <w:tcPr>
            <w:tcW w:w="1924" w:type="dxa"/>
          </w:tcPr>
          <w:p w14:paraId="59E1FCE8"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2.31 (1.19-4.48)</w:t>
            </w:r>
          </w:p>
        </w:tc>
        <w:tc>
          <w:tcPr>
            <w:tcW w:w="961" w:type="dxa"/>
          </w:tcPr>
          <w:p w14:paraId="4DB038BB"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.013</w:t>
            </w:r>
          </w:p>
        </w:tc>
        <w:tc>
          <w:tcPr>
            <w:tcW w:w="1924" w:type="dxa"/>
          </w:tcPr>
          <w:p w14:paraId="7C7D3FB6"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2.33 (1.20-4.52)</w:t>
            </w:r>
          </w:p>
        </w:tc>
        <w:tc>
          <w:tcPr>
            <w:tcW w:w="961" w:type="dxa"/>
          </w:tcPr>
          <w:p w14:paraId="6C022AE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.012</w:t>
            </w:r>
          </w:p>
        </w:tc>
        <w:tc>
          <w:tcPr>
            <w:tcW w:w="1923" w:type="dxa"/>
          </w:tcPr>
          <w:p w14:paraId="2A345DBF"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2.32 (1.20-4.51)</w:t>
            </w:r>
          </w:p>
        </w:tc>
        <w:tc>
          <w:tcPr>
            <w:tcW w:w="1056" w:type="dxa"/>
          </w:tcPr>
          <w:p w14:paraId="35FD380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.013</w:t>
            </w:r>
          </w:p>
        </w:tc>
      </w:tr>
      <w:tr w:rsidR="00310843" w:rsidRPr="00103A0B" w14:paraId="05C14A7B" w14:textId="77777777" w:rsidTr="00411247">
        <w:trPr>
          <w:trHeight w:val="279"/>
        </w:trPr>
        <w:tc>
          <w:tcPr>
            <w:tcW w:w="3156" w:type="dxa"/>
          </w:tcPr>
          <w:p w14:paraId="29701D49"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65-69</w:t>
            </w:r>
          </w:p>
        </w:tc>
        <w:tc>
          <w:tcPr>
            <w:tcW w:w="1923" w:type="dxa"/>
          </w:tcPr>
          <w:p w14:paraId="4D203B28"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2.93 (1.53-5.64)</w:t>
            </w:r>
          </w:p>
        </w:tc>
        <w:tc>
          <w:tcPr>
            <w:tcW w:w="961" w:type="dxa"/>
          </w:tcPr>
          <w:p w14:paraId="688A4BD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24" w:type="dxa"/>
          </w:tcPr>
          <w:p w14:paraId="1C8D516D"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2.88 (1.501-5.54)</w:t>
            </w:r>
          </w:p>
        </w:tc>
        <w:tc>
          <w:tcPr>
            <w:tcW w:w="961" w:type="dxa"/>
          </w:tcPr>
          <w:p w14:paraId="74798AE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.002</w:t>
            </w:r>
          </w:p>
        </w:tc>
        <w:tc>
          <w:tcPr>
            <w:tcW w:w="1924" w:type="dxa"/>
          </w:tcPr>
          <w:p w14:paraId="75D2A49E"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2.90 (1.50-5.58)</w:t>
            </w:r>
          </w:p>
        </w:tc>
        <w:tc>
          <w:tcPr>
            <w:tcW w:w="961" w:type="dxa"/>
          </w:tcPr>
          <w:p w14:paraId="2D02466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23" w:type="dxa"/>
          </w:tcPr>
          <w:p w14:paraId="4B537A6A"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2.79 (1.45-5.38)</w:t>
            </w:r>
          </w:p>
        </w:tc>
        <w:tc>
          <w:tcPr>
            <w:tcW w:w="1056" w:type="dxa"/>
          </w:tcPr>
          <w:p w14:paraId="5C8C19A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.002</w:t>
            </w:r>
          </w:p>
        </w:tc>
      </w:tr>
      <w:tr w:rsidR="00310843" w:rsidRPr="00103A0B" w14:paraId="0981CC62" w14:textId="77777777" w:rsidTr="00411247">
        <w:trPr>
          <w:trHeight w:val="279"/>
        </w:trPr>
        <w:tc>
          <w:tcPr>
            <w:tcW w:w="3156" w:type="dxa"/>
          </w:tcPr>
          <w:p w14:paraId="6352FB3E"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70-74</w:t>
            </w:r>
          </w:p>
        </w:tc>
        <w:tc>
          <w:tcPr>
            <w:tcW w:w="1923" w:type="dxa"/>
          </w:tcPr>
          <w:p w14:paraId="017D59F6"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3.48 (1.81-6.70)</w:t>
            </w:r>
          </w:p>
        </w:tc>
        <w:tc>
          <w:tcPr>
            <w:tcW w:w="961" w:type="dxa"/>
          </w:tcPr>
          <w:p w14:paraId="40F0DD1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735E1045"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3.41 (1.77-6.57)</w:t>
            </w:r>
          </w:p>
        </w:tc>
        <w:tc>
          <w:tcPr>
            <w:tcW w:w="961" w:type="dxa"/>
          </w:tcPr>
          <w:p w14:paraId="7AA321B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4" w:type="dxa"/>
          </w:tcPr>
          <w:p w14:paraId="5F519D62"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3.45 (1.79-6.64)</w:t>
            </w:r>
          </w:p>
        </w:tc>
        <w:tc>
          <w:tcPr>
            <w:tcW w:w="961" w:type="dxa"/>
          </w:tcPr>
          <w:p w14:paraId="590F971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c>
          <w:tcPr>
            <w:tcW w:w="1923" w:type="dxa"/>
          </w:tcPr>
          <w:p w14:paraId="462402B4"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3.31 (1.71-6.38)</w:t>
            </w:r>
          </w:p>
        </w:tc>
        <w:tc>
          <w:tcPr>
            <w:tcW w:w="1056" w:type="dxa"/>
          </w:tcPr>
          <w:p w14:paraId="6E8899D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&lt;.001</w:t>
            </w:r>
          </w:p>
        </w:tc>
      </w:tr>
      <w:tr w:rsidR="00310843" w:rsidRPr="00103A0B" w14:paraId="3D74A2ED" w14:textId="77777777" w:rsidTr="00411247">
        <w:trPr>
          <w:trHeight w:val="279"/>
        </w:trPr>
        <w:tc>
          <w:tcPr>
            <w:tcW w:w="3156" w:type="dxa"/>
          </w:tcPr>
          <w:p w14:paraId="538A7CFA"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 ≥75</w:t>
            </w:r>
          </w:p>
        </w:tc>
        <w:tc>
          <w:tcPr>
            <w:tcW w:w="1923" w:type="dxa"/>
          </w:tcPr>
          <w:p w14:paraId="02E97790"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2.92 (1.52-5.64)</w:t>
            </w:r>
          </w:p>
        </w:tc>
        <w:tc>
          <w:tcPr>
            <w:tcW w:w="961" w:type="dxa"/>
          </w:tcPr>
          <w:p w14:paraId="519C82A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.001</w:t>
            </w:r>
          </w:p>
        </w:tc>
        <w:tc>
          <w:tcPr>
            <w:tcW w:w="1924" w:type="dxa"/>
          </w:tcPr>
          <w:p w14:paraId="7C4C9150"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2.86 (1.48-5.52)</w:t>
            </w:r>
          </w:p>
        </w:tc>
        <w:tc>
          <w:tcPr>
            <w:tcW w:w="961" w:type="dxa"/>
          </w:tcPr>
          <w:p w14:paraId="206FA2B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.002</w:t>
            </w:r>
          </w:p>
        </w:tc>
        <w:tc>
          <w:tcPr>
            <w:tcW w:w="1924" w:type="dxa"/>
          </w:tcPr>
          <w:p w14:paraId="75C17195"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2.87 (1.49-5.54)</w:t>
            </w:r>
          </w:p>
        </w:tc>
        <w:tc>
          <w:tcPr>
            <w:tcW w:w="961" w:type="dxa"/>
          </w:tcPr>
          <w:p w14:paraId="192F690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.002</w:t>
            </w:r>
          </w:p>
        </w:tc>
        <w:tc>
          <w:tcPr>
            <w:tcW w:w="1923" w:type="dxa"/>
          </w:tcPr>
          <w:p w14:paraId="4ADDDE61"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2.79 (1.44-5.39)</w:t>
            </w:r>
          </w:p>
        </w:tc>
        <w:tc>
          <w:tcPr>
            <w:tcW w:w="1056" w:type="dxa"/>
          </w:tcPr>
          <w:p w14:paraId="3CA9141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.002</w:t>
            </w:r>
          </w:p>
        </w:tc>
      </w:tr>
      <w:tr w:rsidR="00310843" w:rsidRPr="00103A0B" w14:paraId="5A26D0E1" w14:textId="77777777" w:rsidTr="00411247">
        <w:trPr>
          <w:trHeight w:val="279"/>
        </w:trPr>
        <w:tc>
          <w:tcPr>
            <w:tcW w:w="3156" w:type="dxa"/>
          </w:tcPr>
          <w:p w14:paraId="3E9B3F81"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b/>
                <w:bCs/>
                <w:sz w:val="24"/>
                <w:szCs w:val="24"/>
              </w:rPr>
              <w:t>Ethnicity</w:t>
            </w:r>
            <w:r w:rsidRPr="00103A0B">
              <w:rPr>
                <w:rFonts w:ascii="Arial" w:hAnsi="Arial" w:cs="Arial"/>
                <w:sz w:val="24"/>
                <w:szCs w:val="24"/>
              </w:rPr>
              <w:t xml:space="preserve"> [White]:  Black</w:t>
            </w:r>
          </w:p>
        </w:tc>
        <w:tc>
          <w:tcPr>
            <w:tcW w:w="1923" w:type="dxa"/>
          </w:tcPr>
          <w:p w14:paraId="64E016C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0.83 (0.57-1.21)</w:t>
            </w:r>
          </w:p>
        </w:tc>
        <w:tc>
          <w:tcPr>
            <w:tcW w:w="961" w:type="dxa"/>
          </w:tcPr>
          <w:p w14:paraId="03D76F4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.300</w:t>
            </w:r>
          </w:p>
        </w:tc>
        <w:tc>
          <w:tcPr>
            <w:tcW w:w="1924" w:type="dxa"/>
          </w:tcPr>
          <w:p w14:paraId="7AD477C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0.83 (0.57-1.21)</w:t>
            </w:r>
          </w:p>
        </w:tc>
        <w:tc>
          <w:tcPr>
            <w:tcW w:w="961" w:type="dxa"/>
          </w:tcPr>
          <w:p w14:paraId="440381E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.314</w:t>
            </w:r>
          </w:p>
        </w:tc>
        <w:tc>
          <w:tcPr>
            <w:tcW w:w="1924" w:type="dxa"/>
          </w:tcPr>
          <w:p w14:paraId="559B63B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0.83 (0.57-1.22)</w:t>
            </w:r>
          </w:p>
        </w:tc>
        <w:tc>
          <w:tcPr>
            <w:tcW w:w="961" w:type="dxa"/>
          </w:tcPr>
          <w:p w14:paraId="454E4E4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.327</w:t>
            </w:r>
          </w:p>
        </w:tc>
        <w:tc>
          <w:tcPr>
            <w:tcW w:w="1923" w:type="dxa"/>
          </w:tcPr>
          <w:p w14:paraId="681E0D5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0.82 (0.56-1.20)</w:t>
            </w:r>
          </w:p>
        </w:tc>
        <w:tc>
          <w:tcPr>
            <w:tcW w:w="1056" w:type="dxa"/>
          </w:tcPr>
          <w:p w14:paraId="63F21BF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.285</w:t>
            </w:r>
          </w:p>
        </w:tc>
      </w:tr>
      <w:tr w:rsidR="00310843" w:rsidRPr="00103A0B" w14:paraId="5C532295" w14:textId="77777777" w:rsidTr="00411247">
        <w:trPr>
          <w:trHeight w:val="279"/>
        </w:trPr>
        <w:tc>
          <w:tcPr>
            <w:tcW w:w="3156" w:type="dxa"/>
          </w:tcPr>
          <w:p w14:paraId="1E2829E6"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Asian</w:t>
            </w:r>
          </w:p>
        </w:tc>
        <w:tc>
          <w:tcPr>
            <w:tcW w:w="1923" w:type="dxa"/>
          </w:tcPr>
          <w:p w14:paraId="05DC0E1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0.75 (0.55-1.01)</w:t>
            </w:r>
          </w:p>
        </w:tc>
        <w:tc>
          <w:tcPr>
            <w:tcW w:w="961" w:type="dxa"/>
          </w:tcPr>
          <w:p w14:paraId="661517F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.057</w:t>
            </w:r>
          </w:p>
        </w:tc>
        <w:tc>
          <w:tcPr>
            <w:tcW w:w="1924" w:type="dxa"/>
          </w:tcPr>
          <w:p w14:paraId="524449F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0.77 (0.57-1.04)</w:t>
            </w:r>
          </w:p>
        </w:tc>
        <w:tc>
          <w:tcPr>
            <w:tcW w:w="961" w:type="dxa"/>
          </w:tcPr>
          <w:p w14:paraId="20D7A67D"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.083</w:t>
            </w:r>
          </w:p>
        </w:tc>
        <w:tc>
          <w:tcPr>
            <w:tcW w:w="1924" w:type="dxa"/>
          </w:tcPr>
          <w:p w14:paraId="0C1ABDA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0.77 (0.57-1.04)</w:t>
            </w:r>
          </w:p>
        </w:tc>
        <w:tc>
          <w:tcPr>
            <w:tcW w:w="961" w:type="dxa"/>
          </w:tcPr>
          <w:p w14:paraId="78E9E0D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.083</w:t>
            </w:r>
          </w:p>
        </w:tc>
        <w:tc>
          <w:tcPr>
            <w:tcW w:w="1923" w:type="dxa"/>
          </w:tcPr>
          <w:p w14:paraId="3F639503"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0.76 (0.56-1.03)</w:t>
            </w:r>
          </w:p>
        </w:tc>
        <w:tc>
          <w:tcPr>
            <w:tcW w:w="1056" w:type="dxa"/>
          </w:tcPr>
          <w:p w14:paraId="6A58662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.072</w:t>
            </w:r>
          </w:p>
        </w:tc>
      </w:tr>
      <w:tr w:rsidR="00310843" w:rsidRPr="00103A0B" w14:paraId="795BE6A4" w14:textId="77777777" w:rsidTr="00411247">
        <w:trPr>
          <w:trHeight w:val="279"/>
        </w:trPr>
        <w:tc>
          <w:tcPr>
            <w:tcW w:w="3156" w:type="dxa"/>
          </w:tcPr>
          <w:p w14:paraId="7C628E1C"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Mixed</w:t>
            </w:r>
          </w:p>
        </w:tc>
        <w:tc>
          <w:tcPr>
            <w:tcW w:w="1923" w:type="dxa"/>
          </w:tcPr>
          <w:p w14:paraId="6BF2BC2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0.79 (0.44-1.41)</w:t>
            </w:r>
          </w:p>
        </w:tc>
        <w:tc>
          <w:tcPr>
            <w:tcW w:w="961" w:type="dxa"/>
          </w:tcPr>
          <w:p w14:paraId="5A2951A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.417</w:t>
            </w:r>
          </w:p>
        </w:tc>
        <w:tc>
          <w:tcPr>
            <w:tcW w:w="1924" w:type="dxa"/>
          </w:tcPr>
          <w:p w14:paraId="7E2D542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0.79 (0.44-1.43)</w:t>
            </w:r>
          </w:p>
        </w:tc>
        <w:tc>
          <w:tcPr>
            <w:tcW w:w="961" w:type="dxa"/>
          </w:tcPr>
          <w:p w14:paraId="2C01F44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.431</w:t>
            </w:r>
          </w:p>
        </w:tc>
        <w:tc>
          <w:tcPr>
            <w:tcW w:w="1924" w:type="dxa"/>
          </w:tcPr>
          <w:p w14:paraId="6205CDF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0.77 (0.43-1.37)</w:t>
            </w:r>
          </w:p>
        </w:tc>
        <w:tc>
          <w:tcPr>
            <w:tcW w:w="961" w:type="dxa"/>
          </w:tcPr>
          <w:p w14:paraId="13BB6C1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.367</w:t>
            </w:r>
          </w:p>
        </w:tc>
        <w:tc>
          <w:tcPr>
            <w:tcW w:w="1923" w:type="dxa"/>
          </w:tcPr>
          <w:p w14:paraId="182DEB9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0.75 (0.42-1.35)</w:t>
            </w:r>
          </w:p>
        </w:tc>
        <w:tc>
          <w:tcPr>
            <w:tcW w:w="1056" w:type="dxa"/>
          </w:tcPr>
          <w:p w14:paraId="34B4062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.333</w:t>
            </w:r>
          </w:p>
        </w:tc>
      </w:tr>
      <w:tr w:rsidR="00310843" w:rsidRPr="00103A0B" w14:paraId="2D4E9CBF" w14:textId="77777777" w:rsidTr="00411247">
        <w:trPr>
          <w:trHeight w:val="279"/>
        </w:trPr>
        <w:tc>
          <w:tcPr>
            <w:tcW w:w="3156" w:type="dxa"/>
          </w:tcPr>
          <w:p w14:paraId="55AC2CCB"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Other</w:t>
            </w:r>
          </w:p>
        </w:tc>
        <w:tc>
          <w:tcPr>
            <w:tcW w:w="1923" w:type="dxa"/>
          </w:tcPr>
          <w:p w14:paraId="493F547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0.39 (0.15-1.02)</w:t>
            </w:r>
          </w:p>
        </w:tc>
        <w:tc>
          <w:tcPr>
            <w:tcW w:w="961" w:type="dxa"/>
          </w:tcPr>
          <w:p w14:paraId="1D98489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.055</w:t>
            </w:r>
          </w:p>
        </w:tc>
        <w:tc>
          <w:tcPr>
            <w:tcW w:w="1924" w:type="dxa"/>
          </w:tcPr>
          <w:p w14:paraId="7625061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0.39 (0.15-1.05)</w:t>
            </w:r>
          </w:p>
        </w:tc>
        <w:tc>
          <w:tcPr>
            <w:tcW w:w="961" w:type="dxa"/>
          </w:tcPr>
          <w:p w14:paraId="0567A6A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.061</w:t>
            </w:r>
          </w:p>
        </w:tc>
        <w:tc>
          <w:tcPr>
            <w:tcW w:w="1924" w:type="dxa"/>
          </w:tcPr>
          <w:p w14:paraId="7470352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0.41 (0.15-1.07)</w:t>
            </w:r>
          </w:p>
        </w:tc>
        <w:tc>
          <w:tcPr>
            <w:tcW w:w="961" w:type="dxa"/>
          </w:tcPr>
          <w:p w14:paraId="0FB3B14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.068</w:t>
            </w:r>
          </w:p>
        </w:tc>
        <w:tc>
          <w:tcPr>
            <w:tcW w:w="1923" w:type="dxa"/>
          </w:tcPr>
          <w:p w14:paraId="7BA576F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0.41 (0.15-1.07)</w:t>
            </w:r>
          </w:p>
        </w:tc>
        <w:tc>
          <w:tcPr>
            <w:tcW w:w="1056" w:type="dxa"/>
          </w:tcPr>
          <w:p w14:paraId="15D1D11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.068</w:t>
            </w:r>
          </w:p>
        </w:tc>
      </w:tr>
      <w:tr w:rsidR="00310843" w:rsidRPr="00103A0B" w14:paraId="1E4E41AC" w14:textId="77777777" w:rsidTr="00411247">
        <w:trPr>
          <w:trHeight w:val="279"/>
        </w:trPr>
        <w:tc>
          <w:tcPr>
            <w:tcW w:w="3156" w:type="dxa"/>
          </w:tcPr>
          <w:p w14:paraId="3BE012DE"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b/>
                <w:bCs/>
                <w:sz w:val="24"/>
                <w:szCs w:val="24"/>
              </w:rPr>
              <w:t>Deprivation Quintile</w:t>
            </w:r>
            <w:r w:rsidRPr="00103A0B">
              <w:rPr>
                <w:rFonts w:ascii="Arial" w:hAnsi="Arial" w:cs="Arial"/>
                <w:sz w:val="24"/>
                <w:szCs w:val="24"/>
              </w:rPr>
              <w:t xml:space="preserve"> [1 most deprived]:  Quintile 2</w:t>
            </w:r>
          </w:p>
        </w:tc>
        <w:tc>
          <w:tcPr>
            <w:tcW w:w="1923" w:type="dxa"/>
          </w:tcPr>
          <w:p w14:paraId="1E40B36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0.79 (0.61-1.02)</w:t>
            </w:r>
          </w:p>
        </w:tc>
        <w:tc>
          <w:tcPr>
            <w:tcW w:w="961" w:type="dxa"/>
          </w:tcPr>
          <w:p w14:paraId="33304234"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.066</w:t>
            </w:r>
          </w:p>
        </w:tc>
        <w:tc>
          <w:tcPr>
            <w:tcW w:w="1924" w:type="dxa"/>
          </w:tcPr>
          <w:p w14:paraId="5D68840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0.79 (0.61-1.02)</w:t>
            </w:r>
          </w:p>
        </w:tc>
        <w:tc>
          <w:tcPr>
            <w:tcW w:w="961" w:type="dxa"/>
          </w:tcPr>
          <w:p w14:paraId="0D9EEBA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.065</w:t>
            </w:r>
          </w:p>
        </w:tc>
        <w:tc>
          <w:tcPr>
            <w:tcW w:w="1924" w:type="dxa"/>
          </w:tcPr>
          <w:p w14:paraId="24C2FBA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0.79 (0.61-1.01)</w:t>
            </w:r>
          </w:p>
        </w:tc>
        <w:tc>
          <w:tcPr>
            <w:tcW w:w="961" w:type="dxa"/>
          </w:tcPr>
          <w:p w14:paraId="673BE51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.064</w:t>
            </w:r>
          </w:p>
        </w:tc>
        <w:tc>
          <w:tcPr>
            <w:tcW w:w="1923" w:type="dxa"/>
          </w:tcPr>
          <w:p w14:paraId="7FCFA30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0.77 (0.59-0.99)</w:t>
            </w:r>
          </w:p>
        </w:tc>
        <w:tc>
          <w:tcPr>
            <w:tcW w:w="1056" w:type="dxa"/>
          </w:tcPr>
          <w:p w14:paraId="5BAD316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.040</w:t>
            </w:r>
          </w:p>
        </w:tc>
      </w:tr>
      <w:tr w:rsidR="00310843" w:rsidRPr="00103A0B" w14:paraId="4E57F50F" w14:textId="77777777" w:rsidTr="00411247">
        <w:trPr>
          <w:trHeight w:val="279"/>
        </w:trPr>
        <w:tc>
          <w:tcPr>
            <w:tcW w:w="3156" w:type="dxa"/>
          </w:tcPr>
          <w:p w14:paraId="3B3A2EDD"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Quintile 3</w:t>
            </w:r>
          </w:p>
        </w:tc>
        <w:tc>
          <w:tcPr>
            <w:tcW w:w="1923" w:type="dxa"/>
          </w:tcPr>
          <w:p w14:paraId="4224A3C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0.86 (0.66-1.12)</w:t>
            </w:r>
          </w:p>
        </w:tc>
        <w:tc>
          <w:tcPr>
            <w:tcW w:w="961" w:type="dxa"/>
          </w:tcPr>
          <w:p w14:paraId="12AC252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.263</w:t>
            </w:r>
          </w:p>
        </w:tc>
        <w:tc>
          <w:tcPr>
            <w:tcW w:w="1924" w:type="dxa"/>
          </w:tcPr>
          <w:p w14:paraId="7119CF1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0.85 (0.65-1.12)</w:t>
            </w:r>
          </w:p>
        </w:tc>
        <w:tc>
          <w:tcPr>
            <w:tcW w:w="961" w:type="dxa"/>
          </w:tcPr>
          <w:p w14:paraId="062A663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.244</w:t>
            </w:r>
          </w:p>
        </w:tc>
        <w:tc>
          <w:tcPr>
            <w:tcW w:w="1924" w:type="dxa"/>
          </w:tcPr>
          <w:p w14:paraId="23A13E0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0.85 (0.65-1.12)</w:t>
            </w:r>
          </w:p>
        </w:tc>
        <w:tc>
          <w:tcPr>
            <w:tcW w:w="961" w:type="dxa"/>
          </w:tcPr>
          <w:p w14:paraId="7BD6574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.244</w:t>
            </w:r>
          </w:p>
        </w:tc>
        <w:tc>
          <w:tcPr>
            <w:tcW w:w="1923" w:type="dxa"/>
          </w:tcPr>
          <w:p w14:paraId="68DF47D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0.83 (0.64-1.09)</w:t>
            </w:r>
          </w:p>
        </w:tc>
        <w:tc>
          <w:tcPr>
            <w:tcW w:w="1056" w:type="dxa"/>
          </w:tcPr>
          <w:p w14:paraId="58D3BF1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.187</w:t>
            </w:r>
          </w:p>
        </w:tc>
      </w:tr>
      <w:tr w:rsidR="00310843" w:rsidRPr="00103A0B" w14:paraId="7D7CAC0D" w14:textId="77777777" w:rsidTr="00411247">
        <w:trPr>
          <w:trHeight w:val="279"/>
        </w:trPr>
        <w:tc>
          <w:tcPr>
            <w:tcW w:w="3156" w:type="dxa"/>
          </w:tcPr>
          <w:p w14:paraId="1F611066"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lastRenderedPageBreak/>
              <w:t>Quintile 4</w:t>
            </w:r>
          </w:p>
        </w:tc>
        <w:tc>
          <w:tcPr>
            <w:tcW w:w="1923" w:type="dxa"/>
          </w:tcPr>
          <w:p w14:paraId="69BEEBA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1.12 (0.84-1.48)</w:t>
            </w:r>
          </w:p>
        </w:tc>
        <w:tc>
          <w:tcPr>
            <w:tcW w:w="961" w:type="dxa"/>
          </w:tcPr>
          <w:p w14:paraId="5C62396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.440</w:t>
            </w:r>
          </w:p>
        </w:tc>
        <w:tc>
          <w:tcPr>
            <w:tcW w:w="1924" w:type="dxa"/>
          </w:tcPr>
          <w:p w14:paraId="3F41344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1.12 (0.84-1.48)</w:t>
            </w:r>
          </w:p>
        </w:tc>
        <w:tc>
          <w:tcPr>
            <w:tcW w:w="961" w:type="dxa"/>
          </w:tcPr>
          <w:p w14:paraId="437F7E6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.441</w:t>
            </w:r>
          </w:p>
        </w:tc>
        <w:tc>
          <w:tcPr>
            <w:tcW w:w="1924" w:type="dxa"/>
          </w:tcPr>
          <w:p w14:paraId="0D2123D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1.12 (0.85-1.49)</w:t>
            </w:r>
          </w:p>
        </w:tc>
        <w:tc>
          <w:tcPr>
            <w:tcW w:w="961" w:type="dxa"/>
          </w:tcPr>
          <w:p w14:paraId="4B69A51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.420</w:t>
            </w:r>
          </w:p>
        </w:tc>
        <w:tc>
          <w:tcPr>
            <w:tcW w:w="1923" w:type="dxa"/>
          </w:tcPr>
          <w:p w14:paraId="2EEF01A1"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1.11 (0.84-1.47)</w:t>
            </w:r>
          </w:p>
        </w:tc>
        <w:tc>
          <w:tcPr>
            <w:tcW w:w="1056" w:type="dxa"/>
          </w:tcPr>
          <w:p w14:paraId="221E3FA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.472</w:t>
            </w:r>
          </w:p>
        </w:tc>
      </w:tr>
      <w:tr w:rsidR="00310843" w:rsidRPr="00103A0B" w14:paraId="40E94A7E" w14:textId="77777777" w:rsidTr="00411247">
        <w:trPr>
          <w:trHeight w:val="279"/>
        </w:trPr>
        <w:tc>
          <w:tcPr>
            <w:tcW w:w="3156" w:type="dxa"/>
          </w:tcPr>
          <w:p w14:paraId="32E16C61" w14:textId="77777777" w:rsidR="00310843" w:rsidRPr="00103A0B" w:rsidRDefault="00310843" w:rsidP="00113624">
            <w:pPr>
              <w:spacing w:line="276" w:lineRule="auto"/>
              <w:jc w:val="both"/>
              <w:rPr>
                <w:rFonts w:ascii="Arial" w:hAnsi="Arial" w:cs="Arial"/>
                <w:sz w:val="24"/>
                <w:szCs w:val="24"/>
              </w:rPr>
            </w:pPr>
            <w:r w:rsidRPr="00103A0B">
              <w:rPr>
                <w:rFonts w:ascii="Arial" w:hAnsi="Arial" w:cs="Arial"/>
                <w:sz w:val="24"/>
                <w:szCs w:val="24"/>
              </w:rPr>
              <w:t xml:space="preserve">Quintile 5 (least deprived) </w:t>
            </w:r>
          </w:p>
        </w:tc>
        <w:tc>
          <w:tcPr>
            <w:tcW w:w="1923" w:type="dxa"/>
          </w:tcPr>
          <w:p w14:paraId="0D07903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0.88 (0.66-1.18)</w:t>
            </w:r>
          </w:p>
        </w:tc>
        <w:tc>
          <w:tcPr>
            <w:tcW w:w="961" w:type="dxa"/>
          </w:tcPr>
          <w:p w14:paraId="76356D8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.389</w:t>
            </w:r>
          </w:p>
        </w:tc>
        <w:tc>
          <w:tcPr>
            <w:tcW w:w="1924" w:type="dxa"/>
          </w:tcPr>
          <w:p w14:paraId="7AB8513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0.88 (0.66-1.17)</w:t>
            </w:r>
          </w:p>
        </w:tc>
        <w:tc>
          <w:tcPr>
            <w:tcW w:w="961" w:type="dxa"/>
          </w:tcPr>
          <w:p w14:paraId="0C10EEE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.376</w:t>
            </w:r>
          </w:p>
        </w:tc>
        <w:tc>
          <w:tcPr>
            <w:tcW w:w="1924" w:type="dxa"/>
          </w:tcPr>
          <w:p w14:paraId="00AA86E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0.89 (0.67-1.19)</w:t>
            </w:r>
          </w:p>
        </w:tc>
        <w:tc>
          <w:tcPr>
            <w:tcW w:w="961" w:type="dxa"/>
          </w:tcPr>
          <w:p w14:paraId="290674C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.425</w:t>
            </w:r>
          </w:p>
        </w:tc>
        <w:tc>
          <w:tcPr>
            <w:tcW w:w="1923" w:type="dxa"/>
          </w:tcPr>
          <w:p w14:paraId="77BBECB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0.87 (0.65-1.16)</w:t>
            </w:r>
          </w:p>
        </w:tc>
        <w:tc>
          <w:tcPr>
            <w:tcW w:w="1056" w:type="dxa"/>
          </w:tcPr>
          <w:p w14:paraId="7F74DA5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.340</w:t>
            </w:r>
          </w:p>
        </w:tc>
      </w:tr>
      <w:tr w:rsidR="00310843" w:rsidRPr="00103A0B" w14:paraId="0326416C" w14:textId="77777777" w:rsidTr="00411247">
        <w:trPr>
          <w:trHeight w:val="279"/>
        </w:trPr>
        <w:tc>
          <w:tcPr>
            <w:tcW w:w="3156" w:type="dxa"/>
          </w:tcPr>
          <w:p w14:paraId="50DBAC99"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t xml:space="preserve">Brief IPQ </w:t>
            </w:r>
            <w:r w:rsidRPr="00103A0B">
              <w:rPr>
                <w:rFonts w:ascii="Arial" w:hAnsi="Arial" w:cs="Arial"/>
                <w:sz w:val="24"/>
                <w:szCs w:val="24"/>
              </w:rPr>
              <w:t xml:space="preserve">Question 1: </w:t>
            </w:r>
            <w:r w:rsidRPr="00103A0B">
              <w:rPr>
                <w:rFonts w:ascii="Arial" w:hAnsi="Arial" w:cs="Arial"/>
                <w:b/>
                <w:bCs/>
                <w:sz w:val="24"/>
                <w:szCs w:val="24"/>
              </w:rPr>
              <w:t xml:space="preserve"> </w:t>
            </w:r>
            <w:r w:rsidRPr="00103A0B">
              <w:rPr>
                <w:rFonts w:ascii="Arial" w:hAnsi="Arial" w:cs="Arial"/>
                <w:sz w:val="24"/>
                <w:szCs w:val="24"/>
              </w:rPr>
              <w:t>consequences</w:t>
            </w:r>
          </w:p>
        </w:tc>
        <w:tc>
          <w:tcPr>
            <w:tcW w:w="1923" w:type="dxa"/>
          </w:tcPr>
          <w:p w14:paraId="167947D8"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45C5F047" w14:textId="77777777" w:rsidR="00310843" w:rsidRPr="00103A0B" w:rsidRDefault="00310843" w:rsidP="00113624">
            <w:pPr>
              <w:spacing w:line="276" w:lineRule="auto"/>
              <w:jc w:val="both"/>
              <w:rPr>
                <w:rFonts w:ascii="Arial" w:hAnsi="Arial" w:cs="Arial"/>
              </w:rPr>
            </w:pPr>
          </w:p>
        </w:tc>
        <w:tc>
          <w:tcPr>
            <w:tcW w:w="1924" w:type="dxa"/>
          </w:tcPr>
          <w:p w14:paraId="559FA038"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(0.95-1.02)</w:t>
            </w:r>
          </w:p>
        </w:tc>
        <w:tc>
          <w:tcPr>
            <w:tcW w:w="961" w:type="dxa"/>
          </w:tcPr>
          <w:p w14:paraId="67D268AC"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.409</w:t>
            </w:r>
          </w:p>
        </w:tc>
        <w:tc>
          <w:tcPr>
            <w:tcW w:w="1924" w:type="dxa"/>
          </w:tcPr>
          <w:p w14:paraId="0E0670A5"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(0.95-1.02)</w:t>
            </w:r>
          </w:p>
        </w:tc>
        <w:tc>
          <w:tcPr>
            <w:tcW w:w="961" w:type="dxa"/>
          </w:tcPr>
          <w:p w14:paraId="281C1B79"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.350</w:t>
            </w:r>
          </w:p>
        </w:tc>
        <w:tc>
          <w:tcPr>
            <w:tcW w:w="1923" w:type="dxa"/>
          </w:tcPr>
          <w:p w14:paraId="5956A6E7"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(0.95-1.02)</w:t>
            </w:r>
          </w:p>
        </w:tc>
        <w:tc>
          <w:tcPr>
            <w:tcW w:w="1056" w:type="dxa"/>
          </w:tcPr>
          <w:p w14:paraId="6C4DE3BA"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.383</w:t>
            </w:r>
          </w:p>
        </w:tc>
      </w:tr>
      <w:tr w:rsidR="00310843" w:rsidRPr="00103A0B" w14:paraId="6558D671" w14:textId="77777777" w:rsidTr="00411247">
        <w:trPr>
          <w:trHeight w:val="279"/>
        </w:trPr>
        <w:tc>
          <w:tcPr>
            <w:tcW w:w="3156" w:type="dxa"/>
          </w:tcPr>
          <w:p w14:paraId="6DA8809B"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t xml:space="preserve">Brief IPQ </w:t>
            </w:r>
            <w:r w:rsidRPr="00103A0B">
              <w:rPr>
                <w:rFonts w:ascii="Arial" w:hAnsi="Arial" w:cs="Arial"/>
                <w:sz w:val="24"/>
                <w:szCs w:val="24"/>
              </w:rPr>
              <w:t xml:space="preserve">Question 3: </w:t>
            </w:r>
            <w:r w:rsidRPr="00103A0B">
              <w:rPr>
                <w:rFonts w:ascii="Arial" w:hAnsi="Arial" w:cs="Arial"/>
                <w:b/>
                <w:bCs/>
                <w:sz w:val="24"/>
                <w:szCs w:val="24"/>
              </w:rPr>
              <w:t xml:space="preserve"> </w:t>
            </w:r>
            <w:r w:rsidRPr="00103A0B">
              <w:rPr>
                <w:rFonts w:ascii="Arial" w:hAnsi="Arial" w:cs="Arial"/>
                <w:sz w:val="24"/>
                <w:szCs w:val="24"/>
              </w:rPr>
              <w:t>personal control</w:t>
            </w:r>
          </w:p>
        </w:tc>
        <w:tc>
          <w:tcPr>
            <w:tcW w:w="1923" w:type="dxa"/>
          </w:tcPr>
          <w:p w14:paraId="745AB93D"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57813E89"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24" w:type="dxa"/>
          </w:tcPr>
          <w:p w14:paraId="144904D5"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1.02 (0.99-1.06)</w:t>
            </w:r>
          </w:p>
        </w:tc>
        <w:tc>
          <w:tcPr>
            <w:tcW w:w="961" w:type="dxa"/>
          </w:tcPr>
          <w:p w14:paraId="504B2AE8"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.183</w:t>
            </w:r>
          </w:p>
        </w:tc>
        <w:tc>
          <w:tcPr>
            <w:tcW w:w="1924" w:type="dxa"/>
          </w:tcPr>
          <w:p w14:paraId="6EB9E3B7"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1.02 (0.99-1.06)</w:t>
            </w:r>
          </w:p>
        </w:tc>
        <w:tc>
          <w:tcPr>
            <w:tcW w:w="961" w:type="dxa"/>
          </w:tcPr>
          <w:p w14:paraId="6C61D0B9"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.173</w:t>
            </w:r>
          </w:p>
        </w:tc>
        <w:tc>
          <w:tcPr>
            <w:tcW w:w="1923" w:type="dxa"/>
          </w:tcPr>
          <w:p w14:paraId="7F91431D"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1.02 (0.99-1.06)</w:t>
            </w:r>
          </w:p>
        </w:tc>
        <w:tc>
          <w:tcPr>
            <w:tcW w:w="1056" w:type="dxa"/>
          </w:tcPr>
          <w:p w14:paraId="02C89DC2" w14:textId="77777777" w:rsidR="00310843" w:rsidRPr="00103A0B" w:rsidRDefault="00310843" w:rsidP="00113624">
            <w:pPr>
              <w:spacing w:line="276" w:lineRule="auto"/>
              <w:jc w:val="both"/>
              <w:rPr>
                <w:rFonts w:ascii="Arial" w:hAnsi="Arial" w:cs="Arial"/>
                <w:color w:val="010205"/>
              </w:rPr>
            </w:pPr>
            <w:r w:rsidRPr="00103A0B">
              <w:rPr>
                <w:rFonts w:ascii="Arial" w:hAnsi="Arial" w:cs="Arial"/>
                <w:color w:val="010205"/>
                <w:sz w:val="18"/>
                <w:szCs w:val="18"/>
              </w:rPr>
              <w:t>.232</w:t>
            </w:r>
          </w:p>
        </w:tc>
      </w:tr>
      <w:tr w:rsidR="00310843" w:rsidRPr="00103A0B" w14:paraId="01BA67BF" w14:textId="77777777" w:rsidTr="00411247">
        <w:trPr>
          <w:trHeight w:val="279"/>
        </w:trPr>
        <w:tc>
          <w:tcPr>
            <w:tcW w:w="3156" w:type="dxa"/>
          </w:tcPr>
          <w:p w14:paraId="1C27AB62"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t>NGS-ES</w:t>
            </w:r>
            <w:r w:rsidRPr="00103A0B">
              <w:rPr>
                <w:rFonts w:ascii="Arial" w:hAnsi="Arial" w:cs="Arial"/>
                <w:sz w:val="24"/>
                <w:szCs w:val="24"/>
              </w:rPr>
              <w:t xml:space="preserve"> score</w:t>
            </w:r>
          </w:p>
        </w:tc>
        <w:tc>
          <w:tcPr>
            <w:tcW w:w="1923" w:type="dxa"/>
          </w:tcPr>
          <w:p w14:paraId="38E6A286"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02F5B2F2"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24" w:type="dxa"/>
          </w:tcPr>
          <w:p w14:paraId="26DE8D3C"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42DD0DCB"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24" w:type="dxa"/>
          </w:tcPr>
          <w:p w14:paraId="3566EAC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(0.98-1.00)</w:t>
            </w:r>
          </w:p>
        </w:tc>
        <w:tc>
          <w:tcPr>
            <w:tcW w:w="961" w:type="dxa"/>
          </w:tcPr>
          <w:p w14:paraId="484AB44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.028</w:t>
            </w:r>
          </w:p>
        </w:tc>
        <w:tc>
          <w:tcPr>
            <w:tcW w:w="1923" w:type="dxa"/>
          </w:tcPr>
          <w:p w14:paraId="74F3FB82"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0.99 (0.98-1.00)</w:t>
            </w:r>
          </w:p>
        </w:tc>
        <w:tc>
          <w:tcPr>
            <w:tcW w:w="1056" w:type="dxa"/>
          </w:tcPr>
          <w:p w14:paraId="4F04AF0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.013</w:t>
            </w:r>
          </w:p>
        </w:tc>
      </w:tr>
      <w:tr w:rsidR="00310843" w:rsidRPr="00103A0B" w14:paraId="3FA2E9A1" w14:textId="77777777" w:rsidTr="00411247">
        <w:trPr>
          <w:trHeight w:val="279"/>
        </w:trPr>
        <w:tc>
          <w:tcPr>
            <w:tcW w:w="3156" w:type="dxa"/>
          </w:tcPr>
          <w:p w14:paraId="672ACE92" w14:textId="77777777" w:rsidR="00310843" w:rsidRPr="00103A0B" w:rsidRDefault="00310843" w:rsidP="00113624">
            <w:pPr>
              <w:spacing w:line="276" w:lineRule="auto"/>
              <w:jc w:val="both"/>
              <w:rPr>
                <w:rFonts w:ascii="Arial" w:hAnsi="Arial" w:cs="Arial"/>
                <w:b/>
                <w:bCs/>
                <w:sz w:val="24"/>
                <w:szCs w:val="24"/>
              </w:rPr>
            </w:pPr>
            <w:r w:rsidRPr="00103A0B">
              <w:rPr>
                <w:rFonts w:ascii="Arial" w:hAnsi="Arial" w:cs="Arial"/>
                <w:b/>
                <w:bCs/>
                <w:sz w:val="24"/>
                <w:szCs w:val="24"/>
              </w:rPr>
              <w:t xml:space="preserve">WEMWBS </w:t>
            </w:r>
            <w:r w:rsidRPr="00103A0B">
              <w:rPr>
                <w:rFonts w:ascii="Arial" w:hAnsi="Arial" w:cs="Arial"/>
                <w:sz w:val="24"/>
                <w:szCs w:val="24"/>
              </w:rPr>
              <w:t>[High score]: Medium score</w:t>
            </w:r>
            <w:r w:rsidRPr="00103A0B">
              <w:rPr>
                <w:rFonts w:ascii="Arial" w:hAnsi="Arial" w:cs="Arial"/>
                <w:b/>
                <w:bCs/>
                <w:sz w:val="24"/>
                <w:szCs w:val="24"/>
              </w:rPr>
              <w:t xml:space="preserve"> </w:t>
            </w:r>
          </w:p>
        </w:tc>
        <w:tc>
          <w:tcPr>
            <w:tcW w:w="1923" w:type="dxa"/>
          </w:tcPr>
          <w:p w14:paraId="70439C1E"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6CC91D03"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24" w:type="dxa"/>
          </w:tcPr>
          <w:p w14:paraId="7A6AEE81"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734CB2C9"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24" w:type="dxa"/>
          </w:tcPr>
          <w:p w14:paraId="6073C6D3"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549F6597"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23" w:type="dxa"/>
          </w:tcPr>
          <w:p w14:paraId="02094300"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1.07 (0.89-1.28)</w:t>
            </w:r>
          </w:p>
        </w:tc>
        <w:tc>
          <w:tcPr>
            <w:tcW w:w="1056" w:type="dxa"/>
          </w:tcPr>
          <w:p w14:paraId="385C151E"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.460</w:t>
            </w:r>
          </w:p>
        </w:tc>
      </w:tr>
      <w:tr w:rsidR="00310843" w:rsidRPr="00103A0B" w14:paraId="213895FD" w14:textId="77777777" w:rsidTr="00411247">
        <w:trPr>
          <w:trHeight w:val="279"/>
        </w:trPr>
        <w:tc>
          <w:tcPr>
            <w:tcW w:w="3156" w:type="dxa"/>
          </w:tcPr>
          <w:p w14:paraId="67E9AC23" w14:textId="77777777" w:rsidR="00310843" w:rsidRPr="00103A0B" w:rsidRDefault="00310843" w:rsidP="00113624">
            <w:pPr>
              <w:spacing w:line="276" w:lineRule="auto"/>
              <w:jc w:val="both"/>
              <w:rPr>
                <w:rFonts w:ascii="Arial" w:hAnsi="Arial" w:cs="Arial"/>
                <w:sz w:val="24"/>
                <w:szCs w:val="24"/>
              </w:rPr>
            </w:pPr>
            <w:bookmarkStart w:id="432" w:name="_Hlk55748832"/>
            <w:r w:rsidRPr="00103A0B">
              <w:rPr>
                <w:rFonts w:ascii="Arial" w:hAnsi="Arial" w:cs="Arial"/>
                <w:sz w:val="24"/>
                <w:szCs w:val="24"/>
              </w:rPr>
              <w:t>WEMWBS: Low score</w:t>
            </w:r>
          </w:p>
        </w:tc>
        <w:tc>
          <w:tcPr>
            <w:tcW w:w="1923" w:type="dxa"/>
          </w:tcPr>
          <w:p w14:paraId="0A7DB514"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13986522"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24" w:type="dxa"/>
          </w:tcPr>
          <w:p w14:paraId="586C8AEA"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571A0A60"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24" w:type="dxa"/>
          </w:tcPr>
          <w:p w14:paraId="1D0CD6C6"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961" w:type="dxa"/>
          </w:tcPr>
          <w:p w14:paraId="109831DD" w14:textId="77777777" w:rsidR="00310843" w:rsidRPr="00103A0B" w:rsidRDefault="00310843" w:rsidP="00113624">
            <w:pPr>
              <w:spacing w:line="276" w:lineRule="auto"/>
              <w:jc w:val="both"/>
              <w:rPr>
                <w:rFonts w:ascii="Arial" w:hAnsi="Arial" w:cs="Arial"/>
              </w:rPr>
            </w:pPr>
            <w:r w:rsidRPr="00103A0B">
              <w:rPr>
                <w:rFonts w:ascii="Arial" w:hAnsi="Arial" w:cs="Arial"/>
              </w:rPr>
              <w:t>-</w:t>
            </w:r>
          </w:p>
        </w:tc>
        <w:tc>
          <w:tcPr>
            <w:tcW w:w="1923" w:type="dxa"/>
          </w:tcPr>
          <w:p w14:paraId="39BDAD26"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0.67 (0.50-0.89)</w:t>
            </w:r>
          </w:p>
        </w:tc>
        <w:tc>
          <w:tcPr>
            <w:tcW w:w="1056" w:type="dxa"/>
          </w:tcPr>
          <w:p w14:paraId="3CA857AF" w14:textId="77777777" w:rsidR="00310843" w:rsidRPr="00103A0B" w:rsidRDefault="00310843" w:rsidP="00113624">
            <w:pPr>
              <w:spacing w:line="276" w:lineRule="auto"/>
              <w:jc w:val="both"/>
              <w:rPr>
                <w:rFonts w:ascii="Arial" w:hAnsi="Arial" w:cs="Arial"/>
              </w:rPr>
            </w:pPr>
            <w:r w:rsidRPr="00103A0B">
              <w:rPr>
                <w:rFonts w:ascii="Arial" w:hAnsi="Arial" w:cs="Arial"/>
                <w:color w:val="010205"/>
                <w:sz w:val="18"/>
                <w:szCs w:val="18"/>
              </w:rPr>
              <w:t>.006</w:t>
            </w:r>
          </w:p>
        </w:tc>
      </w:tr>
    </w:tbl>
    <w:bookmarkEnd w:id="432"/>
    <w:p w14:paraId="12DED458" w14:textId="77777777" w:rsidR="00310843" w:rsidRPr="00103A0B" w:rsidRDefault="00310843" w:rsidP="00CD5919">
      <w:pPr>
        <w:spacing w:line="360" w:lineRule="auto"/>
        <w:jc w:val="both"/>
        <w:rPr>
          <w:rFonts w:ascii="Arial" w:hAnsi="Arial" w:cs="Arial"/>
        </w:rPr>
      </w:pPr>
      <w:r w:rsidRPr="00103A0B">
        <w:rPr>
          <w:rFonts w:ascii="Arial" w:hAnsi="Arial" w:cs="Arial"/>
        </w:rPr>
        <w:t xml:space="preserve">Abbreviations: OR= Odds Ratio (Exp(B) value); CI= 95% confidence interval; IPQ=Illness perceptions questionnaire; NGS-ES= New general self-efficacy scale; WEMWBS= Warwick-Edinburgh mental well-being scale; </w:t>
      </w:r>
      <w:proofErr w:type="gramStart"/>
      <w:r w:rsidRPr="00103A0B">
        <w:rPr>
          <w:rFonts w:ascii="Arial" w:hAnsi="Arial" w:cs="Arial"/>
        </w:rPr>
        <w:t>[]=</w:t>
      </w:r>
      <w:proofErr w:type="gramEnd"/>
      <w:r w:rsidRPr="00103A0B">
        <w:rPr>
          <w:rFonts w:ascii="Arial" w:hAnsi="Arial" w:cs="Arial"/>
        </w:rPr>
        <w:t xml:space="preserve">Referent. </w:t>
      </w:r>
    </w:p>
    <w:p w14:paraId="33A14447" w14:textId="77777777" w:rsidR="00486402" w:rsidRPr="00103A0B" w:rsidRDefault="00486402" w:rsidP="00CD5919">
      <w:pPr>
        <w:jc w:val="both"/>
        <w:rPr>
          <w:rFonts w:ascii="Times New Roman" w:hAnsi="Times New Roman" w:cs="Times New Roman"/>
          <w:sz w:val="24"/>
          <w:szCs w:val="24"/>
        </w:rPr>
        <w:sectPr w:rsidR="00486402" w:rsidRPr="00103A0B" w:rsidSect="00486402">
          <w:pgSz w:w="16838" w:h="11906" w:orient="landscape"/>
          <w:pgMar w:top="1440" w:right="1440" w:bottom="1440" w:left="1440" w:header="709" w:footer="709" w:gutter="0"/>
          <w:cols w:space="708"/>
          <w:docGrid w:linePitch="360"/>
        </w:sectPr>
      </w:pPr>
    </w:p>
    <w:p w14:paraId="2A72FD2C" w14:textId="2C9403C9" w:rsidR="00310843" w:rsidRPr="00103A0B" w:rsidRDefault="00486402" w:rsidP="00E45914">
      <w:pPr>
        <w:keepNext/>
        <w:keepLines/>
        <w:spacing w:line="360" w:lineRule="auto"/>
        <w:jc w:val="both"/>
        <w:rPr>
          <w:rFonts w:ascii="Arial" w:hAnsi="Arial" w:cs="Arial"/>
          <w:b/>
          <w:bCs/>
          <w:sz w:val="28"/>
          <w:szCs w:val="28"/>
        </w:rPr>
      </w:pPr>
      <w:r w:rsidRPr="00103A0B">
        <w:rPr>
          <w:rFonts w:ascii="Arial" w:hAnsi="Arial" w:cs="Arial"/>
          <w:b/>
          <w:bCs/>
          <w:sz w:val="28"/>
          <w:szCs w:val="28"/>
        </w:rPr>
        <w:lastRenderedPageBreak/>
        <w:t xml:space="preserve">Appendix </w:t>
      </w:r>
      <w:r w:rsidR="00BE157E" w:rsidRPr="00103A0B">
        <w:rPr>
          <w:rFonts w:ascii="Arial" w:hAnsi="Arial" w:cs="Arial"/>
          <w:b/>
          <w:bCs/>
          <w:sz w:val="28"/>
          <w:szCs w:val="28"/>
        </w:rPr>
        <w:t>31</w:t>
      </w:r>
      <w:r w:rsidRPr="00103A0B">
        <w:rPr>
          <w:rFonts w:ascii="Arial" w:hAnsi="Arial" w:cs="Arial"/>
          <w:b/>
          <w:bCs/>
          <w:sz w:val="28"/>
          <w:szCs w:val="28"/>
        </w:rPr>
        <w:t>: BCTs found in additional papers (Chapter 8)</w:t>
      </w:r>
    </w:p>
    <w:tbl>
      <w:tblPr>
        <w:tblStyle w:val="TableGrid"/>
        <w:tblpPr w:leftFromText="180" w:rightFromText="180" w:vertAnchor="text" w:tblpY="1"/>
        <w:tblOverlap w:val="never"/>
        <w:tblW w:w="9506" w:type="dxa"/>
        <w:tblLook w:val="04A0" w:firstRow="1" w:lastRow="0" w:firstColumn="1" w:lastColumn="0" w:noHBand="0" w:noVBand="1"/>
      </w:tblPr>
      <w:tblGrid>
        <w:gridCol w:w="5940"/>
        <w:gridCol w:w="612"/>
        <w:gridCol w:w="612"/>
        <w:gridCol w:w="612"/>
        <w:gridCol w:w="506"/>
        <w:gridCol w:w="612"/>
        <w:gridCol w:w="612"/>
      </w:tblGrid>
      <w:tr w:rsidR="00486402" w:rsidRPr="00103A0B" w14:paraId="30022D2F" w14:textId="77777777" w:rsidTr="00411247">
        <w:trPr>
          <w:cantSplit/>
          <w:trHeight w:val="1994"/>
          <w:tblHeader/>
        </w:trPr>
        <w:tc>
          <w:tcPr>
            <w:tcW w:w="0" w:type="auto"/>
            <w:tcBorders>
              <w:top w:val="single" w:sz="4" w:space="0" w:color="auto"/>
              <w:left w:val="single" w:sz="4" w:space="0" w:color="auto"/>
              <w:bottom w:val="single" w:sz="4" w:space="0" w:color="auto"/>
              <w:right w:val="single" w:sz="4" w:space="0" w:color="auto"/>
            </w:tcBorders>
          </w:tcPr>
          <w:p w14:paraId="6B67288E"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extDirection w:val="btLr"/>
            <w:hideMark/>
          </w:tcPr>
          <w:p w14:paraId="6F8BC11A" w14:textId="77777777" w:rsidR="00486402" w:rsidRPr="00103A0B" w:rsidRDefault="00486402" w:rsidP="00CD5919">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Chambers (2019)</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5F7BE37A" w14:textId="77777777" w:rsidR="00486402" w:rsidRPr="00103A0B" w:rsidRDefault="00486402" w:rsidP="00CD5919">
            <w:pPr>
              <w:tabs>
                <w:tab w:val="left" w:pos="1470"/>
              </w:tabs>
              <w:spacing w:line="360" w:lineRule="auto"/>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Griauzde</w:t>
            </w:r>
            <w:proofErr w:type="spellEnd"/>
            <w:r w:rsidRPr="00103A0B">
              <w:rPr>
                <w:rFonts w:ascii="Arial" w:eastAsia="Times New Roman" w:hAnsi="Arial" w:cs="Arial"/>
                <w:lang w:eastAsia="en-GB"/>
              </w:rPr>
              <w:t xml:space="preserve"> (2020) </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2ED2A1DA" w14:textId="77777777" w:rsidR="00486402" w:rsidRPr="00103A0B" w:rsidRDefault="00486402" w:rsidP="00CD5919">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 xml:space="preserve"> </w:t>
            </w:r>
            <w:proofErr w:type="spellStart"/>
            <w:r w:rsidRPr="00103A0B">
              <w:rPr>
                <w:rFonts w:ascii="Arial" w:eastAsia="Times New Roman" w:hAnsi="Arial" w:cs="Arial"/>
                <w:lang w:eastAsia="en-GB"/>
              </w:rPr>
              <w:t>Kitzman</w:t>
            </w:r>
            <w:proofErr w:type="spellEnd"/>
            <w:r w:rsidRPr="00103A0B">
              <w:rPr>
                <w:rFonts w:ascii="Arial" w:eastAsia="Times New Roman" w:hAnsi="Arial" w:cs="Arial"/>
                <w:lang w:eastAsia="en-GB"/>
              </w:rPr>
              <w:t xml:space="preserve"> (2021) </w:t>
            </w:r>
          </w:p>
        </w:tc>
        <w:tc>
          <w:tcPr>
            <w:tcW w:w="0" w:type="auto"/>
            <w:tcBorders>
              <w:top w:val="single" w:sz="4" w:space="0" w:color="auto"/>
              <w:left w:val="single" w:sz="4" w:space="0" w:color="auto"/>
              <w:bottom w:val="single" w:sz="4" w:space="0" w:color="auto"/>
              <w:right w:val="single" w:sz="4" w:space="0" w:color="auto"/>
            </w:tcBorders>
            <w:textDirection w:val="btLr"/>
          </w:tcPr>
          <w:p w14:paraId="6197FC90" w14:textId="77777777" w:rsidR="00486402" w:rsidRPr="00103A0B" w:rsidRDefault="00486402" w:rsidP="00CD5919">
            <w:pPr>
              <w:jc w:val="both"/>
              <w:rPr>
                <w:rFonts w:ascii="Arial" w:eastAsia="CharisSIL" w:hAnsi="Arial" w:cs="Arial"/>
                <w:sz w:val="24"/>
                <w:szCs w:val="24"/>
              </w:rPr>
            </w:pPr>
            <w:proofErr w:type="spellStart"/>
            <w:r w:rsidRPr="00103A0B">
              <w:rPr>
                <w:rFonts w:ascii="Arial" w:eastAsia="CharisSIL" w:hAnsi="Arial" w:cs="Arial"/>
                <w:sz w:val="24"/>
                <w:szCs w:val="24"/>
              </w:rPr>
              <w:t>Lotfaliany</w:t>
            </w:r>
            <w:proofErr w:type="spellEnd"/>
            <w:r w:rsidRPr="00103A0B">
              <w:rPr>
                <w:rFonts w:ascii="Arial" w:eastAsia="CharisSIL" w:hAnsi="Arial" w:cs="Arial"/>
                <w:sz w:val="24"/>
                <w:szCs w:val="24"/>
              </w:rPr>
              <w:t xml:space="preserve"> (2020) </w:t>
            </w:r>
          </w:p>
          <w:p w14:paraId="1EC10E62" w14:textId="77777777" w:rsidR="00486402" w:rsidRPr="00103A0B" w:rsidRDefault="00486402" w:rsidP="00CD5919">
            <w:pPr>
              <w:tabs>
                <w:tab w:val="left" w:pos="1470"/>
              </w:tabs>
              <w:spacing w:line="360" w:lineRule="auto"/>
              <w:ind w:left="113" w:right="113"/>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extDirection w:val="btLr"/>
            <w:hideMark/>
          </w:tcPr>
          <w:p w14:paraId="6F5198EB" w14:textId="77777777" w:rsidR="00486402" w:rsidRPr="00103A0B" w:rsidRDefault="00486402" w:rsidP="00CD5919">
            <w:pPr>
              <w:tabs>
                <w:tab w:val="left" w:pos="1470"/>
              </w:tabs>
              <w:spacing w:line="360" w:lineRule="auto"/>
              <w:ind w:left="113" w:right="113"/>
              <w:jc w:val="both"/>
              <w:rPr>
                <w:rFonts w:ascii="Arial" w:eastAsia="Times New Roman" w:hAnsi="Arial" w:cs="Arial"/>
                <w:lang w:eastAsia="en-GB"/>
              </w:rPr>
            </w:pPr>
            <w:r w:rsidRPr="00103A0B">
              <w:rPr>
                <w:rFonts w:ascii="Arial" w:eastAsia="Times New Roman" w:hAnsi="Arial" w:cs="Arial"/>
                <w:lang w:eastAsia="en-GB"/>
              </w:rPr>
              <w:t>Smith (2019)</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28646EFA" w14:textId="77777777" w:rsidR="00486402" w:rsidRPr="00103A0B" w:rsidRDefault="00486402" w:rsidP="00CD5919">
            <w:pPr>
              <w:tabs>
                <w:tab w:val="left" w:pos="1470"/>
              </w:tabs>
              <w:spacing w:line="360" w:lineRule="auto"/>
              <w:ind w:left="113" w:right="113"/>
              <w:jc w:val="both"/>
              <w:rPr>
                <w:rFonts w:ascii="Arial" w:eastAsia="Times New Roman" w:hAnsi="Arial" w:cs="Arial"/>
                <w:lang w:eastAsia="en-GB"/>
              </w:rPr>
            </w:pPr>
            <w:proofErr w:type="spellStart"/>
            <w:r w:rsidRPr="00103A0B">
              <w:rPr>
                <w:rFonts w:ascii="Arial" w:eastAsia="Times New Roman" w:hAnsi="Arial" w:cs="Arial"/>
                <w:lang w:eastAsia="en-GB"/>
              </w:rPr>
              <w:t>Valabhiji</w:t>
            </w:r>
            <w:proofErr w:type="spellEnd"/>
            <w:r w:rsidRPr="00103A0B">
              <w:rPr>
                <w:rFonts w:ascii="Arial" w:eastAsia="Times New Roman" w:hAnsi="Arial" w:cs="Arial"/>
                <w:lang w:eastAsia="en-GB"/>
              </w:rPr>
              <w:t xml:space="preserve"> (2020)</w:t>
            </w:r>
          </w:p>
        </w:tc>
      </w:tr>
      <w:tr w:rsidR="00486402" w:rsidRPr="00103A0B" w14:paraId="14046D3B" w14:textId="77777777" w:rsidTr="00411247">
        <w:trPr>
          <w:trHeight w:val="271"/>
        </w:trPr>
        <w:tc>
          <w:tcPr>
            <w:tcW w:w="0" w:type="auto"/>
            <w:tcBorders>
              <w:top w:val="single" w:sz="4" w:space="0" w:color="auto"/>
              <w:left w:val="single" w:sz="4" w:space="0" w:color="auto"/>
              <w:bottom w:val="single" w:sz="4" w:space="0" w:color="auto"/>
              <w:right w:val="single" w:sz="4" w:space="0" w:color="auto"/>
            </w:tcBorders>
            <w:hideMark/>
          </w:tcPr>
          <w:p w14:paraId="5E8C3F09" w14:textId="77777777" w:rsidR="00486402" w:rsidRPr="00103A0B" w:rsidRDefault="00486402" w:rsidP="00CD5919">
            <w:pPr>
              <w:pStyle w:val="ListParagraph"/>
              <w:numPr>
                <w:ilvl w:val="0"/>
                <w:numId w:val="22"/>
              </w:numPr>
              <w:tabs>
                <w:tab w:val="left" w:pos="1470"/>
              </w:tabs>
              <w:spacing w:line="360" w:lineRule="auto"/>
              <w:jc w:val="both"/>
              <w:rPr>
                <w:rFonts w:ascii="Arial" w:eastAsia="Times New Roman" w:hAnsi="Arial" w:cs="Arial"/>
                <w:b/>
                <w:lang w:eastAsia="en-GB"/>
              </w:rPr>
            </w:pPr>
            <w:r w:rsidRPr="00103A0B">
              <w:rPr>
                <w:rFonts w:ascii="Arial" w:hAnsi="Arial" w:cs="Arial"/>
                <w:b/>
                <w:lang w:eastAsia="en-GB"/>
              </w:rPr>
              <w:t>Goals and planning</w:t>
            </w:r>
          </w:p>
        </w:tc>
        <w:tc>
          <w:tcPr>
            <w:tcW w:w="0" w:type="auto"/>
            <w:tcBorders>
              <w:top w:val="single" w:sz="4" w:space="0" w:color="auto"/>
              <w:left w:val="single" w:sz="4" w:space="0" w:color="auto"/>
              <w:bottom w:val="single" w:sz="4" w:space="0" w:color="auto"/>
              <w:right w:val="single" w:sz="4" w:space="0" w:color="auto"/>
            </w:tcBorders>
          </w:tcPr>
          <w:p w14:paraId="455B29BD"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555D1FF6"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09FF436"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3689F46"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1FB30A63"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32A23628"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3E495D5B"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08DF3BF7"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1.1 Goal setting (behaviour)</w:t>
            </w:r>
          </w:p>
        </w:tc>
        <w:tc>
          <w:tcPr>
            <w:tcW w:w="0" w:type="auto"/>
            <w:tcBorders>
              <w:top w:val="single" w:sz="4" w:space="0" w:color="auto"/>
              <w:left w:val="single" w:sz="4" w:space="0" w:color="auto"/>
              <w:bottom w:val="single" w:sz="4" w:space="0" w:color="auto"/>
              <w:right w:val="single" w:sz="4" w:space="0" w:color="auto"/>
            </w:tcBorders>
          </w:tcPr>
          <w:p w14:paraId="770C29CD"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8AC8AB8"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E528863"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3F472C1C"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2874089D"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067B2BBB"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486402" w:rsidRPr="00103A0B" w14:paraId="3B848552"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1F8F3D48"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1.2 Problem-solving</w:t>
            </w:r>
          </w:p>
        </w:tc>
        <w:tc>
          <w:tcPr>
            <w:tcW w:w="0" w:type="auto"/>
            <w:tcBorders>
              <w:top w:val="single" w:sz="4" w:space="0" w:color="auto"/>
              <w:left w:val="single" w:sz="4" w:space="0" w:color="auto"/>
              <w:bottom w:val="single" w:sz="4" w:space="0" w:color="auto"/>
              <w:right w:val="single" w:sz="4" w:space="0" w:color="auto"/>
            </w:tcBorders>
          </w:tcPr>
          <w:p w14:paraId="552EC919"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EE5AB08"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4BDF41C6"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4EEB2A1C"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2EBB649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660DD3D5"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486402" w:rsidRPr="00103A0B" w14:paraId="674BA148"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65FB66B0" w14:textId="77777777" w:rsidR="00486402" w:rsidRPr="00103A0B" w:rsidRDefault="00486402" w:rsidP="00CD5919">
            <w:pPr>
              <w:pStyle w:val="ListParagraph"/>
              <w:numPr>
                <w:ilvl w:val="1"/>
                <w:numId w:val="22"/>
              </w:num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Goal setting (outcome)</w:t>
            </w:r>
          </w:p>
        </w:tc>
        <w:tc>
          <w:tcPr>
            <w:tcW w:w="0" w:type="auto"/>
            <w:tcBorders>
              <w:top w:val="single" w:sz="4" w:space="0" w:color="auto"/>
              <w:left w:val="single" w:sz="4" w:space="0" w:color="auto"/>
              <w:bottom w:val="single" w:sz="4" w:space="0" w:color="auto"/>
              <w:right w:val="single" w:sz="4" w:space="0" w:color="auto"/>
            </w:tcBorders>
          </w:tcPr>
          <w:p w14:paraId="789F6E3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17540CA0"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0E75051C"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3A51B26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6B34F759"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6A01EF7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486402" w:rsidRPr="00103A0B" w14:paraId="5884D042" w14:textId="77777777" w:rsidTr="00411247">
        <w:trPr>
          <w:trHeight w:val="311"/>
        </w:trPr>
        <w:tc>
          <w:tcPr>
            <w:tcW w:w="0" w:type="auto"/>
            <w:tcBorders>
              <w:top w:val="single" w:sz="4" w:space="0" w:color="auto"/>
              <w:left w:val="single" w:sz="4" w:space="0" w:color="auto"/>
              <w:bottom w:val="single" w:sz="4" w:space="0" w:color="auto"/>
              <w:right w:val="single" w:sz="4" w:space="0" w:color="auto"/>
            </w:tcBorders>
            <w:hideMark/>
          </w:tcPr>
          <w:p w14:paraId="5B774230"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 xml:space="preserve">1.4 Action planning </w:t>
            </w:r>
          </w:p>
        </w:tc>
        <w:tc>
          <w:tcPr>
            <w:tcW w:w="0" w:type="auto"/>
            <w:tcBorders>
              <w:top w:val="single" w:sz="4" w:space="0" w:color="auto"/>
              <w:left w:val="single" w:sz="4" w:space="0" w:color="auto"/>
              <w:bottom w:val="single" w:sz="4" w:space="0" w:color="auto"/>
              <w:right w:val="single" w:sz="4" w:space="0" w:color="auto"/>
            </w:tcBorders>
          </w:tcPr>
          <w:p w14:paraId="09330F05"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06D3F5A8"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0C83E269"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3A918859"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C288CA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3AA7F593"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r>
      <w:tr w:rsidR="00486402" w:rsidRPr="00103A0B" w14:paraId="5363F096"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7A36553B"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1.5 Review behaviour goal(s)</w:t>
            </w:r>
          </w:p>
        </w:tc>
        <w:tc>
          <w:tcPr>
            <w:tcW w:w="0" w:type="auto"/>
            <w:tcBorders>
              <w:top w:val="single" w:sz="4" w:space="0" w:color="auto"/>
              <w:left w:val="single" w:sz="4" w:space="0" w:color="auto"/>
              <w:bottom w:val="single" w:sz="4" w:space="0" w:color="auto"/>
              <w:right w:val="single" w:sz="4" w:space="0" w:color="auto"/>
            </w:tcBorders>
          </w:tcPr>
          <w:p w14:paraId="1170AFCC"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B14E639"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5BD0ECA0"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912A0BF"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5AADAB6F"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53969877"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4ACCA74A"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3C117EC9"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1.6 Discrepancy between current behaviour and goal</w:t>
            </w:r>
          </w:p>
        </w:tc>
        <w:tc>
          <w:tcPr>
            <w:tcW w:w="0" w:type="auto"/>
            <w:tcBorders>
              <w:top w:val="single" w:sz="4" w:space="0" w:color="auto"/>
              <w:left w:val="single" w:sz="4" w:space="0" w:color="auto"/>
              <w:bottom w:val="single" w:sz="4" w:space="0" w:color="auto"/>
              <w:right w:val="single" w:sz="4" w:space="0" w:color="auto"/>
            </w:tcBorders>
          </w:tcPr>
          <w:p w14:paraId="0639CC20"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725898B3"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4BE70A4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798149EF"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6FFE4C5C"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09C44D0D"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6BF9DDAA"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283AAB3C"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1.7 Review outcome goal(s)</w:t>
            </w:r>
          </w:p>
        </w:tc>
        <w:tc>
          <w:tcPr>
            <w:tcW w:w="0" w:type="auto"/>
            <w:tcBorders>
              <w:top w:val="single" w:sz="4" w:space="0" w:color="auto"/>
              <w:left w:val="single" w:sz="4" w:space="0" w:color="auto"/>
              <w:bottom w:val="single" w:sz="4" w:space="0" w:color="auto"/>
              <w:right w:val="single" w:sz="4" w:space="0" w:color="auto"/>
            </w:tcBorders>
          </w:tcPr>
          <w:p w14:paraId="6DC7DF1B"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7C7057F"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192AA830"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1483051E"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016814E9"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10F6ED4A"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6946FB54"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6BB9A76C"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2. Feedback and monitoring</w:t>
            </w:r>
          </w:p>
        </w:tc>
        <w:tc>
          <w:tcPr>
            <w:tcW w:w="0" w:type="auto"/>
            <w:tcBorders>
              <w:top w:val="single" w:sz="4" w:space="0" w:color="auto"/>
              <w:left w:val="single" w:sz="4" w:space="0" w:color="auto"/>
              <w:bottom w:val="single" w:sz="4" w:space="0" w:color="auto"/>
              <w:right w:val="single" w:sz="4" w:space="0" w:color="auto"/>
            </w:tcBorders>
          </w:tcPr>
          <w:p w14:paraId="4C58C89A"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0514AB38"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04F92CB5"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6634D96B"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1485CA85"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6BB71253"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408C1511" w14:textId="77777777" w:rsidTr="00411247">
        <w:trPr>
          <w:trHeight w:val="311"/>
        </w:trPr>
        <w:tc>
          <w:tcPr>
            <w:tcW w:w="0" w:type="auto"/>
            <w:tcBorders>
              <w:top w:val="single" w:sz="4" w:space="0" w:color="auto"/>
              <w:left w:val="single" w:sz="4" w:space="0" w:color="auto"/>
              <w:bottom w:val="single" w:sz="4" w:space="0" w:color="auto"/>
              <w:right w:val="single" w:sz="4" w:space="0" w:color="auto"/>
            </w:tcBorders>
            <w:hideMark/>
          </w:tcPr>
          <w:p w14:paraId="6324A50C"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2.2. Feedback on behaviour</w:t>
            </w:r>
          </w:p>
        </w:tc>
        <w:tc>
          <w:tcPr>
            <w:tcW w:w="0" w:type="auto"/>
            <w:tcBorders>
              <w:top w:val="single" w:sz="4" w:space="0" w:color="auto"/>
              <w:left w:val="single" w:sz="4" w:space="0" w:color="auto"/>
              <w:bottom w:val="single" w:sz="4" w:space="0" w:color="auto"/>
              <w:right w:val="single" w:sz="4" w:space="0" w:color="auto"/>
            </w:tcBorders>
          </w:tcPr>
          <w:p w14:paraId="0FDCADE8"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20084A04"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790C3FC9"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65F7F508"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4802D36"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745373BD"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374591A5"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59110D4F"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2.3. Self-monitoring of behaviour</w:t>
            </w:r>
          </w:p>
        </w:tc>
        <w:tc>
          <w:tcPr>
            <w:tcW w:w="0" w:type="auto"/>
            <w:tcBorders>
              <w:top w:val="single" w:sz="4" w:space="0" w:color="auto"/>
              <w:left w:val="single" w:sz="4" w:space="0" w:color="auto"/>
              <w:bottom w:val="single" w:sz="4" w:space="0" w:color="auto"/>
              <w:right w:val="single" w:sz="4" w:space="0" w:color="auto"/>
            </w:tcBorders>
          </w:tcPr>
          <w:p w14:paraId="7E386B42"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5577C1D4"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6E53CFC8"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20572FD5"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4BD2C1BD"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6F5F54D0"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5060C751"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02F137F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 xml:space="preserve">2.4 Self-monitoring of outcome(s) of behaviour </w:t>
            </w:r>
          </w:p>
        </w:tc>
        <w:tc>
          <w:tcPr>
            <w:tcW w:w="0" w:type="auto"/>
            <w:tcBorders>
              <w:top w:val="single" w:sz="4" w:space="0" w:color="auto"/>
              <w:left w:val="single" w:sz="4" w:space="0" w:color="auto"/>
              <w:bottom w:val="single" w:sz="4" w:space="0" w:color="auto"/>
              <w:right w:val="single" w:sz="4" w:space="0" w:color="auto"/>
            </w:tcBorders>
          </w:tcPr>
          <w:p w14:paraId="7AFBD99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AD742D0"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1F2ADE96"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4AA9DCBC"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185F3A2"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3AE077CD"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0D824E02"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2BCB5215" w14:textId="77777777" w:rsidR="00486402" w:rsidRPr="00103A0B" w:rsidRDefault="00486402" w:rsidP="00CD5919">
            <w:pPr>
              <w:tabs>
                <w:tab w:val="left" w:pos="1470"/>
              </w:tabs>
              <w:spacing w:line="360" w:lineRule="auto"/>
              <w:jc w:val="both"/>
              <w:rPr>
                <w:rFonts w:ascii="Arial" w:hAnsi="Arial" w:cs="Arial"/>
              </w:rPr>
            </w:pPr>
            <w:r w:rsidRPr="00103A0B">
              <w:rPr>
                <w:rFonts w:ascii="Arial" w:hAnsi="Arial" w:cs="Arial"/>
              </w:rPr>
              <w:t xml:space="preserve">2.5 Monitoring outcome(s) of behaviour by others without feedback </w:t>
            </w:r>
          </w:p>
        </w:tc>
        <w:tc>
          <w:tcPr>
            <w:tcW w:w="0" w:type="auto"/>
            <w:tcBorders>
              <w:top w:val="single" w:sz="4" w:space="0" w:color="auto"/>
              <w:left w:val="single" w:sz="4" w:space="0" w:color="auto"/>
              <w:bottom w:val="single" w:sz="4" w:space="0" w:color="auto"/>
              <w:right w:val="single" w:sz="4" w:space="0" w:color="auto"/>
            </w:tcBorders>
          </w:tcPr>
          <w:p w14:paraId="3218B96F"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798EADF0"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71B3CF7D"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1A2BDFA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202EE8A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429FF4E2"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5CE3F898"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5AF75647" w14:textId="77777777" w:rsidR="00486402" w:rsidRPr="00103A0B" w:rsidRDefault="00486402" w:rsidP="00CD5919">
            <w:pPr>
              <w:tabs>
                <w:tab w:val="left" w:pos="1470"/>
              </w:tabs>
              <w:spacing w:line="360" w:lineRule="auto"/>
              <w:jc w:val="both"/>
              <w:rPr>
                <w:rFonts w:ascii="Arial" w:hAnsi="Arial" w:cs="Arial"/>
              </w:rPr>
            </w:pPr>
            <w:r w:rsidRPr="00103A0B">
              <w:rPr>
                <w:rFonts w:ascii="Arial" w:hAnsi="Arial" w:cs="Arial"/>
              </w:rPr>
              <w:t xml:space="preserve">2.7 Feedback on outcome(s) of behaviour </w:t>
            </w:r>
          </w:p>
        </w:tc>
        <w:tc>
          <w:tcPr>
            <w:tcW w:w="0" w:type="auto"/>
            <w:tcBorders>
              <w:top w:val="single" w:sz="4" w:space="0" w:color="auto"/>
              <w:left w:val="single" w:sz="4" w:space="0" w:color="auto"/>
              <w:bottom w:val="single" w:sz="4" w:space="0" w:color="auto"/>
              <w:right w:val="single" w:sz="4" w:space="0" w:color="auto"/>
            </w:tcBorders>
          </w:tcPr>
          <w:p w14:paraId="5DB5BA6F"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1FBE0998"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5882DAD1"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F117285"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4B63360D"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381D737B"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4A6939C4"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30C4C0ED"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3. Social support</w:t>
            </w:r>
          </w:p>
        </w:tc>
        <w:tc>
          <w:tcPr>
            <w:tcW w:w="0" w:type="auto"/>
            <w:tcBorders>
              <w:top w:val="single" w:sz="4" w:space="0" w:color="auto"/>
              <w:left w:val="single" w:sz="4" w:space="0" w:color="auto"/>
              <w:bottom w:val="single" w:sz="4" w:space="0" w:color="auto"/>
              <w:right w:val="single" w:sz="4" w:space="0" w:color="auto"/>
            </w:tcBorders>
          </w:tcPr>
          <w:p w14:paraId="072A188C"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4FC5B2B"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10427630"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60BCC2C3"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4889CF0"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7F984D2"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3A049A8A"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41D9E700"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3.1. Social support (unspecified)</w:t>
            </w:r>
          </w:p>
        </w:tc>
        <w:tc>
          <w:tcPr>
            <w:tcW w:w="0" w:type="auto"/>
            <w:tcBorders>
              <w:top w:val="single" w:sz="4" w:space="0" w:color="auto"/>
              <w:left w:val="single" w:sz="4" w:space="0" w:color="auto"/>
              <w:bottom w:val="single" w:sz="4" w:space="0" w:color="auto"/>
              <w:right w:val="single" w:sz="4" w:space="0" w:color="auto"/>
            </w:tcBorders>
          </w:tcPr>
          <w:p w14:paraId="5F7FB9D3"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4208B0CA"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627306C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71D6FDFD"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5FDAD7FB"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699CA8CC"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6C0A0DBE"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5DA96058" w14:textId="77777777" w:rsidR="00486402" w:rsidRPr="00103A0B" w:rsidRDefault="00486402" w:rsidP="00CD5919">
            <w:pPr>
              <w:tabs>
                <w:tab w:val="left" w:pos="1470"/>
              </w:tabs>
              <w:spacing w:line="360" w:lineRule="auto"/>
              <w:jc w:val="both"/>
              <w:rPr>
                <w:rFonts w:ascii="Arial" w:hAnsi="Arial" w:cs="Arial"/>
              </w:rPr>
            </w:pPr>
            <w:r w:rsidRPr="00103A0B">
              <w:rPr>
                <w:rFonts w:ascii="Arial" w:hAnsi="Arial" w:cs="Arial"/>
              </w:rPr>
              <w:t>3.2 Social support (practical)</w:t>
            </w:r>
          </w:p>
        </w:tc>
        <w:tc>
          <w:tcPr>
            <w:tcW w:w="0" w:type="auto"/>
            <w:tcBorders>
              <w:top w:val="single" w:sz="4" w:space="0" w:color="auto"/>
              <w:left w:val="single" w:sz="4" w:space="0" w:color="auto"/>
              <w:bottom w:val="single" w:sz="4" w:space="0" w:color="auto"/>
              <w:right w:val="single" w:sz="4" w:space="0" w:color="auto"/>
            </w:tcBorders>
          </w:tcPr>
          <w:p w14:paraId="45E2035C"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0AA7AFC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5E0F001E"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008459CA"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0755A85"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611E8CBD"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756CF2EB"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58BE1F1E"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3.3. Social support (emotional)</w:t>
            </w:r>
          </w:p>
        </w:tc>
        <w:tc>
          <w:tcPr>
            <w:tcW w:w="0" w:type="auto"/>
            <w:tcBorders>
              <w:top w:val="single" w:sz="4" w:space="0" w:color="auto"/>
              <w:left w:val="single" w:sz="4" w:space="0" w:color="auto"/>
              <w:bottom w:val="single" w:sz="4" w:space="0" w:color="auto"/>
              <w:right w:val="single" w:sz="4" w:space="0" w:color="auto"/>
            </w:tcBorders>
          </w:tcPr>
          <w:p w14:paraId="10BCADB9"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3161544C"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DEBA306"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53DA1EF4"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1E2678E"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15ABA887"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223A1CE2"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6FB02431"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4. Shaping knowledge</w:t>
            </w:r>
          </w:p>
        </w:tc>
        <w:tc>
          <w:tcPr>
            <w:tcW w:w="0" w:type="auto"/>
            <w:tcBorders>
              <w:top w:val="single" w:sz="4" w:space="0" w:color="auto"/>
              <w:left w:val="single" w:sz="4" w:space="0" w:color="auto"/>
              <w:bottom w:val="single" w:sz="4" w:space="0" w:color="auto"/>
              <w:right w:val="single" w:sz="4" w:space="0" w:color="auto"/>
            </w:tcBorders>
          </w:tcPr>
          <w:p w14:paraId="536971B2"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0F3BAA49"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F006637"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D5E58EC"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378622D6"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2FF34210"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4E043C16"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2A72BF0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4.1. Instruction on how to perform the behaviour</w:t>
            </w:r>
          </w:p>
        </w:tc>
        <w:tc>
          <w:tcPr>
            <w:tcW w:w="0" w:type="auto"/>
            <w:tcBorders>
              <w:top w:val="single" w:sz="4" w:space="0" w:color="auto"/>
              <w:left w:val="single" w:sz="4" w:space="0" w:color="auto"/>
              <w:bottom w:val="single" w:sz="4" w:space="0" w:color="auto"/>
              <w:right w:val="single" w:sz="4" w:space="0" w:color="auto"/>
            </w:tcBorders>
          </w:tcPr>
          <w:p w14:paraId="0F1645FC"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648785FF"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3E2C8358"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4CB79C89"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3AFD1E3E"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1B7E0EA3"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5CCC7363"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1381ECAA"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5. Natural consequences</w:t>
            </w:r>
          </w:p>
        </w:tc>
        <w:tc>
          <w:tcPr>
            <w:tcW w:w="0" w:type="auto"/>
            <w:tcBorders>
              <w:top w:val="single" w:sz="4" w:space="0" w:color="auto"/>
              <w:left w:val="single" w:sz="4" w:space="0" w:color="auto"/>
              <w:bottom w:val="single" w:sz="4" w:space="0" w:color="auto"/>
              <w:right w:val="single" w:sz="4" w:space="0" w:color="auto"/>
            </w:tcBorders>
          </w:tcPr>
          <w:p w14:paraId="7A60F2F9"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45623A7"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27A2BEC5"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297D6435"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A7A1A86"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9585547"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1B419E4F"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2A737AB4"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5.1. Information about health consequences</w:t>
            </w:r>
          </w:p>
        </w:tc>
        <w:tc>
          <w:tcPr>
            <w:tcW w:w="0" w:type="auto"/>
            <w:tcBorders>
              <w:top w:val="single" w:sz="4" w:space="0" w:color="auto"/>
              <w:left w:val="single" w:sz="4" w:space="0" w:color="auto"/>
              <w:bottom w:val="single" w:sz="4" w:space="0" w:color="auto"/>
              <w:right w:val="single" w:sz="4" w:space="0" w:color="auto"/>
            </w:tcBorders>
          </w:tcPr>
          <w:p w14:paraId="2B3707C9"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79326CED"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1E89C82B"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26D0EE11"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3849D0DA"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02DE0A6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5625F5FB"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3F62F978"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 xml:space="preserve">6. Comparison of behaviour </w:t>
            </w:r>
          </w:p>
        </w:tc>
        <w:tc>
          <w:tcPr>
            <w:tcW w:w="0" w:type="auto"/>
            <w:tcBorders>
              <w:top w:val="single" w:sz="4" w:space="0" w:color="auto"/>
              <w:left w:val="single" w:sz="4" w:space="0" w:color="auto"/>
              <w:bottom w:val="single" w:sz="4" w:space="0" w:color="auto"/>
              <w:right w:val="single" w:sz="4" w:space="0" w:color="auto"/>
            </w:tcBorders>
          </w:tcPr>
          <w:p w14:paraId="530946FC"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25F51BF2"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73DEA0E"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2D48FE71"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64560958"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53B15C12"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329A17E6"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095A770D"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6.1. Demonstration of the behaviour</w:t>
            </w:r>
          </w:p>
        </w:tc>
        <w:tc>
          <w:tcPr>
            <w:tcW w:w="0" w:type="auto"/>
            <w:tcBorders>
              <w:top w:val="single" w:sz="4" w:space="0" w:color="auto"/>
              <w:left w:val="single" w:sz="4" w:space="0" w:color="auto"/>
              <w:bottom w:val="single" w:sz="4" w:space="0" w:color="auto"/>
              <w:right w:val="single" w:sz="4" w:space="0" w:color="auto"/>
            </w:tcBorders>
          </w:tcPr>
          <w:p w14:paraId="6E95F188"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095FD703"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3CC83115"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670FC5CC"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632414C6"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7A3DDED2"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11A0F062"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5C93A4E6"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7. Associations</w:t>
            </w:r>
          </w:p>
        </w:tc>
        <w:tc>
          <w:tcPr>
            <w:tcW w:w="0" w:type="auto"/>
            <w:tcBorders>
              <w:top w:val="single" w:sz="4" w:space="0" w:color="auto"/>
              <w:left w:val="single" w:sz="4" w:space="0" w:color="auto"/>
              <w:bottom w:val="single" w:sz="4" w:space="0" w:color="auto"/>
              <w:right w:val="single" w:sz="4" w:space="0" w:color="auto"/>
            </w:tcBorders>
          </w:tcPr>
          <w:p w14:paraId="2729FD4C"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10E71C1D"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0D2E2D4D"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3F8C8F41"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0E6097DE"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2AAEDEAA"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5DB5D667"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6632A429"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7.1. Prompts/cues</w:t>
            </w:r>
          </w:p>
        </w:tc>
        <w:tc>
          <w:tcPr>
            <w:tcW w:w="0" w:type="auto"/>
            <w:tcBorders>
              <w:top w:val="single" w:sz="4" w:space="0" w:color="auto"/>
              <w:left w:val="single" w:sz="4" w:space="0" w:color="auto"/>
              <w:bottom w:val="single" w:sz="4" w:space="0" w:color="auto"/>
              <w:right w:val="single" w:sz="4" w:space="0" w:color="auto"/>
            </w:tcBorders>
          </w:tcPr>
          <w:p w14:paraId="3FD09A74"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40C21AA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1852938"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1C8B3E29"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4DC6544"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3625A849"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3076295E"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23EF1E1D"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8. Repetition and substitution</w:t>
            </w:r>
          </w:p>
        </w:tc>
        <w:tc>
          <w:tcPr>
            <w:tcW w:w="0" w:type="auto"/>
            <w:tcBorders>
              <w:top w:val="single" w:sz="4" w:space="0" w:color="auto"/>
              <w:left w:val="single" w:sz="4" w:space="0" w:color="auto"/>
              <w:bottom w:val="single" w:sz="4" w:space="0" w:color="auto"/>
              <w:right w:val="single" w:sz="4" w:space="0" w:color="auto"/>
            </w:tcBorders>
          </w:tcPr>
          <w:p w14:paraId="2762F935"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1AFF2259"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8D57DBC"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1456120"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1DABDB93"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65134CCC"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214E2615"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401DCD45"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8.1. Behavioural practice/rehearsal</w:t>
            </w:r>
          </w:p>
        </w:tc>
        <w:tc>
          <w:tcPr>
            <w:tcW w:w="0" w:type="auto"/>
            <w:tcBorders>
              <w:top w:val="single" w:sz="4" w:space="0" w:color="auto"/>
              <w:left w:val="single" w:sz="4" w:space="0" w:color="auto"/>
              <w:bottom w:val="single" w:sz="4" w:space="0" w:color="auto"/>
              <w:right w:val="single" w:sz="4" w:space="0" w:color="auto"/>
            </w:tcBorders>
          </w:tcPr>
          <w:p w14:paraId="5258ACE7"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EEDF5C8"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9FAC7A7"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24CA553E"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013503DE"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69E2150B"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21FB2923"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4E17C5D3" w14:textId="77777777" w:rsidR="00486402" w:rsidRPr="00103A0B" w:rsidRDefault="00486402" w:rsidP="00CD5919">
            <w:pPr>
              <w:tabs>
                <w:tab w:val="left" w:pos="1470"/>
              </w:tabs>
              <w:spacing w:line="360" w:lineRule="auto"/>
              <w:jc w:val="both"/>
              <w:rPr>
                <w:rFonts w:ascii="Arial" w:hAnsi="Arial" w:cs="Arial"/>
              </w:rPr>
            </w:pPr>
            <w:r w:rsidRPr="00103A0B">
              <w:rPr>
                <w:rFonts w:ascii="Arial" w:hAnsi="Arial" w:cs="Arial"/>
              </w:rPr>
              <w:lastRenderedPageBreak/>
              <w:t xml:space="preserve">8.2 Behaviour substitution </w:t>
            </w:r>
          </w:p>
        </w:tc>
        <w:tc>
          <w:tcPr>
            <w:tcW w:w="0" w:type="auto"/>
            <w:tcBorders>
              <w:top w:val="single" w:sz="4" w:space="0" w:color="auto"/>
              <w:left w:val="single" w:sz="4" w:space="0" w:color="auto"/>
              <w:bottom w:val="single" w:sz="4" w:space="0" w:color="auto"/>
              <w:right w:val="single" w:sz="4" w:space="0" w:color="auto"/>
            </w:tcBorders>
          </w:tcPr>
          <w:p w14:paraId="010D137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6DB0473E"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1EAA0A44"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7C589191"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6CD550B9"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4E86BC85"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02045CE8"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3B65EFFE" w14:textId="77777777" w:rsidR="00486402" w:rsidRPr="00103A0B" w:rsidRDefault="00486402" w:rsidP="00CD5919">
            <w:pPr>
              <w:tabs>
                <w:tab w:val="left" w:pos="1470"/>
              </w:tabs>
              <w:spacing w:line="360" w:lineRule="auto"/>
              <w:jc w:val="both"/>
              <w:rPr>
                <w:rFonts w:ascii="Arial" w:hAnsi="Arial" w:cs="Arial"/>
              </w:rPr>
            </w:pPr>
            <w:r w:rsidRPr="00103A0B">
              <w:rPr>
                <w:rFonts w:ascii="Arial" w:hAnsi="Arial" w:cs="Arial"/>
              </w:rPr>
              <w:t xml:space="preserve">8.4 Habit reversal </w:t>
            </w:r>
          </w:p>
        </w:tc>
        <w:tc>
          <w:tcPr>
            <w:tcW w:w="0" w:type="auto"/>
            <w:tcBorders>
              <w:top w:val="single" w:sz="4" w:space="0" w:color="auto"/>
              <w:left w:val="single" w:sz="4" w:space="0" w:color="auto"/>
              <w:bottom w:val="single" w:sz="4" w:space="0" w:color="auto"/>
              <w:right w:val="single" w:sz="4" w:space="0" w:color="auto"/>
            </w:tcBorders>
          </w:tcPr>
          <w:p w14:paraId="50B4B9AA"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40439928"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C576AAB"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40A42BD7"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7532AB8C"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33EC0EE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20EBBB19"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7C6CF177"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8.7. Graded tasks</w:t>
            </w:r>
          </w:p>
        </w:tc>
        <w:tc>
          <w:tcPr>
            <w:tcW w:w="0" w:type="auto"/>
            <w:tcBorders>
              <w:top w:val="single" w:sz="4" w:space="0" w:color="auto"/>
              <w:left w:val="single" w:sz="4" w:space="0" w:color="auto"/>
              <w:bottom w:val="single" w:sz="4" w:space="0" w:color="auto"/>
              <w:right w:val="single" w:sz="4" w:space="0" w:color="auto"/>
            </w:tcBorders>
          </w:tcPr>
          <w:p w14:paraId="7A78637B"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778D632F"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06230BDF"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098B1EFD"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3930937F"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179742D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1227E7D7"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0E758022"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9. Comparison of outcomes</w:t>
            </w:r>
          </w:p>
        </w:tc>
        <w:tc>
          <w:tcPr>
            <w:tcW w:w="0" w:type="auto"/>
            <w:tcBorders>
              <w:top w:val="single" w:sz="4" w:space="0" w:color="auto"/>
              <w:left w:val="single" w:sz="4" w:space="0" w:color="auto"/>
              <w:bottom w:val="single" w:sz="4" w:space="0" w:color="auto"/>
              <w:right w:val="single" w:sz="4" w:space="0" w:color="auto"/>
            </w:tcBorders>
          </w:tcPr>
          <w:p w14:paraId="4CC147DB"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2DEE7C8B"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312CAE1F"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1A20BBFF"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4D8EC37"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0EAFE3B"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68656D18"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1FF5E4BF"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9.1. Credible source</w:t>
            </w:r>
          </w:p>
        </w:tc>
        <w:tc>
          <w:tcPr>
            <w:tcW w:w="0" w:type="auto"/>
            <w:tcBorders>
              <w:top w:val="single" w:sz="4" w:space="0" w:color="auto"/>
              <w:left w:val="single" w:sz="4" w:space="0" w:color="auto"/>
              <w:bottom w:val="single" w:sz="4" w:space="0" w:color="auto"/>
              <w:right w:val="single" w:sz="4" w:space="0" w:color="auto"/>
            </w:tcBorders>
            <w:hideMark/>
          </w:tcPr>
          <w:p w14:paraId="37552B5C"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596D3632"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4DC50AD5"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1B3D7216"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hideMark/>
          </w:tcPr>
          <w:p w14:paraId="1F4E6E44"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1EE8E9FE"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55FFB573"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161717EC" w14:textId="77777777" w:rsidR="00486402" w:rsidRPr="00103A0B" w:rsidRDefault="00486402" w:rsidP="00CD5919">
            <w:pPr>
              <w:tabs>
                <w:tab w:val="left" w:pos="1470"/>
              </w:tabs>
              <w:spacing w:line="360" w:lineRule="auto"/>
              <w:jc w:val="both"/>
              <w:rPr>
                <w:rFonts w:ascii="Arial" w:hAnsi="Arial" w:cs="Arial"/>
              </w:rPr>
            </w:pPr>
            <w:r w:rsidRPr="00103A0B">
              <w:rPr>
                <w:rFonts w:ascii="Arial" w:hAnsi="Arial" w:cs="Arial"/>
              </w:rPr>
              <w:t>9.2 Pros and cons</w:t>
            </w:r>
          </w:p>
        </w:tc>
        <w:tc>
          <w:tcPr>
            <w:tcW w:w="0" w:type="auto"/>
            <w:tcBorders>
              <w:top w:val="single" w:sz="4" w:space="0" w:color="auto"/>
              <w:left w:val="single" w:sz="4" w:space="0" w:color="auto"/>
              <w:bottom w:val="single" w:sz="4" w:space="0" w:color="auto"/>
              <w:right w:val="single" w:sz="4" w:space="0" w:color="auto"/>
            </w:tcBorders>
          </w:tcPr>
          <w:p w14:paraId="0EFD8949"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F88731D"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0B4DEDA"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55D61754"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1149CBF5"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572232B2"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0491DC37"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4DE0CE00" w14:textId="77777777" w:rsidR="00486402" w:rsidRPr="00103A0B" w:rsidRDefault="00486402" w:rsidP="00CD5919">
            <w:pPr>
              <w:tabs>
                <w:tab w:val="left" w:pos="1470"/>
              </w:tabs>
              <w:spacing w:line="360" w:lineRule="auto"/>
              <w:jc w:val="both"/>
              <w:rPr>
                <w:rFonts w:ascii="Arial" w:hAnsi="Arial" w:cs="Arial"/>
              </w:rPr>
            </w:pPr>
            <w:r w:rsidRPr="00103A0B">
              <w:rPr>
                <w:rFonts w:ascii="Arial" w:hAnsi="Arial" w:cs="Arial"/>
              </w:rPr>
              <w:t>9.3. comparative imagining of future outcomes</w:t>
            </w:r>
          </w:p>
        </w:tc>
        <w:tc>
          <w:tcPr>
            <w:tcW w:w="0" w:type="auto"/>
            <w:tcBorders>
              <w:top w:val="single" w:sz="4" w:space="0" w:color="auto"/>
              <w:left w:val="single" w:sz="4" w:space="0" w:color="auto"/>
              <w:bottom w:val="single" w:sz="4" w:space="0" w:color="auto"/>
              <w:right w:val="single" w:sz="4" w:space="0" w:color="auto"/>
            </w:tcBorders>
          </w:tcPr>
          <w:p w14:paraId="444BABF1"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6102381"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542ED55E"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3BC5842"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0B929F0A"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12EC0BEA"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3D118DB5"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6AB9D30A"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11. Regulation</w:t>
            </w:r>
          </w:p>
        </w:tc>
        <w:tc>
          <w:tcPr>
            <w:tcW w:w="0" w:type="auto"/>
            <w:tcBorders>
              <w:top w:val="single" w:sz="4" w:space="0" w:color="auto"/>
              <w:left w:val="single" w:sz="4" w:space="0" w:color="auto"/>
              <w:bottom w:val="single" w:sz="4" w:space="0" w:color="auto"/>
              <w:right w:val="single" w:sz="4" w:space="0" w:color="auto"/>
            </w:tcBorders>
          </w:tcPr>
          <w:p w14:paraId="75E21526"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D524FEE"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59D16AD9"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51FCFDBE"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19F45FA"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064C6D80"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6ABAD0CF"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65763A29"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hAnsi="Arial" w:cs="Arial"/>
              </w:rPr>
              <w:t>11.2. Reduce negative emotions</w:t>
            </w:r>
          </w:p>
        </w:tc>
        <w:tc>
          <w:tcPr>
            <w:tcW w:w="0" w:type="auto"/>
            <w:tcBorders>
              <w:top w:val="single" w:sz="4" w:space="0" w:color="auto"/>
              <w:left w:val="single" w:sz="4" w:space="0" w:color="auto"/>
              <w:bottom w:val="single" w:sz="4" w:space="0" w:color="auto"/>
              <w:right w:val="single" w:sz="4" w:space="0" w:color="auto"/>
            </w:tcBorders>
          </w:tcPr>
          <w:p w14:paraId="03A215D5"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7C2C452C"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49669D0C"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00A3BD24"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249BB126"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03E7B296"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77E07DC6"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1BE9931E" w14:textId="77777777" w:rsidR="00486402" w:rsidRPr="00103A0B" w:rsidRDefault="00486402" w:rsidP="00CD5919">
            <w:pPr>
              <w:tabs>
                <w:tab w:val="left" w:pos="1470"/>
              </w:tabs>
              <w:spacing w:line="360" w:lineRule="auto"/>
              <w:jc w:val="both"/>
              <w:rPr>
                <w:rFonts w:ascii="Arial" w:eastAsia="Times New Roman" w:hAnsi="Arial" w:cs="Arial"/>
                <w:b/>
                <w:lang w:eastAsia="en-GB"/>
              </w:rPr>
            </w:pPr>
            <w:r w:rsidRPr="00103A0B">
              <w:rPr>
                <w:rFonts w:ascii="Arial" w:hAnsi="Arial" w:cs="Arial"/>
                <w:b/>
              </w:rPr>
              <w:t xml:space="preserve">15. Self-belief </w:t>
            </w:r>
          </w:p>
        </w:tc>
        <w:tc>
          <w:tcPr>
            <w:tcW w:w="0" w:type="auto"/>
            <w:tcBorders>
              <w:top w:val="single" w:sz="4" w:space="0" w:color="auto"/>
              <w:left w:val="single" w:sz="4" w:space="0" w:color="auto"/>
              <w:bottom w:val="single" w:sz="4" w:space="0" w:color="auto"/>
              <w:right w:val="single" w:sz="4" w:space="0" w:color="auto"/>
            </w:tcBorders>
          </w:tcPr>
          <w:p w14:paraId="6ABDB612"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0AFEB805"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68E6455F"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65003822"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54765C66"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5BC38C0C"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rsidRPr="00103A0B" w14:paraId="5D8872BA"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7A4617D4" w14:textId="77777777" w:rsidR="00486402" w:rsidRPr="00103A0B" w:rsidRDefault="00486402" w:rsidP="00CD5919">
            <w:pPr>
              <w:tabs>
                <w:tab w:val="left" w:pos="1470"/>
              </w:tabs>
              <w:spacing w:line="360" w:lineRule="auto"/>
              <w:jc w:val="both"/>
              <w:rPr>
                <w:rFonts w:ascii="Arial" w:hAnsi="Arial" w:cs="Arial"/>
              </w:rPr>
            </w:pPr>
            <w:r w:rsidRPr="00103A0B">
              <w:rPr>
                <w:rFonts w:ascii="Arial" w:hAnsi="Arial" w:cs="Arial"/>
              </w:rPr>
              <w:t xml:space="preserve">15.4 Self-talk </w:t>
            </w:r>
          </w:p>
        </w:tc>
        <w:tc>
          <w:tcPr>
            <w:tcW w:w="0" w:type="auto"/>
            <w:tcBorders>
              <w:top w:val="single" w:sz="4" w:space="0" w:color="auto"/>
              <w:left w:val="single" w:sz="4" w:space="0" w:color="auto"/>
              <w:bottom w:val="single" w:sz="4" w:space="0" w:color="auto"/>
              <w:right w:val="single" w:sz="4" w:space="0" w:color="auto"/>
            </w:tcBorders>
          </w:tcPr>
          <w:p w14:paraId="6E0D0671"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04BD0295"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6218C666" w14:textId="77777777" w:rsidR="00486402" w:rsidRPr="00103A0B"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6B8020B4"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D737794"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41BF28AE"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r>
      <w:tr w:rsidR="00486402" w:rsidRPr="00103A0B" w14:paraId="232AEFE9"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56A62967" w14:textId="77777777" w:rsidR="00486402" w:rsidRPr="00103A0B" w:rsidRDefault="00486402" w:rsidP="00CD5919">
            <w:pPr>
              <w:tabs>
                <w:tab w:val="left" w:pos="1470"/>
              </w:tabs>
              <w:spacing w:line="360" w:lineRule="auto"/>
              <w:jc w:val="both"/>
              <w:rPr>
                <w:rFonts w:ascii="Arial" w:hAnsi="Arial" w:cs="Arial"/>
                <w:b/>
              </w:rPr>
            </w:pPr>
            <w:r w:rsidRPr="00103A0B">
              <w:rPr>
                <w:rFonts w:ascii="Arial" w:hAnsi="Arial" w:cs="Arial"/>
                <w:b/>
              </w:rPr>
              <w:t>New BCTs</w:t>
            </w:r>
          </w:p>
        </w:tc>
        <w:tc>
          <w:tcPr>
            <w:tcW w:w="0" w:type="auto"/>
            <w:tcBorders>
              <w:top w:val="single" w:sz="4" w:space="0" w:color="auto"/>
              <w:left w:val="single" w:sz="4" w:space="0" w:color="auto"/>
              <w:bottom w:val="single" w:sz="4" w:space="0" w:color="auto"/>
              <w:right w:val="single" w:sz="4" w:space="0" w:color="auto"/>
            </w:tcBorders>
          </w:tcPr>
          <w:p w14:paraId="3F8F3A78"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4C2F691"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67A04DF"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4219C3F1"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717EC1CD"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c>
          <w:tcPr>
            <w:tcW w:w="0" w:type="auto"/>
            <w:tcBorders>
              <w:top w:val="single" w:sz="4" w:space="0" w:color="auto"/>
              <w:left w:val="single" w:sz="4" w:space="0" w:color="auto"/>
              <w:bottom w:val="single" w:sz="4" w:space="0" w:color="auto"/>
              <w:right w:val="single" w:sz="4" w:space="0" w:color="auto"/>
            </w:tcBorders>
          </w:tcPr>
          <w:p w14:paraId="26DDB9BB" w14:textId="77777777" w:rsidR="00486402" w:rsidRPr="00103A0B" w:rsidRDefault="00486402" w:rsidP="00CD5919">
            <w:pPr>
              <w:tabs>
                <w:tab w:val="left" w:pos="1470"/>
              </w:tabs>
              <w:spacing w:line="360" w:lineRule="auto"/>
              <w:jc w:val="both"/>
              <w:rPr>
                <w:rFonts w:ascii="Arial" w:eastAsia="Times New Roman" w:hAnsi="Arial" w:cs="Arial"/>
                <w:b/>
                <w:lang w:eastAsia="en-GB"/>
              </w:rPr>
            </w:pPr>
          </w:p>
        </w:tc>
      </w:tr>
      <w:tr w:rsidR="00486402" w14:paraId="22831433" w14:textId="77777777" w:rsidTr="00411247">
        <w:trPr>
          <w:trHeight w:val="295"/>
        </w:trPr>
        <w:tc>
          <w:tcPr>
            <w:tcW w:w="0" w:type="auto"/>
            <w:tcBorders>
              <w:top w:val="single" w:sz="4" w:space="0" w:color="auto"/>
              <w:left w:val="single" w:sz="4" w:space="0" w:color="auto"/>
              <w:bottom w:val="single" w:sz="4" w:space="0" w:color="auto"/>
              <w:right w:val="single" w:sz="4" w:space="0" w:color="auto"/>
            </w:tcBorders>
            <w:hideMark/>
          </w:tcPr>
          <w:p w14:paraId="4142813B" w14:textId="77777777" w:rsidR="00486402" w:rsidRPr="00103A0B" w:rsidRDefault="00486402" w:rsidP="00CD5919">
            <w:pPr>
              <w:tabs>
                <w:tab w:val="left" w:pos="1470"/>
              </w:tabs>
              <w:spacing w:line="360" w:lineRule="auto"/>
              <w:jc w:val="both"/>
              <w:rPr>
                <w:rFonts w:ascii="Arial" w:hAnsi="Arial" w:cs="Arial"/>
              </w:rPr>
            </w:pPr>
            <w:r w:rsidRPr="00103A0B">
              <w:rPr>
                <w:rFonts w:ascii="Arial" w:hAnsi="Arial" w:cs="Arial"/>
              </w:rPr>
              <w:t xml:space="preserve">Incentive for participation </w:t>
            </w:r>
          </w:p>
        </w:tc>
        <w:tc>
          <w:tcPr>
            <w:tcW w:w="0" w:type="auto"/>
            <w:tcBorders>
              <w:top w:val="single" w:sz="4" w:space="0" w:color="auto"/>
              <w:left w:val="single" w:sz="4" w:space="0" w:color="auto"/>
              <w:bottom w:val="single" w:sz="4" w:space="0" w:color="auto"/>
              <w:right w:val="single" w:sz="4" w:space="0" w:color="auto"/>
            </w:tcBorders>
          </w:tcPr>
          <w:p w14:paraId="2F648821"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3EC72FB5" w14:textId="77777777" w:rsidR="00486402" w:rsidRPr="00103A0B"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hideMark/>
          </w:tcPr>
          <w:p w14:paraId="7A7E04CC" w14:textId="77777777" w:rsidR="00486402" w:rsidRDefault="00486402" w:rsidP="00CD5919">
            <w:pPr>
              <w:tabs>
                <w:tab w:val="left" w:pos="1470"/>
              </w:tabs>
              <w:spacing w:line="360" w:lineRule="auto"/>
              <w:jc w:val="both"/>
              <w:rPr>
                <w:rFonts w:ascii="Arial" w:eastAsia="Times New Roman" w:hAnsi="Arial" w:cs="Arial"/>
                <w:lang w:eastAsia="en-GB"/>
              </w:rPr>
            </w:pPr>
            <w:r w:rsidRPr="00103A0B">
              <w:rPr>
                <w:rFonts w:ascii="Arial" w:eastAsia="Times New Roman" w:hAnsi="Arial" w:cs="Arial"/>
                <w:lang w:eastAsia="en-GB"/>
              </w:rPr>
              <w:t>X</w:t>
            </w:r>
          </w:p>
        </w:tc>
        <w:tc>
          <w:tcPr>
            <w:tcW w:w="0" w:type="auto"/>
            <w:tcBorders>
              <w:top w:val="single" w:sz="4" w:space="0" w:color="auto"/>
              <w:left w:val="single" w:sz="4" w:space="0" w:color="auto"/>
              <w:bottom w:val="single" w:sz="4" w:space="0" w:color="auto"/>
              <w:right w:val="single" w:sz="4" w:space="0" w:color="auto"/>
            </w:tcBorders>
          </w:tcPr>
          <w:p w14:paraId="4F8B0257" w14:textId="77777777" w:rsidR="00486402"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22E5A3BE" w14:textId="77777777" w:rsidR="00486402" w:rsidRDefault="00486402" w:rsidP="00CD5919">
            <w:pPr>
              <w:tabs>
                <w:tab w:val="left" w:pos="1470"/>
              </w:tabs>
              <w:spacing w:line="360" w:lineRule="auto"/>
              <w:jc w:val="both"/>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single" w:sz="4" w:space="0" w:color="auto"/>
            </w:tcBorders>
          </w:tcPr>
          <w:p w14:paraId="5EC76539" w14:textId="77777777" w:rsidR="00486402" w:rsidRDefault="00486402" w:rsidP="00CD5919">
            <w:pPr>
              <w:tabs>
                <w:tab w:val="left" w:pos="1470"/>
              </w:tabs>
              <w:spacing w:line="360" w:lineRule="auto"/>
              <w:jc w:val="both"/>
              <w:rPr>
                <w:rFonts w:ascii="Arial" w:eastAsia="Times New Roman" w:hAnsi="Arial" w:cs="Arial"/>
                <w:lang w:eastAsia="en-GB"/>
              </w:rPr>
            </w:pPr>
          </w:p>
        </w:tc>
      </w:tr>
    </w:tbl>
    <w:p w14:paraId="18675A00" w14:textId="77777777" w:rsidR="00310843" w:rsidRPr="001824F4" w:rsidRDefault="00310843" w:rsidP="00CD5919">
      <w:pPr>
        <w:spacing w:line="360" w:lineRule="auto"/>
        <w:jc w:val="both"/>
        <w:rPr>
          <w:rFonts w:ascii="Arial" w:hAnsi="Arial" w:cs="Arial"/>
          <w:sz w:val="24"/>
          <w:szCs w:val="24"/>
        </w:rPr>
      </w:pPr>
    </w:p>
    <w:p w14:paraId="4FF483BF" w14:textId="77777777" w:rsidR="00310843" w:rsidRDefault="00310843" w:rsidP="00CD5919">
      <w:pPr>
        <w:jc w:val="both"/>
      </w:pPr>
    </w:p>
    <w:p w14:paraId="2713462F" w14:textId="77777777" w:rsidR="00310843" w:rsidRPr="00310843" w:rsidRDefault="00310843" w:rsidP="00CD5919">
      <w:pPr>
        <w:jc w:val="both"/>
        <w:rPr>
          <w:lang w:eastAsia="en-GB" w:bidi="en-US"/>
        </w:rPr>
      </w:pPr>
    </w:p>
    <w:p w14:paraId="535E0F8C" w14:textId="77777777" w:rsidR="00310843" w:rsidRPr="00310843" w:rsidRDefault="00310843" w:rsidP="00CD5919">
      <w:pPr>
        <w:jc w:val="both"/>
        <w:rPr>
          <w:lang w:eastAsia="en-GB" w:bidi="en-US"/>
        </w:rPr>
      </w:pPr>
    </w:p>
    <w:p w14:paraId="687E3DBB" w14:textId="4E130F97" w:rsidR="00D8322F" w:rsidRDefault="00D8322F" w:rsidP="00CD5919">
      <w:pPr>
        <w:tabs>
          <w:tab w:val="left" w:pos="2745"/>
        </w:tabs>
        <w:jc w:val="both"/>
        <w:rPr>
          <w:lang w:eastAsia="en-GB" w:bidi="en-US"/>
        </w:rPr>
      </w:pPr>
    </w:p>
    <w:p w14:paraId="4C49F9D5" w14:textId="77777777" w:rsidR="00D8322F" w:rsidRPr="00D8322F" w:rsidRDefault="00D8322F" w:rsidP="00CD5919">
      <w:pPr>
        <w:tabs>
          <w:tab w:val="left" w:pos="2745"/>
        </w:tabs>
        <w:jc w:val="both"/>
        <w:rPr>
          <w:lang w:eastAsia="en-GB" w:bidi="en-US"/>
        </w:rPr>
      </w:pPr>
    </w:p>
    <w:sectPr w:rsidR="00D8322F" w:rsidRPr="00D832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71B44" w14:textId="77777777" w:rsidR="0011048E" w:rsidRDefault="0011048E" w:rsidP="00324C56">
      <w:pPr>
        <w:spacing w:after="0" w:line="240" w:lineRule="auto"/>
      </w:pPr>
      <w:r>
        <w:separator/>
      </w:r>
    </w:p>
  </w:endnote>
  <w:endnote w:type="continuationSeparator" w:id="0">
    <w:p w14:paraId="55278DD9" w14:textId="77777777" w:rsidR="0011048E" w:rsidRDefault="0011048E" w:rsidP="00324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MDCO E+ Meta Normal">
    <w:altName w:val="Cambria"/>
    <w:panose1 w:val="00000000000000000000"/>
    <w:charset w:val="00"/>
    <w:family w:val="roman"/>
    <w:notTrueType/>
    <w:pitch w:val="default"/>
    <w:sig w:usb0="00000003" w:usb1="00000000" w:usb2="00000000" w:usb3="00000000" w:csb0="00000001" w:csb1="00000000"/>
  </w:font>
  <w:font w:name="Univers LT St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4518" w14:textId="249192F0" w:rsidR="00F47203" w:rsidRDefault="00F47203">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802132"/>
      <w:docPartObj>
        <w:docPartGallery w:val="Page Numbers (Bottom of Page)"/>
        <w:docPartUnique/>
      </w:docPartObj>
    </w:sdtPr>
    <w:sdtEndPr>
      <w:rPr>
        <w:noProof/>
      </w:rPr>
    </w:sdtEndPr>
    <w:sdtContent>
      <w:p w14:paraId="299D1524" w14:textId="750095DE" w:rsidR="00F47203" w:rsidRDefault="00F472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7E60A4" w14:textId="7633487A" w:rsidR="00F47203" w:rsidRDefault="00F4720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173313"/>
      <w:docPartObj>
        <w:docPartGallery w:val="Page Numbers (Bottom of Page)"/>
        <w:docPartUnique/>
      </w:docPartObj>
    </w:sdtPr>
    <w:sdtEndPr>
      <w:rPr>
        <w:noProof/>
      </w:rPr>
    </w:sdtEndPr>
    <w:sdtContent>
      <w:p w14:paraId="208E0FC1" w14:textId="48ACBA33" w:rsidR="00F47203" w:rsidRDefault="00F472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D3176F" w14:textId="77777777" w:rsidR="00F47203" w:rsidRDefault="00F472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340317"/>
      <w:docPartObj>
        <w:docPartGallery w:val="Page Numbers (Bottom of Page)"/>
        <w:docPartUnique/>
      </w:docPartObj>
    </w:sdtPr>
    <w:sdtEndPr>
      <w:rPr>
        <w:noProof/>
      </w:rPr>
    </w:sdtEndPr>
    <w:sdtContent>
      <w:p w14:paraId="21EBB082" w14:textId="77777777" w:rsidR="00F47203" w:rsidRDefault="00F472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DF2884" w14:textId="77777777" w:rsidR="00F47203" w:rsidRDefault="00F472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109847"/>
      <w:docPartObj>
        <w:docPartGallery w:val="Page Numbers (Bottom of Page)"/>
        <w:docPartUnique/>
      </w:docPartObj>
    </w:sdtPr>
    <w:sdtEndPr>
      <w:rPr>
        <w:noProof/>
      </w:rPr>
    </w:sdtEndPr>
    <w:sdtContent>
      <w:p w14:paraId="33BE4195" w14:textId="4621F0F6" w:rsidR="00F47203" w:rsidRDefault="00F472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FB79E" w14:textId="77777777" w:rsidR="00F47203" w:rsidRDefault="00F47203" w:rsidP="00BB24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158056"/>
      <w:docPartObj>
        <w:docPartGallery w:val="Page Numbers (Bottom of Page)"/>
        <w:docPartUnique/>
      </w:docPartObj>
    </w:sdtPr>
    <w:sdtEndPr>
      <w:rPr>
        <w:noProof/>
      </w:rPr>
    </w:sdtEndPr>
    <w:sdtContent>
      <w:p w14:paraId="7F27718C" w14:textId="77777777" w:rsidR="00F47203" w:rsidRDefault="00F47203">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273C141E" w14:textId="77777777" w:rsidR="00F47203" w:rsidRDefault="00F47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DAFD6" w14:textId="77777777" w:rsidR="0011048E" w:rsidRDefault="0011048E" w:rsidP="00324C56">
      <w:pPr>
        <w:spacing w:after="0" w:line="240" w:lineRule="auto"/>
      </w:pPr>
      <w:r>
        <w:separator/>
      </w:r>
    </w:p>
  </w:footnote>
  <w:footnote w:type="continuationSeparator" w:id="0">
    <w:p w14:paraId="38260E6D" w14:textId="77777777" w:rsidR="0011048E" w:rsidRDefault="0011048E" w:rsidP="00324C56">
      <w:pPr>
        <w:spacing w:after="0" w:line="240" w:lineRule="auto"/>
      </w:pPr>
      <w:r>
        <w:continuationSeparator/>
      </w:r>
    </w:p>
  </w:footnote>
  <w:footnote w:id="1">
    <w:p w14:paraId="39E33BCD" w14:textId="0F61389A" w:rsidR="00F47203" w:rsidRPr="00E154D0" w:rsidRDefault="00F47203" w:rsidP="00E154D0">
      <w:pPr>
        <w:pStyle w:val="FootnoteText"/>
        <w:jc w:val="both"/>
        <w:rPr>
          <w:rFonts w:ascii="Arial" w:hAnsi="Arial" w:cs="Arial"/>
        </w:rPr>
      </w:pPr>
      <w:r w:rsidRPr="00E154D0">
        <w:rPr>
          <w:rStyle w:val="FootnoteReference"/>
          <w:rFonts w:ascii="Arial" w:hAnsi="Arial" w:cs="Arial"/>
        </w:rPr>
        <w:footnoteRef/>
      </w:r>
      <w:r w:rsidRPr="00E154D0">
        <w:rPr>
          <w:rFonts w:ascii="Arial" w:hAnsi="Arial" w:cs="Arial"/>
        </w:rPr>
        <w:t xml:space="preserve"> Please note this was a mistake (those programmes identifying people through HbA1c were included in the review) but included here as it was stated within the accepted manuscript.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5133"/>
      <w:gridCol w:w="5133"/>
      <w:gridCol w:w="5133"/>
    </w:tblGrid>
    <w:tr w:rsidR="00F47203" w14:paraId="328F0160" w14:textId="77777777" w:rsidTr="00BB2420">
      <w:tc>
        <w:tcPr>
          <w:tcW w:w="5133" w:type="dxa"/>
        </w:tcPr>
        <w:p w14:paraId="5B546B3E" w14:textId="77777777" w:rsidR="00F47203" w:rsidRDefault="00F47203" w:rsidP="00BB2420">
          <w:pPr>
            <w:pStyle w:val="Header"/>
            <w:ind w:left="-115"/>
          </w:pPr>
        </w:p>
      </w:tc>
      <w:tc>
        <w:tcPr>
          <w:tcW w:w="5133" w:type="dxa"/>
        </w:tcPr>
        <w:p w14:paraId="50A31C63" w14:textId="77777777" w:rsidR="00F47203" w:rsidRDefault="00F47203" w:rsidP="00BB2420">
          <w:pPr>
            <w:pStyle w:val="Header"/>
            <w:jc w:val="center"/>
          </w:pPr>
        </w:p>
      </w:tc>
      <w:tc>
        <w:tcPr>
          <w:tcW w:w="5133" w:type="dxa"/>
        </w:tcPr>
        <w:p w14:paraId="1C84ED44" w14:textId="77777777" w:rsidR="00F47203" w:rsidRDefault="00F47203" w:rsidP="00BB2420">
          <w:pPr>
            <w:pStyle w:val="Header"/>
            <w:ind w:right="-115"/>
            <w:jc w:val="right"/>
          </w:pPr>
        </w:p>
      </w:tc>
    </w:tr>
  </w:tbl>
  <w:p w14:paraId="33349824" w14:textId="77777777" w:rsidR="00F47203" w:rsidRDefault="00F47203" w:rsidP="00BB24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801F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F0943"/>
    <w:multiLevelType w:val="hybridMultilevel"/>
    <w:tmpl w:val="2584C468"/>
    <w:lvl w:ilvl="0" w:tplc="0D9C80A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735F3C"/>
    <w:multiLevelType w:val="multilevel"/>
    <w:tmpl w:val="E20EBE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EA3751"/>
    <w:multiLevelType w:val="hybridMultilevel"/>
    <w:tmpl w:val="C024C082"/>
    <w:lvl w:ilvl="0" w:tplc="833AEE9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73C"/>
    <w:multiLevelType w:val="hybridMultilevel"/>
    <w:tmpl w:val="25C2EDC8"/>
    <w:lvl w:ilvl="0" w:tplc="E632B16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D38D3"/>
    <w:multiLevelType w:val="hybridMultilevel"/>
    <w:tmpl w:val="AA04FC4C"/>
    <w:lvl w:ilvl="0" w:tplc="F530DBCC">
      <w:start w:val="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F1A71"/>
    <w:multiLevelType w:val="hybridMultilevel"/>
    <w:tmpl w:val="8D187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DF37FB"/>
    <w:multiLevelType w:val="hybridMultilevel"/>
    <w:tmpl w:val="C212C64A"/>
    <w:lvl w:ilvl="0" w:tplc="6A34ECD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56433"/>
    <w:multiLevelType w:val="hybridMultilevel"/>
    <w:tmpl w:val="204C8B8E"/>
    <w:lvl w:ilvl="0" w:tplc="65CC9B0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 w15:restartNumberingAfterBreak="0">
    <w:nsid w:val="2CC23D89"/>
    <w:multiLevelType w:val="multilevel"/>
    <w:tmpl w:val="FA7E596C"/>
    <w:lvl w:ilvl="0">
      <w:start w:val="1"/>
      <w:numFmt w:val="decimal"/>
      <w:pStyle w:val="Heading1"/>
      <w:lvlText w:val="%1"/>
      <w:lvlJc w:val="left"/>
      <w:pPr>
        <w:ind w:left="432" w:hanging="432"/>
      </w:pPr>
      <w:rPr>
        <w:rFonts w:ascii="Times New Roman" w:hAnsi="Times New Roman" w:hint="default"/>
        <w:b w:val="0"/>
        <w:bCs w:val="0"/>
        <w:i w:val="0"/>
        <w:iCs w:val="0"/>
        <w:caps w:val="0"/>
        <w:smallCaps w:val="0"/>
        <w:strike w:val="0"/>
        <w:dstrike w:val="0"/>
        <w:noProof w:val="0"/>
        <w:vanish w:val="0"/>
        <w:color w:val="FFFFFF" w:themeColor="background1"/>
        <w:spacing w:val="0"/>
        <w:kern w:val="0"/>
        <w:position w:val="0"/>
        <w:u w:val="none"/>
        <w:vertAlign w:val="baseline"/>
        <w:em w:val="none"/>
      </w:rPr>
    </w:lvl>
    <w:lvl w:ilvl="1">
      <w:start w:val="1"/>
      <w:numFmt w:val="decimal"/>
      <w:pStyle w:val="Heading2"/>
      <w:lvlText w:val="%1.%2"/>
      <w:lvlJc w:val="left"/>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B0728A6"/>
    <w:multiLevelType w:val="hybridMultilevel"/>
    <w:tmpl w:val="8CFC424A"/>
    <w:lvl w:ilvl="0" w:tplc="BA60A65C">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8D5577"/>
    <w:multiLevelType w:val="hybridMultilevel"/>
    <w:tmpl w:val="A7002E88"/>
    <w:lvl w:ilvl="0" w:tplc="6DC44F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60793F"/>
    <w:multiLevelType w:val="hybridMultilevel"/>
    <w:tmpl w:val="56C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7141F7"/>
    <w:multiLevelType w:val="hybridMultilevel"/>
    <w:tmpl w:val="3F8416B2"/>
    <w:lvl w:ilvl="0" w:tplc="04FA3BF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50662E"/>
    <w:multiLevelType w:val="hybridMultilevel"/>
    <w:tmpl w:val="C56676F8"/>
    <w:lvl w:ilvl="0" w:tplc="537E663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AFD72D6"/>
    <w:multiLevelType w:val="hybridMultilevel"/>
    <w:tmpl w:val="8D187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8D103E"/>
    <w:multiLevelType w:val="multilevel"/>
    <w:tmpl w:val="7668FEF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949528A"/>
    <w:multiLevelType w:val="hybridMultilevel"/>
    <w:tmpl w:val="3E00F2DE"/>
    <w:lvl w:ilvl="0" w:tplc="4A16A4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5C48C3"/>
    <w:multiLevelType w:val="multilevel"/>
    <w:tmpl w:val="57F4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6663C9"/>
    <w:multiLevelType w:val="hybridMultilevel"/>
    <w:tmpl w:val="2584C468"/>
    <w:lvl w:ilvl="0" w:tplc="0D9C80A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AF5A65"/>
    <w:multiLevelType w:val="hybridMultilevel"/>
    <w:tmpl w:val="7938E718"/>
    <w:lvl w:ilvl="0" w:tplc="F02686C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716AEE"/>
    <w:multiLevelType w:val="multilevel"/>
    <w:tmpl w:val="D6A2BC4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59404BD"/>
    <w:multiLevelType w:val="hybridMultilevel"/>
    <w:tmpl w:val="728AA0E6"/>
    <w:lvl w:ilvl="0" w:tplc="302EB25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9452896"/>
    <w:multiLevelType w:val="hybridMultilevel"/>
    <w:tmpl w:val="F530E204"/>
    <w:lvl w:ilvl="0" w:tplc="7096840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720153">
    <w:abstractNumId w:val="9"/>
  </w:num>
  <w:num w:numId="2" w16cid:durableId="1546913919">
    <w:abstractNumId w:val="6"/>
  </w:num>
  <w:num w:numId="3" w16cid:durableId="1686901186">
    <w:abstractNumId w:val="3"/>
  </w:num>
  <w:num w:numId="4" w16cid:durableId="1054236928">
    <w:abstractNumId w:val="12"/>
  </w:num>
  <w:num w:numId="5" w16cid:durableId="2018801944">
    <w:abstractNumId w:val="0"/>
  </w:num>
  <w:num w:numId="6" w16cid:durableId="1587617381">
    <w:abstractNumId w:val="13"/>
  </w:num>
  <w:num w:numId="7" w16cid:durableId="16346535">
    <w:abstractNumId w:val="7"/>
  </w:num>
  <w:num w:numId="8" w16cid:durableId="482041526">
    <w:abstractNumId w:val="11"/>
  </w:num>
  <w:num w:numId="9" w16cid:durableId="1654026883">
    <w:abstractNumId w:val="2"/>
  </w:num>
  <w:num w:numId="10" w16cid:durableId="1721006473">
    <w:abstractNumId w:val="20"/>
  </w:num>
  <w:num w:numId="11" w16cid:durableId="424375786">
    <w:abstractNumId w:val="8"/>
  </w:num>
  <w:num w:numId="12" w16cid:durableId="742389">
    <w:abstractNumId w:val="23"/>
  </w:num>
  <w:num w:numId="13" w16cid:durableId="1681157326">
    <w:abstractNumId w:val="16"/>
  </w:num>
  <w:num w:numId="14" w16cid:durableId="441922968">
    <w:abstractNumId w:val="19"/>
  </w:num>
  <w:num w:numId="15" w16cid:durableId="694427957">
    <w:abstractNumId w:val="1"/>
  </w:num>
  <w:num w:numId="16" w16cid:durableId="1798600419">
    <w:abstractNumId w:val="10"/>
  </w:num>
  <w:num w:numId="17" w16cid:durableId="974796794">
    <w:abstractNumId w:val="14"/>
  </w:num>
  <w:num w:numId="18" w16cid:durableId="23136525">
    <w:abstractNumId w:val="17"/>
  </w:num>
  <w:num w:numId="19" w16cid:durableId="991954126">
    <w:abstractNumId w:val="21"/>
  </w:num>
  <w:num w:numId="20" w16cid:durableId="1605574106">
    <w:abstractNumId w:val="15"/>
  </w:num>
  <w:num w:numId="21" w16cid:durableId="1867672902">
    <w:abstractNumId w:val="5"/>
  </w:num>
  <w:num w:numId="22" w16cid:durableId="1536767666">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0421890">
    <w:abstractNumId w:val="22"/>
  </w:num>
  <w:num w:numId="24" w16cid:durableId="2616910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5001409">
    <w:abstractNumId w:val="4"/>
  </w:num>
  <w:num w:numId="26" w16cid:durableId="73420279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DA8"/>
    <w:rsid w:val="000045DD"/>
    <w:rsid w:val="000119C7"/>
    <w:rsid w:val="000142FF"/>
    <w:rsid w:val="00014BB6"/>
    <w:rsid w:val="000162A2"/>
    <w:rsid w:val="00017AFC"/>
    <w:rsid w:val="00021192"/>
    <w:rsid w:val="00022ED5"/>
    <w:rsid w:val="0002431B"/>
    <w:rsid w:val="00026431"/>
    <w:rsid w:val="0002653C"/>
    <w:rsid w:val="00030627"/>
    <w:rsid w:val="000309B3"/>
    <w:rsid w:val="00034AFF"/>
    <w:rsid w:val="0004005A"/>
    <w:rsid w:val="0004257A"/>
    <w:rsid w:val="000435DD"/>
    <w:rsid w:val="00050ED6"/>
    <w:rsid w:val="000517FC"/>
    <w:rsid w:val="00054F69"/>
    <w:rsid w:val="000576F9"/>
    <w:rsid w:val="00062570"/>
    <w:rsid w:val="000676D9"/>
    <w:rsid w:val="00067CD3"/>
    <w:rsid w:val="00074E71"/>
    <w:rsid w:val="0009414D"/>
    <w:rsid w:val="000958E4"/>
    <w:rsid w:val="00095E2C"/>
    <w:rsid w:val="00096944"/>
    <w:rsid w:val="000A09FA"/>
    <w:rsid w:val="000A30CA"/>
    <w:rsid w:val="000B0782"/>
    <w:rsid w:val="000B14FB"/>
    <w:rsid w:val="000B1CC7"/>
    <w:rsid w:val="000B3107"/>
    <w:rsid w:val="000B715D"/>
    <w:rsid w:val="000B7600"/>
    <w:rsid w:val="000C5E7F"/>
    <w:rsid w:val="000D0AAC"/>
    <w:rsid w:val="000D218A"/>
    <w:rsid w:val="000D641E"/>
    <w:rsid w:val="000D70A8"/>
    <w:rsid w:val="000E0591"/>
    <w:rsid w:val="000E2B77"/>
    <w:rsid w:val="000E71D5"/>
    <w:rsid w:val="000F4572"/>
    <w:rsid w:val="000F49AB"/>
    <w:rsid w:val="000F580E"/>
    <w:rsid w:val="001018EA"/>
    <w:rsid w:val="001026FA"/>
    <w:rsid w:val="00103A0B"/>
    <w:rsid w:val="00103F20"/>
    <w:rsid w:val="001046C1"/>
    <w:rsid w:val="00105F0C"/>
    <w:rsid w:val="0011048E"/>
    <w:rsid w:val="0011089C"/>
    <w:rsid w:val="00113624"/>
    <w:rsid w:val="00113A0F"/>
    <w:rsid w:val="00114985"/>
    <w:rsid w:val="0012114B"/>
    <w:rsid w:val="00123B44"/>
    <w:rsid w:val="00127896"/>
    <w:rsid w:val="00130144"/>
    <w:rsid w:val="00140371"/>
    <w:rsid w:val="001465A1"/>
    <w:rsid w:val="001500E4"/>
    <w:rsid w:val="00155709"/>
    <w:rsid w:val="00156B6A"/>
    <w:rsid w:val="00157CCD"/>
    <w:rsid w:val="001613A3"/>
    <w:rsid w:val="00161438"/>
    <w:rsid w:val="001621A8"/>
    <w:rsid w:val="001634ED"/>
    <w:rsid w:val="00173858"/>
    <w:rsid w:val="00175C39"/>
    <w:rsid w:val="00176AED"/>
    <w:rsid w:val="00181EB6"/>
    <w:rsid w:val="00182500"/>
    <w:rsid w:val="00184957"/>
    <w:rsid w:val="001868D9"/>
    <w:rsid w:val="00192C50"/>
    <w:rsid w:val="0019481D"/>
    <w:rsid w:val="001A62EB"/>
    <w:rsid w:val="001A70E7"/>
    <w:rsid w:val="001B323E"/>
    <w:rsid w:val="001B5F7B"/>
    <w:rsid w:val="001B657A"/>
    <w:rsid w:val="001C0B44"/>
    <w:rsid w:val="001C6751"/>
    <w:rsid w:val="001D3598"/>
    <w:rsid w:val="001D3E22"/>
    <w:rsid w:val="001D543A"/>
    <w:rsid w:val="001E00A7"/>
    <w:rsid w:val="001F3B33"/>
    <w:rsid w:val="00207C26"/>
    <w:rsid w:val="00207CB8"/>
    <w:rsid w:val="00211F99"/>
    <w:rsid w:val="00227263"/>
    <w:rsid w:val="00240265"/>
    <w:rsid w:val="0024048D"/>
    <w:rsid w:val="0024612E"/>
    <w:rsid w:val="00246809"/>
    <w:rsid w:val="00247893"/>
    <w:rsid w:val="0025069F"/>
    <w:rsid w:val="002544A6"/>
    <w:rsid w:val="00257F3E"/>
    <w:rsid w:val="002627EA"/>
    <w:rsid w:val="002644E4"/>
    <w:rsid w:val="00271EE7"/>
    <w:rsid w:val="00277B59"/>
    <w:rsid w:val="002830A0"/>
    <w:rsid w:val="00290DEE"/>
    <w:rsid w:val="002916BA"/>
    <w:rsid w:val="00292B02"/>
    <w:rsid w:val="002946D3"/>
    <w:rsid w:val="00295B0D"/>
    <w:rsid w:val="00295F39"/>
    <w:rsid w:val="002A0E19"/>
    <w:rsid w:val="002A459C"/>
    <w:rsid w:val="002B6578"/>
    <w:rsid w:val="002B7637"/>
    <w:rsid w:val="002C1CF9"/>
    <w:rsid w:val="002C3212"/>
    <w:rsid w:val="002D1AC5"/>
    <w:rsid w:val="002D2932"/>
    <w:rsid w:val="002D3F5D"/>
    <w:rsid w:val="002D3F97"/>
    <w:rsid w:val="002D6214"/>
    <w:rsid w:val="002D7A55"/>
    <w:rsid w:val="002E7ECA"/>
    <w:rsid w:val="002F2BBC"/>
    <w:rsid w:val="00300D96"/>
    <w:rsid w:val="0030639A"/>
    <w:rsid w:val="00310843"/>
    <w:rsid w:val="0031126E"/>
    <w:rsid w:val="003117E0"/>
    <w:rsid w:val="00316003"/>
    <w:rsid w:val="00316109"/>
    <w:rsid w:val="00323163"/>
    <w:rsid w:val="00324C56"/>
    <w:rsid w:val="00342C1E"/>
    <w:rsid w:val="00344367"/>
    <w:rsid w:val="003469CF"/>
    <w:rsid w:val="00357383"/>
    <w:rsid w:val="00362C0C"/>
    <w:rsid w:val="00363C03"/>
    <w:rsid w:val="00367561"/>
    <w:rsid w:val="00367A57"/>
    <w:rsid w:val="00377563"/>
    <w:rsid w:val="0038037D"/>
    <w:rsid w:val="00387A7A"/>
    <w:rsid w:val="00391499"/>
    <w:rsid w:val="003930CF"/>
    <w:rsid w:val="003A32A4"/>
    <w:rsid w:val="003B61DD"/>
    <w:rsid w:val="003C28AC"/>
    <w:rsid w:val="003C30B6"/>
    <w:rsid w:val="003D3DA8"/>
    <w:rsid w:val="003D59CA"/>
    <w:rsid w:val="003D64C5"/>
    <w:rsid w:val="003D748F"/>
    <w:rsid w:val="003E4CEF"/>
    <w:rsid w:val="003E7A80"/>
    <w:rsid w:val="003F2F1D"/>
    <w:rsid w:val="003F54B5"/>
    <w:rsid w:val="00400D30"/>
    <w:rsid w:val="00405CB9"/>
    <w:rsid w:val="004072F6"/>
    <w:rsid w:val="00411247"/>
    <w:rsid w:val="00413D55"/>
    <w:rsid w:val="0041657D"/>
    <w:rsid w:val="00422A72"/>
    <w:rsid w:val="00423291"/>
    <w:rsid w:val="004254E7"/>
    <w:rsid w:val="00427BFE"/>
    <w:rsid w:val="00441130"/>
    <w:rsid w:val="0044266D"/>
    <w:rsid w:val="00445FC8"/>
    <w:rsid w:val="00451DE2"/>
    <w:rsid w:val="004526E9"/>
    <w:rsid w:val="004603DD"/>
    <w:rsid w:val="004649EF"/>
    <w:rsid w:val="00464FE6"/>
    <w:rsid w:val="00474286"/>
    <w:rsid w:val="00474EE8"/>
    <w:rsid w:val="00474FC2"/>
    <w:rsid w:val="0048036B"/>
    <w:rsid w:val="004826B0"/>
    <w:rsid w:val="0048357F"/>
    <w:rsid w:val="00483E15"/>
    <w:rsid w:val="0048462F"/>
    <w:rsid w:val="00484A3C"/>
    <w:rsid w:val="00485B40"/>
    <w:rsid w:val="00486402"/>
    <w:rsid w:val="00490B51"/>
    <w:rsid w:val="0049111A"/>
    <w:rsid w:val="00492C98"/>
    <w:rsid w:val="00494344"/>
    <w:rsid w:val="004A153A"/>
    <w:rsid w:val="004A753B"/>
    <w:rsid w:val="004B0521"/>
    <w:rsid w:val="004B0B79"/>
    <w:rsid w:val="004B3096"/>
    <w:rsid w:val="004C28E3"/>
    <w:rsid w:val="004C3665"/>
    <w:rsid w:val="004C5D04"/>
    <w:rsid w:val="004D10A4"/>
    <w:rsid w:val="004D1B86"/>
    <w:rsid w:val="004D3326"/>
    <w:rsid w:val="004D3378"/>
    <w:rsid w:val="004D3D5E"/>
    <w:rsid w:val="004D45AD"/>
    <w:rsid w:val="004D7C14"/>
    <w:rsid w:val="004E0154"/>
    <w:rsid w:val="004E03DA"/>
    <w:rsid w:val="004E22E9"/>
    <w:rsid w:val="004E2EEA"/>
    <w:rsid w:val="004F4591"/>
    <w:rsid w:val="00503D2B"/>
    <w:rsid w:val="005043D3"/>
    <w:rsid w:val="005048AA"/>
    <w:rsid w:val="0051698B"/>
    <w:rsid w:val="00523956"/>
    <w:rsid w:val="00523A39"/>
    <w:rsid w:val="0052734C"/>
    <w:rsid w:val="005307BF"/>
    <w:rsid w:val="00534FB7"/>
    <w:rsid w:val="00544C3B"/>
    <w:rsid w:val="005455C5"/>
    <w:rsid w:val="00547072"/>
    <w:rsid w:val="00552741"/>
    <w:rsid w:val="0056150F"/>
    <w:rsid w:val="005624C5"/>
    <w:rsid w:val="00565252"/>
    <w:rsid w:val="00567E74"/>
    <w:rsid w:val="00571A8B"/>
    <w:rsid w:val="00573732"/>
    <w:rsid w:val="0057544E"/>
    <w:rsid w:val="00575835"/>
    <w:rsid w:val="00576BA2"/>
    <w:rsid w:val="00587808"/>
    <w:rsid w:val="00591FE2"/>
    <w:rsid w:val="0059422E"/>
    <w:rsid w:val="00596F16"/>
    <w:rsid w:val="00596FA8"/>
    <w:rsid w:val="00597BD1"/>
    <w:rsid w:val="005A2278"/>
    <w:rsid w:val="005A288C"/>
    <w:rsid w:val="005A33E4"/>
    <w:rsid w:val="005A4BD6"/>
    <w:rsid w:val="005B1325"/>
    <w:rsid w:val="005B417B"/>
    <w:rsid w:val="005B43C1"/>
    <w:rsid w:val="005B50A8"/>
    <w:rsid w:val="005B5E2B"/>
    <w:rsid w:val="005B681B"/>
    <w:rsid w:val="005B70A3"/>
    <w:rsid w:val="005C13E0"/>
    <w:rsid w:val="005C6715"/>
    <w:rsid w:val="005C74CF"/>
    <w:rsid w:val="005C7C1C"/>
    <w:rsid w:val="005D0A3A"/>
    <w:rsid w:val="005D1464"/>
    <w:rsid w:val="005D22A4"/>
    <w:rsid w:val="005D7703"/>
    <w:rsid w:val="005E0E3B"/>
    <w:rsid w:val="005E2C2E"/>
    <w:rsid w:val="005E3B6E"/>
    <w:rsid w:val="005E6D42"/>
    <w:rsid w:val="005F078A"/>
    <w:rsid w:val="005F70E9"/>
    <w:rsid w:val="00604956"/>
    <w:rsid w:val="00605D1E"/>
    <w:rsid w:val="0061491B"/>
    <w:rsid w:val="00614AC1"/>
    <w:rsid w:val="006167C3"/>
    <w:rsid w:val="00624CDF"/>
    <w:rsid w:val="00625AA7"/>
    <w:rsid w:val="00630873"/>
    <w:rsid w:val="00643C08"/>
    <w:rsid w:val="00644B0F"/>
    <w:rsid w:val="00646B13"/>
    <w:rsid w:val="00650AB3"/>
    <w:rsid w:val="00693438"/>
    <w:rsid w:val="00693812"/>
    <w:rsid w:val="00693D64"/>
    <w:rsid w:val="006A4ABE"/>
    <w:rsid w:val="006A4E64"/>
    <w:rsid w:val="006A555E"/>
    <w:rsid w:val="006B4AA4"/>
    <w:rsid w:val="006B51AF"/>
    <w:rsid w:val="006B6AA8"/>
    <w:rsid w:val="006B794A"/>
    <w:rsid w:val="006C1C93"/>
    <w:rsid w:val="006D13B0"/>
    <w:rsid w:val="006D5BFD"/>
    <w:rsid w:val="006D6520"/>
    <w:rsid w:val="006E1797"/>
    <w:rsid w:val="006E1CD0"/>
    <w:rsid w:val="006F2D43"/>
    <w:rsid w:val="006F6355"/>
    <w:rsid w:val="006F7340"/>
    <w:rsid w:val="006F7C39"/>
    <w:rsid w:val="00712346"/>
    <w:rsid w:val="00714650"/>
    <w:rsid w:val="00717295"/>
    <w:rsid w:val="00725D9A"/>
    <w:rsid w:val="00731909"/>
    <w:rsid w:val="0073195E"/>
    <w:rsid w:val="00731982"/>
    <w:rsid w:val="00732D6B"/>
    <w:rsid w:val="00734FB6"/>
    <w:rsid w:val="00735AEF"/>
    <w:rsid w:val="00741DD0"/>
    <w:rsid w:val="007442B9"/>
    <w:rsid w:val="007456B0"/>
    <w:rsid w:val="0075243E"/>
    <w:rsid w:val="0075357E"/>
    <w:rsid w:val="00753D24"/>
    <w:rsid w:val="007664C4"/>
    <w:rsid w:val="00770264"/>
    <w:rsid w:val="00790E65"/>
    <w:rsid w:val="007A0C6B"/>
    <w:rsid w:val="007A0F78"/>
    <w:rsid w:val="007A139F"/>
    <w:rsid w:val="007B19DF"/>
    <w:rsid w:val="007B5018"/>
    <w:rsid w:val="007C0D27"/>
    <w:rsid w:val="007C3391"/>
    <w:rsid w:val="007C511D"/>
    <w:rsid w:val="007C62BA"/>
    <w:rsid w:val="007C66BC"/>
    <w:rsid w:val="007C7CB4"/>
    <w:rsid w:val="007D1261"/>
    <w:rsid w:val="007E0656"/>
    <w:rsid w:val="007E0EE7"/>
    <w:rsid w:val="007E32F8"/>
    <w:rsid w:val="007E5309"/>
    <w:rsid w:val="007E7233"/>
    <w:rsid w:val="007F4208"/>
    <w:rsid w:val="007F7A78"/>
    <w:rsid w:val="008020B8"/>
    <w:rsid w:val="00803D36"/>
    <w:rsid w:val="008043B7"/>
    <w:rsid w:val="00810F86"/>
    <w:rsid w:val="00811B15"/>
    <w:rsid w:val="0081370B"/>
    <w:rsid w:val="00821283"/>
    <w:rsid w:val="008244E6"/>
    <w:rsid w:val="0083197F"/>
    <w:rsid w:val="00833C44"/>
    <w:rsid w:val="00841930"/>
    <w:rsid w:val="008444E0"/>
    <w:rsid w:val="00844BA1"/>
    <w:rsid w:val="00862237"/>
    <w:rsid w:val="008645EB"/>
    <w:rsid w:val="00873997"/>
    <w:rsid w:val="0087732D"/>
    <w:rsid w:val="00877D8D"/>
    <w:rsid w:val="00882055"/>
    <w:rsid w:val="00884F28"/>
    <w:rsid w:val="008965BF"/>
    <w:rsid w:val="008A7221"/>
    <w:rsid w:val="008B0AE3"/>
    <w:rsid w:val="008B1201"/>
    <w:rsid w:val="008B5593"/>
    <w:rsid w:val="008B58ED"/>
    <w:rsid w:val="008C2FEF"/>
    <w:rsid w:val="008C7A59"/>
    <w:rsid w:val="008C7FF0"/>
    <w:rsid w:val="008D109C"/>
    <w:rsid w:val="008D3227"/>
    <w:rsid w:val="008D5501"/>
    <w:rsid w:val="008E0722"/>
    <w:rsid w:val="008F2A9E"/>
    <w:rsid w:val="008F31AE"/>
    <w:rsid w:val="008F6DA3"/>
    <w:rsid w:val="00903AA0"/>
    <w:rsid w:val="0090416F"/>
    <w:rsid w:val="00912C87"/>
    <w:rsid w:val="00914916"/>
    <w:rsid w:val="00920782"/>
    <w:rsid w:val="009218D2"/>
    <w:rsid w:val="009225F2"/>
    <w:rsid w:val="009250AE"/>
    <w:rsid w:val="00926B09"/>
    <w:rsid w:val="00926FFE"/>
    <w:rsid w:val="0092713E"/>
    <w:rsid w:val="0092755F"/>
    <w:rsid w:val="00933B14"/>
    <w:rsid w:val="00935503"/>
    <w:rsid w:val="009375C4"/>
    <w:rsid w:val="00951ED3"/>
    <w:rsid w:val="0095334B"/>
    <w:rsid w:val="00960B76"/>
    <w:rsid w:val="00963889"/>
    <w:rsid w:val="009651BC"/>
    <w:rsid w:val="009712B7"/>
    <w:rsid w:val="00992026"/>
    <w:rsid w:val="0099624A"/>
    <w:rsid w:val="00996B8F"/>
    <w:rsid w:val="009B385C"/>
    <w:rsid w:val="009B59A9"/>
    <w:rsid w:val="009B6D84"/>
    <w:rsid w:val="009C03C2"/>
    <w:rsid w:val="009C064F"/>
    <w:rsid w:val="009C0DEF"/>
    <w:rsid w:val="009C7F08"/>
    <w:rsid w:val="009D1D80"/>
    <w:rsid w:val="009D2985"/>
    <w:rsid w:val="009D34BD"/>
    <w:rsid w:val="009D68C8"/>
    <w:rsid w:val="009E1AB3"/>
    <w:rsid w:val="009E2EB4"/>
    <w:rsid w:val="009E7B4C"/>
    <w:rsid w:val="009E7E6E"/>
    <w:rsid w:val="009F26A5"/>
    <w:rsid w:val="009F2DA9"/>
    <w:rsid w:val="009F50AC"/>
    <w:rsid w:val="009F5112"/>
    <w:rsid w:val="00A00ADD"/>
    <w:rsid w:val="00A07EF1"/>
    <w:rsid w:val="00A170E0"/>
    <w:rsid w:val="00A22AD3"/>
    <w:rsid w:val="00A25751"/>
    <w:rsid w:val="00A26AB9"/>
    <w:rsid w:val="00A27EF1"/>
    <w:rsid w:val="00A32C3C"/>
    <w:rsid w:val="00A32FBC"/>
    <w:rsid w:val="00A3519F"/>
    <w:rsid w:val="00A3545E"/>
    <w:rsid w:val="00A35E83"/>
    <w:rsid w:val="00A3732C"/>
    <w:rsid w:val="00A40255"/>
    <w:rsid w:val="00A457B2"/>
    <w:rsid w:val="00A47AD5"/>
    <w:rsid w:val="00A50AA0"/>
    <w:rsid w:val="00A5142A"/>
    <w:rsid w:val="00A54CAE"/>
    <w:rsid w:val="00A65CCA"/>
    <w:rsid w:val="00A70887"/>
    <w:rsid w:val="00A73B81"/>
    <w:rsid w:val="00A845FB"/>
    <w:rsid w:val="00A853B7"/>
    <w:rsid w:val="00A90F14"/>
    <w:rsid w:val="00A912AC"/>
    <w:rsid w:val="00A927A3"/>
    <w:rsid w:val="00A94031"/>
    <w:rsid w:val="00AA1B4D"/>
    <w:rsid w:val="00AA4034"/>
    <w:rsid w:val="00AA5409"/>
    <w:rsid w:val="00AC2188"/>
    <w:rsid w:val="00AC6A7B"/>
    <w:rsid w:val="00AD04EA"/>
    <w:rsid w:val="00AD1D6B"/>
    <w:rsid w:val="00AD515C"/>
    <w:rsid w:val="00AD5DEE"/>
    <w:rsid w:val="00AD71A9"/>
    <w:rsid w:val="00AE1B47"/>
    <w:rsid w:val="00AE2E58"/>
    <w:rsid w:val="00AF3B17"/>
    <w:rsid w:val="00AF410C"/>
    <w:rsid w:val="00B00DAC"/>
    <w:rsid w:val="00B02A6C"/>
    <w:rsid w:val="00B05851"/>
    <w:rsid w:val="00B05C66"/>
    <w:rsid w:val="00B0730D"/>
    <w:rsid w:val="00B105F5"/>
    <w:rsid w:val="00B11BC5"/>
    <w:rsid w:val="00B24A95"/>
    <w:rsid w:val="00B24C03"/>
    <w:rsid w:val="00B24CC0"/>
    <w:rsid w:val="00B26A10"/>
    <w:rsid w:val="00B4111F"/>
    <w:rsid w:val="00B44FF5"/>
    <w:rsid w:val="00B45EDF"/>
    <w:rsid w:val="00B46495"/>
    <w:rsid w:val="00B4731E"/>
    <w:rsid w:val="00B505E9"/>
    <w:rsid w:val="00B524B1"/>
    <w:rsid w:val="00B54E11"/>
    <w:rsid w:val="00B55793"/>
    <w:rsid w:val="00B70EC5"/>
    <w:rsid w:val="00B764BF"/>
    <w:rsid w:val="00B76B56"/>
    <w:rsid w:val="00B77CE7"/>
    <w:rsid w:val="00B83665"/>
    <w:rsid w:val="00B847E5"/>
    <w:rsid w:val="00B93938"/>
    <w:rsid w:val="00B96F9E"/>
    <w:rsid w:val="00B97277"/>
    <w:rsid w:val="00B97722"/>
    <w:rsid w:val="00BA4374"/>
    <w:rsid w:val="00BA537F"/>
    <w:rsid w:val="00BA7C6A"/>
    <w:rsid w:val="00BB2420"/>
    <w:rsid w:val="00BB2821"/>
    <w:rsid w:val="00BB4E63"/>
    <w:rsid w:val="00BB79C4"/>
    <w:rsid w:val="00BC2041"/>
    <w:rsid w:val="00BC21AD"/>
    <w:rsid w:val="00BC486F"/>
    <w:rsid w:val="00BC681C"/>
    <w:rsid w:val="00BD2539"/>
    <w:rsid w:val="00BD4312"/>
    <w:rsid w:val="00BE157E"/>
    <w:rsid w:val="00BE6579"/>
    <w:rsid w:val="00BE6ED9"/>
    <w:rsid w:val="00BF46B6"/>
    <w:rsid w:val="00BF76EB"/>
    <w:rsid w:val="00C000E0"/>
    <w:rsid w:val="00C018DA"/>
    <w:rsid w:val="00C01E15"/>
    <w:rsid w:val="00C054AD"/>
    <w:rsid w:val="00C073D6"/>
    <w:rsid w:val="00C10D64"/>
    <w:rsid w:val="00C13876"/>
    <w:rsid w:val="00C220D1"/>
    <w:rsid w:val="00C22ED7"/>
    <w:rsid w:val="00C23BAA"/>
    <w:rsid w:val="00C249C3"/>
    <w:rsid w:val="00C3013A"/>
    <w:rsid w:val="00C31EF7"/>
    <w:rsid w:val="00C366C9"/>
    <w:rsid w:val="00C42E4F"/>
    <w:rsid w:val="00C42E5F"/>
    <w:rsid w:val="00C45D0A"/>
    <w:rsid w:val="00C52769"/>
    <w:rsid w:val="00C54363"/>
    <w:rsid w:val="00C5592B"/>
    <w:rsid w:val="00C55BA5"/>
    <w:rsid w:val="00C64190"/>
    <w:rsid w:val="00C70FB8"/>
    <w:rsid w:val="00C84E3F"/>
    <w:rsid w:val="00C86B08"/>
    <w:rsid w:val="00C871D9"/>
    <w:rsid w:val="00C9048A"/>
    <w:rsid w:val="00CA0902"/>
    <w:rsid w:val="00CA20C1"/>
    <w:rsid w:val="00CA237D"/>
    <w:rsid w:val="00CA244A"/>
    <w:rsid w:val="00CA3317"/>
    <w:rsid w:val="00CA6338"/>
    <w:rsid w:val="00CA770A"/>
    <w:rsid w:val="00CA7B83"/>
    <w:rsid w:val="00CB187F"/>
    <w:rsid w:val="00CB1B6E"/>
    <w:rsid w:val="00CB45D1"/>
    <w:rsid w:val="00CB6426"/>
    <w:rsid w:val="00CB6FD7"/>
    <w:rsid w:val="00CC034D"/>
    <w:rsid w:val="00CC0D38"/>
    <w:rsid w:val="00CC41D5"/>
    <w:rsid w:val="00CD1894"/>
    <w:rsid w:val="00CD3013"/>
    <w:rsid w:val="00CD5159"/>
    <w:rsid w:val="00CD5919"/>
    <w:rsid w:val="00CE00EE"/>
    <w:rsid w:val="00CE5757"/>
    <w:rsid w:val="00CF5984"/>
    <w:rsid w:val="00D03E20"/>
    <w:rsid w:val="00D0463A"/>
    <w:rsid w:val="00D070EB"/>
    <w:rsid w:val="00D109DE"/>
    <w:rsid w:val="00D12834"/>
    <w:rsid w:val="00D1378A"/>
    <w:rsid w:val="00D13E68"/>
    <w:rsid w:val="00D2202D"/>
    <w:rsid w:val="00D23942"/>
    <w:rsid w:val="00D30B81"/>
    <w:rsid w:val="00D40D19"/>
    <w:rsid w:val="00D4207C"/>
    <w:rsid w:val="00D44B2D"/>
    <w:rsid w:val="00D47B9A"/>
    <w:rsid w:val="00D613D6"/>
    <w:rsid w:val="00D6487B"/>
    <w:rsid w:val="00D70B6C"/>
    <w:rsid w:val="00D73A85"/>
    <w:rsid w:val="00D77682"/>
    <w:rsid w:val="00D826EB"/>
    <w:rsid w:val="00D8322F"/>
    <w:rsid w:val="00D84CFB"/>
    <w:rsid w:val="00D9160B"/>
    <w:rsid w:val="00D92C8B"/>
    <w:rsid w:val="00D95129"/>
    <w:rsid w:val="00D96293"/>
    <w:rsid w:val="00D96E4E"/>
    <w:rsid w:val="00DA1E8C"/>
    <w:rsid w:val="00DA222C"/>
    <w:rsid w:val="00DA2BF2"/>
    <w:rsid w:val="00DA5997"/>
    <w:rsid w:val="00DA6B18"/>
    <w:rsid w:val="00DB0F28"/>
    <w:rsid w:val="00DB1444"/>
    <w:rsid w:val="00DB2EED"/>
    <w:rsid w:val="00DD08F9"/>
    <w:rsid w:val="00DE27A4"/>
    <w:rsid w:val="00DE65CD"/>
    <w:rsid w:val="00DF1E1A"/>
    <w:rsid w:val="00DF24A3"/>
    <w:rsid w:val="00DF34F2"/>
    <w:rsid w:val="00E00F51"/>
    <w:rsid w:val="00E0420C"/>
    <w:rsid w:val="00E04213"/>
    <w:rsid w:val="00E14E76"/>
    <w:rsid w:val="00E154D0"/>
    <w:rsid w:val="00E15C6E"/>
    <w:rsid w:val="00E23313"/>
    <w:rsid w:val="00E2335B"/>
    <w:rsid w:val="00E24296"/>
    <w:rsid w:val="00E27E2C"/>
    <w:rsid w:val="00E45914"/>
    <w:rsid w:val="00E46496"/>
    <w:rsid w:val="00E511EE"/>
    <w:rsid w:val="00E52BBF"/>
    <w:rsid w:val="00E555E9"/>
    <w:rsid w:val="00E557EF"/>
    <w:rsid w:val="00E56395"/>
    <w:rsid w:val="00E5731D"/>
    <w:rsid w:val="00E615D7"/>
    <w:rsid w:val="00E61B27"/>
    <w:rsid w:val="00E706BA"/>
    <w:rsid w:val="00E706D0"/>
    <w:rsid w:val="00E73FB1"/>
    <w:rsid w:val="00E7579A"/>
    <w:rsid w:val="00E806F6"/>
    <w:rsid w:val="00E80DF4"/>
    <w:rsid w:val="00E974CC"/>
    <w:rsid w:val="00EA0571"/>
    <w:rsid w:val="00EA1E03"/>
    <w:rsid w:val="00EA3A20"/>
    <w:rsid w:val="00EA65B6"/>
    <w:rsid w:val="00EA725E"/>
    <w:rsid w:val="00EB30F7"/>
    <w:rsid w:val="00EB3CAD"/>
    <w:rsid w:val="00EC0B5C"/>
    <w:rsid w:val="00EC3D1D"/>
    <w:rsid w:val="00EC4008"/>
    <w:rsid w:val="00EC6101"/>
    <w:rsid w:val="00EC68C3"/>
    <w:rsid w:val="00ED2317"/>
    <w:rsid w:val="00ED4513"/>
    <w:rsid w:val="00ED6AB2"/>
    <w:rsid w:val="00ED770E"/>
    <w:rsid w:val="00EF3129"/>
    <w:rsid w:val="00EF3BC6"/>
    <w:rsid w:val="00F01228"/>
    <w:rsid w:val="00F064BD"/>
    <w:rsid w:val="00F07686"/>
    <w:rsid w:val="00F102D2"/>
    <w:rsid w:val="00F11C4C"/>
    <w:rsid w:val="00F20D16"/>
    <w:rsid w:val="00F23CD7"/>
    <w:rsid w:val="00F24ADC"/>
    <w:rsid w:val="00F25EA1"/>
    <w:rsid w:val="00F30C1F"/>
    <w:rsid w:val="00F32593"/>
    <w:rsid w:val="00F34320"/>
    <w:rsid w:val="00F47203"/>
    <w:rsid w:val="00F47617"/>
    <w:rsid w:val="00F5076B"/>
    <w:rsid w:val="00F5102D"/>
    <w:rsid w:val="00F51EE6"/>
    <w:rsid w:val="00F57AA4"/>
    <w:rsid w:val="00F616F1"/>
    <w:rsid w:val="00F6449A"/>
    <w:rsid w:val="00F7467C"/>
    <w:rsid w:val="00F808A7"/>
    <w:rsid w:val="00F80F6B"/>
    <w:rsid w:val="00F8219C"/>
    <w:rsid w:val="00F924DD"/>
    <w:rsid w:val="00F95AEE"/>
    <w:rsid w:val="00F9776B"/>
    <w:rsid w:val="00FA3E6E"/>
    <w:rsid w:val="00FC2BEF"/>
    <w:rsid w:val="00FC6886"/>
    <w:rsid w:val="00FC76F2"/>
    <w:rsid w:val="00FD05BC"/>
    <w:rsid w:val="00FD4973"/>
    <w:rsid w:val="00FE1F0B"/>
    <w:rsid w:val="00FE4E2D"/>
    <w:rsid w:val="00FF161D"/>
    <w:rsid w:val="00FF63BA"/>
    <w:rsid w:val="00FF6CBF"/>
    <w:rsid w:val="00FF6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8DD57"/>
  <w15:docId w15:val="{1216C7BB-C4AB-424F-BB36-257FE724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DA8"/>
    <w:pPr>
      <w:numPr>
        <w:numId w:val="1"/>
      </w:numPr>
      <w:spacing w:after="200" w:line="360" w:lineRule="auto"/>
      <w:jc w:val="both"/>
      <w:outlineLvl w:val="0"/>
    </w:pPr>
    <w:rPr>
      <w:rFonts w:ascii="Times New Roman" w:eastAsiaTheme="minorEastAsia" w:hAnsi="Times New Roman"/>
      <w:b/>
      <w:sz w:val="32"/>
      <w:szCs w:val="32"/>
      <w:lang w:bidi="en-US"/>
    </w:rPr>
  </w:style>
  <w:style w:type="paragraph" w:styleId="Heading2">
    <w:name w:val="heading 2"/>
    <w:basedOn w:val="Normal"/>
    <w:next w:val="Normal"/>
    <w:link w:val="Heading2Char"/>
    <w:uiPriority w:val="9"/>
    <w:unhideWhenUsed/>
    <w:qFormat/>
    <w:rsid w:val="003D3DA8"/>
    <w:pPr>
      <w:keepNext/>
      <w:keepLines/>
      <w:numPr>
        <w:ilvl w:val="1"/>
        <w:numId w:val="1"/>
      </w:numPr>
      <w:spacing w:after="240" w:line="360" w:lineRule="auto"/>
      <w:outlineLvl w:val="1"/>
    </w:pPr>
    <w:rPr>
      <w:rFonts w:ascii="Times New Roman" w:eastAsiaTheme="majorEastAsia" w:hAnsi="Times New Roman" w:cstheme="majorBidi"/>
      <w:b/>
      <w:bCs/>
      <w:sz w:val="32"/>
      <w:szCs w:val="28"/>
      <w:lang w:eastAsia="en-GB" w:bidi="en-US"/>
    </w:rPr>
  </w:style>
  <w:style w:type="paragraph" w:styleId="Heading3">
    <w:name w:val="heading 3"/>
    <w:basedOn w:val="Normal"/>
    <w:next w:val="Normal"/>
    <w:link w:val="Heading3Char"/>
    <w:uiPriority w:val="9"/>
    <w:unhideWhenUsed/>
    <w:qFormat/>
    <w:rsid w:val="003D3DA8"/>
    <w:pPr>
      <w:numPr>
        <w:ilvl w:val="2"/>
        <w:numId w:val="1"/>
      </w:numPr>
      <w:autoSpaceDE w:val="0"/>
      <w:autoSpaceDN w:val="0"/>
      <w:adjustRightInd w:val="0"/>
      <w:spacing w:after="0" w:line="360" w:lineRule="auto"/>
      <w:outlineLvl w:val="2"/>
    </w:pPr>
    <w:rPr>
      <w:rFonts w:ascii="Times New Roman" w:eastAsiaTheme="minorEastAsia" w:hAnsi="Times New Roman"/>
      <w:b/>
      <w:sz w:val="28"/>
      <w:szCs w:val="24"/>
      <w:lang w:bidi="en-US"/>
    </w:rPr>
  </w:style>
  <w:style w:type="paragraph" w:styleId="Heading4">
    <w:name w:val="heading 4"/>
    <w:basedOn w:val="Normal"/>
    <w:next w:val="Normal"/>
    <w:link w:val="Heading4Char"/>
    <w:uiPriority w:val="9"/>
    <w:unhideWhenUsed/>
    <w:qFormat/>
    <w:rsid w:val="003D3DA8"/>
    <w:pPr>
      <w:keepNext/>
      <w:keepLines/>
      <w:numPr>
        <w:ilvl w:val="3"/>
        <w:numId w:val="1"/>
      </w:numPr>
      <w:spacing w:before="200" w:after="120" w:line="360" w:lineRule="auto"/>
      <w:outlineLvl w:val="3"/>
    </w:pPr>
    <w:rPr>
      <w:rFonts w:asciiTheme="majorHAnsi" w:eastAsiaTheme="majorEastAsia" w:hAnsiTheme="majorHAnsi" w:cstheme="majorBidi"/>
      <w:b/>
      <w:bCs/>
      <w:iCs/>
      <w:sz w:val="24"/>
      <w:lang w:bidi="en-US"/>
    </w:rPr>
  </w:style>
  <w:style w:type="paragraph" w:styleId="Heading5">
    <w:name w:val="heading 5"/>
    <w:basedOn w:val="Normal"/>
    <w:next w:val="Normal"/>
    <w:link w:val="Heading5Char"/>
    <w:uiPriority w:val="9"/>
    <w:unhideWhenUsed/>
    <w:qFormat/>
    <w:rsid w:val="003D3DA8"/>
    <w:pPr>
      <w:keepNext/>
      <w:keepLines/>
      <w:numPr>
        <w:ilvl w:val="4"/>
        <w:numId w:val="1"/>
      </w:numPr>
      <w:spacing w:before="200" w:after="0" w:line="360" w:lineRule="auto"/>
      <w:jc w:val="both"/>
      <w:outlineLvl w:val="4"/>
    </w:pPr>
    <w:rPr>
      <w:rFonts w:asciiTheme="majorHAnsi" w:eastAsiaTheme="majorEastAsia" w:hAnsiTheme="majorHAnsi" w:cstheme="majorBidi"/>
      <w:color w:val="1F3763" w:themeColor="accent1" w:themeShade="7F"/>
      <w:sz w:val="24"/>
      <w:lang w:bidi="en-US"/>
    </w:rPr>
  </w:style>
  <w:style w:type="paragraph" w:styleId="Heading6">
    <w:name w:val="heading 6"/>
    <w:basedOn w:val="Normal"/>
    <w:next w:val="Normal"/>
    <w:link w:val="Heading6Char"/>
    <w:uiPriority w:val="9"/>
    <w:semiHidden/>
    <w:unhideWhenUsed/>
    <w:qFormat/>
    <w:rsid w:val="003D3DA8"/>
    <w:pPr>
      <w:keepNext/>
      <w:keepLines/>
      <w:numPr>
        <w:ilvl w:val="5"/>
        <w:numId w:val="1"/>
      </w:numPr>
      <w:spacing w:before="200" w:after="0" w:line="360" w:lineRule="auto"/>
      <w:jc w:val="both"/>
      <w:outlineLvl w:val="5"/>
    </w:pPr>
    <w:rPr>
      <w:rFonts w:asciiTheme="majorHAnsi" w:eastAsiaTheme="majorEastAsia" w:hAnsiTheme="majorHAnsi" w:cstheme="majorBidi"/>
      <w:i/>
      <w:iCs/>
      <w:color w:val="1F3763" w:themeColor="accent1" w:themeShade="7F"/>
      <w:sz w:val="24"/>
      <w:lang w:bidi="en-US"/>
    </w:rPr>
  </w:style>
  <w:style w:type="paragraph" w:styleId="Heading7">
    <w:name w:val="heading 7"/>
    <w:basedOn w:val="Normal"/>
    <w:next w:val="Normal"/>
    <w:link w:val="Heading7Char"/>
    <w:uiPriority w:val="9"/>
    <w:semiHidden/>
    <w:unhideWhenUsed/>
    <w:qFormat/>
    <w:rsid w:val="003D3DA8"/>
    <w:pPr>
      <w:keepNext/>
      <w:keepLines/>
      <w:numPr>
        <w:ilvl w:val="6"/>
        <w:numId w:val="1"/>
      </w:numPr>
      <w:spacing w:before="200" w:after="0" w:line="360" w:lineRule="auto"/>
      <w:jc w:val="both"/>
      <w:outlineLvl w:val="6"/>
    </w:pPr>
    <w:rPr>
      <w:rFonts w:asciiTheme="majorHAnsi" w:eastAsiaTheme="majorEastAsia" w:hAnsiTheme="majorHAnsi" w:cstheme="majorBidi"/>
      <w:i/>
      <w:iCs/>
      <w:color w:val="404040" w:themeColor="text1" w:themeTint="BF"/>
      <w:sz w:val="24"/>
      <w:lang w:bidi="en-US"/>
    </w:rPr>
  </w:style>
  <w:style w:type="paragraph" w:styleId="Heading8">
    <w:name w:val="heading 8"/>
    <w:basedOn w:val="Normal"/>
    <w:next w:val="Normal"/>
    <w:link w:val="Heading8Char"/>
    <w:uiPriority w:val="9"/>
    <w:semiHidden/>
    <w:unhideWhenUsed/>
    <w:qFormat/>
    <w:rsid w:val="003D3DA8"/>
    <w:pPr>
      <w:keepNext/>
      <w:keepLines/>
      <w:numPr>
        <w:ilvl w:val="7"/>
        <w:numId w:val="1"/>
      </w:numPr>
      <w:spacing w:before="200" w:after="0" w:line="360" w:lineRule="auto"/>
      <w:jc w:val="both"/>
      <w:outlineLvl w:val="7"/>
    </w:pPr>
    <w:rPr>
      <w:rFonts w:asciiTheme="majorHAnsi" w:eastAsiaTheme="majorEastAsia" w:hAnsiTheme="majorHAnsi" w:cstheme="majorBidi"/>
      <w:color w:val="4472C4" w:themeColor="accent1"/>
      <w:sz w:val="20"/>
      <w:szCs w:val="20"/>
      <w:lang w:bidi="en-US"/>
    </w:rPr>
  </w:style>
  <w:style w:type="paragraph" w:styleId="Heading9">
    <w:name w:val="heading 9"/>
    <w:basedOn w:val="Normal"/>
    <w:next w:val="Normal"/>
    <w:link w:val="Heading9Char"/>
    <w:uiPriority w:val="9"/>
    <w:semiHidden/>
    <w:unhideWhenUsed/>
    <w:qFormat/>
    <w:rsid w:val="003D3DA8"/>
    <w:pPr>
      <w:keepNext/>
      <w:keepLines/>
      <w:numPr>
        <w:ilvl w:val="8"/>
        <w:numId w:val="1"/>
      </w:numPr>
      <w:spacing w:before="200" w:after="0" w:line="360" w:lineRule="auto"/>
      <w:jc w:val="both"/>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DA8"/>
    <w:rPr>
      <w:rFonts w:ascii="Times New Roman" w:eastAsiaTheme="minorEastAsia" w:hAnsi="Times New Roman"/>
      <w:b/>
      <w:sz w:val="32"/>
      <w:szCs w:val="32"/>
      <w:lang w:bidi="en-US"/>
    </w:rPr>
  </w:style>
  <w:style w:type="character" w:customStyle="1" w:styleId="Heading2Char">
    <w:name w:val="Heading 2 Char"/>
    <w:basedOn w:val="DefaultParagraphFont"/>
    <w:link w:val="Heading2"/>
    <w:uiPriority w:val="9"/>
    <w:rsid w:val="003D3DA8"/>
    <w:rPr>
      <w:rFonts w:ascii="Times New Roman" w:eastAsiaTheme="majorEastAsia" w:hAnsi="Times New Roman" w:cstheme="majorBidi"/>
      <w:b/>
      <w:bCs/>
      <w:sz w:val="32"/>
      <w:szCs w:val="28"/>
      <w:lang w:eastAsia="en-GB" w:bidi="en-US"/>
    </w:rPr>
  </w:style>
  <w:style w:type="character" w:customStyle="1" w:styleId="Heading3Char">
    <w:name w:val="Heading 3 Char"/>
    <w:basedOn w:val="DefaultParagraphFont"/>
    <w:link w:val="Heading3"/>
    <w:uiPriority w:val="9"/>
    <w:rsid w:val="003D3DA8"/>
    <w:rPr>
      <w:rFonts w:ascii="Times New Roman" w:eastAsiaTheme="minorEastAsia" w:hAnsi="Times New Roman"/>
      <w:b/>
      <w:sz w:val="28"/>
      <w:szCs w:val="24"/>
      <w:lang w:bidi="en-US"/>
    </w:rPr>
  </w:style>
  <w:style w:type="character" w:customStyle="1" w:styleId="Heading4Char">
    <w:name w:val="Heading 4 Char"/>
    <w:basedOn w:val="DefaultParagraphFont"/>
    <w:link w:val="Heading4"/>
    <w:uiPriority w:val="9"/>
    <w:rsid w:val="003D3DA8"/>
    <w:rPr>
      <w:rFonts w:asciiTheme="majorHAnsi" w:eastAsiaTheme="majorEastAsia" w:hAnsiTheme="majorHAnsi" w:cstheme="majorBidi"/>
      <w:b/>
      <w:bCs/>
      <w:iCs/>
      <w:sz w:val="24"/>
      <w:lang w:bidi="en-US"/>
    </w:rPr>
  </w:style>
  <w:style w:type="character" w:customStyle="1" w:styleId="Heading5Char">
    <w:name w:val="Heading 5 Char"/>
    <w:basedOn w:val="DefaultParagraphFont"/>
    <w:link w:val="Heading5"/>
    <w:uiPriority w:val="9"/>
    <w:rsid w:val="003D3DA8"/>
    <w:rPr>
      <w:rFonts w:asciiTheme="majorHAnsi" w:eastAsiaTheme="majorEastAsia" w:hAnsiTheme="majorHAnsi" w:cstheme="majorBidi"/>
      <w:color w:val="1F3763" w:themeColor="accent1" w:themeShade="7F"/>
      <w:sz w:val="24"/>
      <w:lang w:bidi="en-US"/>
    </w:rPr>
  </w:style>
  <w:style w:type="character" w:customStyle="1" w:styleId="Heading6Char">
    <w:name w:val="Heading 6 Char"/>
    <w:basedOn w:val="DefaultParagraphFont"/>
    <w:link w:val="Heading6"/>
    <w:uiPriority w:val="9"/>
    <w:semiHidden/>
    <w:rsid w:val="003D3DA8"/>
    <w:rPr>
      <w:rFonts w:asciiTheme="majorHAnsi" w:eastAsiaTheme="majorEastAsia" w:hAnsiTheme="majorHAnsi" w:cstheme="majorBidi"/>
      <w:i/>
      <w:iCs/>
      <w:color w:val="1F3763" w:themeColor="accent1" w:themeShade="7F"/>
      <w:sz w:val="24"/>
      <w:lang w:bidi="en-US"/>
    </w:rPr>
  </w:style>
  <w:style w:type="character" w:customStyle="1" w:styleId="Heading7Char">
    <w:name w:val="Heading 7 Char"/>
    <w:basedOn w:val="DefaultParagraphFont"/>
    <w:link w:val="Heading7"/>
    <w:uiPriority w:val="9"/>
    <w:semiHidden/>
    <w:rsid w:val="003D3DA8"/>
    <w:rPr>
      <w:rFonts w:asciiTheme="majorHAnsi" w:eastAsiaTheme="majorEastAsia" w:hAnsiTheme="majorHAnsi" w:cstheme="majorBidi"/>
      <w:i/>
      <w:iCs/>
      <w:color w:val="404040" w:themeColor="text1" w:themeTint="BF"/>
      <w:sz w:val="24"/>
      <w:lang w:bidi="en-US"/>
    </w:rPr>
  </w:style>
  <w:style w:type="character" w:customStyle="1" w:styleId="Heading8Char">
    <w:name w:val="Heading 8 Char"/>
    <w:basedOn w:val="DefaultParagraphFont"/>
    <w:link w:val="Heading8"/>
    <w:uiPriority w:val="9"/>
    <w:semiHidden/>
    <w:rsid w:val="003D3DA8"/>
    <w:rPr>
      <w:rFonts w:asciiTheme="majorHAnsi" w:eastAsiaTheme="majorEastAsia" w:hAnsiTheme="majorHAnsi" w:cstheme="majorBidi"/>
      <w:color w:val="4472C4" w:themeColor="accent1"/>
      <w:sz w:val="20"/>
      <w:szCs w:val="20"/>
      <w:lang w:bidi="en-US"/>
    </w:rPr>
  </w:style>
  <w:style w:type="character" w:customStyle="1" w:styleId="Heading9Char">
    <w:name w:val="Heading 9 Char"/>
    <w:basedOn w:val="DefaultParagraphFont"/>
    <w:link w:val="Heading9"/>
    <w:uiPriority w:val="9"/>
    <w:semiHidden/>
    <w:rsid w:val="003D3DA8"/>
    <w:rPr>
      <w:rFonts w:asciiTheme="majorHAnsi" w:eastAsiaTheme="majorEastAsia" w:hAnsiTheme="majorHAnsi" w:cstheme="majorBidi"/>
      <w:i/>
      <w:iCs/>
      <w:color w:val="404040" w:themeColor="text1" w:themeTint="BF"/>
      <w:sz w:val="20"/>
      <w:szCs w:val="20"/>
      <w:lang w:bidi="en-US"/>
    </w:rPr>
  </w:style>
  <w:style w:type="paragraph" w:styleId="BalloonText">
    <w:name w:val="Balloon Text"/>
    <w:basedOn w:val="Normal"/>
    <w:link w:val="BalloonTextChar"/>
    <w:uiPriority w:val="99"/>
    <w:semiHidden/>
    <w:unhideWhenUsed/>
    <w:rsid w:val="003D3D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DA8"/>
    <w:rPr>
      <w:rFonts w:ascii="Segoe UI" w:hAnsi="Segoe UI" w:cs="Segoe UI"/>
      <w:sz w:val="18"/>
      <w:szCs w:val="18"/>
    </w:rPr>
  </w:style>
  <w:style w:type="paragraph" w:styleId="ListParagraph">
    <w:name w:val="List Paragraph"/>
    <w:basedOn w:val="Normal"/>
    <w:uiPriority w:val="34"/>
    <w:qFormat/>
    <w:rsid w:val="00C70FB8"/>
    <w:pPr>
      <w:ind w:left="720"/>
      <w:contextualSpacing/>
    </w:pPr>
    <w:rPr>
      <w:lang w:val="en-US"/>
    </w:rPr>
  </w:style>
  <w:style w:type="character" w:styleId="CommentReference">
    <w:name w:val="annotation reference"/>
    <w:basedOn w:val="DefaultParagraphFont"/>
    <w:uiPriority w:val="99"/>
    <w:semiHidden/>
    <w:unhideWhenUsed/>
    <w:rsid w:val="005B417B"/>
    <w:rPr>
      <w:sz w:val="16"/>
      <w:szCs w:val="16"/>
    </w:rPr>
  </w:style>
  <w:style w:type="paragraph" w:styleId="CommentText">
    <w:name w:val="annotation text"/>
    <w:basedOn w:val="Normal"/>
    <w:link w:val="CommentTextChar"/>
    <w:uiPriority w:val="99"/>
    <w:unhideWhenUsed/>
    <w:rsid w:val="005B417B"/>
    <w:pPr>
      <w:spacing w:line="240" w:lineRule="auto"/>
    </w:pPr>
    <w:rPr>
      <w:sz w:val="20"/>
      <w:szCs w:val="20"/>
    </w:rPr>
  </w:style>
  <w:style w:type="character" w:customStyle="1" w:styleId="CommentTextChar">
    <w:name w:val="Comment Text Char"/>
    <w:basedOn w:val="DefaultParagraphFont"/>
    <w:link w:val="CommentText"/>
    <w:uiPriority w:val="99"/>
    <w:rsid w:val="005B417B"/>
    <w:rPr>
      <w:sz w:val="20"/>
      <w:szCs w:val="20"/>
    </w:rPr>
  </w:style>
  <w:style w:type="paragraph" w:styleId="CommentSubject">
    <w:name w:val="annotation subject"/>
    <w:basedOn w:val="CommentText"/>
    <w:next w:val="CommentText"/>
    <w:link w:val="CommentSubjectChar"/>
    <w:uiPriority w:val="99"/>
    <w:semiHidden/>
    <w:unhideWhenUsed/>
    <w:rsid w:val="005B417B"/>
    <w:rPr>
      <w:b/>
      <w:bCs/>
    </w:rPr>
  </w:style>
  <w:style w:type="character" w:customStyle="1" w:styleId="CommentSubjectChar">
    <w:name w:val="Comment Subject Char"/>
    <w:basedOn w:val="CommentTextChar"/>
    <w:link w:val="CommentSubject"/>
    <w:uiPriority w:val="99"/>
    <w:semiHidden/>
    <w:rsid w:val="005B417B"/>
    <w:rPr>
      <w:b/>
      <w:bCs/>
      <w:sz w:val="20"/>
      <w:szCs w:val="20"/>
    </w:rPr>
  </w:style>
  <w:style w:type="character" w:styleId="Hyperlink">
    <w:name w:val="Hyperlink"/>
    <w:basedOn w:val="DefaultParagraphFont"/>
    <w:uiPriority w:val="99"/>
    <w:unhideWhenUsed/>
    <w:rsid w:val="00A927A3"/>
    <w:rPr>
      <w:color w:val="0563C1" w:themeColor="hyperlink"/>
      <w:u w:val="single"/>
    </w:rPr>
  </w:style>
  <w:style w:type="character" w:styleId="UnresolvedMention">
    <w:name w:val="Unresolved Mention"/>
    <w:basedOn w:val="DefaultParagraphFont"/>
    <w:uiPriority w:val="99"/>
    <w:semiHidden/>
    <w:unhideWhenUsed/>
    <w:rsid w:val="00A927A3"/>
    <w:rPr>
      <w:color w:val="605E5C"/>
      <w:shd w:val="clear" w:color="auto" w:fill="E1DFDD"/>
    </w:rPr>
  </w:style>
  <w:style w:type="paragraph" w:styleId="TOCHeading">
    <w:name w:val="TOC Heading"/>
    <w:basedOn w:val="Heading1"/>
    <w:next w:val="Normal"/>
    <w:uiPriority w:val="39"/>
    <w:unhideWhenUsed/>
    <w:qFormat/>
    <w:rsid w:val="007A0F78"/>
    <w:pPr>
      <w:keepNext/>
      <w:keepLines/>
      <w:numPr>
        <w:numId w:val="0"/>
      </w:numPr>
      <w:spacing w:before="240" w:after="0" w:line="259" w:lineRule="auto"/>
      <w:jc w:val="left"/>
      <w:outlineLvl w:val="9"/>
    </w:pPr>
    <w:rPr>
      <w:rFonts w:asciiTheme="majorHAnsi" w:eastAsiaTheme="majorEastAsia" w:hAnsiTheme="majorHAnsi" w:cstheme="majorBidi"/>
      <w:b w:val="0"/>
      <w:color w:val="2F5496" w:themeColor="accent1" w:themeShade="BF"/>
      <w:lang w:val="en-US" w:bidi="ar-SA"/>
    </w:rPr>
  </w:style>
  <w:style w:type="paragraph" w:styleId="TOC1">
    <w:name w:val="toc 1"/>
    <w:basedOn w:val="Normal"/>
    <w:next w:val="Normal"/>
    <w:autoRedefine/>
    <w:uiPriority w:val="39"/>
    <w:unhideWhenUsed/>
    <w:qFormat/>
    <w:rsid w:val="007A0F78"/>
    <w:pPr>
      <w:spacing w:after="100"/>
    </w:pPr>
  </w:style>
  <w:style w:type="character" w:styleId="Strong">
    <w:name w:val="Strong"/>
    <w:basedOn w:val="DefaultParagraphFont"/>
    <w:uiPriority w:val="22"/>
    <w:qFormat/>
    <w:rsid w:val="002D3F5D"/>
    <w:rPr>
      <w:b/>
      <w:bCs/>
    </w:rPr>
  </w:style>
  <w:style w:type="character" w:customStyle="1" w:styleId="medium-font">
    <w:name w:val="medium-font"/>
    <w:basedOn w:val="DefaultParagraphFont"/>
    <w:rsid w:val="002D3F5D"/>
  </w:style>
  <w:style w:type="character" w:customStyle="1" w:styleId="record-index">
    <w:name w:val="record-index"/>
    <w:basedOn w:val="DefaultParagraphFont"/>
    <w:rsid w:val="002D3F5D"/>
  </w:style>
  <w:style w:type="paragraph" w:customStyle="1" w:styleId="Caption1">
    <w:name w:val="Caption1"/>
    <w:basedOn w:val="Normal"/>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ard-view-style">
    <w:name w:val="standard-view-style"/>
    <w:basedOn w:val="DefaultParagraphFont"/>
    <w:rsid w:val="002D3F5D"/>
  </w:style>
  <w:style w:type="paragraph" w:customStyle="1" w:styleId="Caption2">
    <w:name w:val="Caption2"/>
    <w:basedOn w:val="Normal"/>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3">
    <w:name w:val="Caption3"/>
    <w:basedOn w:val="Normal"/>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4">
    <w:name w:val="Caption4"/>
    <w:basedOn w:val="Normal"/>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5">
    <w:name w:val="Caption5"/>
    <w:basedOn w:val="Normal"/>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amily-name">
    <w:name w:val="family-name"/>
    <w:basedOn w:val="DefaultParagraphFont"/>
    <w:rsid w:val="002D3F5D"/>
  </w:style>
  <w:style w:type="paragraph" w:customStyle="1" w:styleId="Caption6">
    <w:name w:val="Caption6"/>
    <w:basedOn w:val="Normal"/>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csum-authors">
    <w:name w:val="docsum-authors"/>
    <w:basedOn w:val="DefaultParagraphFont"/>
    <w:rsid w:val="002D3F5D"/>
  </w:style>
  <w:style w:type="character" w:customStyle="1" w:styleId="docsum-journal-citation">
    <w:name w:val="docsum-journal-citation"/>
    <w:basedOn w:val="DefaultParagraphFont"/>
    <w:rsid w:val="002D3F5D"/>
  </w:style>
  <w:style w:type="character" w:customStyle="1" w:styleId="citation-part">
    <w:name w:val="citation-part"/>
    <w:basedOn w:val="DefaultParagraphFont"/>
    <w:rsid w:val="002D3F5D"/>
  </w:style>
  <w:style w:type="character" w:customStyle="1" w:styleId="docsum-pmid">
    <w:name w:val="docsum-pmid"/>
    <w:basedOn w:val="DefaultParagraphFont"/>
    <w:rsid w:val="002D3F5D"/>
  </w:style>
  <w:style w:type="character" w:customStyle="1" w:styleId="ng-isolate-scope">
    <w:name w:val="ng-isolate-scope"/>
    <w:basedOn w:val="DefaultParagraphFont"/>
    <w:rsid w:val="002D3F5D"/>
  </w:style>
  <w:style w:type="character" w:customStyle="1" w:styleId="ng-binding">
    <w:name w:val="ng-binding"/>
    <w:basedOn w:val="DefaultParagraphFont"/>
    <w:rsid w:val="002D3F5D"/>
  </w:style>
  <w:style w:type="character" w:customStyle="1" w:styleId="ng-scope">
    <w:name w:val="ng-scope"/>
    <w:basedOn w:val="DefaultParagraphFont"/>
    <w:rsid w:val="002D3F5D"/>
  </w:style>
  <w:style w:type="paragraph" w:customStyle="1" w:styleId="contributor">
    <w:name w:val="contributor"/>
    <w:basedOn w:val="Normal"/>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ame">
    <w:name w:val="name"/>
    <w:basedOn w:val="DefaultParagraphFont"/>
    <w:rsid w:val="002D3F5D"/>
  </w:style>
  <w:style w:type="paragraph" w:customStyle="1" w:styleId="last">
    <w:name w:val="last"/>
    <w:basedOn w:val="Normal"/>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ffiliation-list-reveal">
    <w:name w:val="affiliation-list-reveal"/>
    <w:basedOn w:val="Normal"/>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wire-cite-metadata-journal">
    <w:name w:val="highwire-cite-metadata-journal"/>
    <w:basedOn w:val="DefaultParagraphFont"/>
    <w:rsid w:val="002D3F5D"/>
  </w:style>
  <w:style w:type="character" w:customStyle="1" w:styleId="highwire-cite-metadata-date">
    <w:name w:val="highwire-cite-metadata-date"/>
    <w:basedOn w:val="DefaultParagraphFont"/>
    <w:rsid w:val="002D3F5D"/>
  </w:style>
  <w:style w:type="character" w:customStyle="1" w:styleId="highwire-cite-metadata-volume">
    <w:name w:val="highwire-cite-metadata-volume"/>
    <w:basedOn w:val="DefaultParagraphFont"/>
    <w:rsid w:val="002D3F5D"/>
  </w:style>
  <w:style w:type="character" w:customStyle="1" w:styleId="highwire-cite-metadata-issue">
    <w:name w:val="highwire-cite-metadata-issue"/>
    <w:basedOn w:val="DefaultParagraphFont"/>
    <w:rsid w:val="002D3F5D"/>
  </w:style>
  <w:style w:type="character" w:customStyle="1" w:styleId="highwire-cite-metadata-pages">
    <w:name w:val="highwire-cite-metadata-pages"/>
    <w:basedOn w:val="DefaultParagraphFont"/>
    <w:rsid w:val="002D3F5D"/>
  </w:style>
  <w:style w:type="paragraph" w:styleId="Header">
    <w:name w:val="header"/>
    <w:basedOn w:val="Normal"/>
    <w:link w:val="HeaderChar"/>
    <w:uiPriority w:val="99"/>
    <w:unhideWhenUsed/>
    <w:rsid w:val="002D3F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F5D"/>
  </w:style>
  <w:style w:type="paragraph" w:styleId="Footer">
    <w:name w:val="footer"/>
    <w:basedOn w:val="Normal"/>
    <w:link w:val="FooterChar"/>
    <w:uiPriority w:val="99"/>
    <w:unhideWhenUsed/>
    <w:rsid w:val="002D3F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F5D"/>
  </w:style>
  <w:style w:type="paragraph" w:styleId="NormalWeb">
    <w:name w:val="Normal (Web)"/>
    <w:basedOn w:val="Normal"/>
    <w:uiPriority w:val="99"/>
    <w:unhideWhenUsed/>
    <w:rsid w:val="002D3F5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24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24C5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24C56"/>
    <w:rPr>
      <w:rFonts w:eastAsiaTheme="minorEastAsia"/>
      <w:lang w:val="en-US"/>
    </w:rPr>
  </w:style>
  <w:style w:type="paragraph" w:styleId="TOC2">
    <w:name w:val="toc 2"/>
    <w:basedOn w:val="Normal"/>
    <w:next w:val="Normal"/>
    <w:autoRedefine/>
    <w:uiPriority w:val="39"/>
    <w:unhideWhenUsed/>
    <w:qFormat/>
    <w:rsid w:val="007E7233"/>
    <w:pPr>
      <w:tabs>
        <w:tab w:val="right" w:leader="dot" w:pos="9016"/>
      </w:tabs>
      <w:spacing w:after="100"/>
      <w:ind w:left="220"/>
    </w:pPr>
    <w:rPr>
      <w:rFonts w:ascii="Arial" w:hAnsi="Arial" w:cs="Arial"/>
      <w:noProof/>
      <w:lang w:bidi="en-US"/>
    </w:rPr>
  </w:style>
  <w:style w:type="paragraph" w:styleId="TOC3">
    <w:name w:val="toc 3"/>
    <w:basedOn w:val="Normal"/>
    <w:next w:val="Normal"/>
    <w:autoRedefine/>
    <w:uiPriority w:val="39"/>
    <w:unhideWhenUsed/>
    <w:qFormat/>
    <w:rsid w:val="00324C56"/>
    <w:pPr>
      <w:spacing w:after="100"/>
      <w:ind w:left="440"/>
    </w:pPr>
    <w:rPr>
      <w:rFonts w:eastAsiaTheme="minorEastAsia" w:cs="Times New Roman"/>
      <w:lang w:val="en-US"/>
    </w:rPr>
  </w:style>
  <w:style w:type="paragraph" w:styleId="FootnoteText">
    <w:name w:val="footnote text"/>
    <w:basedOn w:val="Normal"/>
    <w:link w:val="FootnoteTextChar"/>
    <w:uiPriority w:val="99"/>
    <w:semiHidden/>
    <w:unhideWhenUsed/>
    <w:rsid w:val="00324C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4C56"/>
    <w:rPr>
      <w:sz w:val="20"/>
      <w:szCs w:val="20"/>
    </w:rPr>
  </w:style>
  <w:style w:type="character" w:styleId="FootnoteReference">
    <w:name w:val="footnote reference"/>
    <w:basedOn w:val="DefaultParagraphFont"/>
    <w:uiPriority w:val="99"/>
    <w:semiHidden/>
    <w:unhideWhenUsed/>
    <w:rsid w:val="00324C56"/>
    <w:rPr>
      <w:vertAlign w:val="superscript"/>
    </w:rPr>
  </w:style>
  <w:style w:type="paragraph" w:customStyle="1" w:styleId="p">
    <w:name w:val="p"/>
    <w:basedOn w:val="Normal"/>
    <w:rsid w:val="00324C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24C56"/>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 List - Accent 11"/>
    <w:basedOn w:val="Normal"/>
    <w:uiPriority w:val="34"/>
    <w:qFormat/>
    <w:rsid w:val="00BB4E63"/>
    <w:pPr>
      <w:spacing w:after="200" w:line="360" w:lineRule="auto"/>
      <w:ind w:left="720"/>
      <w:contextualSpacing/>
      <w:jc w:val="both"/>
    </w:pPr>
    <w:rPr>
      <w:rFonts w:eastAsiaTheme="minorEastAsia"/>
      <w:sz w:val="24"/>
      <w:lang w:bidi="en-US"/>
    </w:rPr>
  </w:style>
  <w:style w:type="paragraph" w:customStyle="1" w:styleId="Style2">
    <w:name w:val="Style2"/>
    <w:basedOn w:val="Heading1"/>
    <w:next w:val="Heading2"/>
    <w:link w:val="Style2Char"/>
    <w:rsid w:val="00BB4E63"/>
    <w:pPr>
      <w:spacing w:before="240" w:after="60" w:line="240" w:lineRule="auto"/>
    </w:pPr>
    <w:rPr>
      <w:rFonts w:ascii="Calibri" w:hAnsi="Calibri"/>
      <w:b w:val="0"/>
      <w:kern w:val="32"/>
      <w:lang w:eastAsia="en-GB"/>
    </w:rPr>
  </w:style>
  <w:style w:type="character" w:customStyle="1" w:styleId="Style2Char">
    <w:name w:val="Style2 Char"/>
    <w:basedOn w:val="DefaultParagraphFont"/>
    <w:link w:val="Style2"/>
    <w:rsid w:val="00BB4E63"/>
    <w:rPr>
      <w:rFonts w:ascii="Calibri" w:eastAsiaTheme="minorEastAsia" w:hAnsi="Calibri"/>
      <w:kern w:val="32"/>
      <w:sz w:val="32"/>
      <w:szCs w:val="32"/>
      <w:lang w:eastAsia="en-GB" w:bidi="en-US"/>
    </w:rPr>
  </w:style>
  <w:style w:type="paragraph" w:customStyle="1" w:styleId="Style3">
    <w:name w:val="Style3"/>
    <w:basedOn w:val="Heading2"/>
    <w:next w:val="Heading3"/>
    <w:link w:val="Style3Char"/>
    <w:rsid w:val="00BB4E63"/>
    <w:pPr>
      <w:keepLines w:val="0"/>
      <w:spacing w:line="240" w:lineRule="auto"/>
    </w:pPr>
    <w:rPr>
      <w:rFonts w:ascii="Calibri" w:hAnsi="Calibri"/>
      <w:iCs/>
      <w:sz w:val="24"/>
      <w:szCs w:val="24"/>
    </w:rPr>
  </w:style>
  <w:style w:type="character" w:customStyle="1" w:styleId="Style3Char">
    <w:name w:val="Style3 Char"/>
    <w:basedOn w:val="Heading2Char"/>
    <w:link w:val="Style3"/>
    <w:rsid w:val="00BB4E63"/>
    <w:rPr>
      <w:rFonts w:ascii="Calibri" w:eastAsiaTheme="majorEastAsia" w:hAnsi="Calibri" w:cstheme="majorBidi"/>
      <w:b/>
      <w:bCs/>
      <w:iCs/>
      <w:sz w:val="24"/>
      <w:szCs w:val="24"/>
      <w:lang w:eastAsia="en-GB" w:bidi="en-US"/>
    </w:rPr>
  </w:style>
  <w:style w:type="paragraph" w:customStyle="1" w:styleId="Style1">
    <w:name w:val="Style1"/>
    <w:basedOn w:val="Heading1"/>
    <w:link w:val="Style1Char"/>
    <w:rsid w:val="00BB4E63"/>
    <w:pPr>
      <w:spacing w:before="240" w:after="60" w:line="240" w:lineRule="auto"/>
    </w:pPr>
    <w:rPr>
      <w:rFonts w:ascii="Calibri" w:hAnsi="Calibri"/>
      <w:b w:val="0"/>
      <w:i/>
      <w:kern w:val="32"/>
      <w:lang w:eastAsia="en-GB"/>
    </w:rPr>
  </w:style>
  <w:style w:type="character" w:customStyle="1" w:styleId="Style1Char">
    <w:name w:val="Style1 Char"/>
    <w:basedOn w:val="DefaultParagraphFont"/>
    <w:link w:val="Style1"/>
    <w:rsid w:val="00BB4E63"/>
    <w:rPr>
      <w:rFonts w:ascii="Calibri" w:eastAsiaTheme="minorEastAsia" w:hAnsi="Calibri"/>
      <w:i/>
      <w:kern w:val="32"/>
      <w:sz w:val="32"/>
      <w:szCs w:val="32"/>
      <w:lang w:eastAsia="en-GB" w:bidi="en-US"/>
    </w:rPr>
  </w:style>
  <w:style w:type="character" w:customStyle="1" w:styleId="apple-converted-space">
    <w:name w:val="apple-converted-space"/>
    <w:basedOn w:val="DefaultParagraphFont"/>
    <w:rsid w:val="00BB4E63"/>
  </w:style>
  <w:style w:type="character" w:styleId="Emphasis">
    <w:name w:val="Emphasis"/>
    <w:basedOn w:val="DefaultParagraphFont"/>
    <w:uiPriority w:val="20"/>
    <w:qFormat/>
    <w:rsid w:val="00BB4E63"/>
    <w:rPr>
      <w:i/>
      <w:iCs/>
    </w:rPr>
  </w:style>
  <w:style w:type="paragraph" w:customStyle="1" w:styleId="totext">
    <w:name w:val="totext"/>
    <w:basedOn w:val="Normal"/>
    <w:rsid w:val="00BB4E63"/>
    <w:pPr>
      <w:spacing w:before="100" w:beforeAutospacing="1" w:after="100" w:afterAutospacing="1" w:line="240" w:lineRule="auto"/>
      <w:jc w:val="both"/>
    </w:pPr>
    <w:rPr>
      <w:rFonts w:ascii="Times New Roman" w:eastAsia="Times New Roman" w:hAnsi="Times New Roman"/>
      <w:sz w:val="24"/>
      <w:szCs w:val="24"/>
      <w:lang w:bidi="en-US"/>
    </w:rPr>
  </w:style>
  <w:style w:type="character" w:customStyle="1" w:styleId="DocumentMapChar">
    <w:name w:val="Document Map Char"/>
    <w:basedOn w:val="DefaultParagraphFont"/>
    <w:link w:val="DocumentMap"/>
    <w:uiPriority w:val="99"/>
    <w:semiHidden/>
    <w:rsid w:val="00BB4E63"/>
    <w:rPr>
      <w:rFonts w:ascii="Lucida Grande" w:eastAsiaTheme="minorEastAsia" w:hAnsi="Lucida Grande"/>
      <w:sz w:val="24"/>
      <w:szCs w:val="24"/>
      <w:lang w:bidi="en-US"/>
    </w:rPr>
  </w:style>
  <w:style w:type="paragraph" w:styleId="DocumentMap">
    <w:name w:val="Document Map"/>
    <w:basedOn w:val="Normal"/>
    <w:link w:val="DocumentMapChar"/>
    <w:uiPriority w:val="99"/>
    <w:semiHidden/>
    <w:unhideWhenUsed/>
    <w:rsid w:val="00BB4E63"/>
    <w:pPr>
      <w:spacing w:after="200" w:line="360" w:lineRule="auto"/>
      <w:jc w:val="both"/>
    </w:pPr>
    <w:rPr>
      <w:rFonts w:ascii="Lucida Grande" w:eastAsiaTheme="minorEastAsia" w:hAnsi="Lucida Grande"/>
      <w:sz w:val="24"/>
      <w:szCs w:val="24"/>
      <w:lang w:bidi="en-US"/>
    </w:rPr>
  </w:style>
  <w:style w:type="paragraph" w:styleId="Caption">
    <w:name w:val="caption"/>
    <w:basedOn w:val="Normal"/>
    <w:next w:val="Normal"/>
    <w:uiPriority w:val="35"/>
    <w:unhideWhenUsed/>
    <w:qFormat/>
    <w:rsid w:val="00BB4E63"/>
    <w:pPr>
      <w:spacing w:after="200" w:line="240" w:lineRule="auto"/>
      <w:jc w:val="both"/>
    </w:pPr>
    <w:rPr>
      <w:rFonts w:eastAsiaTheme="minorEastAsia"/>
      <w:b/>
      <w:bCs/>
      <w:sz w:val="24"/>
      <w:szCs w:val="18"/>
      <w:lang w:bidi="en-US"/>
    </w:rPr>
  </w:style>
  <w:style w:type="paragraph" w:styleId="Title">
    <w:name w:val="Title"/>
    <w:basedOn w:val="Normal"/>
    <w:next w:val="Normal"/>
    <w:link w:val="TitleChar"/>
    <w:uiPriority w:val="10"/>
    <w:qFormat/>
    <w:rsid w:val="00BB4E63"/>
    <w:pPr>
      <w:pBdr>
        <w:bottom w:val="single" w:sz="8" w:space="4" w:color="4472C4" w:themeColor="accent1"/>
      </w:pBdr>
      <w:spacing w:after="300" w:line="240" w:lineRule="auto"/>
      <w:contextualSpacing/>
      <w:jc w:val="both"/>
    </w:pPr>
    <w:rPr>
      <w:rFonts w:asciiTheme="majorHAnsi" w:eastAsiaTheme="majorEastAsia" w:hAnsiTheme="majorHAnsi" w:cstheme="majorBidi"/>
      <w:color w:val="323E4F" w:themeColor="text2" w:themeShade="BF"/>
      <w:spacing w:val="5"/>
      <w:kern w:val="28"/>
      <w:sz w:val="52"/>
      <w:szCs w:val="52"/>
      <w:lang w:bidi="en-US"/>
    </w:rPr>
  </w:style>
  <w:style w:type="character" w:customStyle="1" w:styleId="TitleChar">
    <w:name w:val="Title Char"/>
    <w:basedOn w:val="DefaultParagraphFont"/>
    <w:link w:val="Title"/>
    <w:uiPriority w:val="10"/>
    <w:rsid w:val="00BB4E63"/>
    <w:rPr>
      <w:rFonts w:asciiTheme="majorHAnsi" w:eastAsiaTheme="majorEastAsia" w:hAnsiTheme="majorHAnsi" w:cstheme="majorBidi"/>
      <w:color w:val="323E4F" w:themeColor="text2" w:themeShade="BF"/>
      <w:spacing w:val="5"/>
      <w:kern w:val="28"/>
      <w:sz w:val="52"/>
      <w:szCs w:val="52"/>
      <w:lang w:bidi="en-US"/>
    </w:rPr>
  </w:style>
  <w:style w:type="paragraph" w:styleId="Subtitle">
    <w:name w:val="Subtitle"/>
    <w:basedOn w:val="Normal"/>
    <w:next w:val="Normal"/>
    <w:link w:val="SubtitleChar"/>
    <w:uiPriority w:val="11"/>
    <w:qFormat/>
    <w:rsid w:val="00BB4E63"/>
    <w:pPr>
      <w:numPr>
        <w:ilvl w:val="1"/>
      </w:numPr>
      <w:spacing w:after="200" w:line="360" w:lineRule="auto"/>
      <w:jc w:val="both"/>
    </w:pPr>
    <w:rPr>
      <w:rFonts w:asciiTheme="majorHAnsi" w:eastAsiaTheme="majorEastAsia" w:hAnsiTheme="majorHAnsi" w:cstheme="majorBidi"/>
      <w:i/>
      <w:iCs/>
      <w:color w:val="4472C4" w:themeColor="accent1"/>
      <w:spacing w:val="15"/>
      <w:sz w:val="24"/>
      <w:szCs w:val="24"/>
      <w:lang w:bidi="en-US"/>
    </w:rPr>
  </w:style>
  <w:style w:type="character" w:customStyle="1" w:styleId="SubtitleChar">
    <w:name w:val="Subtitle Char"/>
    <w:basedOn w:val="DefaultParagraphFont"/>
    <w:link w:val="Subtitle"/>
    <w:uiPriority w:val="11"/>
    <w:rsid w:val="00BB4E63"/>
    <w:rPr>
      <w:rFonts w:asciiTheme="majorHAnsi" w:eastAsiaTheme="majorEastAsia" w:hAnsiTheme="majorHAnsi" w:cstheme="majorBidi"/>
      <w:i/>
      <w:iCs/>
      <w:color w:val="4472C4" w:themeColor="accent1"/>
      <w:spacing w:val="15"/>
      <w:sz w:val="24"/>
      <w:szCs w:val="24"/>
      <w:lang w:bidi="en-US"/>
    </w:rPr>
  </w:style>
  <w:style w:type="paragraph" w:styleId="Quote">
    <w:name w:val="Quote"/>
    <w:basedOn w:val="Normal"/>
    <w:next w:val="Normal"/>
    <w:link w:val="QuoteChar"/>
    <w:uiPriority w:val="29"/>
    <w:qFormat/>
    <w:rsid w:val="00BB4E63"/>
    <w:pPr>
      <w:widowControl w:val="0"/>
      <w:autoSpaceDE w:val="0"/>
      <w:autoSpaceDN w:val="0"/>
      <w:adjustRightInd w:val="0"/>
      <w:spacing w:after="0" w:line="276" w:lineRule="auto"/>
      <w:jc w:val="both"/>
    </w:pPr>
    <w:rPr>
      <w:rFonts w:eastAsiaTheme="minorEastAsia" w:cs="Arial"/>
      <w:i/>
      <w:sz w:val="24"/>
      <w:szCs w:val="24"/>
      <w:lang w:bidi="en-US"/>
    </w:rPr>
  </w:style>
  <w:style w:type="character" w:customStyle="1" w:styleId="QuoteChar">
    <w:name w:val="Quote Char"/>
    <w:basedOn w:val="DefaultParagraphFont"/>
    <w:link w:val="Quote"/>
    <w:uiPriority w:val="29"/>
    <w:rsid w:val="00BB4E63"/>
    <w:rPr>
      <w:rFonts w:eastAsiaTheme="minorEastAsia" w:cs="Arial"/>
      <w:i/>
      <w:sz w:val="24"/>
      <w:szCs w:val="24"/>
      <w:lang w:bidi="en-US"/>
    </w:rPr>
  </w:style>
  <w:style w:type="paragraph" w:styleId="IntenseQuote">
    <w:name w:val="Intense Quote"/>
    <w:basedOn w:val="Normal"/>
    <w:next w:val="Normal"/>
    <w:link w:val="IntenseQuoteChar"/>
    <w:uiPriority w:val="30"/>
    <w:qFormat/>
    <w:rsid w:val="00BB4E63"/>
    <w:pPr>
      <w:pBdr>
        <w:bottom w:val="single" w:sz="4" w:space="4" w:color="4472C4" w:themeColor="accent1"/>
      </w:pBdr>
      <w:spacing w:before="200" w:after="280" w:line="360" w:lineRule="auto"/>
      <w:ind w:left="936" w:right="936"/>
      <w:jc w:val="both"/>
    </w:pPr>
    <w:rPr>
      <w:rFonts w:eastAsiaTheme="minorEastAsia"/>
      <w:b/>
      <w:bCs/>
      <w:i/>
      <w:iCs/>
      <w:color w:val="4472C4" w:themeColor="accent1"/>
      <w:sz w:val="24"/>
      <w:lang w:bidi="en-US"/>
    </w:rPr>
  </w:style>
  <w:style w:type="character" w:customStyle="1" w:styleId="IntenseQuoteChar">
    <w:name w:val="Intense Quote Char"/>
    <w:basedOn w:val="DefaultParagraphFont"/>
    <w:link w:val="IntenseQuote"/>
    <w:uiPriority w:val="30"/>
    <w:rsid w:val="00BB4E63"/>
    <w:rPr>
      <w:rFonts w:eastAsiaTheme="minorEastAsia"/>
      <w:b/>
      <w:bCs/>
      <w:i/>
      <w:iCs/>
      <w:color w:val="4472C4" w:themeColor="accent1"/>
      <w:sz w:val="24"/>
      <w:lang w:bidi="en-US"/>
    </w:rPr>
  </w:style>
  <w:style w:type="character" w:styleId="SubtleEmphasis">
    <w:name w:val="Subtle Emphasis"/>
    <w:basedOn w:val="DefaultParagraphFont"/>
    <w:uiPriority w:val="19"/>
    <w:qFormat/>
    <w:rsid w:val="00BB4E63"/>
    <w:rPr>
      <w:i/>
      <w:iCs/>
      <w:color w:val="808080" w:themeColor="text1" w:themeTint="7F"/>
    </w:rPr>
  </w:style>
  <w:style w:type="character" w:styleId="IntenseEmphasis">
    <w:name w:val="Intense Emphasis"/>
    <w:basedOn w:val="DefaultParagraphFont"/>
    <w:uiPriority w:val="21"/>
    <w:qFormat/>
    <w:rsid w:val="00BB4E63"/>
    <w:rPr>
      <w:b/>
      <w:bCs/>
      <w:i/>
      <w:iCs/>
      <w:color w:val="4472C4" w:themeColor="accent1"/>
    </w:rPr>
  </w:style>
  <w:style w:type="character" w:styleId="SubtleReference">
    <w:name w:val="Subtle Reference"/>
    <w:basedOn w:val="DefaultParagraphFont"/>
    <w:uiPriority w:val="31"/>
    <w:qFormat/>
    <w:rsid w:val="00BB4E63"/>
    <w:rPr>
      <w:smallCaps/>
      <w:color w:val="ED7D31" w:themeColor="accent2"/>
      <w:u w:val="single"/>
    </w:rPr>
  </w:style>
  <w:style w:type="character" w:styleId="IntenseReference">
    <w:name w:val="Intense Reference"/>
    <w:basedOn w:val="DefaultParagraphFont"/>
    <w:uiPriority w:val="32"/>
    <w:qFormat/>
    <w:rsid w:val="00BB4E63"/>
    <w:rPr>
      <w:b/>
      <w:bCs/>
      <w:smallCaps/>
      <w:color w:val="ED7D31" w:themeColor="accent2"/>
      <w:spacing w:val="5"/>
      <w:u w:val="single"/>
    </w:rPr>
  </w:style>
  <w:style w:type="character" w:styleId="BookTitle">
    <w:name w:val="Book Title"/>
    <w:basedOn w:val="DefaultParagraphFont"/>
    <w:uiPriority w:val="33"/>
    <w:qFormat/>
    <w:rsid w:val="00BB4E63"/>
    <w:rPr>
      <w:b/>
      <w:bCs/>
      <w:smallCaps/>
      <w:spacing w:val="5"/>
    </w:rPr>
  </w:style>
  <w:style w:type="character" w:customStyle="1" w:styleId="EndnoteTextChar">
    <w:name w:val="Endnote Text Char"/>
    <w:basedOn w:val="DefaultParagraphFont"/>
    <w:link w:val="EndnoteText"/>
    <w:uiPriority w:val="99"/>
    <w:semiHidden/>
    <w:rsid w:val="00BB4E63"/>
    <w:rPr>
      <w:rFonts w:eastAsiaTheme="minorEastAsia"/>
      <w:sz w:val="20"/>
      <w:szCs w:val="20"/>
      <w:lang w:bidi="en-US"/>
    </w:rPr>
  </w:style>
  <w:style w:type="paragraph" w:styleId="EndnoteText">
    <w:name w:val="endnote text"/>
    <w:basedOn w:val="Normal"/>
    <w:link w:val="EndnoteTextChar"/>
    <w:uiPriority w:val="99"/>
    <w:semiHidden/>
    <w:unhideWhenUsed/>
    <w:rsid w:val="00BB4E63"/>
    <w:pPr>
      <w:spacing w:after="0" w:line="240" w:lineRule="auto"/>
      <w:jc w:val="both"/>
    </w:pPr>
    <w:rPr>
      <w:rFonts w:eastAsiaTheme="minorEastAsia"/>
      <w:sz w:val="20"/>
      <w:szCs w:val="20"/>
      <w:lang w:bidi="en-US"/>
    </w:rPr>
  </w:style>
  <w:style w:type="paragraph" w:styleId="BodyText">
    <w:name w:val="Body Text"/>
    <w:basedOn w:val="Normal"/>
    <w:next w:val="Normal"/>
    <w:link w:val="BodyTextChar"/>
    <w:uiPriority w:val="99"/>
    <w:rsid w:val="00BB4E63"/>
    <w:pPr>
      <w:autoSpaceDE w:val="0"/>
      <w:autoSpaceDN w:val="0"/>
      <w:adjustRightInd w:val="0"/>
      <w:spacing w:after="0" w:line="240" w:lineRule="auto"/>
      <w:jc w:val="both"/>
    </w:pPr>
    <w:rPr>
      <w:rFonts w:ascii="Trebuchet MS" w:eastAsia="Calibri" w:hAnsi="Trebuchet MS" w:cs="Times New Roman"/>
      <w:sz w:val="24"/>
      <w:szCs w:val="24"/>
    </w:rPr>
  </w:style>
  <w:style w:type="character" w:customStyle="1" w:styleId="BodyTextChar">
    <w:name w:val="Body Text Char"/>
    <w:basedOn w:val="DefaultParagraphFont"/>
    <w:link w:val="BodyText"/>
    <w:uiPriority w:val="99"/>
    <w:rsid w:val="00BB4E63"/>
    <w:rPr>
      <w:rFonts w:ascii="Trebuchet MS" w:eastAsia="Calibri" w:hAnsi="Trebuchet MS" w:cs="Times New Roman"/>
      <w:sz w:val="24"/>
      <w:szCs w:val="24"/>
    </w:rPr>
  </w:style>
  <w:style w:type="paragraph" w:customStyle="1" w:styleId="HeadingGemma">
    <w:name w:val="Heading Gemma"/>
    <w:basedOn w:val="Normal"/>
    <w:link w:val="HeadingGemmaChar"/>
    <w:rsid w:val="00BB4E63"/>
    <w:pPr>
      <w:spacing w:after="0" w:line="480" w:lineRule="auto"/>
      <w:jc w:val="both"/>
    </w:pPr>
    <w:rPr>
      <w:rFonts w:ascii="Times New Roman" w:eastAsia="Times New Roman" w:hAnsi="Times New Roman" w:cs="Calibri"/>
      <w:b/>
      <w:bCs/>
      <w:i/>
      <w:iCs/>
      <w:sz w:val="24"/>
      <w:szCs w:val="24"/>
    </w:rPr>
  </w:style>
  <w:style w:type="character" w:customStyle="1" w:styleId="HeadingGemmaChar">
    <w:name w:val="Heading Gemma Char"/>
    <w:basedOn w:val="DefaultParagraphFont"/>
    <w:link w:val="HeadingGemma"/>
    <w:rsid w:val="00BB4E63"/>
    <w:rPr>
      <w:rFonts w:ascii="Times New Roman" w:eastAsia="Times New Roman" w:hAnsi="Times New Roman" w:cs="Calibri"/>
      <w:b/>
      <w:bCs/>
      <w:i/>
      <w:iCs/>
      <w:sz w:val="24"/>
      <w:szCs w:val="24"/>
    </w:rPr>
  </w:style>
  <w:style w:type="paragraph" w:styleId="BodyText3">
    <w:name w:val="Body Text 3"/>
    <w:basedOn w:val="Normal"/>
    <w:link w:val="BodyText3Char"/>
    <w:rsid w:val="00BB4E63"/>
    <w:pPr>
      <w:spacing w:after="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B4E63"/>
    <w:rPr>
      <w:rFonts w:ascii="Times New Roman" w:eastAsia="Times New Roman" w:hAnsi="Times New Roman" w:cs="Times New Roman"/>
      <w:sz w:val="16"/>
      <w:szCs w:val="16"/>
    </w:rPr>
  </w:style>
  <w:style w:type="character" w:styleId="PageNumber">
    <w:name w:val="page number"/>
    <w:basedOn w:val="DefaultParagraphFont"/>
    <w:uiPriority w:val="99"/>
    <w:rsid w:val="00BB4E63"/>
  </w:style>
  <w:style w:type="paragraph" w:customStyle="1" w:styleId="DecimalAligned">
    <w:name w:val="Decimal Aligned"/>
    <w:basedOn w:val="Normal"/>
    <w:uiPriority w:val="40"/>
    <w:qFormat/>
    <w:rsid w:val="00BB4E63"/>
    <w:pPr>
      <w:tabs>
        <w:tab w:val="decimal" w:pos="360"/>
      </w:tabs>
      <w:spacing w:after="200" w:line="360" w:lineRule="auto"/>
      <w:jc w:val="both"/>
    </w:pPr>
    <w:rPr>
      <w:rFonts w:ascii="Times New Roman" w:eastAsia="Times New Roman" w:hAnsi="Times New Roman" w:cs="Times New Roman"/>
      <w:sz w:val="24"/>
    </w:rPr>
  </w:style>
  <w:style w:type="character" w:styleId="PlaceholderText">
    <w:name w:val="Placeholder Text"/>
    <w:basedOn w:val="DefaultParagraphFont"/>
    <w:uiPriority w:val="99"/>
    <w:rsid w:val="00BB4E63"/>
    <w:rPr>
      <w:color w:val="808080"/>
    </w:rPr>
  </w:style>
  <w:style w:type="paragraph" w:styleId="TOC4">
    <w:name w:val="toc 4"/>
    <w:basedOn w:val="Normal"/>
    <w:next w:val="Normal"/>
    <w:autoRedefine/>
    <w:uiPriority w:val="39"/>
    <w:unhideWhenUsed/>
    <w:rsid w:val="00BB4E63"/>
    <w:pPr>
      <w:spacing w:after="0" w:line="360" w:lineRule="auto"/>
      <w:ind w:left="720"/>
    </w:pPr>
    <w:rPr>
      <w:rFonts w:ascii="Times New Roman" w:eastAsia="Times New Roman" w:hAnsi="Times New Roman" w:cs="Times New Roman"/>
      <w:sz w:val="20"/>
      <w:szCs w:val="20"/>
      <w:lang w:bidi="en-US"/>
    </w:rPr>
  </w:style>
  <w:style w:type="paragraph" w:styleId="TOC5">
    <w:name w:val="toc 5"/>
    <w:basedOn w:val="Normal"/>
    <w:next w:val="Normal"/>
    <w:autoRedefine/>
    <w:uiPriority w:val="39"/>
    <w:unhideWhenUsed/>
    <w:rsid w:val="00BB4E63"/>
    <w:pPr>
      <w:spacing w:after="0" w:line="360" w:lineRule="auto"/>
      <w:ind w:left="960"/>
    </w:pPr>
    <w:rPr>
      <w:rFonts w:ascii="Times New Roman" w:eastAsia="Times New Roman" w:hAnsi="Times New Roman" w:cs="Times New Roman"/>
      <w:sz w:val="20"/>
      <w:szCs w:val="20"/>
      <w:lang w:bidi="en-US"/>
    </w:rPr>
  </w:style>
  <w:style w:type="paragraph" w:styleId="TOC6">
    <w:name w:val="toc 6"/>
    <w:basedOn w:val="Normal"/>
    <w:next w:val="Normal"/>
    <w:autoRedefine/>
    <w:uiPriority w:val="39"/>
    <w:unhideWhenUsed/>
    <w:rsid w:val="00BB4E63"/>
    <w:pPr>
      <w:spacing w:after="0" w:line="360" w:lineRule="auto"/>
      <w:ind w:left="1200"/>
    </w:pPr>
    <w:rPr>
      <w:rFonts w:ascii="Times New Roman" w:eastAsia="Times New Roman" w:hAnsi="Times New Roman" w:cs="Times New Roman"/>
      <w:sz w:val="20"/>
      <w:szCs w:val="20"/>
      <w:lang w:bidi="en-US"/>
    </w:rPr>
  </w:style>
  <w:style w:type="paragraph" w:styleId="TOC7">
    <w:name w:val="toc 7"/>
    <w:basedOn w:val="Normal"/>
    <w:next w:val="Normal"/>
    <w:autoRedefine/>
    <w:uiPriority w:val="39"/>
    <w:unhideWhenUsed/>
    <w:rsid w:val="00BB4E63"/>
    <w:pPr>
      <w:spacing w:after="0" w:line="360" w:lineRule="auto"/>
      <w:ind w:left="1440"/>
    </w:pPr>
    <w:rPr>
      <w:rFonts w:ascii="Times New Roman" w:eastAsia="Times New Roman" w:hAnsi="Times New Roman" w:cs="Times New Roman"/>
      <w:sz w:val="20"/>
      <w:szCs w:val="20"/>
      <w:lang w:bidi="en-US"/>
    </w:rPr>
  </w:style>
  <w:style w:type="paragraph" w:styleId="TOC8">
    <w:name w:val="toc 8"/>
    <w:basedOn w:val="Normal"/>
    <w:next w:val="Normal"/>
    <w:autoRedefine/>
    <w:uiPriority w:val="39"/>
    <w:unhideWhenUsed/>
    <w:rsid w:val="00BB4E63"/>
    <w:pPr>
      <w:spacing w:after="0" w:line="360" w:lineRule="auto"/>
      <w:ind w:left="1680"/>
    </w:pPr>
    <w:rPr>
      <w:rFonts w:ascii="Times New Roman" w:eastAsia="Times New Roman" w:hAnsi="Times New Roman" w:cs="Times New Roman"/>
      <w:sz w:val="20"/>
      <w:szCs w:val="20"/>
      <w:lang w:bidi="en-US"/>
    </w:rPr>
  </w:style>
  <w:style w:type="paragraph" w:styleId="TOC9">
    <w:name w:val="toc 9"/>
    <w:basedOn w:val="Normal"/>
    <w:next w:val="Normal"/>
    <w:autoRedefine/>
    <w:uiPriority w:val="39"/>
    <w:unhideWhenUsed/>
    <w:rsid w:val="00BB4E63"/>
    <w:pPr>
      <w:spacing w:after="0" w:line="360" w:lineRule="auto"/>
      <w:ind w:left="1920"/>
    </w:pPr>
    <w:rPr>
      <w:rFonts w:ascii="Times New Roman" w:eastAsia="Times New Roman" w:hAnsi="Times New Roman" w:cs="Times New Roman"/>
      <w:sz w:val="20"/>
      <w:szCs w:val="20"/>
      <w:lang w:bidi="en-US"/>
    </w:rPr>
  </w:style>
  <w:style w:type="paragraph" w:customStyle="1" w:styleId="0BA79098586B479299B952A2D828A4C0">
    <w:name w:val="0BA79098586B479299B952A2D828A4C0"/>
    <w:rsid w:val="00BB4E63"/>
    <w:pPr>
      <w:spacing w:after="200" w:line="276" w:lineRule="auto"/>
    </w:pPr>
    <w:rPr>
      <w:rFonts w:ascii="Calibri" w:eastAsia="Times New Roman" w:hAnsi="Calibri" w:cs="Times New Roman"/>
      <w:lang w:val="en-US"/>
    </w:rPr>
  </w:style>
  <w:style w:type="paragraph" w:styleId="Revision">
    <w:name w:val="Revision"/>
    <w:hidden/>
    <w:uiPriority w:val="99"/>
    <w:rsid w:val="00BB4E63"/>
    <w:pPr>
      <w:spacing w:after="0" w:line="240" w:lineRule="auto"/>
    </w:pPr>
    <w:rPr>
      <w:rFonts w:ascii="Times New Roman" w:eastAsia="Times New Roman" w:hAnsi="Times New Roman" w:cs="Times New Roman"/>
      <w:sz w:val="24"/>
      <w:lang w:bidi="en-US"/>
    </w:rPr>
  </w:style>
  <w:style w:type="paragraph" w:styleId="ListBullet">
    <w:name w:val="List Bullet"/>
    <w:basedOn w:val="Normal"/>
    <w:uiPriority w:val="99"/>
    <w:unhideWhenUsed/>
    <w:rsid w:val="00BB4E63"/>
    <w:pPr>
      <w:numPr>
        <w:numId w:val="5"/>
      </w:numPr>
      <w:spacing w:after="120" w:line="360" w:lineRule="auto"/>
      <w:contextualSpacing/>
      <w:jc w:val="both"/>
    </w:pPr>
    <w:rPr>
      <w:rFonts w:ascii="Times New Roman" w:eastAsia="Calibri" w:hAnsi="Times New Roman" w:cs="Times New Roman"/>
      <w:sz w:val="24"/>
    </w:rPr>
  </w:style>
  <w:style w:type="character" w:customStyle="1" w:styleId="referencediv">
    <w:name w:val="referencediv"/>
    <w:basedOn w:val="DefaultParagraphFont"/>
    <w:rsid w:val="00BB4E63"/>
  </w:style>
  <w:style w:type="paragraph" w:styleId="TableofFigures">
    <w:name w:val="table of figures"/>
    <w:basedOn w:val="Normal"/>
    <w:next w:val="Normal"/>
    <w:uiPriority w:val="99"/>
    <w:unhideWhenUsed/>
    <w:rsid w:val="00BB4E63"/>
    <w:pPr>
      <w:spacing w:after="0" w:line="360" w:lineRule="auto"/>
      <w:jc w:val="both"/>
    </w:pPr>
    <w:rPr>
      <w:rFonts w:eastAsiaTheme="minorEastAsia"/>
      <w:sz w:val="24"/>
      <w:lang w:bidi="en-US"/>
    </w:rPr>
  </w:style>
  <w:style w:type="paragraph" w:customStyle="1" w:styleId="Normaltext">
    <w:name w:val="Normal text"/>
    <w:basedOn w:val="Default"/>
    <w:next w:val="Default"/>
    <w:uiPriority w:val="99"/>
    <w:rsid w:val="00BB4E63"/>
    <w:rPr>
      <w:rFonts w:ascii="CMDCO E+ Meta Normal" w:eastAsiaTheme="minorEastAsia" w:hAnsi="CMDCO E+ Meta Normal" w:cstheme="minorBidi"/>
      <w:color w:val="auto"/>
      <w:lang w:val="en-US"/>
    </w:rPr>
  </w:style>
  <w:style w:type="paragraph" w:customStyle="1" w:styleId="Style4">
    <w:name w:val="Style4"/>
    <w:link w:val="Style4Char"/>
    <w:qFormat/>
    <w:rsid w:val="00BB4E63"/>
    <w:pPr>
      <w:spacing w:after="200" w:line="360" w:lineRule="auto"/>
    </w:pPr>
    <w:rPr>
      <w:rFonts w:ascii="Times New Roman" w:eastAsiaTheme="minorEastAsia" w:hAnsi="Times New Roman" w:cstheme="majorBidi"/>
      <w:b/>
      <w:sz w:val="32"/>
      <w:szCs w:val="32"/>
      <w:lang w:eastAsia="en-GB" w:bidi="en-US"/>
    </w:rPr>
  </w:style>
  <w:style w:type="character" w:customStyle="1" w:styleId="Style4Char">
    <w:name w:val="Style4 Char"/>
    <w:basedOn w:val="Heading2Char"/>
    <w:link w:val="Style4"/>
    <w:rsid w:val="00BB4E63"/>
    <w:rPr>
      <w:rFonts w:ascii="Times New Roman" w:eastAsiaTheme="minorEastAsia" w:hAnsi="Times New Roman" w:cstheme="majorBidi"/>
      <w:b/>
      <w:bCs w:val="0"/>
      <w:sz w:val="32"/>
      <w:szCs w:val="32"/>
      <w:lang w:eastAsia="en-GB" w:bidi="en-US"/>
    </w:rPr>
  </w:style>
  <w:style w:type="paragraph" w:customStyle="1" w:styleId="xl65">
    <w:name w:val="xl65"/>
    <w:basedOn w:val="Normal"/>
    <w:rsid w:val="00BB4E6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BB4E6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BB4E63"/>
    <w:pPr>
      <w:spacing w:before="100" w:beforeAutospacing="1" w:after="100" w:afterAutospacing="1" w:line="240" w:lineRule="auto"/>
    </w:pPr>
    <w:rPr>
      <w:rFonts w:ascii="Arial" w:eastAsia="Times New Roman" w:hAnsi="Arial" w:cs="Arial"/>
      <w:sz w:val="24"/>
      <w:szCs w:val="24"/>
      <w:lang w:val="en-US"/>
    </w:rPr>
  </w:style>
  <w:style w:type="paragraph" w:customStyle="1" w:styleId="xl68">
    <w:name w:val="xl68"/>
    <w:basedOn w:val="Normal"/>
    <w:rsid w:val="00BB4E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69">
    <w:name w:val="xl69"/>
    <w:basedOn w:val="Normal"/>
    <w:rsid w:val="00BB4E6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0">
    <w:name w:val="xl70"/>
    <w:basedOn w:val="Normal"/>
    <w:rsid w:val="00BB4E6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1">
    <w:name w:val="xl71"/>
    <w:basedOn w:val="Normal"/>
    <w:rsid w:val="00BB4E63"/>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val="en-US"/>
    </w:rPr>
  </w:style>
  <w:style w:type="paragraph" w:customStyle="1" w:styleId="xl72">
    <w:name w:val="xl72"/>
    <w:basedOn w:val="Normal"/>
    <w:rsid w:val="00BB4E6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3">
    <w:name w:val="xl73"/>
    <w:basedOn w:val="Normal"/>
    <w:rsid w:val="00BB4E6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4">
    <w:name w:val="xl74"/>
    <w:basedOn w:val="Normal"/>
    <w:rsid w:val="00BB4E6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5">
    <w:name w:val="xl75"/>
    <w:basedOn w:val="Normal"/>
    <w:rsid w:val="00BB4E63"/>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6">
    <w:name w:val="xl76"/>
    <w:basedOn w:val="Normal"/>
    <w:rsid w:val="00BB4E63"/>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7">
    <w:name w:val="xl77"/>
    <w:basedOn w:val="Normal"/>
    <w:rsid w:val="00BB4E63"/>
    <w:pPr>
      <w:pBdr>
        <w:top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val="en-US"/>
    </w:rPr>
  </w:style>
  <w:style w:type="paragraph" w:customStyle="1" w:styleId="xl78">
    <w:name w:val="xl78"/>
    <w:basedOn w:val="Normal"/>
    <w:rsid w:val="00BB4E63"/>
    <w:pPr>
      <w:pBdr>
        <w:top w:val="single" w:sz="4" w:space="0" w:color="auto"/>
        <w:left w:val="single" w:sz="4" w:space="0" w:color="auto"/>
        <w:right w:val="single" w:sz="4" w:space="0" w:color="auto"/>
      </w:pBdr>
      <w:shd w:val="clear" w:color="000000" w:fill="993366"/>
      <w:spacing w:before="100" w:beforeAutospacing="1" w:after="100" w:afterAutospacing="1" w:line="240" w:lineRule="auto"/>
    </w:pPr>
    <w:rPr>
      <w:rFonts w:ascii="Arial" w:eastAsia="Times New Roman" w:hAnsi="Arial" w:cs="Arial"/>
      <w:color w:val="FFFFFF"/>
      <w:sz w:val="24"/>
      <w:szCs w:val="24"/>
      <w:lang w:val="en-US"/>
    </w:rPr>
  </w:style>
  <w:style w:type="paragraph" w:customStyle="1" w:styleId="xl79">
    <w:name w:val="xl79"/>
    <w:basedOn w:val="Normal"/>
    <w:rsid w:val="00BB4E63"/>
    <w:pPr>
      <w:pBdr>
        <w:top w:val="single" w:sz="4" w:space="0" w:color="auto"/>
        <w:left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val="en-US"/>
    </w:rPr>
  </w:style>
  <w:style w:type="paragraph" w:customStyle="1" w:styleId="xl80">
    <w:name w:val="xl80"/>
    <w:basedOn w:val="Normal"/>
    <w:rsid w:val="00BB4E63"/>
    <w:pPr>
      <w:pBdr>
        <w:left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val="en-US"/>
    </w:rPr>
  </w:style>
  <w:style w:type="paragraph" w:customStyle="1" w:styleId="xl81">
    <w:name w:val="xl81"/>
    <w:basedOn w:val="Normal"/>
    <w:rsid w:val="00BB4E6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val="en-US"/>
    </w:rPr>
  </w:style>
  <w:style w:type="paragraph" w:customStyle="1" w:styleId="xl82">
    <w:name w:val="xl82"/>
    <w:basedOn w:val="Normal"/>
    <w:rsid w:val="00BB4E63"/>
    <w:pPr>
      <w:pBdr>
        <w:top w:val="single" w:sz="4" w:space="0" w:color="auto"/>
        <w:left w:val="single" w:sz="4" w:space="0" w:color="auto"/>
        <w:right w:val="single" w:sz="4" w:space="0" w:color="auto"/>
      </w:pBdr>
      <w:shd w:val="clear" w:color="000000" w:fill="993366"/>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83">
    <w:name w:val="xl83"/>
    <w:basedOn w:val="Normal"/>
    <w:rsid w:val="00BB4E63"/>
    <w:pPr>
      <w:pBdr>
        <w:top w:val="single" w:sz="4" w:space="0" w:color="auto"/>
        <w:left w:val="single" w:sz="4" w:space="0" w:color="auto"/>
        <w:right w:val="single" w:sz="4" w:space="0" w:color="auto"/>
      </w:pBdr>
      <w:shd w:val="clear" w:color="000000" w:fill="993366"/>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84">
    <w:name w:val="xl84"/>
    <w:basedOn w:val="Normal"/>
    <w:rsid w:val="00BB4E63"/>
    <w:pPr>
      <w:pBdr>
        <w:top w:val="single" w:sz="4" w:space="0" w:color="auto"/>
      </w:pBdr>
      <w:shd w:val="clear" w:color="000000" w:fill="993366"/>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85">
    <w:name w:val="xl85"/>
    <w:basedOn w:val="Normal"/>
    <w:rsid w:val="00BB4E6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86">
    <w:name w:val="xl86"/>
    <w:basedOn w:val="Normal"/>
    <w:rsid w:val="00BB4E63"/>
    <w:pPr>
      <w:pBdr>
        <w:top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87">
    <w:name w:val="xl87"/>
    <w:basedOn w:val="Normal"/>
    <w:rsid w:val="00BB4E6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88">
    <w:name w:val="xl88"/>
    <w:basedOn w:val="Normal"/>
    <w:rsid w:val="00BB4E63"/>
    <w:pPr>
      <w:pBdr>
        <w:bottom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89">
    <w:name w:val="xl89"/>
    <w:basedOn w:val="Normal"/>
    <w:rsid w:val="00BB4E6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0">
    <w:name w:val="xl90"/>
    <w:basedOn w:val="Normal"/>
    <w:rsid w:val="00BB4E63"/>
    <w:pP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1">
    <w:name w:val="xl91"/>
    <w:basedOn w:val="Normal"/>
    <w:rsid w:val="00BB4E63"/>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2">
    <w:name w:val="xl92"/>
    <w:basedOn w:val="Normal"/>
    <w:rsid w:val="00BB4E63"/>
    <w:pPr>
      <w:shd w:val="clear" w:color="000000" w:fill="C0C0C0"/>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3">
    <w:name w:val="xl93"/>
    <w:basedOn w:val="Normal"/>
    <w:rsid w:val="00BB4E63"/>
    <w:pPr>
      <w:pBdr>
        <w:left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4">
    <w:name w:val="xl94"/>
    <w:basedOn w:val="Normal"/>
    <w:rsid w:val="00BB4E63"/>
    <w:pPr>
      <w:pBdr>
        <w:top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5">
    <w:name w:val="xl95"/>
    <w:basedOn w:val="Normal"/>
    <w:rsid w:val="00BB4E6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6">
    <w:name w:val="xl96"/>
    <w:basedOn w:val="Normal"/>
    <w:rsid w:val="00BB4E63"/>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val="en-US"/>
    </w:rPr>
  </w:style>
  <w:style w:type="paragraph" w:customStyle="1" w:styleId="xl97">
    <w:name w:val="xl97"/>
    <w:basedOn w:val="Normal"/>
    <w:rsid w:val="00BB4E63"/>
    <w:pPr>
      <w:pBdr>
        <w:bottom w:val="single" w:sz="4" w:space="0" w:color="auto"/>
      </w:pBdr>
      <w:shd w:val="clear" w:color="000000" w:fill="C0C0C0"/>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8">
    <w:name w:val="xl98"/>
    <w:basedOn w:val="Normal"/>
    <w:rsid w:val="00BB4E6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9">
    <w:name w:val="xl99"/>
    <w:basedOn w:val="Normal"/>
    <w:rsid w:val="00BB4E63"/>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0">
    <w:name w:val="xl100"/>
    <w:basedOn w:val="Normal"/>
    <w:rsid w:val="00BB4E63"/>
    <w:pPr>
      <w:pBdr>
        <w:top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1">
    <w:name w:val="xl101"/>
    <w:basedOn w:val="Normal"/>
    <w:rsid w:val="00BB4E63"/>
    <w:pPr>
      <w:pBdr>
        <w:bottom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2">
    <w:name w:val="xl102"/>
    <w:basedOn w:val="Normal"/>
    <w:rsid w:val="00BB4E63"/>
    <w:pPr>
      <w:pBdr>
        <w:top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3">
    <w:name w:val="xl103"/>
    <w:basedOn w:val="Normal"/>
    <w:rsid w:val="00BB4E63"/>
    <w:pPr>
      <w:shd w:val="clear" w:color="000000" w:fill="99CC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4">
    <w:name w:val="xl104"/>
    <w:basedOn w:val="Normal"/>
    <w:rsid w:val="00BB4E63"/>
    <w:pPr>
      <w:pBdr>
        <w:left w:val="single" w:sz="4" w:space="0" w:color="auto"/>
        <w:right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5">
    <w:name w:val="xl105"/>
    <w:basedOn w:val="Normal"/>
    <w:rsid w:val="00BB4E63"/>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6">
    <w:name w:val="xl106"/>
    <w:basedOn w:val="Normal"/>
    <w:rsid w:val="00BB4E63"/>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7">
    <w:name w:val="xl107"/>
    <w:basedOn w:val="Normal"/>
    <w:rsid w:val="00BB4E63"/>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8">
    <w:name w:val="xl108"/>
    <w:basedOn w:val="Normal"/>
    <w:rsid w:val="00BB4E63"/>
    <w:pPr>
      <w:pBdr>
        <w:top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09">
    <w:name w:val="xl109"/>
    <w:basedOn w:val="Normal"/>
    <w:rsid w:val="00BB4E6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0">
    <w:name w:val="xl110"/>
    <w:basedOn w:val="Normal"/>
    <w:rsid w:val="00BB4E63"/>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11">
    <w:name w:val="xl111"/>
    <w:basedOn w:val="Normal"/>
    <w:rsid w:val="00BB4E6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12">
    <w:name w:val="xl112"/>
    <w:basedOn w:val="Normal"/>
    <w:rsid w:val="00BB4E63"/>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13">
    <w:name w:val="xl113"/>
    <w:basedOn w:val="Normal"/>
    <w:rsid w:val="00BB4E63"/>
    <w:pPr>
      <w:pBdr>
        <w:lef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14">
    <w:name w:val="xl114"/>
    <w:basedOn w:val="Normal"/>
    <w:rsid w:val="00BB4E63"/>
    <w:pPr>
      <w:pBdr>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character" w:customStyle="1" w:styleId="BodyTextIndentChar">
    <w:name w:val="Body Text Indent Char"/>
    <w:basedOn w:val="DefaultParagraphFont"/>
    <w:link w:val="BodyTextIndent"/>
    <w:uiPriority w:val="99"/>
    <w:semiHidden/>
    <w:rsid w:val="00BB4E63"/>
    <w:rPr>
      <w:rFonts w:eastAsiaTheme="minorEastAsia"/>
      <w:sz w:val="24"/>
      <w:lang w:bidi="en-US"/>
    </w:rPr>
  </w:style>
  <w:style w:type="paragraph" w:styleId="BodyTextIndent">
    <w:name w:val="Body Text Indent"/>
    <w:basedOn w:val="Normal"/>
    <w:link w:val="BodyTextIndentChar"/>
    <w:uiPriority w:val="99"/>
    <w:semiHidden/>
    <w:unhideWhenUsed/>
    <w:rsid w:val="00BB4E63"/>
    <w:pPr>
      <w:spacing w:after="120" w:line="360" w:lineRule="auto"/>
      <w:ind w:left="283"/>
      <w:jc w:val="both"/>
    </w:pPr>
    <w:rPr>
      <w:rFonts w:eastAsiaTheme="minorEastAsia"/>
      <w:sz w:val="24"/>
      <w:lang w:bidi="en-US"/>
    </w:rPr>
  </w:style>
  <w:style w:type="character" w:customStyle="1" w:styleId="ilfuvd">
    <w:name w:val="ilfuvd"/>
    <w:basedOn w:val="DefaultParagraphFont"/>
    <w:rsid w:val="008D109C"/>
  </w:style>
  <w:style w:type="paragraph" w:customStyle="1" w:styleId="Normal0">
    <w:name w:val="[Normal]"/>
    <w:uiPriority w:val="99"/>
    <w:rsid w:val="008D109C"/>
    <w:pPr>
      <w:widowControl w:val="0"/>
      <w:autoSpaceDE w:val="0"/>
      <w:autoSpaceDN w:val="0"/>
      <w:adjustRightInd w:val="0"/>
      <w:spacing w:after="0" w:line="240" w:lineRule="auto"/>
    </w:pPr>
    <w:rPr>
      <w:rFonts w:ascii="Arial" w:hAnsi="Arial" w:cs="Arial"/>
      <w:sz w:val="24"/>
      <w:szCs w:val="24"/>
    </w:rPr>
  </w:style>
  <w:style w:type="character" w:customStyle="1" w:styleId="UnresolvedMention1">
    <w:name w:val="Unresolved Mention1"/>
    <w:basedOn w:val="DefaultParagraphFont"/>
    <w:uiPriority w:val="99"/>
    <w:semiHidden/>
    <w:unhideWhenUsed/>
    <w:rsid w:val="00492C98"/>
    <w:rPr>
      <w:color w:val="605E5C"/>
      <w:shd w:val="clear" w:color="auto" w:fill="E1DFDD"/>
    </w:rPr>
  </w:style>
  <w:style w:type="character" w:styleId="FollowedHyperlink">
    <w:name w:val="FollowedHyperlink"/>
    <w:basedOn w:val="DefaultParagraphFont"/>
    <w:uiPriority w:val="99"/>
    <w:semiHidden/>
    <w:unhideWhenUsed/>
    <w:rsid w:val="00492C98"/>
    <w:rPr>
      <w:color w:val="954F72" w:themeColor="followedHyperlink"/>
      <w:u w:val="single"/>
    </w:rPr>
  </w:style>
  <w:style w:type="numbering" w:customStyle="1" w:styleId="NoList1">
    <w:name w:val="No List1"/>
    <w:next w:val="NoList"/>
    <w:uiPriority w:val="99"/>
    <w:semiHidden/>
    <w:unhideWhenUsed/>
    <w:rsid w:val="00492C98"/>
  </w:style>
  <w:style w:type="table" w:styleId="PlainTable2">
    <w:name w:val="Plain Table 2"/>
    <w:basedOn w:val="TableNormal"/>
    <w:uiPriority w:val="42"/>
    <w:rsid w:val="00492C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gkelc">
    <w:name w:val="hgkelc"/>
    <w:basedOn w:val="DefaultParagraphFont"/>
    <w:rsid w:val="00030627"/>
  </w:style>
  <w:style w:type="character" w:styleId="EndnoteReference">
    <w:name w:val="endnote reference"/>
    <w:basedOn w:val="DefaultParagraphFont"/>
    <w:uiPriority w:val="99"/>
    <w:semiHidden/>
    <w:unhideWhenUsed/>
    <w:rsid w:val="001868D9"/>
    <w:rPr>
      <w:vertAlign w:val="superscript"/>
    </w:rPr>
  </w:style>
  <w:style w:type="paragraph" w:customStyle="1" w:styleId="CM1">
    <w:name w:val="CM1"/>
    <w:basedOn w:val="Default"/>
    <w:next w:val="Default"/>
    <w:rsid w:val="001A70E7"/>
    <w:pPr>
      <w:widowControl w:val="0"/>
    </w:pPr>
    <w:rPr>
      <w:rFonts w:ascii="Calibri" w:eastAsia="Times New Roman" w:hAnsi="Calibri" w:cs="Times New Roman"/>
      <w:color w:val="auto"/>
      <w:lang w:val="en-CA" w:eastAsia="en-CA"/>
    </w:rPr>
  </w:style>
  <w:style w:type="paragraph" w:customStyle="1" w:styleId="a2Heading">
    <w:name w:val="a2Heading"/>
    <w:basedOn w:val="Default"/>
    <w:next w:val="Default"/>
    <w:uiPriority w:val="99"/>
    <w:rsid w:val="00587808"/>
    <w:rPr>
      <w:rFonts w:ascii="Univers LT Std" w:hAnsi="Univers LT Std" w:cstheme="minorBidi"/>
      <w:color w:val="auto"/>
    </w:rPr>
  </w:style>
  <w:style w:type="paragraph" w:customStyle="1" w:styleId="a3Heading">
    <w:name w:val="a3Heading"/>
    <w:basedOn w:val="Default"/>
    <w:next w:val="Default"/>
    <w:uiPriority w:val="99"/>
    <w:rsid w:val="00587808"/>
    <w:rPr>
      <w:rFonts w:ascii="Univers LT Std" w:hAnsi="Univers LT Std" w:cstheme="minorBidi"/>
      <w:color w:val="auto"/>
    </w:rPr>
  </w:style>
  <w:style w:type="paragraph" w:customStyle="1" w:styleId="aQuestion">
    <w:name w:val="aQuestion"/>
    <w:basedOn w:val="Default"/>
    <w:next w:val="Default"/>
    <w:uiPriority w:val="99"/>
    <w:rsid w:val="00587808"/>
    <w:rPr>
      <w:rFonts w:ascii="Univers LT Std" w:hAnsi="Univers LT Std" w:cstheme="minorBidi"/>
      <w:color w:val="auto"/>
    </w:rPr>
  </w:style>
  <w:style w:type="paragraph" w:customStyle="1" w:styleId="QTEXT">
    <w:name w:val="QTEXT"/>
    <w:basedOn w:val="Normal"/>
    <w:rsid w:val="00095E2C"/>
    <w:pPr>
      <w:spacing w:after="0" w:line="240" w:lineRule="auto"/>
    </w:pPr>
    <w:rPr>
      <w:rFonts w:ascii="Book Antiqua" w:eastAsia="Times New Roman" w:hAnsi="Book Antiqua" w:cs="Times New Roman"/>
      <w:szCs w:val="20"/>
      <w:lang w:eastAsia="en-GB"/>
    </w:rPr>
  </w:style>
  <w:style w:type="paragraph" w:customStyle="1" w:styleId="QName">
    <w:name w:val="QName"/>
    <w:basedOn w:val="Normal"/>
    <w:rsid w:val="00095E2C"/>
    <w:pPr>
      <w:spacing w:after="0" w:line="240" w:lineRule="auto"/>
    </w:pPr>
    <w:rPr>
      <w:rFonts w:ascii="Arial" w:eastAsia="Times New Roman" w:hAnsi="Arial" w:cs="Times New Roman"/>
      <w:b/>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0823">
      <w:bodyDiv w:val="1"/>
      <w:marLeft w:val="0"/>
      <w:marRight w:val="0"/>
      <w:marTop w:val="0"/>
      <w:marBottom w:val="0"/>
      <w:divBdr>
        <w:top w:val="none" w:sz="0" w:space="0" w:color="auto"/>
        <w:left w:val="none" w:sz="0" w:space="0" w:color="auto"/>
        <w:bottom w:val="none" w:sz="0" w:space="0" w:color="auto"/>
        <w:right w:val="none" w:sz="0" w:space="0" w:color="auto"/>
      </w:divBdr>
    </w:div>
    <w:div w:id="144200512">
      <w:bodyDiv w:val="1"/>
      <w:marLeft w:val="0"/>
      <w:marRight w:val="0"/>
      <w:marTop w:val="0"/>
      <w:marBottom w:val="0"/>
      <w:divBdr>
        <w:top w:val="none" w:sz="0" w:space="0" w:color="auto"/>
        <w:left w:val="none" w:sz="0" w:space="0" w:color="auto"/>
        <w:bottom w:val="none" w:sz="0" w:space="0" w:color="auto"/>
        <w:right w:val="none" w:sz="0" w:space="0" w:color="auto"/>
      </w:divBdr>
    </w:div>
    <w:div w:id="174267136">
      <w:bodyDiv w:val="1"/>
      <w:marLeft w:val="0"/>
      <w:marRight w:val="0"/>
      <w:marTop w:val="0"/>
      <w:marBottom w:val="0"/>
      <w:divBdr>
        <w:top w:val="none" w:sz="0" w:space="0" w:color="auto"/>
        <w:left w:val="none" w:sz="0" w:space="0" w:color="auto"/>
        <w:bottom w:val="none" w:sz="0" w:space="0" w:color="auto"/>
        <w:right w:val="none" w:sz="0" w:space="0" w:color="auto"/>
      </w:divBdr>
    </w:div>
    <w:div w:id="186021505">
      <w:bodyDiv w:val="1"/>
      <w:marLeft w:val="0"/>
      <w:marRight w:val="0"/>
      <w:marTop w:val="0"/>
      <w:marBottom w:val="0"/>
      <w:divBdr>
        <w:top w:val="none" w:sz="0" w:space="0" w:color="auto"/>
        <w:left w:val="none" w:sz="0" w:space="0" w:color="auto"/>
        <w:bottom w:val="none" w:sz="0" w:space="0" w:color="auto"/>
        <w:right w:val="none" w:sz="0" w:space="0" w:color="auto"/>
      </w:divBdr>
    </w:div>
    <w:div w:id="285696341">
      <w:bodyDiv w:val="1"/>
      <w:marLeft w:val="0"/>
      <w:marRight w:val="0"/>
      <w:marTop w:val="0"/>
      <w:marBottom w:val="0"/>
      <w:divBdr>
        <w:top w:val="none" w:sz="0" w:space="0" w:color="auto"/>
        <w:left w:val="none" w:sz="0" w:space="0" w:color="auto"/>
        <w:bottom w:val="none" w:sz="0" w:space="0" w:color="auto"/>
        <w:right w:val="none" w:sz="0" w:space="0" w:color="auto"/>
      </w:divBdr>
    </w:div>
    <w:div w:id="356081070">
      <w:bodyDiv w:val="1"/>
      <w:marLeft w:val="0"/>
      <w:marRight w:val="0"/>
      <w:marTop w:val="0"/>
      <w:marBottom w:val="0"/>
      <w:divBdr>
        <w:top w:val="none" w:sz="0" w:space="0" w:color="auto"/>
        <w:left w:val="none" w:sz="0" w:space="0" w:color="auto"/>
        <w:bottom w:val="none" w:sz="0" w:space="0" w:color="auto"/>
        <w:right w:val="none" w:sz="0" w:space="0" w:color="auto"/>
      </w:divBdr>
    </w:div>
    <w:div w:id="380910968">
      <w:bodyDiv w:val="1"/>
      <w:marLeft w:val="0"/>
      <w:marRight w:val="0"/>
      <w:marTop w:val="0"/>
      <w:marBottom w:val="0"/>
      <w:divBdr>
        <w:top w:val="none" w:sz="0" w:space="0" w:color="auto"/>
        <w:left w:val="none" w:sz="0" w:space="0" w:color="auto"/>
        <w:bottom w:val="none" w:sz="0" w:space="0" w:color="auto"/>
        <w:right w:val="none" w:sz="0" w:space="0" w:color="auto"/>
      </w:divBdr>
    </w:div>
    <w:div w:id="476150589">
      <w:bodyDiv w:val="1"/>
      <w:marLeft w:val="0"/>
      <w:marRight w:val="0"/>
      <w:marTop w:val="0"/>
      <w:marBottom w:val="0"/>
      <w:divBdr>
        <w:top w:val="none" w:sz="0" w:space="0" w:color="auto"/>
        <w:left w:val="none" w:sz="0" w:space="0" w:color="auto"/>
        <w:bottom w:val="none" w:sz="0" w:space="0" w:color="auto"/>
        <w:right w:val="none" w:sz="0" w:space="0" w:color="auto"/>
      </w:divBdr>
    </w:div>
    <w:div w:id="569972354">
      <w:bodyDiv w:val="1"/>
      <w:marLeft w:val="0"/>
      <w:marRight w:val="0"/>
      <w:marTop w:val="0"/>
      <w:marBottom w:val="0"/>
      <w:divBdr>
        <w:top w:val="none" w:sz="0" w:space="0" w:color="auto"/>
        <w:left w:val="none" w:sz="0" w:space="0" w:color="auto"/>
        <w:bottom w:val="none" w:sz="0" w:space="0" w:color="auto"/>
        <w:right w:val="none" w:sz="0" w:space="0" w:color="auto"/>
      </w:divBdr>
    </w:div>
    <w:div w:id="643042549">
      <w:bodyDiv w:val="1"/>
      <w:marLeft w:val="0"/>
      <w:marRight w:val="0"/>
      <w:marTop w:val="0"/>
      <w:marBottom w:val="0"/>
      <w:divBdr>
        <w:top w:val="none" w:sz="0" w:space="0" w:color="auto"/>
        <w:left w:val="none" w:sz="0" w:space="0" w:color="auto"/>
        <w:bottom w:val="none" w:sz="0" w:space="0" w:color="auto"/>
        <w:right w:val="none" w:sz="0" w:space="0" w:color="auto"/>
      </w:divBdr>
    </w:div>
    <w:div w:id="661004913">
      <w:bodyDiv w:val="1"/>
      <w:marLeft w:val="0"/>
      <w:marRight w:val="0"/>
      <w:marTop w:val="0"/>
      <w:marBottom w:val="0"/>
      <w:divBdr>
        <w:top w:val="none" w:sz="0" w:space="0" w:color="auto"/>
        <w:left w:val="none" w:sz="0" w:space="0" w:color="auto"/>
        <w:bottom w:val="none" w:sz="0" w:space="0" w:color="auto"/>
        <w:right w:val="none" w:sz="0" w:space="0" w:color="auto"/>
      </w:divBdr>
    </w:div>
    <w:div w:id="677194377">
      <w:bodyDiv w:val="1"/>
      <w:marLeft w:val="0"/>
      <w:marRight w:val="0"/>
      <w:marTop w:val="0"/>
      <w:marBottom w:val="0"/>
      <w:divBdr>
        <w:top w:val="none" w:sz="0" w:space="0" w:color="auto"/>
        <w:left w:val="none" w:sz="0" w:space="0" w:color="auto"/>
        <w:bottom w:val="none" w:sz="0" w:space="0" w:color="auto"/>
        <w:right w:val="none" w:sz="0" w:space="0" w:color="auto"/>
      </w:divBdr>
    </w:div>
    <w:div w:id="689532867">
      <w:bodyDiv w:val="1"/>
      <w:marLeft w:val="0"/>
      <w:marRight w:val="0"/>
      <w:marTop w:val="0"/>
      <w:marBottom w:val="0"/>
      <w:divBdr>
        <w:top w:val="none" w:sz="0" w:space="0" w:color="auto"/>
        <w:left w:val="none" w:sz="0" w:space="0" w:color="auto"/>
        <w:bottom w:val="none" w:sz="0" w:space="0" w:color="auto"/>
        <w:right w:val="none" w:sz="0" w:space="0" w:color="auto"/>
      </w:divBdr>
    </w:div>
    <w:div w:id="712268843">
      <w:bodyDiv w:val="1"/>
      <w:marLeft w:val="0"/>
      <w:marRight w:val="0"/>
      <w:marTop w:val="0"/>
      <w:marBottom w:val="0"/>
      <w:divBdr>
        <w:top w:val="none" w:sz="0" w:space="0" w:color="auto"/>
        <w:left w:val="none" w:sz="0" w:space="0" w:color="auto"/>
        <w:bottom w:val="none" w:sz="0" w:space="0" w:color="auto"/>
        <w:right w:val="none" w:sz="0" w:space="0" w:color="auto"/>
      </w:divBdr>
    </w:div>
    <w:div w:id="756556356">
      <w:bodyDiv w:val="1"/>
      <w:marLeft w:val="0"/>
      <w:marRight w:val="0"/>
      <w:marTop w:val="0"/>
      <w:marBottom w:val="0"/>
      <w:divBdr>
        <w:top w:val="none" w:sz="0" w:space="0" w:color="auto"/>
        <w:left w:val="none" w:sz="0" w:space="0" w:color="auto"/>
        <w:bottom w:val="none" w:sz="0" w:space="0" w:color="auto"/>
        <w:right w:val="none" w:sz="0" w:space="0" w:color="auto"/>
      </w:divBdr>
    </w:div>
    <w:div w:id="793595344">
      <w:bodyDiv w:val="1"/>
      <w:marLeft w:val="0"/>
      <w:marRight w:val="0"/>
      <w:marTop w:val="0"/>
      <w:marBottom w:val="0"/>
      <w:divBdr>
        <w:top w:val="none" w:sz="0" w:space="0" w:color="auto"/>
        <w:left w:val="none" w:sz="0" w:space="0" w:color="auto"/>
        <w:bottom w:val="none" w:sz="0" w:space="0" w:color="auto"/>
        <w:right w:val="none" w:sz="0" w:space="0" w:color="auto"/>
      </w:divBdr>
    </w:div>
    <w:div w:id="795832674">
      <w:bodyDiv w:val="1"/>
      <w:marLeft w:val="0"/>
      <w:marRight w:val="0"/>
      <w:marTop w:val="0"/>
      <w:marBottom w:val="0"/>
      <w:divBdr>
        <w:top w:val="none" w:sz="0" w:space="0" w:color="auto"/>
        <w:left w:val="none" w:sz="0" w:space="0" w:color="auto"/>
        <w:bottom w:val="none" w:sz="0" w:space="0" w:color="auto"/>
        <w:right w:val="none" w:sz="0" w:space="0" w:color="auto"/>
      </w:divBdr>
    </w:div>
    <w:div w:id="844245473">
      <w:bodyDiv w:val="1"/>
      <w:marLeft w:val="0"/>
      <w:marRight w:val="0"/>
      <w:marTop w:val="0"/>
      <w:marBottom w:val="0"/>
      <w:divBdr>
        <w:top w:val="none" w:sz="0" w:space="0" w:color="auto"/>
        <w:left w:val="none" w:sz="0" w:space="0" w:color="auto"/>
        <w:bottom w:val="none" w:sz="0" w:space="0" w:color="auto"/>
        <w:right w:val="none" w:sz="0" w:space="0" w:color="auto"/>
      </w:divBdr>
    </w:div>
    <w:div w:id="861824689">
      <w:bodyDiv w:val="1"/>
      <w:marLeft w:val="0"/>
      <w:marRight w:val="0"/>
      <w:marTop w:val="0"/>
      <w:marBottom w:val="0"/>
      <w:divBdr>
        <w:top w:val="none" w:sz="0" w:space="0" w:color="auto"/>
        <w:left w:val="none" w:sz="0" w:space="0" w:color="auto"/>
        <w:bottom w:val="none" w:sz="0" w:space="0" w:color="auto"/>
        <w:right w:val="none" w:sz="0" w:space="0" w:color="auto"/>
      </w:divBdr>
    </w:div>
    <w:div w:id="1116100102">
      <w:bodyDiv w:val="1"/>
      <w:marLeft w:val="0"/>
      <w:marRight w:val="0"/>
      <w:marTop w:val="0"/>
      <w:marBottom w:val="0"/>
      <w:divBdr>
        <w:top w:val="none" w:sz="0" w:space="0" w:color="auto"/>
        <w:left w:val="none" w:sz="0" w:space="0" w:color="auto"/>
        <w:bottom w:val="none" w:sz="0" w:space="0" w:color="auto"/>
        <w:right w:val="none" w:sz="0" w:space="0" w:color="auto"/>
      </w:divBdr>
    </w:div>
    <w:div w:id="1260019354">
      <w:bodyDiv w:val="1"/>
      <w:marLeft w:val="0"/>
      <w:marRight w:val="0"/>
      <w:marTop w:val="0"/>
      <w:marBottom w:val="0"/>
      <w:divBdr>
        <w:top w:val="none" w:sz="0" w:space="0" w:color="auto"/>
        <w:left w:val="none" w:sz="0" w:space="0" w:color="auto"/>
        <w:bottom w:val="none" w:sz="0" w:space="0" w:color="auto"/>
        <w:right w:val="none" w:sz="0" w:space="0" w:color="auto"/>
      </w:divBdr>
    </w:div>
    <w:div w:id="1261066057">
      <w:bodyDiv w:val="1"/>
      <w:marLeft w:val="0"/>
      <w:marRight w:val="0"/>
      <w:marTop w:val="0"/>
      <w:marBottom w:val="0"/>
      <w:divBdr>
        <w:top w:val="none" w:sz="0" w:space="0" w:color="auto"/>
        <w:left w:val="none" w:sz="0" w:space="0" w:color="auto"/>
        <w:bottom w:val="none" w:sz="0" w:space="0" w:color="auto"/>
        <w:right w:val="none" w:sz="0" w:space="0" w:color="auto"/>
      </w:divBdr>
    </w:div>
    <w:div w:id="1267689998">
      <w:bodyDiv w:val="1"/>
      <w:marLeft w:val="0"/>
      <w:marRight w:val="0"/>
      <w:marTop w:val="0"/>
      <w:marBottom w:val="0"/>
      <w:divBdr>
        <w:top w:val="none" w:sz="0" w:space="0" w:color="auto"/>
        <w:left w:val="none" w:sz="0" w:space="0" w:color="auto"/>
        <w:bottom w:val="none" w:sz="0" w:space="0" w:color="auto"/>
        <w:right w:val="none" w:sz="0" w:space="0" w:color="auto"/>
      </w:divBdr>
    </w:div>
    <w:div w:id="1281261362">
      <w:bodyDiv w:val="1"/>
      <w:marLeft w:val="0"/>
      <w:marRight w:val="0"/>
      <w:marTop w:val="0"/>
      <w:marBottom w:val="0"/>
      <w:divBdr>
        <w:top w:val="none" w:sz="0" w:space="0" w:color="auto"/>
        <w:left w:val="none" w:sz="0" w:space="0" w:color="auto"/>
        <w:bottom w:val="none" w:sz="0" w:space="0" w:color="auto"/>
        <w:right w:val="none" w:sz="0" w:space="0" w:color="auto"/>
      </w:divBdr>
    </w:div>
    <w:div w:id="1340037233">
      <w:bodyDiv w:val="1"/>
      <w:marLeft w:val="0"/>
      <w:marRight w:val="0"/>
      <w:marTop w:val="0"/>
      <w:marBottom w:val="0"/>
      <w:divBdr>
        <w:top w:val="none" w:sz="0" w:space="0" w:color="auto"/>
        <w:left w:val="none" w:sz="0" w:space="0" w:color="auto"/>
        <w:bottom w:val="none" w:sz="0" w:space="0" w:color="auto"/>
        <w:right w:val="none" w:sz="0" w:space="0" w:color="auto"/>
      </w:divBdr>
    </w:div>
    <w:div w:id="1371683404">
      <w:bodyDiv w:val="1"/>
      <w:marLeft w:val="0"/>
      <w:marRight w:val="0"/>
      <w:marTop w:val="0"/>
      <w:marBottom w:val="0"/>
      <w:divBdr>
        <w:top w:val="none" w:sz="0" w:space="0" w:color="auto"/>
        <w:left w:val="none" w:sz="0" w:space="0" w:color="auto"/>
        <w:bottom w:val="none" w:sz="0" w:space="0" w:color="auto"/>
        <w:right w:val="none" w:sz="0" w:space="0" w:color="auto"/>
      </w:divBdr>
    </w:div>
    <w:div w:id="1464081402">
      <w:bodyDiv w:val="1"/>
      <w:marLeft w:val="0"/>
      <w:marRight w:val="0"/>
      <w:marTop w:val="0"/>
      <w:marBottom w:val="0"/>
      <w:divBdr>
        <w:top w:val="none" w:sz="0" w:space="0" w:color="auto"/>
        <w:left w:val="none" w:sz="0" w:space="0" w:color="auto"/>
        <w:bottom w:val="none" w:sz="0" w:space="0" w:color="auto"/>
        <w:right w:val="none" w:sz="0" w:space="0" w:color="auto"/>
      </w:divBdr>
    </w:div>
    <w:div w:id="1501040287">
      <w:bodyDiv w:val="1"/>
      <w:marLeft w:val="0"/>
      <w:marRight w:val="0"/>
      <w:marTop w:val="0"/>
      <w:marBottom w:val="0"/>
      <w:divBdr>
        <w:top w:val="none" w:sz="0" w:space="0" w:color="auto"/>
        <w:left w:val="none" w:sz="0" w:space="0" w:color="auto"/>
        <w:bottom w:val="none" w:sz="0" w:space="0" w:color="auto"/>
        <w:right w:val="none" w:sz="0" w:space="0" w:color="auto"/>
      </w:divBdr>
    </w:div>
    <w:div w:id="1553271682">
      <w:bodyDiv w:val="1"/>
      <w:marLeft w:val="0"/>
      <w:marRight w:val="0"/>
      <w:marTop w:val="0"/>
      <w:marBottom w:val="0"/>
      <w:divBdr>
        <w:top w:val="none" w:sz="0" w:space="0" w:color="auto"/>
        <w:left w:val="none" w:sz="0" w:space="0" w:color="auto"/>
        <w:bottom w:val="none" w:sz="0" w:space="0" w:color="auto"/>
        <w:right w:val="none" w:sz="0" w:space="0" w:color="auto"/>
      </w:divBdr>
    </w:div>
    <w:div w:id="1564832283">
      <w:bodyDiv w:val="1"/>
      <w:marLeft w:val="0"/>
      <w:marRight w:val="0"/>
      <w:marTop w:val="0"/>
      <w:marBottom w:val="0"/>
      <w:divBdr>
        <w:top w:val="none" w:sz="0" w:space="0" w:color="auto"/>
        <w:left w:val="none" w:sz="0" w:space="0" w:color="auto"/>
        <w:bottom w:val="none" w:sz="0" w:space="0" w:color="auto"/>
        <w:right w:val="none" w:sz="0" w:space="0" w:color="auto"/>
      </w:divBdr>
    </w:div>
    <w:div w:id="1568295016">
      <w:bodyDiv w:val="1"/>
      <w:marLeft w:val="0"/>
      <w:marRight w:val="0"/>
      <w:marTop w:val="0"/>
      <w:marBottom w:val="0"/>
      <w:divBdr>
        <w:top w:val="none" w:sz="0" w:space="0" w:color="auto"/>
        <w:left w:val="none" w:sz="0" w:space="0" w:color="auto"/>
        <w:bottom w:val="none" w:sz="0" w:space="0" w:color="auto"/>
        <w:right w:val="none" w:sz="0" w:space="0" w:color="auto"/>
      </w:divBdr>
    </w:div>
    <w:div w:id="1575044318">
      <w:bodyDiv w:val="1"/>
      <w:marLeft w:val="0"/>
      <w:marRight w:val="0"/>
      <w:marTop w:val="0"/>
      <w:marBottom w:val="0"/>
      <w:divBdr>
        <w:top w:val="none" w:sz="0" w:space="0" w:color="auto"/>
        <w:left w:val="none" w:sz="0" w:space="0" w:color="auto"/>
        <w:bottom w:val="none" w:sz="0" w:space="0" w:color="auto"/>
        <w:right w:val="none" w:sz="0" w:space="0" w:color="auto"/>
      </w:divBdr>
    </w:div>
    <w:div w:id="1645695168">
      <w:bodyDiv w:val="1"/>
      <w:marLeft w:val="0"/>
      <w:marRight w:val="0"/>
      <w:marTop w:val="0"/>
      <w:marBottom w:val="0"/>
      <w:divBdr>
        <w:top w:val="none" w:sz="0" w:space="0" w:color="auto"/>
        <w:left w:val="none" w:sz="0" w:space="0" w:color="auto"/>
        <w:bottom w:val="none" w:sz="0" w:space="0" w:color="auto"/>
        <w:right w:val="none" w:sz="0" w:space="0" w:color="auto"/>
      </w:divBdr>
    </w:div>
    <w:div w:id="1682275295">
      <w:bodyDiv w:val="1"/>
      <w:marLeft w:val="0"/>
      <w:marRight w:val="0"/>
      <w:marTop w:val="0"/>
      <w:marBottom w:val="0"/>
      <w:divBdr>
        <w:top w:val="none" w:sz="0" w:space="0" w:color="auto"/>
        <w:left w:val="none" w:sz="0" w:space="0" w:color="auto"/>
        <w:bottom w:val="none" w:sz="0" w:space="0" w:color="auto"/>
        <w:right w:val="none" w:sz="0" w:space="0" w:color="auto"/>
      </w:divBdr>
    </w:div>
    <w:div w:id="1706363547">
      <w:bodyDiv w:val="1"/>
      <w:marLeft w:val="0"/>
      <w:marRight w:val="0"/>
      <w:marTop w:val="0"/>
      <w:marBottom w:val="0"/>
      <w:divBdr>
        <w:top w:val="none" w:sz="0" w:space="0" w:color="auto"/>
        <w:left w:val="none" w:sz="0" w:space="0" w:color="auto"/>
        <w:bottom w:val="none" w:sz="0" w:space="0" w:color="auto"/>
        <w:right w:val="none" w:sz="0" w:space="0" w:color="auto"/>
      </w:divBdr>
    </w:div>
    <w:div w:id="1741445638">
      <w:bodyDiv w:val="1"/>
      <w:marLeft w:val="0"/>
      <w:marRight w:val="0"/>
      <w:marTop w:val="0"/>
      <w:marBottom w:val="0"/>
      <w:divBdr>
        <w:top w:val="none" w:sz="0" w:space="0" w:color="auto"/>
        <w:left w:val="none" w:sz="0" w:space="0" w:color="auto"/>
        <w:bottom w:val="none" w:sz="0" w:space="0" w:color="auto"/>
        <w:right w:val="none" w:sz="0" w:space="0" w:color="auto"/>
      </w:divBdr>
    </w:div>
    <w:div w:id="1799643005">
      <w:bodyDiv w:val="1"/>
      <w:marLeft w:val="0"/>
      <w:marRight w:val="0"/>
      <w:marTop w:val="0"/>
      <w:marBottom w:val="0"/>
      <w:divBdr>
        <w:top w:val="none" w:sz="0" w:space="0" w:color="auto"/>
        <w:left w:val="none" w:sz="0" w:space="0" w:color="auto"/>
        <w:bottom w:val="none" w:sz="0" w:space="0" w:color="auto"/>
        <w:right w:val="none" w:sz="0" w:space="0" w:color="auto"/>
      </w:divBdr>
    </w:div>
    <w:div w:id="1802916466">
      <w:bodyDiv w:val="1"/>
      <w:marLeft w:val="0"/>
      <w:marRight w:val="0"/>
      <w:marTop w:val="0"/>
      <w:marBottom w:val="0"/>
      <w:divBdr>
        <w:top w:val="none" w:sz="0" w:space="0" w:color="auto"/>
        <w:left w:val="none" w:sz="0" w:space="0" w:color="auto"/>
        <w:bottom w:val="none" w:sz="0" w:space="0" w:color="auto"/>
        <w:right w:val="none" w:sz="0" w:space="0" w:color="auto"/>
      </w:divBdr>
    </w:div>
    <w:div w:id="1855531232">
      <w:bodyDiv w:val="1"/>
      <w:marLeft w:val="0"/>
      <w:marRight w:val="0"/>
      <w:marTop w:val="0"/>
      <w:marBottom w:val="0"/>
      <w:divBdr>
        <w:top w:val="none" w:sz="0" w:space="0" w:color="auto"/>
        <w:left w:val="none" w:sz="0" w:space="0" w:color="auto"/>
        <w:bottom w:val="none" w:sz="0" w:space="0" w:color="auto"/>
        <w:right w:val="none" w:sz="0" w:space="0" w:color="auto"/>
      </w:divBdr>
    </w:div>
    <w:div w:id="1867063022">
      <w:bodyDiv w:val="1"/>
      <w:marLeft w:val="0"/>
      <w:marRight w:val="0"/>
      <w:marTop w:val="0"/>
      <w:marBottom w:val="0"/>
      <w:divBdr>
        <w:top w:val="none" w:sz="0" w:space="0" w:color="auto"/>
        <w:left w:val="none" w:sz="0" w:space="0" w:color="auto"/>
        <w:bottom w:val="none" w:sz="0" w:space="0" w:color="auto"/>
        <w:right w:val="none" w:sz="0" w:space="0" w:color="auto"/>
      </w:divBdr>
    </w:div>
    <w:div w:id="1871185425">
      <w:bodyDiv w:val="1"/>
      <w:marLeft w:val="0"/>
      <w:marRight w:val="0"/>
      <w:marTop w:val="0"/>
      <w:marBottom w:val="0"/>
      <w:divBdr>
        <w:top w:val="none" w:sz="0" w:space="0" w:color="auto"/>
        <w:left w:val="none" w:sz="0" w:space="0" w:color="auto"/>
        <w:bottom w:val="none" w:sz="0" w:space="0" w:color="auto"/>
        <w:right w:val="none" w:sz="0" w:space="0" w:color="auto"/>
      </w:divBdr>
      <w:divsChild>
        <w:div w:id="1222251598">
          <w:marLeft w:val="0"/>
          <w:marRight w:val="0"/>
          <w:marTop w:val="0"/>
          <w:marBottom w:val="0"/>
          <w:divBdr>
            <w:top w:val="none" w:sz="0" w:space="0" w:color="auto"/>
            <w:left w:val="none" w:sz="0" w:space="0" w:color="auto"/>
            <w:bottom w:val="none" w:sz="0" w:space="0" w:color="auto"/>
            <w:right w:val="none" w:sz="0" w:space="0" w:color="auto"/>
          </w:divBdr>
        </w:div>
      </w:divsChild>
    </w:div>
    <w:div w:id="1884094688">
      <w:bodyDiv w:val="1"/>
      <w:marLeft w:val="0"/>
      <w:marRight w:val="0"/>
      <w:marTop w:val="0"/>
      <w:marBottom w:val="0"/>
      <w:divBdr>
        <w:top w:val="none" w:sz="0" w:space="0" w:color="auto"/>
        <w:left w:val="none" w:sz="0" w:space="0" w:color="auto"/>
        <w:bottom w:val="none" w:sz="0" w:space="0" w:color="auto"/>
        <w:right w:val="none" w:sz="0" w:space="0" w:color="auto"/>
      </w:divBdr>
    </w:div>
    <w:div w:id="1909227489">
      <w:bodyDiv w:val="1"/>
      <w:marLeft w:val="0"/>
      <w:marRight w:val="0"/>
      <w:marTop w:val="0"/>
      <w:marBottom w:val="0"/>
      <w:divBdr>
        <w:top w:val="none" w:sz="0" w:space="0" w:color="auto"/>
        <w:left w:val="none" w:sz="0" w:space="0" w:color="auto"/>
        <w:bottom w:val="none" w:sz="0" w:space="0" w:color="auto"/>
        <w:right w:val="none" w:sz="0" w:space="0" w:color="auto"/>
      </w:divBdr>
    </w:div>
    <w:div w:id="1911842135">
      <w:bodyDiv w:val="1"/>
      <w:marLeft w:val="0"/>
      <w:marRight w:val="0"/>
      <w:marTop w:val="0"/>
      <w:marBottom w:val="0"/>
      <w:divBdr>
        <w:top w:val="none" w:sz="0" w:space="0" w:color="auto"/>
        <w:left w:val="none" w:sz="0" w:space="0" w:color="auto"/>
        <w:bottom w:val="none" w:sz="0" w:space="0" w:color="auto"/>
        <w:right w:val="none" w:sz="0" w:space="0" w:color="auto"/>
      </w:divBdr>
    </w:div>
    <w:div w:id="2022585965">
      <w:bodyDiv w:val="1"/>
      <w:marLeft w:val="0"/>
      <w:marRight w:val="0"/>
      <w:marTop w:val="0"/>
      <w:marBottom w:val="0"/>
      <w:divBdr>
        <w:top w:val="none" w:sz="0" w:space="0" w:color="auto"/>
        <w:left w:val="none" w:sz="0" w:space="0" w:color="auto"/>
        <w:bottom w:val="none" w:sz="0" w:space="0" w:color="auto"/>
        <w:right w:val="none" w:sz="0" w:space="0" w:color="auto"/>
      </w:divBdr>
    </w:div>
    <w:div w:id="2098166700">
      <w:bodyDiv w:val="1"/>
      <w:marLeft w:val="0"/>
      <w:marRight w:val="0"/>
      <w:marTop w:val="0"/>
      <w:marBottom w:val="0"/>
      <w:divBdr>
        <w:top w:val="none" w:sz="0" w:space="0" w:color="auto"/>
        <w:left w:val="none" w:sz="0" w:space="0" w:color="auto"/>
        <w:bottom w:val="none" w:sz="0" w:space="0" w:color="auto"/>
        <w:right w:val="none" w:sz="0" w:space="0" w:color="auto"/>
      </w:divBdr>
    </w:div>
    <w:div w:id="2114933200">
      <w:bodyDiv w:val="1"/>
      <w:marLeft w:val="0"/>
      <w:marRight w:val="0"/>
      <w:marTop w:val="0"/>
      <w:marBottom w:val="0"/>
      <w:divBdr>
        <w:top w:val="none" w:sz="0" w:space="0" w:color="auto"/>
        <w:left w:val="none" w:sz="0" w:space="0" w:color="auto"/>
        <w:bottom w:val="none" w:sz="0" w:space="0" w:color="auto"/>
        <w:right w:val="none" w:sz="0" w:space="0" w:color="auto"/>
      </w:divBdr>
    </w:div>
    <w:div w:id="2118981151">
      <w:bodyDiv w:val="1"/>
      <w:marLeft w:val="0"/>
      <w:marRight w:val="0"/>
      <w:marTop w:val="0"/>
      <w:marBottom w:val="0"/>
      <w:divBdr>
        <w:top w:val="none" w:sz="0" w:space="0" w:color="auto"/>
        <w:left w:val="none" w:sz="0" w:space="0" w:color="auto"/>
        <w:bottom w:val="none" w:sz="0" w:space="0" w:color="auto"/>
        <w:right w:val="none" w:sz="0" w:space="0" w:color="auto"/>
      </w:divBdr>
    </w:div>
    <w:div w:id="2124373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diabres.2020.108273" TargetMode="Externa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hyperlink" Target="mailto:r.povey@staffs.ac.uk" TargetMode="Externa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www.google.co.uk/url?sa=i&amp;rct=j&amp;q=&amp;esrc=s&amp;source=images&amp;cd=&amp;cad=rja&amp;uact=8&amp;ved=0ahUKEwieraWUocHPAhVFFywKHS-YAD4QjRwIBQ&amp;url=http://www.staffs.ac.uk/brand/elements/logo/&amp;psig=AFQjCNEkGPqSuuTv3xoA68U0V6TY9Fb0AA&amp;ust=1475674265199800" TargetMode="External"/><Relationship Id="rId42" Type="http://schemas.openxmlformats.org/officeDocument/2006/relationships/image" Target="media/image12.png"/><Relationship Id="rId47" Type="http://schemas.openxmlformats.org/officeDocument/2006/relationships/hyperlink" Target="https://www.diabetes.org.uk/" TargetMode="External"/><Relationship Id="rId50"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https://doi.org/10.1111/dme.14804" TargetMode="External"/><Relationship Id="rId17" Type="http://schemas.openxmlformats.org/officeDocument/2006/relationships/footer" Target="footer4.xml"/><Relationship Id="rId25" Type="http://schemas.openxmlformats.org/officeDocument/2006/relationships/image" Target="media/image1.jpeg"/><Relationship Id="rId33" Type="http://schemas.openxmlformats.org/officeDocument/2006/relationships/image" Target="media/image8.png"/><Relationship Id="rId38" Type="http://schemas.openxmlformats.org/officeDocument/2006/relationships/hyperlink" Target="mailto:sonia.begum@research.staffs.ac.uk" TargetMode="External"/><Relationship Id="rId46" Type="http://schemas.openxmlformats.org/officeDocument/2006/relationships/hyperlink" Target="https://www.england.nhs.uk/ourwork/qual-clin-lead/diabetes-preventio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Data" Target="diagrams/data1.xml"/><Relationship Id="rId29" Type="http://schemas.openxmlformats.org/officeDocument/2006/relationships/image" Target="media/image4.png"/><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7.emf"/><Relationship Id="rId37" Type="http://schemas.openxmlformats.org/officeDocument/2006/relationships/hyperlink" Target="mailto:cokerb@btopenworld.com" TargetMode="External"/><Relationship Id="rId40" Type="http://schemas.openxmlformats.org/officeDocument/2006/relationships/image" Target="media/image10.emf"/><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3.png"/><Relationship Id="rId36" Type="http://schemas.openxmlformats.org/officeDocument/2006/relationships/hyperlink" Target="http://www.highstreetvouchers.com/gift-vouchers/love2shop" TargetMode="External"/><Relationship Id="rId49" Type="http://schemas.openxmlformats.org/officeDocument/2006/relationships/hyperlink" Target="https://www.diabetes.org.uk/" TargetMode="Externa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hyperlink" Target="mailto:r.povey@staffs.ac.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111/dme.33_14556" TargetMode="External"/><Relationship Id="rId22" Type="http://schemas.openxmlformats.org/officeDocument/2006/relationships/diagramQuickStyle" Target="diagrams/quickStyle1.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hyperlink" Target="mailto:sonia.begum@research.staffs.ac.uk" TargetMode="External"/><Relationship Id="rId48" Type="http://schemas.openxmlformats.org/officeDocument/2006/relationships/hyperlink" Target="https://www.england.nhs.uk/ourwork/qual-clin-lead/diabetes-prevention/" TargetMode="External"/><Relationship Id="rId8" Type="http://schemas.openxmlformats.org/officeDocument/2006/relationships/webSettings" Target="webSettings.xm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A5964B-337E-4B9E-BF50-78E749F9C45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A6106CE6-DE50-4091-8E02-8547E2E476A4}">
      <dgm:prSet phldrT="[Text]"/>
      <dgm:spPr/>
      <dgm:t>
        <a:bodyPr/>
        <a:lstStyle/>
        <a:p>
          <a:r>
            <a:rPr lang="en-GB">
              <a:latin typeface="Arial" panose="020B0604020202020204" pitchFamily="34" charset="0"/>
              <a:cs typeface="Arial" panose="020B0604020202020204" pitchFamily="34" charset="0"/>
            </a:rPr>
            <a:t>Engagement</a:t>
          </a:r>
          <a:r>
            <a:rPr lang="en-GB"/>
            <a:t> </a:t>
          </a:r>
        </a:p>
      </dgm:t>
    </dgm:pt>
    <dgm:pt modelId="{40AE0327-5F35-48F0-ADBA-6808624D1DF7}" type="parTrans" cxnId="{5807D307-F32E-462F-A75B-613395AAA045}">
      <dgm:prSet/>
      <dgm:spPr/>
      <dgm:t>
        <a:bodyPr/>
        <a:lstStyle/>
        <a:p>
          <a:endParaRPr lang="en-GB"/>
        </a:p>
      </dgm:t>
    </dgm:pt>
    <dgm:pt modelId="{D35E47F5-31A7-482C-A4D7-F68315AE78B3}" type="sibTrans" cxnId="{5807D307-F32E-462F-A75B-613395AAA045}">
      <dgm:prSet/>
      <dgm:spPr/>
      <dgm:t>
        <a:bodyPr/>
        <a:lstStyle/>
        <a:p>
          <a:endParaRPr lang="en-GB"/>
        </a:p>
      </dgm:t>
    </dgm:pt>
    <dgm:pt modelId="{C4BF6041-07CC-4894-82E3-ADB073CF3E00}">
      <dgm:prSet phldrT="[Text]"/>
      <dgm:spPr/>
      <dgm:t>
        <a:bodyPr/>
        <a:lstStyle/>
        <a:p>
          <a:pPr algn="just"/>
          <a:r>
            <a:rPr lang="en-GB">
              <a:latin typeface="Arial" panose="020B0604020202020204" pitchFamily="34" charset="0"/>
              <a:cs typeface="Arial" panose="020B0604020202020204" pitchFamily="34" charset="0"/>
            </a:rPr>
            <a:t>Participant referral </a:t>
          </a:r>
        </a:p>
      </dgm:t>
    </dgm:pt>
    <dgm:pt modelId="{E15834DF-1E32-4A25-8AC8-5FE03C59C7B7}" type="parTrans" cxnId="{5A4EEF29-94A5-4CD3-8E0B-1338145BC861}">
      <dgm:prSet/>
      <dgm:spPr/>
      <dgm:t>
        <a:bodyPr/>
        <a:lstStyle/>
        <a:p>
          <a:endParaRPr lang="en-GB"/>
        </a:p>
      </dgm:t>
    </dgm:pt>
    <dgm:pt modelId="{C61EC819-05A9-4038-BCB6-1FDE45887DFD}" type="sibTrans" cxnId="{5A4EEF29-94A5-4CD3-8E0B-1338145BC861}">
      <dgm:prSet/>
      <dgm:spPr/>
      <dgm:t>
        <a:bodyPr/>
        <a:lstStyle/>
        <a:p>
          <a:endParaRPr lang="en-GB"/>
        </a:p>
      </dgm:t>
    </dgm:pt>
    <dgm:pt modelId="{0FB86182-FEB2-4E02-B7E6-77D8D8B6A05E}">
      <dgm:prSet phldrT="[Text]"/>
      <dgm:spPr/>
      <dgm:t>
        <a:bodyPr/>
        <a:lstStyle/>
        <a:p>
          <a:r>
            <a:rPr lang="en-GB">
              <a:latin typeface="Arial" panose="020B0604020202020204" pitchFamily="34" charset="0"/>
              <a:cs typeface="Arial" panose="020B0604020202020204" pitchFamily="34" charset="0"/>
            </a:rPr>
            <a:t>Initial Assessment (IA) </a:t>
          </a:r>
        </a:p>
      </dgm:t>
    </dgm:pt>
    <dgm:pt modelId="{FD99BCE3-1CD8-4EEB-8EAA-5D9DA1FFB272}" type="parTrans" cxnId="{E8C97EFC-E2B1-4237-924C-34F4EA466828}">
      <dgm:prSet/>
      <dgm:spPr/>
      <dgm:t>
        <a:bodyPr/>
        <a:lstStyle/>
        <a:p>
          <a:endParaRPr lang="en-GB"/>
        </a:p>
      </dgm:t>
    </dgm:pt>
    <dgm:pt modelId="{8806DC7F-C959-44AF-8DD8-7DF9A7CEF80D}" type="sibTrans" cxnId="{E8C97EFC-E2B1-4237-924C-34F4EA466828}">
      <dgm:prSet/>
      <dgm:spPr/>
      <dgm:t>
        <a:bodyPr/>
        <a:lstStyle/>
        <a:p>
          <a:endParaRPr lang="en-GB"/>
        </a:p>
      </dgm:t>
    </dgm:pt>
    <dgm:pt modelId="{39A7F6ED-5B49-4702-86C3-B2977BE2E8A3}">
      <dgm:prSet phldrT="[Text]"/>
      <dgm:spPr/>
      <dgm:t>
        <a:bodyPr/>
        <a:lstStyle/>
        <a:p>
          <a:pPr algn="just"/>
          <a:r>
            <a:rPr lang="en-GB">
              <a:latin typeface="Arial" panose="020B0604020202020204" pitchFamily="34" charset="0"/>
              <a:cs typeface="Arial" panose="020B0604020202020204" pitchFamily="34" charset="0"/>
            </a:rPr>
            <a:t>Blood glucose test conducted if required </a:t>
          </a:r>
        </a:p>
      </dgm:t>
    </dgm:pt>
    <dgm:pt modelId="{133E19C6-28F8-431C-BB4F-AA2FBBFAAD34}" type="parTrans" cxnId="{2E3C3F50-DE13-4639-96FF-0D3DA03819F7}">
      <dgm:prSet/>
      <dgm:spPr/>
      <dgm:t>
        <a:bodyPr/>
        <a:lstStyle/>
        <a:p>
          <a:endParaRPr lang="en-GB"/>
        </a:p>
      </dgm:t>
    </dgm:pt>
    <dgm:pt modelId="{78162CBB-E34D-4F02-8906-A10A6DEF3330}" type="sibTrans" cxnId="{2E3C3F50-DE13-4639-96FF-0D3DA03819F7}">
      <dgm:prSet/>
      <dgm:spPr/>
      <dgm:t>
        <a:bodyPr/>
        <a:lstStyle/>
        <a:p>
          <a:endParaRPr lang="en-GB"/>
        </a:p>
      </dgm:t>
    </dgm:pt>
    <dgm:pt modelId="{A6AF15D6-0542-4AD8-BCE5-B65F3A5B570C}">
      <dgm:prSet phldrT="[Text]"/>
      <dgm:spPr/>
      <dgm:t>
        <a:bodyPr/>
        <a:lstStyle/>
        <a:p>
          <a:pPr algn="ctr"/>
          <a:r>
            <a:rPr lang="en-GB">
              <a:latin typeface="Arial" panose="020B0604020202020204" pitchFamily="34" charset="0"/>
              <a:cs typeface="Arial" panose="020B0604020202020204" pitchFamily="34" charset="0"/>
            </a:rPr>
            <a:t>Behavioural Intervention </a:t>
          </a:r>
        </a:p>
      </dgm:t>
    </dgm:pt>
    <dgm:pt modelId="{9C80D74B-E0F7-4425-8BCC-89A781F75E70}" type="parTrans" cxnId="{12970B04-7B46-4D53-B72B-F8256F643EB4}">
      <dgm:prSet/>
      <dgm:spPr/>
      <dgm:t>
        <a:bodyPr/>
        <a:lstStyle/>
        <a:p>
          <a:endParaRPr lang="en-GB"/>
        </a:p>
      </dgm:t>
    </dgm:pt>
    <dgm:pt modelId="{80EBFAFD-C1AE-401F-B252-867B498AAE26}" type="sibTrans" cxnId="{12970B04-7B46-4D53-B72B-F8256F643EB4}">
      <dgm:prSet/>
      <dgm:spPr/>
      <dgm:t>
        <a:bodyPr/>
        <a:lstStyle/>
        <a:p>
          <a:endParaRPr lang="en-GB"/>
        </a:p>
      </dgm:t>
    </dgm:pt>
    <dgm:pt modelId="{6039E412-44BE-4B53-9961-489F879BDBC5}">
      <dgm:prSet phldrT="[Text]"/>
      <dgm:spPr/>
      <dgm:t>
        <a:bodyPr/>
        <a:lstStyle/>
        <a:p>
          <a:pPr algn="just"/>
          <a:r>
            <a:rPr lang="en-GB" b="1">
              <a:latin typeface="Arial" panose="020B0604020202020204" pitchFamily="34" charset="0"/>
              <a:cs typeface="Arial" panose="020B0604020202020204" pitchFamily="34" charset="0"/>
            </a:rPr>
            <a:t>Embedding Change Phase </a:t>
          </a:r>
          <a:r>
            <a:rPr lang="en-GB">
              <a:latin typeface="Arial" panose="020B0604020202020204" pitchFamily="34" charset="0"/>
              <a:cs typeface="Arial" panose="020B0604020202020204" pitchFamily="34" charset="0"/>
            </a:rPr>
            <a:t>(4x1hr fortnightly sessions)</a:t>
          </a:r>
        </a:p>
      </dgm:t>
    </dgm:pt>
    <dgm:pt modelId="{60DFE881-D203-4B03-A607-B46F13B32DDA}" type="parTrans" cxnId="{F25CFDAC-3010-462E-952A-BFA62A6069BD}">
      <dgm:prSet/>
      <dgm:spPr/>
      <dgm:t>
        <a:bodyPr/>
        <a:lstStyle/>
        <a:p>
          <a:endParaRPr lang="en-GB"/>
        </a:p>
      </dgm:t>
    </dgm:pt>
    <dgm:pt modelId="{2352D81F-E3F3-491F-B6F7-D83B842AFF33}" type="sibTrans" cxnId="{F25CFDAC-3010-462E-952A-BFA62A6069BD}">
      <dgm:prSet/>
      <dgm:spPr/>
      <dgm:t>
        <a:bodyPr/>
        <a:lstStyle/>
        <a:p>
          <a:endParaRPr lang="en-GB"/>
        </a:p>
      </dgm:t>
    </dgm:pt>
    <dgm:pt modelId="{F8D178E4-E04F-4A27-A600-B619C7E2E5FD}">
      <dgm:prSet phldrT="[Text]"/>
      <dgm:spPr/>
      <dgm:t>
        <a:bodyPr/>
        <a:lstStyle/>
        <a:p>
          <a:pPr algn="just"/>
          <a:r>
            <a:rPr lang="en-GB">
              <a:latin typeface="Arial" panose="020B0604020202020204" pitchFamily="34" charset="0"/>
              <a:cs typeface="Arial" panose="020B0604020202020204" pitchFamily="34" charset="0"/>
            </a:rPr>
            <a:t>Eligibility check </a:t>
          </a:r>
        </a:p>
      </dgm:t>
    </dgm:pt>
    <dgm:pt modelId="{E64FDF2C-5151-43F8-87EC-0424BC3B28A0}" type="parTrans" cxnId="{5C4F1EF2-32D6-4929-AB49-C51BAC570C3A}">
      <dgm:prSet/>
      <dgm:spPr/>
      <dgm:t>
        <a:bodyPr/>
        <a:lstStyle/>
        <a:p>
          <a:endParaRPr lang="en-GB"/>
        </a:p>
      </dgm:t>
    </dgm:pt>
    <dgm:pt modelId="{F76ABE04-B8AB-4704-B6BA-3A04DFD44C3C}" type="sibTrans" cxnId="{5C4F1EF2-32D6-4929-AB49-C51BAC570C3A}">
      <dgm:prSet/>
      <dgm:spPr/>
      <dgm:t>
        <a:bodyPr/>
        <a:lstStyle/>
        <a:p>
          <a:endParaRPr lang="en-GB"/>
        </a:p>
      </dgm:t>
    </dgm:pt>
    <dgm:pt modelId="{8BF198BE-8113-4797-97BB-836C09836D8B}">
      <dgm:prSet phldrT="[Text]"/>
      <dgm:spPr/>
      <dgm:t>
        <a:bodyPr/>
        <a:lstStyle/>
        <a:p>
          <a:pPr algn="just"/>
          <a:r>
            <a:rPr lang="en-GB">
              <a:latin typeface="Arial" panose="020B0604020202020204" pitchFamily="34" charset="0"/>
              <a:cs typeface="Arial" panose="020B0604020202020204" pitchFamily="34" charset="0"/>
            </a:rPr>
            <a:t>Booked onto the IA</a:t>
          </a:r>
        </a:p>
      </dgm:t>
    </dgm:pt>
    <dgm:pt modelId="{1C1EDB2A-1FB5-45FF-A500-D6178BD43AD0}" type="parTrans" cxnId="{EAE68197-1369-48F6-9BD7-39FDE189A6DC}">
      <dgm:prSet/>
      <dgm:spPr/>
      <dgm:t>
        <a:bodyPr/>
        <a:lstStyle/>
        <a:p>
          <a:endParaRPr lang="en-GB"/>
        </a:p>
      </dgm:t>
    </dgm:pt>
    <dgm:pt modelId="{2123219D-D392-434E-9926-3376282F5F9E}" type="sibTrans" cxnId="{EAE68197-1369-48F6-9BD7-39FDE189A6DC}">
      <dgm:prSet/>
      <dgm:spPr/>
      <dgm:t>
        <a:bodyPr/>
        <a:lstStyle/>
        <a:p>
          <a:endParaRPr lang="en-GB"/>
        </a:p>
      </dgm:t>
    </dgm:pt>
    <dgm:pt modelId="{0327D1C3-6AAB-40D4-8C37-809132F076FF}">
      <dgm:prSet phldrT="[Text]"/>
      <dgm:spPr/>
      <dgm:t>
        <a:bodyPr/>
        <a:lstStyle/>
        <a:p>
          <a:pPr algn="just"/>
          <a:r>
            <a:rPr lang="en-GB">
              <a:latin typeface="Arial" panose="020B0604020202020204" pitchFamily="34" charset="0"/>
              <a:cs typeface="Arial" panose="020B0604020202020204" pitchFamily="34" charset="0"/>
            </a:rPr>
            <a:t>Height, weight and BMI measurements taken</a:t>
          </a:r>
        </a:p>
      </dgm:t>
    </dgm:pt>
    <dgm:pt modelId="{B32ADE6B-9993-408B-9879-5217D69D0332}" type="parTrans" cxnId="{D0CA5536-5294-473E-AFC7-7FB606DE66AE}">
      <dgm:prSet/>
      <dgm:spPr/>
      <dgm:t>
        <a:bodyPr/>
        <a:lstStyle/>
        <a:p>
          <a:endParaRPr lang="en-GB"/>
        </a:p>
      </dgm:t>
    </dgm:pt>
    <dgm:pt modelId="{8ED57DB5-616C-4F72-91EF-6EC1BFABEBFA}" type="sibTrans" cxnId="{D0CA5536-5294-473E-AFC7-7FB606DE66AE}">
      <dgm:prSet/>
      <dgm:spPr/>
      <dgm:t>
        <a:bodyPr/>
        <a:lstStyle/>
        <a:p>
          <a:endParaRPr lang="en-GB"/>
        </a:p>
      </dgm:t>
    </dgm:pt>
    <dgm:pt modelId="{18B6FE1B-798D-48D4-9162-DCA07C807D1A}">
      <dgm:prSet phldrT="[Text]"/>
      <dgm:spPr/>
      <dgm:t>
        <a:bodyPr/>
        <a:lstStyle/>
        <a:p>
          <a:pPr algn="just"/>
          <a:r>
            <a:rPr lang="en-GB">
              <a:latin typeface="Arial" panose="020B0604020202020204" pitchFamily="34" charset="0"/>
              <a:cs typeface="Arial" panose="020B0604020202020204" pitchFamily="34" charset="0"/>
            </a:rPr>
            <a:t>Questionnaires completed (Warwick Edinburgh Mental Wellbeing Scale, Brief Illness Perception questionnaire) </a:t>
          </a:r>
        </a:p>
      </dgm:t>
    </dgm:pt>
    <dgm:pt modelId="{63CB0AD8-5089-47A5-990A-F228121EB8F1}" type="parTrans" cxnId="{D8C5D2E3-EA88-45F7-A4D2-199A95870033}">
      <dgm:prSet/>
      <dgm:spPr/>
      <dgm:t>
        <a:bodyPr/>
        <a:lstStyle/>
        <a:p>
          <a:endParaRPr lang="en-GB"/>
        </a:p>
      </dgm:t>
    </dgm:pt>
    <dgm:pt modelId="{83A5653A-1667-4EA0-8E5C-96474F512967}" type="sibTrans" cxnId="{D8C5D2E3-EA88-45F7-A4D2-199A95870033}">
      <dgm:prSet/>
      <dgm:spPr/>
      <dgm:t>
        <a:bodyPr/>
        <a:lstStyle/>
        <a:p>
          <a:endParaRPr lang="en-GB"/>
        </a:p>
      </dgm:t>
    </dgm:pt>
    <dgm:pt modelId="{A93B570A-FE69-452D-81A0-11E8D69D3BB1}">
      <dgm:prSet phldrT="[Text]"/>
      <dgm:spPr/>
      <dgm:t>
        <a:bodyPr/>
        <a:lstStyle/>
        <a:p>
          <a:pPr algn="just"/>
          <a:r>
            <a:rPr lang="en-GB" b="1">
              <a:latin typeface="Arial" panose="020B0604020202020204" pitchFamily="34" charset="0"/>
              <a:cs typeface="Arial" panose="020B0604020202020204" pitchFamily="34" charset="0"/>
            </a:rPr>
            <a:t>Getting Started Phase </a:t>
          </a:r>
          <a:r>
            <a:rPr lang="en-GB">
              <a:latin typeface="Arial" panose="020B0604020202020204" pitchFamily="34" charset="0"/>
              <a:cs typeface="Arial" panose="020B0604020202020204" pitchFamily="34" charset="0"/>
            </a:rPr>
            <a:t>(6 weekly (1x1.5hr+5x1hr) + 2 fortnightly (1hr) sessions)</a:t>
          </a:r>
        </a:p>
      </dgm:t>
    </dgm:pt>
    <dgm:pt modelId="{93D5F831-7C40-4033-849F-7E54CF40F68C}" type="parTrans" cxnId="{B5310F6E-C246-4106-9714-10C3EAA39687}">
      <dgm:prSet/>
      <dgm:spPr/>
      <dgm:t>
        <a:bodyPr/>
        <a:lstStyle/>
        <a:p>
          <a:endParaRPr lang="en-GB"/>
        </a:p>
      </dgm:t>
    </dgm:pt>
    <dgm:pt modelId="{A4EF4CD9-41C9-48E3-A2F2-72D1AB7F4D57}" type="sibTrans" cxnId="{B5310F6E-C246-4106-9714-10C3EAA39687}">
      <dgm:prSet/>
      <dgm:spPr/>
      <dgm:t>
        <a:bodyPr/>
        <a:lstStyle/>
        <a:p>
          <a:endParaRPr lang="en-GB"/>
        </a:p>
      </dgm:t>
    </dgm:pt>
    <dgm:pt modelId="{95C02AB7-9E06-48AA-900C-89E99B8F9904}">
      <dgm:prSet phldrT="[Text]"/>
      <dgm:spPr/>
      <dgm:t>
        <a:bodyPr/>
        <a:lstStyle/>
        <a:p>
          <a:pPr algn="just"/>
          <a:r>
            <a:rPr lang="en-GB" b="1">
              <a:latin typeface="Arial" panose="020B0604020202020204" pitchFamily="34" charset="0"/>
              <a:cs typeface="Arial" panose="020B0604020202020204" pitchFamily="34" charset="0"/>
            </a:rPr>
            <a:t>Moving Forwards Phase </a:t>
          </a:r>
          <a:r>
            <a:rPr lang="en-GB">
              <a:latin typeface="Arial" panose="020B0604020202020204" pitchFamily="34" charset="0"/>
              <a:cs typeface="Arial" panose="020B0604020202020204" pitchFamily="34" charset="0"/>
            </a:rPr>
            <a:t>(6x1hr monthly sessions)-2 blood glucose tests conducted</a:t>
          </a:r>
        </a:p>
      </dgm:t>
    </dgm:pt>
    <dgm:pt modelId="{90C6DBF7-9724-4EC2-8D15-3FC2978E30B7}" type="parTrans" cxnId="{3949A6F8-FEFA-4B0C-B2EF-3C62AF05D011}">
      <dgm:prSet/>
      <dgm:spPr/>
      <dgm:t>
        <a:bodyPr/>
        <a:lstStyle/>
        <a:p>
          <a:endParaRPr lang="en-GB"/>
        </a:p>
      </dgm:t>
    </dgm:pt>
    <dgm:pt modelId="{B8C8731D-68C3-4FCB-A759-DC3D5B5535C1}" type="sibTrans" cxnId="{3949A6F8-FEFA-4B0C-B2EF-3C62AF05D011}">
      <dgm:prSet/>
      <dgm:spPr/>
      <dgm:t>
        <a:bodyPr/>
        <a:lstStyle/>
        <a:p>
          <a:endParaRPr lang="en-GB"/>
        </a:p>
      </dgm:t>
    </dgm:pt>
    <dgm:pt modelId="{2E091FE3-3195-4532-B18B-455420E8C918}" type="pres">
      <dgm:prSet presAssocID="{7AA5964B-337E-4B9E-BF50-78E749F9C455}" presName="linearFlow" presStyleCnt="0">
        <dgm:presLayoutVars>
          <dgm:dir/>
          <dgm:animLvl val="lvl"/>
          <dgm:resizeHandles val="exact"/>
        </dgm:presLayoutVars>
      </dgm:prSet>
      <dgm:spPr/>
    </dgm:pt>
    <dgm:pt modelId="{66DA3D10-6F33-45C2-8EED-F578AD0A5FB8}" type="pres">
      <dgm:prSet presAssocID="{A6106CE6-DE50-4091-8E02-8547E2E476A4}" presName="composite" presStyleCnt="0"/>
      <dgm:spPr/>
    </dgm:pt>
    <dgm:pt modelId="{7FE8A847-A1D4-402A-BD79-AE48B77E7789}" type="pres">
      <dgm:prSet presAssocID="{A6106CE6-DE50-4091-8E02-8547E2E476A4}" presName="parentText" presStyleLbl="alignNode1" presStyleIdx="0" presStyleCnt="3">
        <dgm:presLayoutVars>
          <dgm:chMax val="1"/>
          <dgm:bulletEnabled val="1"/>
        </dgm:presLayoutVars>
      </dgm:prSet>
      <dgm:spPr/>
    </dgm:pt>
    <dgm:pt modelId="{B79C55D5-F10A-47C9-81B1-6B1EE356EC7B}" type="pres">
      <dgm:prSet presAssocID="{A6106CE6-DE50-4091-8E02-8547E2E476A4}" presName="descendantText" presStyleLbl="alignAcc1" presStyleIdx="0" presStyleCnt="3">
        <dgm:presLayoutVars>
          <dgm:bulletEnabled val="1"/>
        </dgm:presLayoutVars>
      </dgm:prSet>
      <dgm:spPr/>
    </dgm:pt>
    <dgm:pt modelId="{582ABD61-83EE-4E49-BBD7-5C0A579A3E68}" type="pres">
      <dgm:prSet presAssocID="{D35E47F5-31A7-482C-A4D7-F68315AE78B3}" presName="sp" presStyleCnt="0"/>
      <dgm:spPr/>
    </dgm:pt>
    <dgm:pt modelId="{0222D223-6CDE-47F2-939B-A6D48D28006E}" type="pres">
      <dgm:prSet presAssocID="{0FB86182-FEB2-4E02-B7E6-77D8D8B6A05E}" presName="composite" presStyleCnt="0"/>
      <dgm:spPr/>
    </dgm:pt>
    <dgm:pt modelId="{9C5EE5CA-ABA9-4691-B787-EC5A5C8B13D9}" type="pres">
      <dgm:prSet presAssocID="{0FB86182-FEB2-4E02-B7E6-77D8D8B6A05E}" presName="parentText" presStyleLbl="alignNode1" presStyleIdx="1" presStyleCnt="3">
        <dgm:presLayoutVars>
          <dgm:chMax val="1"/>
          <dgm:bulletEnabled val="1"/>
        </dgm:presLayoutVars>
      </dgm:prSet>
      <dgm:spPr/>
    </dgm:pt>
    <dgm:pt modelId="{EAF09A8C-718B-42DC-B8ED-2590FBB24B5C}" type="pres">
      <dgm:prSet presAssocID="{0FB86182-FEB2-4E02-B7E6-77D8D8B6A05E}" presName="descendantText" presStyleLbl="alignAcc1" presStyleIdx="1" presStyleCnt="3">
        <dgm:presLayoutVars>
          <dgm:bulletEnabled val="1"/>
        </dgm:presLayoutVars>
      </dgm:prSet>
      <dgm:spPr/>
    </dgm:pt>
    <dgm:pt modelId="{009A9330-FA97-4604-8815-534641F3DFA0}" type="pres">
      <dgm:prSet presAssocID="{8806DC7F-C959-44AF-8DD8-7DF9A7CEF80D}" presName="sp" presStyleCnt="0"/>
      <dgm:spPr/>
    </dgm:pt>
    <dgm:pt modelId="{87C77A11-F9D1-48DE-85C4-329D3CB0930D}" type="pres">
      <dgm:prSet presAssocID="{A6AF15D6-0542-4AD8-BCE5-B65F3A5B570C}" presName="composite" presStyleCnt="0"/>
      <dgm:spPr/>
    </dgm:pt>
    <dgm:pt modelId="{7A25691A-9C68-4B84-8226-BE199433D77E}" type="pres">
      <dgm:prSet presAssocID="{A6AF15D6-0542-4AD8-BCE5-B65F3A5B570C}" presName="parentText" presStyleLbl="alignNode1" presStyleIdx="2" presStyleCnt="3">
        <dgm:presLayoutVars>
          <dgm:chMax val="1"/>
          <dgm:bulletEnabled val="1"/>
        </dgm:presLayoutVars>
      </dgm:prSet>
      <dgm:spPr/>
    </dgm:pt>
    <dgm:pt modelId="{F4823014-2B09-4B0E-A3D0-052C015BBF57}" type="pres">
      <dgm:prSet presAssocID="{A6AF15D6-0542-4AD8-BCE5-B65F3A5B570C}" presName="descendantText" presStyleLbl="alignAcc1" presStyleIdx="2" presStyleCnt="3">
        <dgm:presLayoutVars>
          <dgm:bulletEnabled val="1"/>
        </dgm:presLayoutVars>
      </dgm:prSet>
      <dgm:spPr/>
    </dgm:pt>
  </dgm:ptLst>
  <dgm:cxnLst>
    <dgm:cxn modelId="{12970B04-7B46-4D53-B72B-F8256F643EB4}" srcId="{7AA5964B-337E-4B9E-BF50-78E749F9C455}" destId="{A6AF15D6-0542-4AD8-BCE5-B65F3A5B570C}" srcOrd="2" destOrd="0" parTransId="{9C80D74B-E0F7-4425-8BCC-89A781F75E70}" sibTransId="{80EBFAFD-C1AE-401F-B252-867B498AAE26}"/>
    <dgm:cxn modelId="{6C094D04-5BC8-4DCD-A828-FD89CD521093}" type="presOf" srcId="{7AA5964B-337E-4B9E-BF50-78E749F9C455}" destId="{2E091FE3-3195-4532-B18B-455420E8C918}" srcOrd="0" destOrd="0" presId="urn:microsoft.com/office/officeart/2005/8/layout/chevron2"/>
    <dgm:cxn modelId="{5807D307-F32E-462F-A75B-613395AAA045}" srcId="{7AA5964B-337E-4B9E-BF50-78E749F9C455}" destId="{A6106CE6-DE50-4091-8E02-8547E2E476A4}" srcOrd="0" destOrd="0" parTransId="{40AE0327-5F35-48F0-ADBA-6808624D1DF7}" sibTransId="{D35E47F5-31A7-482C-A4D7-F68315AE78B3}"/>
    <dgm:cxn modelId="{5A4EEF29-94A5-4CD3-8E0B-1338145BC861}" srcId="{A6106CE6-DE50-4091-8E02-8547E2E476A4}" destId="{C4BF6041-07CC-4894-82E3-ADB073CF3E00}" srcOrd="0" destOrd="0" parTransId="{E15834DF-1E32-4A25-8AC8-5FE03C59C7B7}" sibTransId="{C61EC819-05A9-4038-BCB6-1FDE45887DFD}"/>
    <dgm:cxn modelId="{D0CA5536-5294-473E-AFC7-7FB606DE66AE}" srcId="{0FB86182-FEB2-4E02-B7E6-77D8D8B6A05E}" destId="{0327D1C3-6AAB-40D4-8C37-809132F076FF}" srcOrd="1" destOrd="0" parTransId="{B32ADE6B-9993-408B-9879-5217D69D0332}" sibTransId="{8ED57DB5-616C-4F72-91EF-6EC1BFABEBFA}"/>
    <dgm:cxn modelId="{6AB6F03A-F92D-4DA4-9CDF-1749B4A996CD}" type="presOf" srcId="{A6AF15D6-0542-4AD8-BCE5-B65F3A5B570C}" destId="{7A25691A-9C68-4B84-8226-BE199433D77E}" srcOrd="0" destOrd="0" presId="urn:microsoft.com/office/officeart/2005/8/layout/chevron2"/>
    <dgm:cxn modelId="{B5310F6E-C246-4106-9714-10C3EAA39687}" srcId="{A6AF15D6-0542-4AD8-BCE5-B65F3A5B570C}" destId="{A93B570A-FE69-452D-81A0-11E8D69D3BB1}" srcOrd="0" destOrd="0" parTransId="{93D5F831-7C40-4033-849F-7E54CF40F68C}" sibTransId="{A4EF4CD9-41C9-48E3-A2F2-72D1AB7F4D57}"/>
    <dgm:cxn modelId="{2E3C3F50-DE13-4639-96FF-0D3DA03819F7}" srcId="{0FB86182-FEB2-4E02-B7E6-77D8D8B6A05E}" destId="{39A7F6ED-5B49-4702-86C3-B2977BE2E8A3}" srcOrd="0" destOrd="0" parTransId="{133E19C6-28F8-431C-BB4F-AA2FBBFAAD34}" sibTransId="{78162CBB-E34D-4F02-8906-A10A6DEF3330}"/>
    <dgm:cxn modelId="{30DB6D50-434E-4555-B9EB-9286F76116AF}" type="presOf" srcId="{0FB86182-FEB2-4E02-B7E6-77D8D8B6A05E}" destId="{9C5EE5CA-ABA9-4691-B787-EC5A5C8B13D9}" srcOrd="0" destOrd="0" presId="urn:microsoft.com/office/officeart/2005/8/layout/chevron2"/>
    <dgm:cxn modelId="{EAE68197-1369-48F6-9BD7-39FDE189A6DC}" srcId="{A6106CE6-DE50-4091-8E02-8547E2E476A4}" destId="{8BF198BE-8113-4797-97BB-836C09836D8B}" srcOrd="2" destOrd="0" parTransId="{1C1EDB2A-1FB5-45FF-A500-D6178BD43AD0}" sibTransId="{2123219D-D392-434E-9926-3376282F5F9E}"/>
    <dgm:cxn modelId="{0763159F-B33B-4F1D-9BE8-C146AC40099F}" type="presOf" srcId="{A93B570A-FE69-452D-81A0-11E8D69D3BB1}" destId="{F4823014-2B09-4B0E-A3D0-052C015BBF57}" srcOrd="0" destOrd="0" presId="urn:microsoft.com/office/officeart/2005/8/layout/chevron2"/>
    <dgm:cxn modelId="{F25CFDAC-3010-462E-952A-BFA62A6069BD}" srcId="{A6AF15D6-0542-4AD8-BCE5-B65F3A5B570C}" destId="{6039E412-44BE-4B53-9961-489F879BDBC5}" srcOrd="1" destOrd="0" parTransId="{60DFE881-D203-4B03-A607-B46F13B32DDA}" sibTransId="{2352D81F-E3F3-491F-B6F7-D83B842AFF33}"/>
    <dgm:cxn modelId="{57B699B2-C56B-484F-BC6C-401431B968C9}" type="presOf" srcId="{C4BF6041-07CC-4894-82E3-ADB073CF3E00}" destId="{B79C55D5-F10A-47C9-81B1-6B1EE356EC7B}" srcOrd="0" destOrd="0" presId="urn:microsoft.com/office/officeart/2005/8/layout/chevron2"/>
    <dgm:cxn modelId="{737985C3-80C0-4F75-8534-68A1DF01DD0E}" type="presOf" srcId="{95C02AB7-9E06-48AA-900C-89E99B8F9904}" destId="{F4823014-2B09-4B0E-A3D0-052C015BBF57}" srcOrd="0" destOrd="2" presId="urn:microsoft.com/office/officeart/2005/8/layout/chevron2"/>
    <dgm:cxn modelId="{DCD362CE-4976-4C08-9EB0-3B4FA9AAC9D6}" type="presOf" srcId="{F8D178E4-E04F-4A27-A600-B619C7E2E5FD}" destId="{B79C55D5-F10A-47C9-81B1-6B1EE356EC7B}" srcOrd="0" destOrd="1" presId="urn:microsoft.com/office/officeart/2005/8/layout/chevron2"/>
    <dgm:cxn modelId="{075A46D8-F4BC-4604-96B1-7432D3DFDD46}" type="presOf" srcId="{8BF198BE-8113-4797-97BB-836C09836D8B}" destId="{B79C55D5-F10A-47C9-81B1-6B1EE356EC7B}" srcOrd="0" destOrd="2" presId="urn:microsoft.com/office/officeart/2005/8/layout/chevron2"/>
    <dgm:cxn modelId="{72CAB3D9-73D0-4DE6-9B1B-BE8033238BB6}" type="presOf" srcId="{39A7F6ED-5B49-4702-86C3-B2977BE2E8A3}" destId="{EAF09A8C-718B-42DC-B8ED-2590FBB24B5C}" srcOrd="0" destOrd="0" presId="urn:microsoft.com/office/officeart/2005/8/layout/chevron2"/>
    <dgm:cxn modelId="{D8C5D2E3-EA88-45F7-A4D2-199A95870033}" srcId="{0FB86182-FEB2-4E02-B7E6-77D8D8B6A05E}" destId="{18B6FE1B-798D-48D4-9162-DCA07C807D1A}" srcOrd="2" destOrd="0" parTransId="{63CB0AD8-5089-47A5-990A-F228121EB8F1}" sibTransId="{83A5653A-1667-4EA0-8E5C-96474F512967}"/>
    <dgm:cxn modelId="{44A2C2ED-A34F-40F8-9BDA-2DC5655C0C29}" type="presOf" srcId="{0327D1C3-6AAB-40D4-8C37-809132F076FF}" destId="{EAF09A8C-718B-42DC-B8ED-2590FBB24B5C}" srcOrd="0" destOrd="1" presId="urn:microsoft.com/office/officeart/2005/8/layout/chevron2"/>
    <dgm:cxn modelId="{5C4F1EF2-32D6-4929-AB49-C51BAC570C3A}" srcId="{A6106CE6-DE50-4091-8E02-8547E2E476A4}" destId="{F8D178E4-E04F-4A27-A600-B619C7E2E5FD}" srcOrd="1" destOrd="0" parTransId="{E64FDF2C-5151-43F8-87EC-0424BC3B28A0}" sibTransId="{F76ABE04-B8AB-4704-B6BA-3A04DFD44C3C}"/>
    <dgm:cxn modelId="{231699F3-9895-4DC2-A35C-D1AB963AD63B}" type="presOf" srcId="{A6106CE6-DE50-4091-8E02-8547E2E476A4}" destId="{7FE8A847-A1D4-402A-BD79-AE48B77E7789}" srcOrd="0" destOrd="0" presId="urn:microsoft.com/office/officeart/2005/8/layout/chevron2"/>
    <dgm:cxn modelId="{3949A6F8-FEFA-4B0C-B2EF-3C62AF05D011}" srcId="{A6AF15D6-0542-4AD8-BCE5-B65F3A5B570C}" destId="{95C02AB7-9E06-48AA-900C-89E99B8F9904}" srcOrd="2" destOrd="0" parTransId="{90C6DBF7-9724-4EC2-8D15-3FC2978E30B7}" sibTransId="{B8C8731D-68C3-4FCB-A759-DC3D5B5535C1}"/>
    <dgm:cxn modelId="{3AAE3FFA-D48E-4F07-A3A0-B623BDB0AE36}" type="presOf" srcId="{18B6FE1B-798D-48D4-9162-DCA07C807D1A}" destId="{EAF09A8C-718B-42DC-B8ED-2590FBB24B5C}" srcOrd="0" destOrd="2" presId="urn:microsoft.com/office/officeart/2005/8/layout/chevron2"/>
    <dgm:cxn modelId="{E8C97EFC-E2B1-4237-924C-34F4EA466828}" srcId="{7AA5964B-337E-4B9E-BF50-78E749F9C455}" destId="{0FB86182-FEB2-4E02-B7E6-77D8D8B6A05E}" srcOrd="1" destOrd="0" parTransId="{FD99BCE3-1CD8-4EEB-8EAA-5D9DA1FFB272}" sibTransId="{8806DC7F-C959-44AF-8DD8-7DF9A7CEF80D}"/>
    <dgm:cxn modelId="{53348FFC-C586-4BEA-A363-50481C7E62A2}" type="presOf" srcId="{6039E412-44BE-4B53-9961-489F879BDBC5}" destId="{F4823014-2B09-4B0E-A3D0-052C015BBF57}" srcOrd="0" destOrd="1" presId="urn:microsoft.com/office/officeart/2005/8/layout/chevron2"/>
    <dgm:cxn modelId="{DC4DC1A3-CC06-48CE-A658-605C119037BF}" type="presParOf" srcId="{2E091FE3-3195-4532-B18B-455420E8C918}" destId="{66DA3D10-6F33-45C2-8EED-F578AD0A5FB8}" srcOrd="0" destOrd="0" presId="urn:microsoft.com/office/officeart/2005/8/layout/chevron2"/>
    <dgm:cxn modelId="{A2BF6E08-24A0-4EA9-BD70-5E0DDB297FE3}" type="presParOf" srcId="{66DA3D10-6F33-45C2-8EED-F578AD0A5FB8}" destId="{7FE8A847-A1D4-402A-BD79-AE48B77E7789}" srcOrd="0" destOrd="0" presId="urn:microsoft.com/office/officeart/2005/8/layout/chevron2"/>
    <dgm:cxn modelId="{609DF964-C0EA-46B1-97BB-D99C3DDA8582}" type="presParOf" srcId="{66DA3D10-6F33-45C2-8EED-F578AD0A5FB8}" destId="{B79C55D5-F10A-47C9-81B1-6B1EE356EC7B}" srcOrd="1" destOrd="0" presId="urn:microsoft.com/office/officeart/2005/8/layout/chevron2"/>
    <dgm:cxn modelId="{52E654AB-C163-4FE8-9BC2-5A8B58321707}" type="presParOf" srcId="{2E091FE3-3195-4532-B18B-455420E8C918}" destId="{582ABD61-83EE-4E49-BBD7-5C0A579A3E68}" srcOrd="1" destOrd="0" presId="urn:microsoft.com/office/officeart/2005/8/layout/chevron2"/>
    <dgm:cxn modelId="{AD92FDA2-1F67-45B9-A4BC-8B8437F33DB4}" type="presParOf" srcId="{2E091FE3-3195-4532-B18B-455420E8C918}" destId="{0222D223-6CDE-47F2-939B-A6D48D28006E}" srcOrd="2" destOrd="0" presId="urn:microsoft.com/office/officeart/2005/8/layout/chevron2"/>
    <dgm:cxn modelId="{5BCC9D0A-2A99-4CB6-9949-AAFE6F3986EF}" type="presParOf" srcId="{0222D223-6CDE-47F2-939B-A6D48D28006E}" destId="{9C5EE5CA-ABA9-4691-B787-EC5A5C8B13D9}" srcOrd="0" destOrd="0" presId="urn:microsoft.com/office/officeart/2005/8/layout/chevron2"/>
    <dgm:cxn modelId="{71B3DD85-CD35-463A-9C68-7A43B95F020D}" type="presParOf" srcId="{0222D223-6CDE-47F2-939B-A6D48D28006E}" destId="{EAF09A8C-718B-42DC-B8ED-2590FBB24B5C}" srcOrd="1" destOrd="0" presId="urn:microsoft.com/office/officeart/2005/8/layout/chevron2"/>
    <dgm:cxn modelId="{D43563E7-371C-4B49-BE5E-5CE027F7621E}" type="presParOf" srcId="{2E091FE3-3195-4532-B18B-455420E8C918}" destId="{009A9330-FA97-4604-8815-534641F3DFA0}" srcOrd="3" destOrd="0" presId="urn:microsoft.com/office/officeart/2005/8/layout/chevron2"/>
    <dgm:cxn modelId="{6E83B667-2E34-4549-A254-581B62BB2A98}" type="presParOf" srcId="{2E091FE3-3195-4532-B18B-455420E8C918}" destId="{87C77A11-F9D1-48DE-85C4-329D3CB0930D}" srcOrd="4" destOrd="0" presId="urn:microsoft.com/office/officeart/2005/8/layout/chevron2"/>
    <dgm:cxn modelId="{6FB07438-4B1D-47F9-949D-58DC8BDDBFB9}" type="presParOf" srcId="{87C77A11-F9D1-48DE-85C4-329D3CB0930D}" destId="{7A25691A-9C68-4B84-8226-BE199433D77E}" srcOrd="0" destOrd="0" presId="urn:microsoft.com/office/officeart/2005/8/layout/chevron2"/>
    <dgm:cxn modelId="{F0100627-04DD-4D8F-BC8B-FE4C21EB41AD}" type="presParOf" srcId="{87C77A11-F9D1-48DE-85C4-329D3CB0930D}" destId="{F4823014-2B09-4B0E-A3D0-052C015BBF57}"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E8A847-A1D4-402A-BD79-AE48B77E7789}">
      <dsp:nvSpPr>
        <dsp:cNvPr id="0" name=""/>
        <dsp:cNvSpPr/>
      </dsp:nvSpPr>
      <dsp:spPr>
        <a:xfrm rot="5400000">
          <a:off x="-210652" y="210850"/>
          <a:ext cx="1404346" cy="9830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Engagement</a:t>
          </a:r>
          <a:r>
            <a:rPr lang="en-GB" sz="1000" kern="1200"/>
            <a:t> </a:t>
          </a:r>
        </a:p>
      </dsp:txBody>
      <dsp:txXfrm rot="-5400000">
        <a:off x="0" y="491719"/>
        <a:ext cx="983042" cy="421304"/>
      </dsp:txXfrm>
    </dsp:sp>
    <dsp:sp modelId="{B79C55D5-F10A-47C9-81B1-6B1EE356EC7B}">
      <dsp:nvSpPr>
        <dsp:cNvPr id="0" name=""/>
        <dsp:cNvSpPr/>
      </dsp:nvSpPr>
      <dsp:spPr>
        <a:xfrm rot="5400000">
          <a:off x="2949758" y="-1966517"/>
          <a:ext cx="912825" cy="484625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Participant referral </a:t>
          </a:r>
        </a:p>
        <a:p>
          <a:pPr marL="57150" lvl="1" indent="-57150" algn="just"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Eligibility check </a:t>
          </a:r>
        </a:p>
        <a:p>
          <a:pPr marL="57150" lvl="1" indent="-57150" algn="just"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Booked onto the IA</a:t>
          </a:r>
        </a:p>
      </dsp:txBody>
      <dsp:txXfrm rot="-5400000">
        <a:off x="983042" y="44759"/>
        <a:ext cx="4801697" cy="823705"/>
      </dsp:txXfrm>
    </dsp:sp>
    <dsp:sp modelId="{9C5EE5CA-ABA9-4691-B787-EC5A5C8B13D9}">
      <dsp:nvSpPr>
        <dsp:cNvPr id="0" name=""/>
        <dsp:cNvSpPr/>
      </dsp:nvSpPr>
      <dsp:spPr>
        <a:xfrm rot="5400000">
          <a:off x="-210652" y="1418241"/>
          <a:ext cx="1404346" cy="9830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Initial Assessment (IA) </a:t>
          </a:r>
        </a:p>
      </dsp:txBody>
      <dsp:txXfrm rot="-5400000">
        <a:off x="0" y="1699110"/>
        <a:ext cx="983042" cy="421304"/>
      </dsp:txXfrm>
    </dsp:sp>
    <dsp:sp modelId="{EAF09A8C-718B-42DC-B8ED-2590FBB24B5C}">
      <dsp:nvSpPr>
        <dsp:cNvPr id="0" name=""/>
        <dsp:cNvSpPr/>
      </dsp:nvSpPr>
      <dsp:spPr>
        <a:xfrm rot="5400000">
          <a:off x="2949758" y="-759126"/>
          <a:ext cx="912825" cy="484625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Blood glucose test conducted if required </a:t>
          </a:r>
        </a:p>
        <a:p>
          <a:pPr marL="57150" lvl="1" indent="-57150" algn="just"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Height, weight and BMI measurements taken</a:t>
          </a:r>
        </a:p>
        <a:p>
          <a:pPr marL="57150" lvl="1" indent="-57150" algn="just"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Questionnaires completed (Warwick Edinburgh Mental Wellbeing Scale, Brief Illness Perception questionnaire) </a:t>
          </a:r>
        </a:p>
      </dsp:txBody>
      <dsp:txXfrm rot="-5400000">
        <a:off x="983042" y="1252150"/>
        <a:ext cx="4801697" cy="823705"/>
      </dsp:txXfrm>
    </dsp:sp>
    <dsp:sp modelId="{7A25691A-9C68-4B84-8226-BE199433D77E}">
      <dsp:nvSpPr>
        <dsp:cNvPr id="0" name=""/>
        <dsp:cNvSpPr/>
      </dsp:nvSpPr>
      <dsp:spPr>
        <a:xfrm rot="5400000">
          <a:off x="-210652" y="2625631"/>
          <a:ext cx="1404346" cy="9830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Behavioural Intervention </a:t>
          </a:r>
        </a:p>
      </dsp:txBody>
      <dsp:txXfrm rot="-5400000">
        <a:off x="0" y="2906500"/>
        <a:ext cx="983042" cy="421304"/>
      </dsp:txXfrm>
    </dsp:sp>
    <dsp:sp modelId="{F4823014-2B09-4B0E-A3D0-052C015BBF57}">
      <dsp:nvSpPr>
        <dsp:cNvPr id="0" name=""/>
        <dsp:cNvSpPr/>
      </dsp:nvSpPr>
      <dsp:spPr>
        <a:xfrm rot="5400000">
          <a:off x="2949758" y="448263"/>
          <a:ext cx="912825" cy="484625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b="1" kern="1200">
              <a:latin typeface="Arial" panose="020B0604020202020204" pitchFamily="34" charset="0"/>
              <a:cs typeface="Arial" panose="020B0604020202020204" pitchFamily="34" charset="0"/>
            </a:rPr>
            <a:t>Getting Started Phase </a:t>
          </a:r>
          <a:r>
            <a:rPr lang="en-GB" sz="1100" kern="1200">
              <a:latin typeface="Arial" panose="020B0604020202020204" pitchFamily="34" charset="0"/>
              <a:cs typeface="Arial" panose="020B0604020202020204" pitchFamily="34" charset="0"/>
            </a:rPr>
            <a:t>(6 weekly (1x1.5hr+5x1hr) + 2 fortnightly (1hr) sessions)</a:t>
          </a:r>
        </a:p>
        <a:p>
          <a:pPr marL="57150" lvl="1" indent="-57150" algn="just" defTabSz="488950">
            <a:lnSpc>
              <a:spcPct val="90000"/>
            </a:lnSpc>
            <a:spcBef>
              <a:spcPct val="0"/>
            </a:spcBef>
            <a:spcAft>
              <a:spcPct val="15000"/>
            </a:spcAft>
            <a:buChar char="•"/>
          </a:pPr>
          <a:r>
            <a:rPr lang="en-GB" sz="1100" b="1" kern="1200">
              <a:latin typeface="Arial" panose="020B0604020202020204" pitchFamily="34" charset="0"/>
              <a:cs typeface="Arial" panose="020B0604020202020204" pitchFamily="34" charset="0"/>
            </a:rPr>
            <a:t>Embedding Change Phase </a:t>
          </a:r>
          <a:r>
            <a:rPr lang="en-GB" sz="1100" kern="1200">
              <a:latin typeface="Arial" panose="020B0604020202020204" pitchFamily="34" charset="0"/>
              <a:cs typeface="Arial" panose="020B0604020202020204" pitchFamily="34" charset="0"/>
            </a:rPr>
            <a:t>(4x1hr fortnightly sessions)</a:t>
          </a:r>
        </a:p>
        <a:p>
          <a:pPr marL="57150" lvl="1" indent="-57150" algn="just" defTabSz="488950">
            <a:lnSpc>
              <a:spcPct val="90000"/>
            </a:lnSpc>
            <a:spcBef>
              <a:spcPct val="0"/>
            </a:spcBef>
            <a:spcAft>
              <a:spcPct val="15000"/>
            </a:spcAft>
            <a:buChar char="•"/>
          </a:pPr>
          <a:r>
            <a:rPr lang="en-GB" sz="1100" b="1" kern="1200">
              <a:latin typeface="Arial" panose="020B0604020202020204" pitchFamily="34" charset="0"/>
              <a:cs typeface="Arial" panose="020B0604020202020204" pitchFamily="34" charset="0"/>
            </a:rPr>
            <a:t>Moving Forwards Phase </a:t>
          </a:r>
          <a:r>
            <a:rPr lang="en-GB" sz="1100" kern="1200">
              <a:latin typeface="Arial" panose="020B0604020202020204" pitchFamily="34" charset="0"/>
              <a:cs typeface="Arial" panose="020B0604020202020204" pitchFamily="34" charset="0"/>
            </a:rPr>
            <a:t>(6x1hr monthly sessions)-2 blood glucose tests conducted</a:t>
          </a:r>
        </a:p>
      </dsp:txBody>
      <dsp:txXfrm rot="-5400000">
        <a:off x="983042" y="2459539"/>
        <a:ext cx="4801697" cy="82370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27ca078-94c1-4333-9ac4-303fc237d84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61C36694FC99429873C86D4E6E431F" ma:contentTypeVersion="17" ma:contentTypeDescription="Create a new document." ma:contentTypeScope="" ma:versionID="c3157dd03b2e6f7478ba4468e8744c5d">
  <xsd:schema xmlns:xsd="http://www.w3.org/2001/XMLSchema" xmlns:xs="http://www.w3.org/2001/XMLSchema" xmlns:p="http://schemas.microsoft.com/office/2006/metadata/properties" xmlns:ns3="027ca078-94c1-4333-9ac4-303fc237d844" xmlns:ns4="c74278e3-46d3-49b9-9f3f-65c2b6f6de4a" targetNamespace="http://schemas.microsoft.com/office/2006/metadata/properties" ma:root="true" ma:fieldsID="cf356736a3d962263b25a919c806eb12" ns3:_="" ns4:_="">
    <xsd:import namespace="027ca078-94c1-4333-9ac4-303fc237d844"/>
    <xsd:import namespace="c74278e3-46d3-49b9-9f3f-65c2b6f6de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ca078-94c1-4333-9ac4-303fc237d84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4278e3-46d3-49b9-9f3f-65c2b6f6de4a"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E1A169-9DD3-453D-A531-E20A60E5E585}">
  <ds:schemaRefs>
    <ds:schemaRef ds:uri="http://schemas.microsoft.com/office/2006/metadata/properties"/>
    <ds:schemaRef ds:uri="http://schemas.microsoft.com/office/infopath/2007/PartnerControls"/>
    <ds:schemaRef ds:uri="027ca078-94c1-4333-9ac4-303fc237d844"/>
  </ds:schemaRefs>
</ds:datastoreItem>
</file>

<file path=customXml/itemProps2.xml><?xml version="1.0" encoding="utf-8"?>
<ds:datastoreItem xmlns:ds="http://schemas.openxmlformats.org/officeDocument/2006/customXml" ds:itemID="{4B3D7B2E-F308-4BEF-B33B-C8196EE817DE}">
  <ds:schemaRefs>
    <ds:schemaRef ds:uri="http://schemas.openxmlformats.org/officeDocument/2006/bibliography"/>
  </ds:schemaRefs>
</ds:datastoreItem>
</file>

<file path=customXml/itemProps3.xml><?xml version="1.0" encoding="utf-8"?>
<ds:datastoreItem xmlns:ds="http://schemas.openxmlformats.org/officeDocument/2006/customXml" ds:itemID="{57A5EDB1-E1D9-492A-9CD9-5B0A643F9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ca078-94c1-4333-9ac4-303fc237d844"/>
    <ds:schemaRef ds:uri="c74278e3-46d3-49b9-9f3f-65c2b6f6d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87ED76-B0C1-4CDB-BC13-7168F348C1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248</Pages>
  <Words>615975</Words>
  <Characters>3511058</Characters>
  <Application>Microsoft Office Word</Application>
  <DocSecurity>0</DocSecurity>
  <Lines>29258</Lines>
  <Paragraphs>8237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Begum</dc:creator>
  <cp:keywords/>
  <dc:description/>
  <cp:lastModifiedBy>Sonia.Begum</cp:lastModifiedBy>
  <cp:revision>2</cp:revision>
  <dcterms:created xsi:type="dcterms:W3CDTF">2023-12-19T18:26:00Z</dcterms:created>
  <dcterms:modified xsi:type="dcterms:W3CDTF">2023-12-19T18:26:00Z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http://www.zotero.org/styles/norsk-apa-manual</vt:lpwstr>
  </property>
  <property fmtid="{D5CDD505-2E9C-101B-9397-08002B2CF9AE}" pid="17" name="Mendeley Recent Style Name 7_1">
    <vt:lpwstr>Norsk APA-manual - APA 7th edition (author-date)</vt:lpwstr>
  </property>
  <property fmtid="{D5CDD505-2E9C-101B-9397-08002B2CF9AE}" pid="18" name="Mendeley Recent Style Id 8_1">
    <vt:lpwstr>http://www.zotero.org/styles/norsk-apa-manual-note</vt:lpwstr>
  </property>
  <property fmtid="{D5CDD505-2E9C-101B-9397-08002B2CF9AE}" pid="19" name="Mendeley Recent Style Name 8_1">
    <vt:lpwstr>Norsk APA-manual - APA 7th edition (note)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http://www.zotero.org/styles/norsk-apa-manual</vt:lpwstr>
  </property>
  <property fmtid="{D5CDD505-2E9C-101B-9397-08002B2CF9AE}" pid="23" name="Mendeley Document_1">
    <vt:lpwstr>True</vt:lpwstr>
  </property>
  <property fmtid="{D5CDD505-2E9C-101B-9397-08002B2CF9AE}" pid="24" name="Mendeley Unique User Id_1">
    <vt:lpwstr>c2993776-8037-3d8f-b3f9-461a74855260</vt:lpwstr>
  </property>
  <property fmtid="{D5CDD505-2E9C-101B-9397-08002B2CF9AE}" pid="25" name="ContentTypeId">
    <vt:lpwstr>0x0101001B61C36694FC99429873C86D4E6E431F</vt:lpwstr>
  </property>
</Properties>
</file>