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B5D" w:rsidRPr="00F031A6" w:rsidRDefault="00242D4A" w:rsidP="00F031A6">
      <w:pPr>
        <w:spacing w:line="360" w:lineRule="auto"/>
        <w:jc w:val="center"/>
        <w:rPr>
          <w:rFonts w:ascii="Arial" w:hAnsi="Arial" w:cs="Arial"/>
          <w:i/>
          <w:sz w:val="24"/>
          <w:szCs w:val="24"/>
        </w:rPr>
      </w:pPr>
      <w:bookmarkStart w:id="0" w:name="_GoBack"/>
      <w:bookmarkEnd w:id="0"/>
      <w:r w:rsidRPr="00F031A6">
        <w:rPr>
          <w:rFonts w:ascii="Arial" w:hAnsi="Arial" w:cs="Arial"/>
          <w:i/>
          <w:sz w:val="24"/>
          <w:szCs w:val="24"/>
        </w:rPr>
        <w:t>“Jumping from boulder to boulder and never falling, with a heavy pack, is easier than it sounds; you just can't fall when you get</w:t>
      </w:r>
      <w:r w:rsidR="00E35B5D" w:rsidRPr="00F031A6">
        <w:rPr>
          <w:rFonts w:ascii="Arial" w:hAnsi="Arial" w:cs="Arial"/>
          <w:i/>
          <w:sz w:val="24"/>
          <w:szCs w:val="24"/>
        </w:rPr>
        <w:t xml:space="preserve"> into the rhythm of the dance.”</w:t>
      </w:r>
    </w:p>
    <w:p w:rsidR="00E35B5D" w:rsidRPr="00F031A6" w:rsidRDefault="00242D4A" w:rsidP="00F031A6">
      <w:pPr>
        <w:spacing w:line="360" w:lineRule="auto"/>
        <w:jc w:val="center"/>
        <w:rPr>
          <w:rFonts w:ascii="Arial" w:hAnsi="Arial" w:cs="Arial"/>
          <w:i/>
          <w:sz w:val="24"/>
          <w:szCs w:val="24"/>
        </w:rPr>
      </w:pPr>
      <w:r w:rsidRPr="00F031A6">
        <w:rPr>
          <w:rFonts w:ascii="Arial" w:hAnsi="Arial" w:cs="Arial"/>
          <w:i/>
          <w:sz w:val="24"/>
          <w:szCs w:val="24"/>
        </w:rPr>
        <w:t>(Jack Kerouac)</w:t>
      </w:r>
    </w:p>
    <w:p w:rsidR="00E35B5D" w:rsidRPr="00E35B5D" w:rsidRDefault="00E35B5D" w:rsidP="0056259B">
      <w:pPr>
        <w:spacing w:line="360" w:lineRule="auto"/>
        <w:rPr>
          <w:rFonts w:ascii="Arial" w:hAnsi="Arial" w:cs="Arial"/>
          <w:sz w:val="24"/>
          <w:szCs w:val="24"/>
        </w:rPr>
      </w:pPr>
    </w:p>
    <w:p w:rsidR="00242D4A" w:rsidRPr="00E35B5D" w:rsidRDefault="00E35B5D" w:rsidP="0056259B">
      <w:pPr>
        <w:spacing w:line="360" w:lineRule="auto"/>
        <w:rPr>
          <w:rFonts w:ascii="Arial" w:hAnsi="Arial" w:cs="Arial"/>
          <w:b/>
          <w:sz w:val="24"/>
          <w:szCs w:val="24"/>
        </w:rPr>
      </w:pPr>
      <w:r w:rsidRPr="00E35B5D">
        <w:rPr>
          <w:rFonts w:ascii="Arial" w:hAnsi="Arial" w:cs="Arial"/>
          <w:b/>
          <w:sz w:val="24"/>
          <w:szCs w:val="24"/>
        </w:rPr>
        <w:t>Chapter 11</w:t>
      </w:r>
    </w:p>
    <w:p w:rsidR="00E35B5D" w:rsidRPr="00E35B5D" w:rsidRDefault="00E35B5D" w:rsidP="0056259B">
      <w:pPr>
        <w:pStyle w:val="Heading1"/>
        <w:spacing w:line="360" w:lineRule="auto"/>
        <w:rPr>
          <w:rFonts w:ascii="Arial" w:hAnsi="Arial" w:cs="Arial"/>
          <w:b w:val="0"/>
          <w:sz w:val="24"/>
          <w:szCs w:val="24"/>
        </w:rPr>
      </w:pPr>
      <w:r w:rsidRPr="00E35B5D">
        <w:rPr>
          <w:rFonts w:ascii="Arial" w:hAnsi="Arial" w:cs="Arial"/>
          <w:sz w:val="24"/>
          <w:szCs w:val="24"/>
        </w:rPr>
        <w:t>Dancing in plain sight</w:t>
      </w:r>
    </w:p>
    <w:p w:rsidR="00E35B5D" w:rsidRPr="00E35B5D" w:rsidRDefault="00E35B5D" w:rsidP="0056259B">
      <w:pPr>
        <w:spacing w:line="360" w:lineRule="auto"/>
        <w:rPr>
          <w:rFonts w:ascii="Arial" w:hAnsi="Arial" w:cs="Arial"/>
          <w:b/>
          <w:sz w:val="24"/>
          <w:szCs w:val="24"/>
        </w:rPr>
      </w:pPr>
      <w:r w:rsidRPr="00E35B5D">
        <w:rPr>
          <w:rFonts w:ascii="Arial" w:hAnsi="Arial" w:cs="Arial"/>
          <w:b/>
          <w:sz w:val="24"/>
          <w:szCs w:val="24"/>
        </w:rPr>
        <w:t xml:space="preserve">Doug </w:t>
      </w:r>
      <w:proofErr w:type="spellStart"/>
      <w:r w:rsidRPr="00E35B5D">
        <w:rPr>
          <w:rFonts w:ascii="Arial" w:hAnsi="Arial" w:cs="Arial"/>
          <w:b/>
          <w:sz w:val="24"/>
          <w:szCs w:val="24"/>
        </w:rPr>
        <w:t>Rouxel</w:t>
      </w:r>
      <w:proofErr w:type="spellEnd"/>
    </w:p>
    <w:p w:rsidR="00E35B5D" w:rsidRDefault="00E35B5D" w:rsidP="0056259B">
      <w:pPr>
        <w:pStyle w:val="ListParagraph"/>
        <w:spacing w:after="0" w:line="360" w:lineRule="auto"/>
        <w:ind w:left="0"/>
        <w:rPr>
          <w:rFonts w:ascii="Arial" w:hAnsi="Arial" w:cs="Arial"/>
          <w:b/>
          <w:sz w:val="24"/>
          <w:szCs w:val="24"/>
        </w:rPr>
      </w:pPr>
    </w:p>
    <w:p w:rsidR="00E35B5D" w:rsidRPr="00E35B5D" w:rsidRDefault="00E35B5D" w:rsidP="0056259B">
      <w:pPr>
        <w:pStyle w:val="ListParagraph"/>
        <w:spacing w:after="0" w:line="360" w:lineRule="auto"/>
        <w:ind w:left="0"/>
        <w:rPr>
          <w:rFonts w:ascii="Arial" w:hAnsi="Arial" w:cs="Arial"/>
          <w:b/>
          <w:sz w:val="24"/>
          <w:szCs w:val="24"/>
        </w:rPr>
      </w:pPr>
      <w:r>
        <w:rPr>
          <w:rFonts w:ascii="Arial" w:hAnsi="Arial" w:cs="Arial"/>
          <w:b/>
          <w:sz w:val="24"/>
          <w:szCs w:val="24"/>
        </w:rPr>
        <w:t>Introduction</w:t>
      </w:r>
    </w:p>
    <w:p w:rsidR="00E35B5D" w:rsidRPr="00E35B5D" w:rsidRDefault="00E35B5D" w:rsidP="0056259B">
      <w:pPr>
        <w:spacing w:line="360" w:lineRule="auto"/>
        <w:ind w:firstLine="720"/>
        <w:rPr>
          <w:rFonts w:ascii="Arial" w:hAnsi="Arial" w:cs="Arial"/>
          <w:sz w:val="24"/>
          <w:szCs w:val="24"/>
        </w:rPr>
      </w:pPr>
      <w:r w:rsidRPr="00E35B5D">
        <w:rPr>
          <w:rFonts w:ascii="Arial" w:hAnsi="Arial" w:cs="Arial"/>
          <w:sz w:val="24"/>
          <w:szCs w:val="24"/>
        </w:rPr>
        <w:t xml:space="preserve">This chapter examines a number of recent disputes in the FE sector around the professional position of teachers, in particular the dispute over the compulsory payment of fees to the Institute for Learning (IfL). This represents a particularly good example of how the sector responded – like the princesses in the dance – by taking a stand that was not only about resistance but also about taking positive action. What was fascinating about the IfL dispute was not that people hated the fees (which they did), it was the related discussion about what it meant to be a teacher in FE. At its root this was a discussion about what FE is for. I argue that real change to FE must evolve from this kind of dialogue – not one about funding methodologies, the right key performance indicators, or what success rates are ideal in your subject area. They are not even about which teaching approaches will ensure time to </w:t>
      </w:r>
      <w:proofErr w:type="spellStart"/>
      <w:r w:rsidRPr="00E35B5D">
        <w:rPr>
          <w:rFonts w:ascii="Arial" w:hAnsi="Arial" w:cs="Arial"/>
          <w:sz w:val="24"/>
          <w:szCs w:val="24"/>
        </w:rPr>
        <w:t>fulfill</w:t>
      </w:r>
      <w:proofErr w:type="spellEnd"/>
      <w:r w:rsidRPr="00E35B5D">
        <w:rPr>
          <w:rFonts w:ascii="Arial" w:hAnsi="Arial" w:cs="Arial"/>
          <w:sz w:val="24"/>
          <w:szCs w:val="24"/>
        </w:rPr>
        <w:t xml:space="preserve"> administrative duties alongside teaching. More important than these is taking any opportunity to change the sector for the better by rescuing the classroom from the statisticians and bean counters. Teachers need to reclaim the classroom and the whole sector not for the fulfilment of statistical goals, but for the sake of meaningful education.</w:t>
      </w:r>
    </w:p>
    <w:p w:rsidR="00E35B5D" w:rsidRPr="00E35B5D" w:rsidRDefault="00E35B5D" w:rsidP="0056259B">
      <w:pPr>
        <w:spacing w:line="360" w:lineRule="auto"/>
        <w:ind w:firstLine="720"/>
        <w:rPr>
          <w:rFonts w:ascii="Arial" w:hAnsi="Arial" w:cs="Arial"/>
          <w:sz w:val="24"/>
          <w:szCs w:val="24"/>
        </w:rPr>
      </w:pPr>
      <w:r w:rsidRPr="00E35B5D">
        <w:rPr>
          <w:rFonts w:ascii="Arial" w:hAnsi="Arial" w:cs="Arial"/>
          <w:sz w:val="24"/>
          <w:szCs w:val="24"/>
        </w:rPr>
        <w:t>Dancing in plain sight involves taking opportunities like those offered by the online forums that cropped up around the IfL site at the time of the fees dispute. There, discussion went significantly beyond the details of the dispute and into the much more fundamental areas of teaching and learning.</w:t>
      </w:r>
    </w:p>
    <w:p w:rsidR="00E35B5D" w:rsidRPr="00E35B5D" w:rsidRDefault="00E35B5D" w:rsidP="0056259B">
      <w:pPr>
        <w:spacing w:line="360" w:lineRule="auto"/>
        <w:rPr>
          <w:rFonts w:ascii="Arial" w:hAnsi="Arial" w:cs="Arial"/>
          <w:sz w:val="24"/>
          <w:szCs w:val="24"/>
        </w:rPr>
      </w:pPr>
    </w:p>
    <w:p w:rsidR="00E35B5D" w:rsidRPr="00E35B5D" w:rsidRDefault="00E35B5D" w:rsidP="0056259B">
      <w:pPr>
        <w:spacing w:line="360" w:lineRule="auto"/>
        <w:rPr>
          <w:rFonts w:ascii="Arial" w:hAnsi="Arial" w:cs="Arial"/>
          <w:b/>
          <w:sz w:val="24"/>
          <w:szCs w:val="24"/>
        </w:rPr>
      </w:pPr>
      <w:r w:rsidRPr="00E35B5D">
        <w:rPr>
          <w:rFonts w:ascii="Arial" w:hAnsi="Arial" w:cs="Arial"/>
          <w:b/>
          <w:sz w:val="24"/>
          <w:szCs w:val="24"/>
        </w:rPr>
        <w:lastRenderedPageBreak/>
        <w:t>Measuring education</w:t>
      </w:r>
    </w:p>
    <w:p w:rsidR="00E35B5D" w:rsidRPr="00E35B5D" w:rsidRDefault="00E35B5D" w:rsidP="0056259B">
      <w:pPr>
        <w:spacing w:line="360" w:lineRule="auto"/>
        <w:ind w:firstLine="720"/>
        <w:rPr>
          <w:rFonts w:ascii="Arial" w:hAnsi="Arial" w:cs="Arial"/>
          <w:sz w:val="24"/>
          <w:szCs w:val="24"/>
        </w:rPr>
      </w:pPr>
      <w:r w:rsidRPr="00E35B5D">
        <w:rPr>
          <w:rFonts w:ascii="Arial" w:hAnsi="Arial" w:cs="Arial"/>
          <w:sz w:val="24"/>
          <w:szCs w:val="24"/>
        </w:rPr>
        <w:t>Metrics and performance indicators have come to define the professional worth of teachers both inside and outside the FE sector, which contributes to an active erosion of teachers’ professional identity. As abstract data becomes the principal lens through which their work is seen, so teachers are forced to focus less on education, and more on providing ‘correct’ data (Ball, 2003). This reliance on the measureable has manifested itself in a general top down and technocratic approach to education from college managers, sector bodies and the government. It has led to a crisis of professional identity among teachers in the sector as notions of added value, efficiency and outputs have replaced the ethics, values and trust on which the shared identity of teachers was previously built. Resistance to diminished conceptions of the professional role of teachers in FE was a feature of the dispute over membership of the IfL.</w:t>
      </w:r>
    </w:p>
    <w:p w:rsidR="00E35B5D" w:rsidRPr="00E35B5D" w:rsidRDefault="00E35B5D" w:rsidP="0056259B">
      <w:pPr>
        <w:spacing w:line="360" w:lineRule="auto"/>
        <w:ind w:firstLine="720"/>
        <w:rPr>
          <w:rFonts w:ascii="Arial" w:hAnsi="Arial" w:cs="Arial"/>
          <w:sz w:val="24"/>
          <w:szCs w:val="24"/>
        </w:rPr>
      </w:pPr>
      <w:r w:rsidRPr="00E35B5D">
        <w:rPr>
          <w:rFonts w:ascii="Arial" w:hAnsi="Arial" w:cs="Arial"/>
          <w:sz w:val="24"/>
          <w:szCs w:val="24"/>
        </w:rPr>
        <w:t xml:space="preserve">The FE sector has seen several disputes that have arisen not from the traditional concerns of pay or terms and conditions, but from a threat to the professional position of teachers. One such dispute was at Westminster Kingsway College in London where the local union branch operated a two-year boycott of teaching observations, opposing in particular the use of unannounced observations. These were perceived as a disciplinary tool rather than a means to address professional educational concerns. Elsewhere, one of the most significant local disputes in recent times where professionalism and performance indicators have been central was the so-called Halesowen 4 dispute in early 2013 at Halesowen College in the West Midlands. This dispute was sparked by the dismissal of four teachers in the college’s mathematics department. The college’s position was that these teachers were dismissed for failing to ensure that students fulfilled their potential and achieve their expected levels of attainment. The evidence which the college used to support this judgement was almost exclusively built on comparing their students’ A level examination results to college and national benchmarks. The regional union official accused the college of making selective use of the data in justifying their position, and argued that: ‘There is now a question over whether teachers in FE colleges can be dismissed purely on students’ attainment, making it a national issue’ </w:t>
      </w:r>
      <w:r w:rsidRPr="00E35B5D">
        <w:rPr>
          <w:rFonts w:ascii="Arial" w:hAnsi="Arial" w:cs="Arial"/>
          <w:sz w:val="24"/>
          <w:szCs w:val="24"/>
        </w:rPr>
        <w:fldChar w:fldCharType="begin"/>
      </w:r>
      <w:r w:rsidRPr="00E35B5D">
        <w:rPr>
          <w:rFonts w:ascii="Arial" w:hAnsi="Arial" w:cs="Arial"/>
          <w:sz w:val="24"/>
          <w:szCs w:val="24"/>
        </w:rPr>
        <w:instrText xml:space="preserve"> ADDIN ZOTERO_ITEM CSL_CITATION {"citationID":"2n2m5hsvl7","properties":{"formattedCitation":"(Radford, 2013)","plainCitation":"(Radford, 2013)"},"citationItems":[{"id":1316,"uris":["http://zotero.org/users/875942/items/RPNC97SS"],"uri":["http://zotero.org/users/875942/items/RPNC97SS"],"itemData":{"id":1316,"type":"article-newspaper","title":"Union strike threat over new dismissals | FE Week","section":"News","URL":"http://feweek.co.uk/2013/01/18/union-strike-threat-over-new-dismissals/","author":[{"family":"Radford","given":"Eleanor"}],"issued":{"date-parts":[["2013",1]],"season":"undefined"},"accessed":{"date-parts":[[2014,5,1]]}}}],"schema":"https://github.com/citation-style-language/schema/raw/master/csl-citation.json"} </w:instrText>
      </w:r>
      <w:r w:rsidRPr="00E35B5D">
        <w:rPr>
          <w:rFonts w:ascii="Arial" w:hAnsi="Arial" w:cs="Arial"/>
          <w:sz w:val="24"/>
          <w:szCs w:val="24"/>
        </w:rPr>
        <w:fldChar w:fldCharType="separate"/>
      </w:r>
      <w:r w:rsidRPr="00E35B5D">
        <w:rPr>
          <w:rFonts w:ascii="Arial" w:hAnsi="Arial" w:cs="Arial"/>
          <w:noProof/>
          <w:sz w:val="24"/>
          <w:szCs w:val="24"/>
        </w:rPr>
        <w:t>(quoted in Radford, 2013)</w:t>
      </w:r>
      <w:r w:rsidRPr="00E35B5D">
        <w:rPr>
          <w:rFonts w:ascii="Arial" w:hAnsi="Arial" w:cs="Arial"/>
          <w:sz w:val="24"/>
          <w:szCs w:val="24"/>
        </w:rPr>
        <w:fldChar w:fldCharType="end"/>
      </w:r>
      <w:r w:rsidRPr="00E35B5D">
        <w:rPr>
          <w:rFonts w:ascii="Arial" w:hAnsi="Arial" w:cs="Arial"/>
          <w:sz w:val="24"/>
          <w:szCs w:val="24"/>
        </w:rPr>
        <w:t xml:space="preserve">. The Halesowen 4 dispute arose directly from performance indicators representing the outcomes of an educational institution, </w:t>
      </w:r>
      <w:r w:rsidRPr="00E35B5D">
        <w:rPr>
          <w:rFonts w:ascii="Arial" w:hAnsi="Arial" w:cs="Arial"/>
          <w:sz w:val="24"/>
          <w:szCs w:val="24"/>
        </w:rPr>
        <w:lastRenderedPageBreak/>
        <w:t>department or individual teacher. It exposed the assumption that the education is in some way quantifiable, that teacher performance can thus be measured as providing either enough or insufficient learning.  The notion of a surplus in thi</w:t>
      </w:r>
      <w:r>
        <w:rPr>
          <w:rFonts w:ascii="Arial" w:hAnsi="Arial" w:cs="Arial"/>
          <w:sz w:val="24"/>
          <w:szCs w:val="24"/>
        </w:rPr>
        <w:t>s situation is never addressed.</w:t>
      </w:r>
    </w:p>
    <w:p w:rsidR="00E35B5D" w:rsidRPr="00E35B5D" w:rsidRDefault="00E35B5D" w:rsidP="0056259B">
      <w:pPr>
        <w:spacing w:line="360" w:lineRule="auto"/>
        <w:ind w:firstLine="720"/>
        <w:rPr>
          <w:rFonts w:ascii="Arial" w:hAnsi="Arial" w:cs="Arial"/>
          <w:sz w:val="24"/>
          <w:szCs w:val="24"/>
        </w:rPr>
      </w:pPr>
      <w:r w:rsidRPr="00E35B5D">
        <w:rPr>
          <w:rFonts w:ascii="Arial" w:hAnsi="Arial" w:cs="Arial"/>
          <w:sz w:val="24"/>
          <w:szCs w:val="24"/>
        </w:rPr>
        <w:t>A system where success is based on comparing course data to those of the average of a wider set, in which the original course is included, will consistently mean that by this measure many courses are unsuccessful. There is, moreover, a tension between the complexity of the system by which FE teachers, departments and institutions are judged on the one hand and on the other the simple case that the outcomes on which performance indicators are based are very often beyond the control of teachers, managers and even college principals. The expected standard is inconsistent and one that it is impossible for everyone to meet. This system ensures that a large number of courses will be seen as failing, which can have a profound impact at the institutional level in terms of funding, and at an individual level, as in Halesowen, where teachers might lose their jobs. The logic behind the way these comparative data are used is that the relationship with the teacher is the sole determinant in the student’s achievement. This is not, however, the case. For example, students leave courses for a multitude of reasons (</w:t>
      </w:r>
      <w:proofErr w:type="spellStart"/>
      <w:r w:rsidRPr="00E35B5D">
        <w:rPr>
          <w:rFonts w:ascii="Arial" w:hAnsi="Arial" w:cs="Arial"/>
          <w:sz w:val="24"/>
          <w:szCs w:val="24"/>
        </w:rPr>
        <w:t>Yorke</w:t>
      </w:r>
      <w:proofErr w:type="spellEnd"/>
      <w:r w:rsidRPr="00E35B5D">
        <w:rPr>
          <w:rFonts w:ascii="Arial" w:hAnsi="Arial" w:cs="Arial"/>
          <w:sz w:val="24"/>
          <w:szCs w:val="24"/>
        </w:rPr>
        <w:t>, 1999) that do not necessarily imply that the course, the college or the teaching is of poor quality. Yet, this poor quality is the implicit assumption of the system. Intrinsic to this system are financial imperatives that are compelling and crucial</w:t>
      </w:r>
      <w:r w:rsidRPr="00E35B5D">
        <w:rPr>
          <w:rFonts w:ascii="Arial" w:hAnsi="Arial" w:cs="Arial"/>
          <w:color w:val="FF0000"/>
          <w:sz w:val="24"/>
          <w:szCs w:val="24"/>
        </w:rPr>
        <w:t xml:space="preserve"> </w:t>
      </w:r>
      <w:r w:rsidRPr="00E35B5D">
        <w:rPr>
          <w:rFonts w:ascii="Arial" w:hAnsi="Arial" w:cs="Arial"/>
          <w:sz w:val="24"/>
          <w:szCs w:val="24"/>
        </w:rPr>
        <w:t xml:space="preserve">to any explanation of the erosion of teachers’ professionalism in FE. If the use of metrics leads to behaviour that is against the pedagogic interests of the community in which a college serves, ‘the money helps to persuade you that it’s a good idea’, as an FE college manager </w:t>
      </w:r>
      <w:r w:rsidRPr="00F031A6">
        <w:rPr>
          <w:rFonts w:ascii="Arial" w:hAnsi="Arial" w:cs="Arial"/>
          <w:sz w:val="24"/>
          <w:szCs w:val="24"/>
        </w:rPr>
        <w:t xml:space="preserve">(quoted in </w:t>
      </w:r>
      <w:r w:rsidRPr="00F031A6">
        <w:rPr>
          <w:rFonts w:ascii="Arial" w:hAnsi="Arial" w:cs="Arial"/>
          <w:sz w:val="24"/>
          <w:szCs w:val="24"/>
        </w:rPr>
        <w:fldChar w:fldCharType="begin"/>
      </w:r>
      <w:r w:rsidRPr="00F031A6">
        <w:rPr>
          <w:rFonts w:ascii="Arial" w:hAnsi="Arial" w:cs="Arial"/>
          <w:sz w:val="24"/>
          <w:szCs w:val="24"/>
        </w:rPr>
        <w:instrText xml:space="preserve"> ADDIN ZOTERO_ITEM CSL_CITATION {"citationID":"2693371j5b","properties":{"formattedCitation":"(Smith, 2007)","plainCitation":"(Smith, 2007)"},"citationItems":[{"id":1204,"uris":["http://zotero.org/users/875942/items/8DH9Z6GR"],"uri":["http://zotero.org/users/875942/items/8DH9Z6GR"],"itemData":{"id":1204,"type":"article-journal","title":"Of ‘duckers and divers’, mice and men: the impact of market fundamentalism in FE colleges post</w:instrText>
      </w:r>
      <w:r w:rsidRPr="00F031A6">
        <w:rPr>
          <w:rFonts w:ascii="Cambria Math" w:hAnsi="Cambria Math" w:cs="Cambria Math"/>
          <w:sz w:val="24"/>
          <w:szCs w:val="24"/>
        </w:rPr>
        <w:instrText>‐</w:instrText>
      </w:r>
      <w:r w:rsidRPr="00F031A6">
        <w:rPr>
          <w:rFonts w:ascii="Arial" w:hAnsi="Arial" w:cs="Arial"/>
          <w:sz w:val="24"/>
          <w:szCs w:val="24"/>
        </w:rPr>
        <w:instrText>incorporation","container-title":"Research in Post-Compulsory Education","page":"53-69","volume":"12","issue":"1","source":"Taylor and Francis+NEJM","abstract":"This paper provides a critique of the current policy orthodoxy of using markets to organise and structure education provision in England, focusing in particular on Further Education (FE) provision. Starting from the context of New Labour’s so</w:instrText>
      </w:r>
      <w:r w:rsidRPr="00F031A6">
        <w:rPr>
          <w:rFonts w:ascii="Cambria Math" w:hAnsi="Cambria Math" w:cs="Cambria Math"/>
          <w:sz w:val="24"/>
          <w:szCs w:val="24"/>
        </w:rPr>
        <w:instrText>‐</w:instrText>
      </w:r>
      <w:r w:rsidRPr="00F031A6">
        <w:rPr>
          <w:rFonts w:ascii="Arial" w:hAnsi="Arial" w:cs="Arial"/>
          <w:sz w:val="24"/>
          <w:szCs w:val="24"/>
        </w:rPr>
        <w:instrText>called Third Way, it sets out research findings that indicate that marketisation not only produces cultures that relate first and foremost to institutional self</w:instrText>
      </w:r>
      <w:r w:rsidRPr="00F031A6">
        <w:rPr>
          <w:rFonts w:ascii="Cambria Math" w:hAnsi="Cambria Math" w:cs="Cambria Math"/>
          <w:sz w:val="24"/>
          <w:szCs w:val="24"/>
        </w:rPr>
        <w:instrText>‐</w:instrText>
      </w:r>
      <w:r w:rsidRPr="00F031A6">
        <w:rPr>
          <w:rFonts w:ascii="Arial" w:hAnsi="Arial" w:cs="Arial"/>
          <w:sz w:val="24"/>
          <w:szCs w:val="24"/>
        </w:rPr>
        <w:instrText>interest but also may be detrimental to quality provision for students. Drawing on qualitative research, the paper explores the impact of quasi</w:instrText>
      </w:r>
      <w:r w:rsidRPr="00F031A6">
        <w:rPr>
          <w:rFonts w:ascii="Cambria Math" w:hAnsi="Cambria Math" w:cs="Cambria Math"/>
          <w:sz w:val="24"/>
          <w:szCs w:val="24"/>
        </w:rPr>
        <w:instrText>‐</w:instrText>
      </w:r>
      <w:r w:rsidRPr="00F031A6">
        <w:rPr>
          <w:rFonts w:ascii="Arial" w:hAnsi="Arial" w:cs="Arial"/>
          <w:sz w:val="24"/>
          <w:szCs w:val="24"/>
        </w:rPr>
        <w:instrText>marketisation, focusing on how one college ‘successfully’ negotiated the funding changes and the competitive context of the FE quasi</w:instrText>
      </w:r>
      <w:r w:rsidRPr="00F031A6">
        <w:rPr>
          <w:rFonts w:ascii="Cambria Math" w:hAnsi="Cambria Math" w:cs="Cambria Math"/>
          <w:sz w:val="24"/>
          <w:szCs w:val="24"/>
        </w:rPr>
        <w:instrText>‐</w:instrText>
      </w:r>
      <w:r w:rsidRPr="00F031A6">
        <w:rPr>
          <w:rFonts w:ascii="Arial" w:hAnsi="Arial" w:cs="Arial"/>
          <w:sz w:val="24"/>
          <w:szCs w:val="24"/>
        </w:rPr>
        <w:instrText xml:space="preserve">market. The paper concludes by looking at the findings through the theoretical lenses of some key concepts from Habermasian theory.","DOI":"10.1080/13596740601155397","ISSN":"1359-6748","shortTitle":"Of ‘duckers and divers’, mice and men","author":[{"family":"Smith","given":"Rob"}],"issued":{"date-parts":[[2007]]},"accessed":{"date-parts":[[2014,4,15]]}}}],"schema":"https://github.com/citation-style-language/schema/raw/master/csl-citation.json"} </w:instrText>
      </w:r>
      <w:r w:rsidRPr="00F031A6">
        <w:rPr>
          <w:rFonts w:ascii="Arial" w:hAnsi="Arial" w:cs="Arial"/>
          <w:sz w:val="24"/>
          <w:szCs w:val="24"/>
        </w:rPr>
        <w:fldChar w:fldCharType="separate"/>
      </w:r>
      <w:r w:rsidRPr="00F031A6">
        <w:rPr>
          <w:rFonts w:ascii="Arial" w:hAnsi="Arial" w:cs="Arial"/>
          <w:sz w:val="24"/>
          <w:szCs w:val="24"/>
        </w:rPr>
        <w:t>Smith, 2007</w:t>
      </w:r>
      <w:r w:rsidRPr="00F031A6">
        <w:rPr>
          <w:rFonts w:ascii="Arial" w:hAnsi="Arial" w:cs="Arial"/>
          <w:sz w:val="24"/>
          <w:szCs w:val="24"/>
        </w:rPr>
        <w:fldChar w:fldCharType="end"/>
      </w:r>
      <w:r w:rsidR="00F031A6" w:rsidRPr="00F031A6">
        <w:rPr>
          <w:rFonts w:ascii="Arial" w:hAnsi="Arial" w:cs="Arial"/>
          <w:sz w:val="24"/>
          <w:szCs w:val="24"/>
        </w:rPr>
        <w:t>: 59</w:t>
      </w:r>
      <w:r w:rsidRPr="00F031A6">
        <w:rPr>
          <w:rFonts w:ascii="Arial" w:hAnsi="Arial" w:cs="Arial"/>
          <w:sz w:val="24"/>
          <w:szCs w:val="24"/>
        </w:rPr>
        <w:t>)</w:t>
      </w:r>
      <w:r w:rsidRPr="00E35B5D">
        <w:rPr>
          <w:rFonts w:ascii="Arial" w:hAnsi="Arial" w:cs="Arial"/>
          <w:sz w:val="24"/>
          <w:szCs w:val="24"/>
        </w:rPr>
        <w:t xml:space="preserve"> said, adding that ‘colleges saw the bottom line of their accounts and put that in front of the education of students’. This kind of unethical behaviour that derives from the culture of audit within the FE sector is a demonstration of how certain performance indicators may impact on the professionalism of FE teachers. What Ball (2003) has termed the ‘</w:t>
      </w:r>
      <w:proofErr w:type="spellStart"/>
      <w:r w:rsidRPr="00E35B5D">
        <w:rPr>
          <w:rFonts w:ascii="Arial" w:hAnsi="Arial" w:cs="Arial"/>
          <w:sz w:val="24"/>
          <w:szCs w:val="24"/>
        </w:rPr>
        <w:t>reprofessionalization</w:t>
      </w:r>
      <w:proofErr w:type="spellEnd"/>
      <w:r w:rsidRPr="00E35B5D">
        <w:rPr>
          <w:rFonts w:ascii="Arial" w:hAnsi="Arial" w:cs="Arial"/>
          <w:sz w:val="24"/>
          <w:szCs w:val="24"/>
        </w:rPr>
        <w:t xml:space="preserve">’ of teachers is marked by the co-option of the professional identity of FE teachers into the marketization agenda. This places competition and the possibility of performing better than your peers at the centre of the professional identity. As the disputes at Halesowen and Kingsway colleges demonstrate, </w:t>
      </w:r>
      <w:r w:rsidRPr="00E35B5D">
        <w:rPr>
          <w:rFonts w:ascii="Arial" w:hAnsi="Arial" w:cs="Arial"/>
          <w:sz w:val="24"/>
          <w:szCs w:val="24"/>
        </w:rPr>
        <w:lastRenderedPageBreak/>
        <w:t>however, there has been resistance to some of these moves and the professional role of FE teachers has been a distinct area of contention in the conflict between pedagogical and other imperatives.</w:t>
      </w:r>
    </w:p>
    <w:p w:rsidR="00E35B5D" w:rsidRPr="00E35B5D" w:rsidRDefault="00E35B5D" w:rsidP="0056259B">
      <w:pPr>
        <w:spacing w:line="360" w:lineRule="auto"/>
        <w:ind w:firstLine="720"/>
        <w:rPr>
          <w:rFonts w:ascii="Arial" w:hAnsi="Arial" w:cs="Arial"/>
          <w:sz w:val="24"/>
          <w:szCs w:val="24"/>
        </w:rPr>
      </w:pPr>
      <w:r w:rsidRPr="00E35B5D">
        <w:rPr>
          <w:rFonts w:ascii="Arial" w:hAnsi="Arial" w:cs="Arial"/>
          <w:sz w:val="24"/>
          <w:szCs w:val="24"/>
        </w:rPr>
        <w:t>The most prominent dispute involving the professional standing of FE teachers centred on charging fees directly to all members of the IfL. Formed in 2002, the IfL initially started as a voluntary membership-led body to represent the professional interests of FE teachers. This position altered significantly with the implementation of The Further Education Teachers’ Continuing Professional Development and Registration (England) Regulations in 2007, which introduced the statutory requirement to belong to the IfL in order to gain and maintain a licence to practise as a teacher in the sector. These regulations also included the requirement to undertake at least 30 hours of continuing professional development (CPD) per year, which also was to be monitored and enforced by the IfL.</w:t>
      </w:r>
    </w:p>
    <w:p w:rsidR="00E35B5D" w:rsidRPr="00E35B5D" w:rsidRDefault="00E35B5D" w:rsidP="0056259B">
      <w:pPr>
        <w:spacing w:line="360" w:lineRule="auto"/>
        <w:ind w:firstLine="720"/>
        <w:rPr>
          <w:rFonts w:ascii="Arial" w:hAnsi="Arial" w:cs="Arial"/>
          <w:sz w:val="24"/>
          <w:szCs w:val="24"/>
        </w:rPr>
      </w:pPr>
      <w:r w:rsidRPr="00E35B5D">
        <w:rPr>
          <w:rFonts w:ascii="Arial" w:hAnsi="Arial" w:cs="Arial"/>
          <w:sz w:val="24"/>
          <w:szCs w:val="24"/>
        </w:rPr>
        <w:t>At first when membership of the IfL had become a statutory requirement the government had paid the membership fees. In the period following the implementation of the new regulations few FE teachers were openly hostile to the IfL, even if support for the organisation was lukewarm. Then at the FE sector conferences of the main FE teachers’ union, the UCU, in 2009 and 2010 motions were passed which noted concern about the IfL, and which instructed the Further Education Committee of the union to review the operations of the IfL and report back to the conference. A mood of engagement with the IfL was, nonetheless, prevalent in these debates. Until this point, many teachers’ only contact with the IfL had been when they were expected to report the CPD that they had undertaken to the IfL as the responsible body, generally in a crude form of the number of hours. Though this is a rather reductive measure of professionalism, the IfL was involved with other activities and almost certainly had some positive influences on the sector. These were not, however, always apparent to teachers whose relationship with the IfL was mediated principally through the mechanistic reporting of CPD hours.</w:t>
      </w:r>
    </w:p>
    <w:p w:rsidR="00E35B5D" w:rsidRPr="00E35B5D" w:rsidRDefault="00E35B5D" w:rsidP="0056259B">
      <w:pPr>
        <w:spacing w:line="360" w:lineRule="auto"/>
        <w:ind w:firstLine="720"/>
        <w:rPr>
          <w:rFonts w:ascii="Arial" w:hAnsi="Arial" w:cs="Arial"/>
          <w:sz w:val="24"/>
          <w:szCs w:val="24"/>
        </w:rPr>
      </w:pPr>
      <w:r w:rsidRPr="00E35B5D">
        <w:rPr>
          <w:rFonts w:ascii="Arial" w:hAnsi="Arial" w:cs="Arial"/>
          <w:sz w:val="24"/>
          <w:szCs w:val="24"/>
        </w:rPr>
        <w:t xml:space="preserve">The period of mild indifference towards the IfL came to an abrupt end immediately the funding of membership fees from central government ceased. At that point all FE teachers were expected to directly pay the organisation to maintain their membership and so their licence to practise. The announcement of this </w:t>
      </w:r>
      <w:r w:rsidRPr="00E35B5D">
        <w:rPr>
          <w:rFonts w:ascii="Arial" w:hAnsi="Arial" w:cs="Arial"/>
          <w:sz w:val="24"/>
          <w:szCs w:val="24"/>
        </w:rPr>
        <w:lastRenderedPageBreak/>
        <w:t xml:space="preserve">proposal was met with widespread opposition and the beginning of a serious backlash against the IfL. It led to arguably the most widely supported industrial action seen in the FE sector since the incorporation of colleges in 1993. This backlash against the IfL can be tracked across the UCU’s FE sector conference in 2011, which passed motions instructing the union to lead a collective boycott of the IfL, and in 2012 where a motion was passed condemning the IfL for its failures, and congratulating members for taking part in the collective boycott of payment of the </w:t>
      </w:r>
      <w:proofErr w:type="spellStart"/>
      <w:r w:rsidRPr="00E35B5D">
        <w:rPr>
          <w:rFonts w:ascii="Arial" w:hAnsi="Arial" w:cs="Arial"/>
          <w:sz w:val="24"/>
          <w:szCs w:val="24"/>
        </w:rPr>
        <w:t>IfL’s</w:t>
      </w:r>
      <w:proofErr w:type="spellEnd"/>
      <w:r w:rsidRPr="00E35B5D">
        <w:rPr>
          <w:rFonts w:ascii="Arial" w:hAnsi="Arial" w:cs="Arial"/>
          <w:sz w:val="24"/>
          <w:szCs w:val="24"/>
        </w:rPr>
        <w:t xml:space="preserve"> membership fees. </w:t>
      </w:r>
    </w:p>
    <w:p w:rsidR="00E35B5D" w:rsidRPr="00E35B5D" w:rsidRDefault="00E35B5D" w:rsidP="0056259B">
      <w:pPr>
        <w:spacing w:line="360" w:lineRule="auto"/>
        <w:ind w:firstLine="720"/>
        <w:rPr>
          <w:rFonts w:ascii="Arial" w:hAnsi="Arial" w:cs="Arial"/>
          <w:sz w:val="24"/>
          <w:szCs w:val="24"/>
        </w:rPr>
      </w:pPr>
      <w:r w:rsidRPr="00E35B5D">
        <w:rPr>
          <w:rFonts w:ascii="Arial" w:hAnsi="Arial" w:cs="Arial"/>
          <w:sz w:val="24"/>
          <w:szCs w:val="24"/>
        </w:rPr>
        <w:t xml:space="preserve">The exact numbers involved in the boycott are difficult to ascertain because figures for non-renewal of membership were not published at the time. Based on the number of teachers in the broader lifelong sector who were potential members and the number that had actually renewed their membership by July 2011 as outlined by the IfL to the </w:t>
      </w:r>
      <w:r w:rsidRPr="00E35B5D">
        <w:rPr>
          <w:rFonts w:ascii="Arial" w:hAnsi="Arial" w:cs="Arial"/>
          <w:i/>
          <w:sz w:val="24"/>
          <w:szCs w:val="24"/>
        </w:rPr>
        <w:t>Times Educational Supplement</w:t>
      </w:r>
      <w:r w:rsidRPr="00E35B5D">
        <w:rPr>
          <w:rFonts w:ascii="Arial" w:hAnsi="Arial" w:cs="Arial"/>
          <w:sz w:val="24"/>
          <w:szCs w:val="24"/>
        </w:rPr>
        <w:t xml:space="preserve"> it would, however, be reasonable to estimate that more than 130,000 teachers refused to pay.  This is well in excess of the 34,505 FE members of UCU at the time of the formal industrial action ballot over the fees boycott.</w:t>
      </w:r>
    </w:p>
    <w:p w:rsidR="00E35B5D" w:rsidRPr="00E35B5D" w:rsidRDefault="00E35B5D" w:rsidP="0056259B">
      <w:pPr>
        <w:spacing w:line="360" w:lineRule="auto"/>
        <w:ind w:firstLine="720"/>
        <w:rPr>
          <w:rFonts w:ascii="Arial" w:hAnsi="Arial" w:cs="Arial"/>
          <w:sz w:val="24"/>
          <w:szCs w:val="24"/>
        </w:rPr>
      </w:pPr>
      <w:r w:rsidRPr="00E35B5D">
        <w:rPr>
          <w:rFonts w:ascii="Arial" w:hAnsi="Arial" w:cs="Arial"/>
          <w:sz w:val="24"/>
          <w:szCs w:val="24"/>
        </w:rPr>
        <w:t>On first glance this dispute might be interpreted as simply being about opposition to a charge of £68 per year (later reduced to £38 in response to sectoral opposition to the fee) to, in effect, carry on working. Through the course of the campaign, however, it became apparent that there was more to the dispute than that. The IfL dispute encapsulated concerns not just about payment to receive a service which many FE teachers did not perceive let alone value, but other concerns about the expectations of them as professionals. The anti-fees campaign became a lightning rod for more fundamental opposition to the direction FE had been taken by the government. The campaign against fees also involved opposition to the government’s target-led approach both to the funding methodology and to the assessment of the quality of education provision. Though well beyond the direct responsibility of the organisation, the IfL found itself at the brunt of a general dissatisfaction with the priorities and management of FE.</w:t>
      </w:r>
    </w:p>
    <w:p w:rsidR="00E35B5D" w:rsidRPr="00E35B5D" w:rsidRDefault="00E35B5D" w:rsidP="0056259B">
      <w:pPr>
        <w:spacing w:line="360" w:lineRule="auto"/>
        <w:ind w:firstLine="720"/>
        <w:rPr>
          <w:rFonts w:ascii="Arial" w:hAnsi="Arial" w:cs="Arial"/>
          <w:sz w:val="24"/>
          <w:szCs w:val="24"/>
        </w:rPr>
      </w:pPr>
      <w:r w:rsidRPr="00E35B5D">
        <w:rPr>
          <w:rFonts w:ascii="Arial" w:hAnsi="Arial" w:cs="Arial"/>
          <w:sz w:val="24"/>
          <w:szCs w:val="24"/>
        </w:rPr>
        <w:t xml:space="preserve">In addition to being in the wrong place at the wrong time, the </w:t>
      </w:r>
      <w:proofErr w:type="spellStart"/>
      <w:r w:rsidRPr="00E35B5D">
        <w:rPr>
          <w:rFonts w:ascii="Arial" w:hAnsi="Arial" w:cs="Arial"/>
          <w:sz w:val="24"/>
          <w:szCs w:val="24"/>
        </w:rPr>
        <w:t>IfL’s</w:t>
      </w:r>
      <w:proofErr w:type="spellEnd"/>
      <w:r w:rsidRPr="00E35B5D">
        <w:rPr>
          <w:rFonts w:ascii="Arial" w:hAnsi="Arial" w:cs="Arial"/>
          <w:sz w:val="24"/>
          <w:szCs w:val="24"/>
        </w:rPr>
        <w:t xml:space="preserve"> leadership tended towards a contradictory approach to dealing with members. On the one hand, it consistently described itself as member-led, yet throughout the fees dispute its </w:t>
      </w:r>
      <w:r w:rsidRPr="00E35B5D">
        <w:rPr>
          <w:rFonts w:ascii="Arial" w:hAnsi="Arial" w:cs="Arial"/>
          <w:sz w:val="24"/>
          <w:szCs w:val="24"/>
        </w:rPr>
        <w:lastRenderedPageBreak/>
        <w:t xml:space="preserve">official response was dismissive of legitimate concerns raised by members. In an interview in 2011in </w:t>
      </w:r>
      <w:r w:rsidRPr="00E35B5D">
        <w:rPr>
          <w:rFonts w:ascii="Arial" w:hAnsi="Arial" w:cs="Arial"/>
          <w:i/>
          <w:sz w:val="24"/>
          <w:szCs w:val="24"/>
        </w:rPr>
        <w:t xml:space="preserve">FE Week </w:t>
      </w:r>
      <w:r w:rsidRPr="00E35B5D">
        <w:rPr>
          <w:rFonts w:ascii="Arial" w:hAnsi="Arial" w:cs="Arial"/>
          <w:sz w:val="24"/>
          <w:szCs w:val="24"/>
        </w:rPr>
        <w:t xml:space="preserve">the </w:t>
      </w:r>
      <w:proofErr w:type="spellStart"/>
      <w:r w:rsidRPr="00E35B5D">
        <w:rPr>
          <w:rFonts w:ascii="Arial" w:hAnsi="Arial" w:cs="Arial"/>
          <w:sz w:val="24"/>
          <w:szCs w:val="24"/>
        </w:rPr>
        <w:t>IfL’s</w:t>
      </w:r>
      <w:proofErr w:type="spellEnd"/>
      <w:r w:rsidRPr="00E35B5D">
        <w:rPr>
          <w:rFonts w:ascii="Arial" w:hAnsi="Arial" w:cs="Arial"/>
          <w:sz w:val="24"/>
          <w:szCs w:val="24"/>
        </w:rPr>
        <w:t xml:space="preserve"> Chief Executive indicated suggested that some of the backlash against the IfL was offensive and hurtful, but the organisation was at the same time unresponsive to constructive criticism. Similarly when asked by </w:t>
      </w:r>
      <w:r w:rsidRPr="00E35B5D">
        <w:rPr>
          <w:rFonts w:ascii="Arial" w:hAnsi="Arial" w:cs="Arial"/>
          <w:i/>
          <w:sz w:val="24"/>
          <w:szCs w:val="24"/>
        </w:rPr>
        <w:t xml:space="preserve">The Guardian </w:t>
      </w:r>
      <w:r w:rsidRPr="00E35B5D">
        <w:rPr>
          <w:rFonts w:ascii="Arial" w:hAnsi="Arial" w:cs="Arial"/>
          <w:sz w:val="24"/>
          <w:szCs w:val="24"/>
        </w:rPr>
        <w:t xml:space="preserve">newspaper about a petition against the fees, the </w:t>
      </w:r>
      <w:proofErr w:type="spellStart"/>
      <w:r w:rsidRPr="00E35B5D">
        <w:rPr>
          <w:rFonts w:ascii="Arial" w:hAnsi="Arial" w:cs="Arial"/>
          <w:sz w:val="24"/>
          <w:szCs w:val="24"/>
        </w:rPr>
        <w:t>IfL’s</w:t>
      </w:r>
      <w:proofErr w:type="spellEnd"/>
      <w:r w:rsidRPr="00E35B5D">
        <w:rPr>
          <w:rFonts w:ascii="Arial" w:hAnsi="Arial" w:cs="Arial"/>
          <w:sz w:val="24"/>
          <w:szCs w:val="24"/>
        </w:rPr>
        <w:t xml:space="preserve"> leadership’s response was to question the legitimacy of the petition rather than engage with the concerns it raised. This dismissive approach led to even more animosity between the </w:t>
      </w:r>
      <w:proofErr w:type="spellStart"/>
      <w:r w:rsidRPr="00E35B5D">
        <w:rPr>
          <w:rFonts w:ascii="Arial" w:hAnsi="Arial" w:cs="Arial"/>
          <w:sz w:val="24"/>
          <w:szCs w:val="24"/>
        </w:rPr>
        <w:t>IfL’s</w:t>
      </w:r>
      <w:proofErr w:type="spellEnd"/>
      <w:r w:rsidRPr="00E35B5D">
        <w:rPr>
          <w:rFonts w:ascii="Arial" w:hAnsi="Arial" w:cs="Arial"/>
          <w:sz w:val="24"/>
          <w:szCs w:val="24"/>
        </w:rPr>
        <w:t xml:space="preserve"> me</w:t>
      </w:r>
      <w:r>
        <w:rPr>
          <w:rFonts w:ascii="Arial" w:hAnsi="Arial" w:cs="Arial"/>
          <w:sz w:val="24"/>
          <w:szCs w:val="24"/>
        </w:rPr>
        <w:t>m</w:t>
      </w:r>
      <w:r w:rsidRPr="00E35B5D">
        <w:rPr>
          <w:rFonts w:ascii="Arial" w:hAnsi="Arial" w:cs="Arial"/>
          <w:sz w:val="24"/>
          <w:szCs w:val="24"/>
        </w:rPr>
        <w:t>bers and the organisation.</w:t>
      </w:r>
    </w:p>
    <w:p w:rsidR="00E35B5D" w:rsidRPr="00E35B5D" w:rsidRDefault="00E35B5D" w:rsidP="0056259B">
      <w:pPr>
        <w:spacing w:line="360" w:lineRule="auto"/>
        <w:ind w:firstLine="720"/>
        <w:rPr>
          <w:rFonts w:ascii="Arial" w:hAnsi="Arial" w:cs="Arial"/>
          <w:sz w:val="24"/>
          <w:szCs w:val="24"/>
        </w:rPr>
      </w:pPr>
      <w:r w:rsidRPr="00E35B5D">
        <w:rPr>
          <w:rFonts w:ascii="Arial" w:hAnsi="Arial" w:cs="Arial"/>
          <w:sz w:val="24"/>
          <w:szCs w:val="24"/>
        </w:rPr>
        <w:t xml:space="preserve">The dispute was driven not from the top of the trade union but from below, from union members and non-members alike who were absolutely committed to opposing payment of the </w:t>
      </w:r>
      <w:proofErr w:type="spellStart"/>
      <w:r w:rsidRPr="00E35B5D">
        <w:rPr>
          <w:rFonts w:ascii="Arial" w:hAnsi="Arial" w:cs="Arial"/>
          <w:sz w:val="24"/>
          <w:szCs w:val="24"/>
        </w:rPr>
        <w:t>IfL’s</w:t>
      </w:r>
      <w:proofErr w:type="spellEnd"/>
      <w:r w:rsidRPr="00E35B5D">
        <w:rPr>
          <w:rFonts w:ascii="Arial" w:hAnsi="Arial" w:cs="Arial"/>
          <w:sz w:val="24"/>
          <w:szCs w:val="24"/>
        </w:rPr>
        <w:t xml:space="preserve"> fees. These were the people who took to social media to discuss their reasons for condemning the IfL and to complain about the de-</w:t>
      </w:r>
      <w:proofErr w:type="spellStart"/>
      <w:r w:rsidRPr="00E35B5D">
        <w:rPr>
          <w:rFonts w:ascii="Arial" w:hAnsi="Arial" w:cs="Arial"/>
          <w:sz w:val="24"/>
          <w:szCs w:val="24"/>
        </w:rPr>
        <w:t>professionalisation</w:t>
      </w:r>
      <w:proofErr w:type="spellEnd"/>
      <w:r w:rsidRPr="00E35B5D">
        <w:rPr>
          <w:rFonts w:ascii="Arial" w:hAnsi="Arial" w:cs="Arial"/>
          <w:sz w:val="24"/>
          <w:szCs w:val="24"/>
        </w:rPr>
        <w:t xml:space="preserve"> of their roles, redundancies in FE colleges and reductive performance indicators that dominated management practice in the sector. The IfL had always had a significant social media presence; its Deputy Chief Executive was particularly active on twitter and he often engaged in discussions on Facebook and Linked-in. As the boycott gained support and members or would-be members asked more questions of the IfL, the organisation’s formal presence on social media shrank and it started to block out opposition voices. It restricted posting on once open Facebook groups and it limited membership of its Linked-in community, so that far from being led by its membership, the IfL was increasingly restricting and policing what the membership wished to express online. Whilst the dispute was at points acrimonious, the online spaces that opened up for discussion about the nature of FE were both interesting and inspiring for those involved. There were discussions about what FE was for as well as the nature of teachers’ professional identity. These took place in staff rooms and corridors, but also online through social media. Social media groups where the most energetic campaigners discussed these issues helped spread support for the vote to boycott fees in the formal union ballot for industrial action, which came well after many people had started withholding the fees themselves. These online groups ensured that individuals isolated in their institution could also get involved in the wider discussions that arose from the dispute. In other words, the dispute opened up a space in which to examine what professionalism meant. </w:t>
      </w:r>
    </w:p>
    <w:p w:rsidR="00E35B5D" w:rsidRPr="00E35B5D" w:rsidRDefault="00E35B5D" w:rsidP="0056259B">
      <w:pPr>
        <w:spacing w:line="360" w:lineRule="auto"/>
        <w:ind w:firstLine="720"/>
        <w:rPr>
          <w:rFonts w:ascii="Arial" w:hAnsi="Arial" w:cs="Arial"/>
          <w:sz w:val="24"/>
          <w:szCs w:val="24"/>
        </w:rPr>
      </w:pPr>
      <w:r w:rsidRPr="00E35B5D">
        <w:rPr>
          <w:rFonts w:ascii="Arial" w:hAnsi="Arial" w:cs="Arial"/>
          <w:sz w:val="24"/>
          <w:szCs w:val="24"/>
        </w:rPr>
        <w:lastRenderedPageBreak/>
        <w:t>As described here, there has been resistance to a pervasive culture within FE that is seen to be undermining the autonomy and professionalism of FE teachers; the disputes outlined here are only the most high profile examples. The use of industrial action in its widest sense can be effective in this resistance, with the IfL dispute in particular precipitating a significant amount of discussion, review and, finally, change in government policy. As Robson (1998) has highlighted and as the anti-fees campaign argued much change in FE is instigated from outside colleges, and especially by central government. This means that whilst resistance to the de-</w:t>
      </w:r>
      <w:proofErr w:type="spellStart"/>
      <w:r w:rsidRPr="00E35B5D">
        <w:rPr>
          <w:rFonts w:ascii="Arial" w:hAnsi="Arial" w:cs="Arial"/>
          <w:sz w:val="24"/>
          <w:szCs w:val="24"/>
        </w:rPr>
        <w:t>professionalisation</w:t>
      </w:r>
      <w:proofErr w:type="spellEnd"/>
      <w:r w:rsidRPr="00E35B5D">
        <w:rPr>
          <w:rFonts w:ascii="Arial" w:hAnsi="Arial" w:cs="Arial"/>
          <w:sz w:val="24"/>
          <w:szCs w:val="24"/>
        </w:rPr>
        <w:t xml:space="preserve"> of teachers must come from within the sector, fundamental change is unlikely to be achieved solely from within the sector. Using the metaphor of the princesses, it was the soldier – the outsider – who acted as a catalyst to move the story along. Other dangers exist. If we fail to resist the pressures of funding on the basis of performance indicators, and we see pay becoming related to the same performance indicators, then it seems highly likely that prospects for continuing employment will sooner or later be linked directly to them as well.</w:t>
      </w:r>
    </w:p>
    <w:p w:rsidR="00E35B5D" w:rsidRDefault="00E35B5D" w:rsidP="0056259B">
      <w:pPr>
        <w:spacing w:line="360" w:lineRule="auto"/>
        <w:ind w:firstLine="720"/>
        <w:rPr>
          <w:rFonts w:ascii="Arial" w:hAnsi="Arial" w:cs="Arial"/>
          <w:sz w:val="24"/>
          <w:szCs w:val="24"/>
        </w:rPr>
      </w:pPr>
      <w:r w:rsidRPr="00E35B5D">
        <w:rPr>
          <w:rFonts w:ascii="Arial" w:hAnsi="Arial" w:cs="Arial"/>
          <w:sz w:val="24"/>
          <w:szCs w:val="24"/>
        </w:rPr>
        <w:t>Those who wish to see real progress in FE and the capacity of teachers to meet the needs of diverse students have to put pressure on government to reverse policies that have led to the reduction of the educational process to a set of crude numerical values. There is a need for a more widespread resistance against the audit culture found in the sector because it has permeated the everyday lives of teachers and has had a profound impact on what it means to be a professional in FE. Plowright and Barr (2012) outline a vision of FE teacher professionalism that has ethical behaviour as a pillar and where values are intrinsic to both personal and corporate behaviours. This inspiring vision recognises above all that the judgments made in order to manage student teacher relationships in a supportive and sensitive way are the expression of true FE professionalism.</w:t>
      </w:r>
    </w:p>
    <w:p w:rsidR="00E35B5D" w:rsidRPr="00E35B5D" w:rsidRDefault="00E35B5D" w:rsidP="0056259B">
      <w:pPr>
        <w:spacing w:line="360" w:lineRule="auto"/>
        <w:ind w:firstLine="720"/>
        <w:rPr>
          <w:rFonts w:ascii="Arial" w:hAnsi="Arial" w:cs="Arial"/>
          <w:sz w:val="24"/>
          <w:szCs w:val="24"/>
        </w:rPr>
      </w:pPr>
    </w:p>
    <w:p w:rsidR="00E35B5D" w:rsidRPr="00E35B5D" w:rsidRDefault="00E35B5D" w:rsidP="0056259B">
      <w:pPr>
        <w:spacing w:line="360" w:lineRule="auto"/>
        <w:rPr>
          <w:rFonts w:ascii="Arial" w:hAnsi="Arial" w:cs="Arial"/>
          <w:b/>
          <w:sz w:val="24"/>
          <w:szCs w:val="24"/>
        </w:rPr>
      </w:pPr>
      <w:r w:rsidRPr="00E35B5D">
        <w:rPr>
          <w:rFonts w:ascii="Arial" w:hAnsi="Arial" w:cs="Arial"/>
          <w:b/>
          <w:sz w:val="24"/>
          <w:szCs w:val="24"/>
        </w:rPr>
        <w:t>Post Script</w:t>
      </w:r>
    </w:p>
    <w:p w:rsidR="00E35B5D" w:rsidRPr="00E35B5D" w:rsidRDefault="00E35B5D" w:rsidP="0056259B">
      <w:pPr>
        <w:spacing w:line="360" w:lineRule="auto"/>
        <w:ind w:firstLine="720"/>
        <w:rPr>
          <w:rFonts w:ascii="Arial" w:hAnsi="Arial" w:cs="Arial"/>
          <w:sz w:val="24"/>
          <w:szCs w:val="24"/>
        </w:rPr>
      </w:pPr>
      <w:r w:rsidRPr="00E35B5D">
        <w:rPr>
          <w:rFonts w:ascii="Arial" w:hAnsi="Arial" w:cs="Arial"/>
          <w:sz w:val="24"/>
          <w:szCs w:val="24"/>
        </w:rPr>
        <w:t xml:space="preserve">As the final draft of this was being written, the Non-Executive Board of the IfL recommended to its Advisory Council that the IfL should close and the legacy assets be passed to the newly-founded Education and Training Foundation (ETF) through a deed of gift. This would entail the end of the IfL, and potentially the opening of a new </w:t>
      </w:r>
      <w:r w:rsidRPr="00E35B5D">
        <w:rPr>
          <w:rFonts w:ascii="Arial" w:hAnsi="Arial" w:cs="Arial"/>
          <w:sz w:val="24"/>
          <w:szCs w:val="24"/>
        </w:rPr>
        <w:lastRenderedPageBreak/>
        <w:t>chapter in the battle for the professional identity of FE teachers. The closure of IfL could lead towards a more progressive and cohesive discussion about the professional identity of FE teacher. We will have to wait and see if this changes the context of the dance.</w:t>
      </w:r>
    </w:p>
    <w:p w:rsidR="00E35B5D" w:rsidRPr="00E35B5D" w:rsidRDefault="00E35B5D" w:rsidP="0056259B">
      <w:pPr>
        <w:pStyle w:val="Bibliography"/>
        <w:spacing w:line="360" w:lineRule="auto"/>
        <w:rPr>
          <w:rFonts w:ascii="Arial" w:hAnsi="Arial" w:cs="Arial"/>
          <w:sz w:val="24"/>
          <w:szCs w:val="24"/>
        </w:rPr>
      </w:pPr>
    </w:p>
    <w:p w:rsidR="00E35B5D" w:rsidRPr="00E35B5D" w:rsidRDefault="00E35B5D" w:rsidP="0056259B">
      <w:pPr>
        <w:spacing w:line="360" w:lineRule="auto"/>
        <w:rPr>
          <w:rFonts w:ascii="Arial" w:hAnsi="Arial" w:cs="Arial"/>
          <w:b/>
          <w:sz w:val="24"/>
          <w:szCs w:val="24"/>
        </w:rPr>
      </w:pPr>
      <w:r w:rsidRPr="00E35B5D">
        <w:rPr>
          <w:rFonts w:ascii="Arial" w:hAnsi="Arial" w:cs="Arial"/>
          <w:b/>
          <w:sz w:val="24"/>
          <w:szCs w:val="24"/>
        </w:rPr>
        <w:t>References</w:t>
      </w:r>
    </w:p>
    <w:p w:rsidR="00E35B5D" w:rsidRPr="00E35B5D" w:rsidRDefault="00E35B5D" w:rsidP="0056259B">
      <w:pPr>
        <w:spacing w:line="360" w:lineRule="auto"/>
        <w:rPr>
          <w:rFonts w:ascii="Arial" w:hAnsi="Arial" w:cs="Arial"/>
          <w:sz w:val="24"/>
          <w:szCs w:val="24"/>
        </w:rPr>
      </w:pPr>
    </w:p>
    <w:p w:rsidR="00E35B5D" w:rsidRPr="00E35B5D" w:rsidRDefault="00E35B5D" w:rsidP="0056259B">
      <w:pPr>
        <w:spacing w:line="360" w:lineRule="auto"/>
        <w:rPr>
          <w:rFonts w:ascii="Arial" w:hAnsi="Arial" w:cs="Arial"/>
          <w:sz w:val="24"/>
          <w:szCs w:val="24"/>
        </w:rPr>
      </w:pPr>
      <w:r w:rsidRPr="00E35B5D">
        <w:rPr>
          <w:rFonts w:ascii="Arial" w:hAnsi="Arial" w:cs="Arial"/>
          <w:sz w:val="24"/>
          <w:szCs w:val="24"/>
        </w:rPr>
        <w:t xml:space="preserve">Ball, S. (2003) ‘The teacher's soul and the terrors of performativity’. </w:t>
      </w:r>
      <w:r w:rsidRPr="00E35B5D">
        <w:rPr>
          <w:rFonts w:ascii="Arial" w:hAnsi="Arial" w:cs="Arial"/>
          <w:i/>
          <w:sz w:val="24"/>
          <w:szCs w:val="24"/>
        </w:rPr>
        <w:t>Journal of Education Policy</w:t>
      </w:r>
      <w:r w:rsidRPr="00E35B5D">
        <w:rPr>
          <w:rFonts w:ascii="Arial" w:hAnsi="Arial" w:cs="Arial"/>
          <w:sz w:val="24"/>
          <w:szCs w:val="24"/>
        </w:rPr>
        <w:t>, 18 (2), 215-228.</w:t>
      </w:r>
    </w:p>
    <w:p w:rsidR="00E35B5D" w:rsidRPr="00E35B5D" w:rsidRDefault="00E35B5D" w:rsidP="0056259B">
      <w:pPr>
        <w:spacing w:line="360" w:lineRule="auto"/>
        <w:rPr>
          <w:rFonts w:ascii="Arial" w:hAnsi="Arial" w:cs="Arial"/>
          <w:sz w:val="24"/>
          <w:szCs w:val="24"/>
        </w:rPr>
      </w:pPr>
      <w:r w:rsidRPr="00E35B5D">
        <w:rPr>
          <w:rFonts w:ascii="Arial" w:hAnsi="Arial" w:cs="Arial"/>
          <w:sz w:val="24"/>
          <w:szCs w:val="24"/>
        </w:rPr>
        <w:t xml:space="preserve">Plowright, D. and Barr, G. (2012) ‘An integrated professionalism in further education: a time for </w:t>
      </w:r>
      <w:proofErr w:type="spellStart"/>
      <w:r w:rsidRPr="00E35B5D">
        <w:rPr>
          <w:rFonts w:ascii="Arial" w:hAnsi="Arial" w:cs="Arial"/>
          <w:sz w:val="24"/>
          <w:szCs w:val="24"/>
        </w:rPr>
        <w:t>phronesis</w:t>
      </w:r>
      <w:proofErr w:type="spellEnd"/>
      <w:r w:rsidRPr="00E35B5D">
        <w:rPr>
          <w:rFonts w:ascii="Arial" w:hAnsi="Arial" w:cs="Arial"/>
          <w:sz w:val="24"/>
          <w:szCs w:val="24"/>
        </w:rPr>
        <w:t xml:space="preserve">?’ </w:t>
      </w:r>
      <w:r w:rsidRPr="00E35B5D">
        <w:rPr>
          <w:rFonts w:ascii="Arial" w:hAnsi="Arial" w:cs="Arial"/>
          <w:i/>
          <w:sz w:val="24"/>
          <w:szCs w:val="24"/>
        </w:rPr>
        <w:t>Journal of Further and Higher Education</w:t>
      </w:r>
      <w:r w:rsidRPr="00E35B5D">
        <w:rPr>
          <w:rFonts w:ascii="Arial" w:hAnsi="Arial" w:cs="Arial"/>
          <w:sz w:val="24"/>
          <w:szCs w:val="24"/>
        </w:rPr>
        <w:t>, 36 (1), 1–16.</w:t>
      </w:r>
    </w:p>
    <w:p w:rsidR="00E35B5D" w:rsidRPr="00F031A6" w:rsidRDefault="00E35B5D" w:rsidP="0056259B">
      <w:pPr>
        <w:spacing w:line="360" w:lineRule="auto"/>
        <w:rPr>
          <w:rFonts w:ascii="Arial" w:hAnsi="Arial" w:cs="Arial"/>
          <w:sz w:val="24"/>
          <w:szCs w:val="24"/>
        </w:rPr>
      </w:pPr>
      <w:r w:rsidRPr="00E35B5D">
        <w:rPr>
          <w:rFonts w:ascii="Arial" w:hAnsi="Arial" w:cs="Arial"/>
          <w:sz w:val="24"/>
          <w:szCs w:val="24"/>
        </w:rPr>
        <w:t xml:space="preserve">Radford, E. (2013) </w:t>
      </w:r>
      <w:r w:rsidRPr="00E35B5D">
        <w:rPr>
          <w:rFonts w:ascii="Arial" w:hAnsi="Arial" w:cs="Arial"/>
          <w:i/>
          <w:sz w:val="24"/>
          <w:szCs w:val="24"/>
        </w:rPr>
        <w:t>Union strike threat over new dismissals.</w:t>
      </w:r>
      <w:r w:rsidRPr="00E35B5D">
        <w:rPr>
          <w:rFonts w:ascii="Arial" w:hAnsi="Arial" w:cs="Arial"/>
          <w:sz w:val="24"/>
          <w:szCs w:val="24"/>
        </w:rPr>
        <w:t xml:space="preserve"> Online. http://feweek.co.uk</w:t>
      </w:r>
      <w:r w:rsidRPr="00F031A6">
        <w:rPr>
          <w:rFonts w:ascii="Arial" w:hAnsi="Arial" w:cs="Arial"/>
          <w:sz w:val="24"/>
          <w:szCs w:val="24"/>
        </w:rPr>
        <w:t>/2013/01/18/union-strike-threat-over-new-dismissals/ (accessed 10 October 2014).</w:t>
      </w:r>
    </w:p>
    <w:p w:rsidR="00E35B5D" w:rsidRPr="00F031A6" w:rsidRDefault="00E35B5D" w:rsidP="0056259B">
      <w:pPr>
        <w:spacing w:line="360" w:lineRule="auto"/>
        <w:rPr>
          <w:rFonts w:ascii="Arial" w:hAnsi="Arial" w:cs="Arial"/>
          <w:sz w:val="24"/>
          <w:szCs w:val="24"/>
        </w:rPr>
      </w:pPr>
      <w:r w:rsidRPr="00F031A6">
        <w:rPr>
          <w:rFonts w:ascii="Arial" w:hAnsi="Arial" w:cs="Arial"/>
          <w:sz w:val="24"/>
          <w:szCs w:val="24"/>
        </w:rPr>
        <w:t>Robson, J. (1998) ‘</w:t>
      </w:r>
      <w:proofErr w:type="gramStart"/>
      <w:r w:rsidRPr="00F031A6">
        <w:rPr>
          <w:rFonts w:ascii="Arial" w:hAnsi="Arial" w:cs="Arial"/>
          <w:sz w:val="24"/>
          <w:szCs w:val="24"/>
        </w:rPr>
        <w:t>A</w:t>
      </w:r>
      <w:proofErr w:type="gramEnd"/>
      <w:r w:rsidRPr="00F031A6">
        <w:rPr>
          <w:rFonts w:ascii="Arial" w:hAnsi="Arial" w:cs="Arial"/>
          <w:sz w:val="24"/>
          <w:szCs w:val="24"/>
        </w:rPr>
        <w:t xml:space="preserve"> profession in crisis: status, culture and identity in the further education college’. </w:t>
      </w:r>
      <w:r w:rsidRPr="00F031A6">
        <w:rPr>
          <w:rFonts w:ascii="Arial" w:hAnsi="Arial" w:cs="Arial"/>
          <w:i/>
          <w:sz w:val="24"/>
          <w:szCs w:val="24"/>
        </w:rPr>
        <w:t>Journal of Vocational Education and Training</w:t>
      </w:r>
      <w:r w:rsidRPr="00F031A6">
        <w:rPr>
          <w:rFonts w:ascii="Arial" w:hAnsi="Arial" w:cs="Arial"/>
          <w:sz w:val="24"/>
          <w:szCs w:val="24"/>
        </w:rPr>
        <w:t xml:space="preserve">, 50 (4), 585–607. </w:t>
      </w:r>
    </w:p>
    <w:p w:rsidR="00E35B5D" w:rsidRPr="00F031A6" w:rsidRDefault="00F031A6" w:rsidP="0056259B">
      <w:pPr>
        <w:spacing w:line="360" w:lineRule="auto"/>
        <w:rPr>
          <w:rFonts w:ascii="Arial" w:hAnsi="Arial" w:cs="Arial"/>
          <w:sz w:val="24"/>
          <w:szCs w:val="24"/>
        </w:rPr>
      </w:pPr>
      <w:r w:rsidRPr="00F031A6">
        <w:rPr>
          <w:rFonts w:ascii="Arial" w:hAnsi="Arial" w:cs="Arial"/>
          <w:sz w:val="24"/>
          <w:szCs w:val="24"/>
        </w:rPr>
        <w:t>Smith, R. (2007) ‘</w:t>
      </w:r>
      <w:proofErr w:type="gramStart"/>
      <w:r w:rsidRPr="00F031A6">
        <w:rPr>
          <w:rFonts w:ascii="Arial" w:hAnsi="Arial" w:cs="Arial"/>
          <w:sz w:val="24"/>
          <w:szCs w:val="24"/>
        </w:rPr>
        <w:t>Of</w:t>
      </w:r>
      <w:proofErr w:type="gramEnd"/>
      <w:r w:rsidRPr="00F031A6">
        <w:rPr>
          <w:rFonts w:ascii="Arial" w:hAnsi="Arial" w:cs="Arial"/>
          <w:sz w:val="24"/>
          <w:szCs w:val="24"/>
        </w:rPr>
        <w:t xml:space="preserve"> “duckers and divers”, mice and men: the impact of market fundamentalism in FE colleges post</w:t>
      </w:r>
      <w:r w:rsidRPr="00F031A6">
        <w:rPr>
          <w:rFonts w:ascii="Cambria Math" w:hAnsi="Cambria Math" w:cs="Cambria Math"/>
          <w:sz w:val="24"/>
          <w:szCs w:val="24"/>
        </w:rPr>
        <w:t>‐</w:t>
      </w:r>
      <w:r w:rsidRPr="00F031A6">
        <w:rPr>
          <w:rFonts w:ascii="Arial" w:hAnsi="Arial" w:cs="Arial"/>
          <w:sz w:val="24"/>
          <w:szCs w:val="24"/>
        </w:rPr>
        <w:t xml:space="preserve">incorporation’. </w:t>
      </w:r>
      <w:r w:rsidRPr="00F031A6">
        <w:rPr>
          <w:rFonts w:ascii="Arial" w:hAnsi="Arial" w:cs="Arial"/>
          <w:i/>
          <w:iCs/>
          <w:sz w:val="24"/>
          <w:szCs w:val="24"/>
        </w:rPr>
        <w:t>Research in Post-Compulsory Education,</w:t>
      </w:r>
      <w:r>
        <w:rPr>
          <w:rFonts w:ascii="Arial" w:hAnsi="Arial" w:cs="Arial"/>
          <w:sz w:val="24"/>
          <w:szCs w:val="24"/>
        </w:rPr>
        <w:t xml:space="preserve"> 12 (1), 53–69.</w:t>
      </w:r>
    </w:p>
    <w:p w:rsidR="00242D4A" w:rsidRPr="00F031A6" w:rsidRDefault="00E35B5D" w:rsidP="005742F7">
      <w:pPr>
        <w:spacing w:line="360" w:lineRule="auto"/>
        <w:rPr>
          <w:rFonts w:ascii="Arial" w:hAnsi="Arial" w:cs="Arial"/>
          <w:sz w:val="24"/>
          <w:szCs w:val="24"/>
        </w:rPr>
      </w:pPr>
      <w:proofErr w:type="spellStart"/>
      <w:r w:rsidRPr="00F031A6">
        <w:rPr>
          <w:rFonts w:ascii="Arial" w:hAnsi="Arial" w:cs="Arial"/>
          <w:sz w:val="24"/>
          <w:szCs w:val="24"/>
        </w:rPr>
        <w:t>Yorke</w:t>
      </w:r>
      <w:proofErr w:type="spellEnd"/>
      <w:r w:rsidRPr="00F031A6">
        <w:rPr>
          <w:rFonts w:ascii="Arial" w:hAnsi="Arial" w:cs="Arial"/>
          <w:sz w:val="24"/>
          <w:szCs w:val="24"/>
        </w:rPr>
        <w:t>, M. (1999).</w:t>
      </w:r>
      <w:r w:rsidRPr="00F031A6">
        <w:rPr>
          <w:rFonts w:ascii="Arial" w:hAnsi="Arial" w:cs="Arial"/>
          <w:i/>
          <w:sz w:val="24"/>
          <w:szCs w:val="24"/>
        </w:rPr>
        <w:t xml:space="preserve"> Leaving Early: Undergraduate Non-Completion in Higher Education</w:t>
      </w:r>
      <w:r w:rsidR="005742F7" w:rsidRPr="00F031A6">
        <w:rPr>
          <w:rFonts w:ascii="Arial" w:hAnsi="Arial" w:cs="Arial"/>
          <w:sz w:val="24"/>
          <w:szCs w:val="24"/>
        </w:rPr>
        <w:t>. London: Taylor and Francis.</w:t>
      </w:r>
    </w:p>
    <w:sectPr w:rsidR="00242D4A" w:rsidRPr="00F031A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0E9" w:rsidRDefault="009F20E9" w:rsidP="007F3F39">
      <w:pPr>
        <w:spacing w:after="0" w:line="240" w:lineRule="auto"/>
      </w:pPr>
      <w:r>
        <w:separator/>
      </w:r>
    </w:p>
  </w:endnote>
  <w:endnote w:type="continuationSeparator" w:id="0">
    <w:p w:rsidR="009F20E9" w:rsidRDefault="009F20E9" w:rsidP="007F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00"/>
    <w:family w:val="auto"/>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altName w:val="Helvetica"/>
    <w:panose1 w:val="020B0604020202020204"/>
    <w:charset w:val="00"/>
    <w:family w:val="auto"/>
    <w:pitch w:val="variable"/>
    <w:sig w:usb0="E0002AFF" w:usb1="C0007843" w:usb2="00000009" w:usb3="00000000" w:csb0="000001FF" w:csb1="00000000"/>
  </w:font>
  <w:font w:name="Frutiger 45 Light">
    <w:panose1 w:val="00000000000000000000"/>
    <w:charset w:val="00"/>
    <w:family w:val="roman"/>
    <w:notTrueType/>
    <w:pitch w:val="default"/>
  </w:font>
  <w:font w:name="JI Smallcaps">
    <w:altName w:val="Arial"/>
    <w:panose1 w:val="00000000000000000000"/>
    <w:charset w:val="00"/>
    <w:family w:val="swiss"/>
    <w:notTrueType/>
    <w:pitch w:val="default"/>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mbria Math">
    <w:panose1 w:val="02040503050406030204"/>
    <w:charset w:val="00"/>
    <w:family w:val="auto"/>
    <w:pitch w:val="variable"/>
    <w:sig w:usb0="E00002FF" w:usb1="42002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altName w:val="Optima ExtraBlack"/>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182421"/>
      <w:docPartObj>
        <w:docPartGallery w:val="Page Numbers (Bottom of Page)"/>
        <w:docPartUnique/>
      </w:docPartObj>
    </w:sdtPr>
    <w:sdtEndPr>
      <w:rPr>
        <w:noProof/>
      </w:rPr>
    </w:sdtEndPr>
    <w:sdtContent>
      <w:p w:rsidR="00E35B5D" w:rsidRDefault="00E35B5D">
        <w:pPr>
          <w:pStyle w:val="Footer"/>
          <w:jc w:val="center"/>
        </w:pPr>
        <w:r>
          <w:fldChar w:fldCharType="begin"/>
        </w:r>
        <w:r>
          <w:instrText xml:space="preserve"> PAGE   \* MERGEFORMAT </w:instrText>
        </w:r>
        <w:r>
          <w:fldChar w:fldCharType="separate"/>
        </w:r>
        <w:r w:rsidR="00F640A4">
          <w:rPr>
            <w:noProof/>
          </w:rPr>
          <w:t>1</w:t>
        </w:r>
        <w:r>
          <w:rPr>
            <w:noProof/>
          </w:rPr>
          <w:fldChar w:fldCharType="end"/>
        </w:r>
      </w:p>
    </w:sdtContent>
  </w:sdt>
  <w:p w:rsidR="00E35B5D" w:rsidRDefault="00E35B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0E9" w:rsidRDefault="009F20E9" w:rsidP="007F3F39">
      <w:pPr>
        <w:spacing w:after="0" w:line="240" w:lineRule="auto"/>
      </w:pPr>
      <w:r>
        <w:separator/>
      </w:r>
    </w:p>
  </w:footnote>
  <w:footnote w:type="continuationSeparator" w:id="0">
    <w:p w:rsidR="009F20E9" w:rsidRDefault="009F20E9" w:rsidP="007F3F3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2813A40"/>
    <w:multiLevelType w:val="hybridMultilevel"/>
    <w:tmpl w:val="BF40A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29C3AA8"/>
    <w:multiLevelType w:val="hybridMultilevel"/>
    <w:tmpl w:val="1410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69472C"/>
    <w:multiLevelType w:val="hybridMultilevel"/>
    <w:tmpl w:val="B23C1434"/>
    <w:lvl w:ilvl="0" w:tplc="B106B95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BDF2C4B"/>
    <w:multiLevelType w:val="hybridMultilevel"/>
    <w:tmpl w:val="C5AC03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C3D2436"/>
    <w:multiLevelType w:val="hybridMultilevel"/>
    <w:tmpl w:val="E7B47B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F597F4C"/>
    <w:multiLevelType w:val="hybridMultilevel"/>
    <w:tmpl w:val="AEB4DF6C"/>
    <w:lvl w:ilvl="0" w:tplc="6EE83DC2">
      <w:start w:val="1"/>
      <w:numFmt w:val="decimal"/>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581239"/>
    <w:multiLevelType w:val="hybridMultilevel"/>
    <w:tmpl w:val="8020E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3F546D1"/>
    <w:multiLevelType w:val="hybridMultilevel"/>
    <w:tmpl w:val="1C983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4355B51"/>
    <w:multiLevelType w:val="hybridMultilevel"/>
    <w:tmpl w:val="60DAE09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9993CF1"/>
    <w:multiLevelType w:val="multilevel"/>
    <w:tmpl w:val="5482529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D114A39"/>
    <w:multiLevelType w:val="hybridMultilevel"/>
    <w:tmpl w:val="749874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E9748F8"/>
    <w:multiLevelType w:val="hybridMultilevel"/>
    <w:tmpl w:val="20C21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251246C"/>
    <w:multiLevelType w:val="hybridMultilevel"/>
    <w:tmpl w:val="F0464B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FC96E28"/>
    <w:multiLevelType w:val="hybridMultilevel"/>
    <w:tmpl w:val="6EEE1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880D6F"/>
    <w:multiLevelType w:val="hybridMultilevel"/>
    <w:tmpl w:val="4016DC5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BC946E5"/>
    <w:multiLevelType w:val="hybridMultilevel"/>
    <w:tmpl w:val="15280C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1883992"/>
    <w:multiLevelType w:val="hybridMultilevel"/>
    <w:tmpl w:val="860ABB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50A49FE"/>
    <w:multiLevelType w:val="hybridMultilevel"/>
    <w:tmpl w:val="D5743B6A"/>
    <w:lvl w:ilvl="0" w:tplc="B106B95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93125E8"/>
    <w:multiLevelType w:val="hybridMultilevel"/>
    <w:tmpl w:val="FB301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AE56D1D"/>
    <w:multiLevelType w:val="hybridMultilevel"/>
    <w:tmpl w:val="7BCCC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13A69FB"/>
    <w:multiLevelType w:val="hybridMultilevel"/>
    <w:tmpl w:val="54BE6B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1C005F5"/>
    <w:multiLevelType w:val="hybridMultilevel"/>
    <w:tmpl w:val="50146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98918CA"/>
    <w:multiLevelType w:val="hybridMultilevel"/>
    <w:tmpl w:val="6A2225E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DBA00B6"/>
    <w:multiLevelType w:val="hybridMultilevel"/>
    <w:tmpl w:val="C8BED4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145718B"/>
    <w:multiLevelType w:val="hybridMultilevel"/>
    <w:tmpl w:val="54825290"/>
    <w:lvl w:ilvl="0" w:tplc="B106B95C">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65F27A7"/>
    <w:multiLevelType w:val="hybridMultilevel"/>
    <w:tmpl w:val="CA8634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69F3550"/>
    <w:multiLevelType w:val="multilevel"/>
    <w:tmpl w:val="DE14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1E312E"/>
    <w:multiLevelType w:val="multilevel"/>
    <w:tmpl w:val="BF9E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DF35D2"/>
    <w:multiLevelType w:val="hybridMultilevel"/>
    <w:tmpl w:val="34F27AE2"/>
    <w:lvl w:ilvl="0" w:tplc="FEB286C8">
      <w:start w:val="4"/>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30">
    <w:nsid w:val="78216C73"/>
    <w:multiLevelType w:val="hybridMultilevel"/>
    <w:tmpl w:val="798EB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C4D60F9"/>
    <w:multiLevelType w:val="hybridMultilevel"/>
    <w:tmpl w:val="ECCC07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CCE2BAF"/>
    <w:multiLevelType w:val="hybridMultilevel"/>
    <w:tmpl w:val="30ACA4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6"/>
  </w:num>
  <w:num w:numId="3">
    <w:abstractNumId w:val="0"/>
  </w:num>
  <w:num w:numId="4">
    <w:abstractNumId w:val="2"/>
  </w:num>
  <w:num w:numId="5">
    <w:abstractNumId w:val="14"/>
  </w:num>
  <w:num w:numId="6">
    <w:abstractNumId w:val="15"/>
  </w:num>
  <w:num w:numId="7">
    <w:abstractNumId w:val="23"/>
  </w:num>
  <w:num w:numId="8">
    <w:abstractNumId w:val="32"/>
  </w:num>
  <w:num w:numId="9">
    <w:abstractNumId w:val="26"/>
  </w:num>
  <w:num w:numId="10">
    <w:abstractNumId w:val="19"/>
  </w:num>
  <w:num w:numId="11">
    <w:abstractNumId w:val="31"/>
  </w:num>
  <w:num w:numId="12">
    <w:abstractNumId w:val="12"/>
  </w:num>
  <w:num w:numId="13">
    <w:abstractNumId w:val="22"/>
  </w:num>
  <w:num w:numId="14">
    <w:abstractNumId w:val="20"/>
  </w:num>
  <w:num w:numId="15">
    <w:abstractNumId w:val="17"/>
  </w:num>
  <w:num w:numId="16">
    <w:abstractNumId w:val="1"/>
  </w:num>
  <w:num w:numId="17">
    <w:abstractNumId w:val="8"/>
  </w:num>
  <w:num w:numId="18">
    <w:abstractNumId w:val="11"/>
  </w:num>
  <w:num w:numId="19">
    <w:abstractNumId w:val="9"/>
  </w:num>
  <w:num w:numId="20">
    <w:abstractNumId w:val="30"/>
  </w:num>
  <w:num w:numId="21">
    <w:abstractNumId w:val="3"/>
  </w:num>
  <w:num w:numId="22">
    <w:abstractNumId w:val="18"/>
  </w:num>
  <w:num w:numId="23">
    <w:abstractNumId w:val="25"/>
  </w:num>
  <w:num w:numId="24">
    <w:abstractNumId w:val="10"/>
  </w:num>
  <w:num w:numId="25">
    <w:abstractNumId w:val="16"/>
  </w:num>
  <w:num w:numId="26">
    <w:abstractNumId w:val="4"/>
  </w:num>
  <w:num w:numId="27">
    <w:abstractNumId w:val="21"/>
  </w:num>
  <w:num w:numId="28">
    <w:abstractNumId w:val="7"/>
  </w:num>
  <w:num w:numId="29">
    <w:abstractNumId w:val="5"/>
  </w:num>
  <w:num w:numId="30">
    <w:abstractNumId w:val="27"/>
  </w:num>
  <w:num w:numId="31">
    <w:abstractNumId w:val="28"/>
  </w:num>
  <w:num w:numId="32">
    <w:abstractNumId w:val="2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39"/>
    <w:rsid w:val="000312F2"/>
    <w:rsid w:val="0006654C"/>
    <w:rsid w:val="000724E1"/>
    <w:rsid w:val="00086AAC"/>
    <w:rsid w:val="000A5D3B"/>
    <w:rsid w:val="000A6025"/>
    <w:rsid w:val="0011713F"/>
    <w:rsid w:val="001316D6"/>
    <w:rsid w:val="001707C2"/>
    <w:rsid w:val="001B50E5"/>
    <w:rsid w:val="001E7AB9"/>
    <w:rsid w:val="00242D4A"/>
    <w:rsid w:val="002608CA"/>
    <w:rsid w:val="00271F27"/>
    <w:rsid w:val="002875E0"/>
    <w:rsid w:val="002D6449"/>
    <w:rsid w:val="002F7285"/>
    <w:rsid w:val="00370984"/>
    <w:rsid w:val="003B5910"/>
    <w:rsid w:val="00406F36"/>
    <w:rsid w:val="0044546D"/>
    <w:rsid w:val="004A4D71"/>
    <w:rsid w:val="004C36D1"/>
    <w:rsid w:val="004C40A2"/>
    <w:rsid w:val="004E50BB"/>
    <w:rsid w:val="004F085C"/>
    <w:rsid w:val="00520240"/>
    <w:rsid w:val="00554C9F"/>
    <w:rsid w:val="0056259B"/>
    <w:rsid w:val="005742F7"/>
    <w:rsid w:val="005917B8"/>
    <w:rsid w:val="005C3589"/>
    <w:rsid w:val="005E4B02"/>
    <w:rsid w:val="0060474C"/>
    <w:rsid w:val="006243AF"/>
    <w:rsid w:val="00647FC4"/>
    <w:rsid w:val="006578F8"/>
    <w:rsid w:val="006F468C"/>
    <w:rsid w:val="006F7900"/>
    <w:rsid w:val="007234A6"/>
    <w:rsid w:val="00723FA9"/>
    <w:rsid w:val="00747C0C"/>
    <w:rsid w:val="0076210A"/>
    <w:rsid w:val="00762555"/>
    <w:rsid w:val="0078725A"/>
    <w:rsid w:val="007B3767"/>
    <w:rsid w:val="007E41FC"/>
    <w:rsid w:val="007F3F39"/>
    <w:rsid w:val="007F7966"/>
    <w:rsid w:val="00805210"/>
    <w:rsid w:val="00822E65"/>
    <w:rsid w:val="008728DD"/>
    <w:rsid w:val="00875AB7"/>
    <w:rsid w:val="008A3642"/>
    <w:rsid w:val="008E706E"/>
    <w:rsid w:val="008F23EA"/>
    <w:rsid w:val="00900CD6"/>
    <w:rsid w:val="00913296"/>
    <w:rsid w:val="009D7BCE"/>
    <w:rsid w:val="009F20E9"/>
    <w:rsid w:val="00A05DCD"/>
    <w:rsid w:val="00A90AC0"/>
    <w:rsid w:val="00AC29CB"/>
    <w:rsid w:val="00AE48F1"/>
    <w:rsid w:val="00AE693B"/>
    <w:rsid w:val="00B16804"/>
    <w:rsid w:val="00B2677D"/>
    <w:rsid w:val="00B35177"/>
    <w:rsid w:val="00B36932"/>
    <w:rsid w:val="00B9597B"/>
    <w:rsid w:val="00BA53CC"/>
    <w:rsid w:val="00C23608"/>
    <w:rsid w:val="00C311E7"/>
    <w:rsid w:val="00C4250E"/>
    <w:rsid w:val="00C45665"/>
    <w:rsid w:val="00C47C9E"/>
    <w:rsid w:val="00C523EF"/>
    <w:rsid w:val="00C5499B"/>
    <w:rsid w:val="00C56CC3"/>
    <w:rsid w:val="00D11F02"/>
    <w:rsid w:val="00D94752"/>
    <w:rsid w:val="00DD2851"/>
    <w:rsid w:val="00DD35FB"/>
    <w:rsid w:val="00E133FC"/>
    <w:rsid w:val="00E35B5D"/>
    <w:rsid w:val="00E754C1"/>
    <w:rsid w:val="00EB3E58"/>
    <w:rsid w:val="00ED6789"/>
    <w:rsid w:val="00EF7A69"/>
    <w:rsid w:val="00F017B7"/>
    <w:rsid w:val="00F031A6"/>
    <w:rsid w:val="00F13B83"/>
    <w:rsid w:val="00F43108"/>
    <w:rsid w:val="00F640A4"/>
    <w:rsid w:val="00F95E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6243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qFormat/>
    <w:rsid w:val="00E35B5D"/>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E35B5D"/>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E35B5D"/>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F39"/>
  </w:style>
  <w:style w:type="paragraph" w:styleId="Footer">
    <w:name w:val="footer"/>
    <w:basedOn w:val="Normal"/>
    <w:link w:val="FooterChar"/>
    <w:uiPriority w:val="99"/>
    <w:unhideWhenUsed/>
    <w:rsid w:val="007F3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F39"/>
  </w:style>
  <w:style w:type="paragraph" w:styleId="ListParagraph">
    <w:name w:val="List Paragraph"/>
    <w:basedOn w:val="Normal"/>
    <w:uiPriority w:val="34"/>
    <w:qFormat/>
    <w:rsid w:val="00723FA9"/>
    <w:pPr>
      <w:ind w:left="720"/>
      <w:contextualSpacing/>
    </w:pPr>
  </w:style>
  <w:style w:type="character" w:styleId="Emphasis">
    <w:name w:val="Emphasis"/>
    <w:basedOn w:val="DefaultParagraphFont"/>
    <w:uiPriority w:val="20"/>
    <w:qFormat/>
    <w:rsid w:val="00242D4A"/>
    <w:rPr>
      <w:b/>
      <w:bCs/>
      <w:i w:val="0"/>
      <w:iCs w:val="0"/>
    </w:rPr>
  </w:style>
  <w:style w:type="paragraph" w:styleId="NormalWeb">
    <w:name w:val="Normal (Web)"/>
    <w:basedOn w:val="Normal"/>
    <w:uiPriority w:val="99"/>
    <w:rsid w:val="00875AB7"/>
    <w:pPr>
      <w:spacing w:after="0" w:line="240" w:lineRule="auto"/>
    </w:pPr>
    <w:rPr>
      <w:rFonts w:ascii="Times New Roman" w:eastAsia="Times New Roman" w:hAnsi="Times New Roman" w:cs="Times New Roman"/>
      <w:sz w:val="24"/>
      <w:szCs w:val="24"/>
      <w:lang w:val="en-US"/>
    </w:rPr>
  </w:style>
  <w:style w:type="character" w:customStyle="1" w:styleId="st1">
    <w:name w:val="st1"/>
    <w:rsid w:val="00875AB7"/>
  </w:style>
  <w:style w:type="character" w:styleId="Hyperlink">
    <w:name w:val="Hyperlink"/>
    <w:basedOn w:val="DefaultParagraphFont"/>
    <w:unhideWhenUsed/>
    <w:rsid w:val="006243AF"/>
    <w:rPr>
      <w:color w:val="0563C1" w:themeColor="hyperlink"/>
      <w:u w:val="single"/>
    </w:rPr>
  </w:style>
  <w:style w:type="character" w:customStyle="1" w:styleId="apple-style-span">
    <w:name w:val="apple-style-span"/>
    <w:basedOn w:val="DefaultParagraphFont"/>
    <w:rsid w:val="006243AF"/>
  </w:style>
  <w:style w:type="paragraph" w:customStyle="1" w:styleId="articleintro">
    <w:name w:val="articleintro"/>
    <w:basedOn w:val="Normal"/>
    <w:rsid w:val="006243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6243AF"/>
    <w:rPr>
      <w:rFonts w:ascii="Times New Roman" w:eastAsia="Times New Roman" w:hAnsi="Times New Roman" w:cs="Times New Roman"/>
      <w:b/>
      <w:bCs/>
      <w:kern w:val="36"/>
      <w:sz w:val="48"/>
      <w:szCs w:val="48"/>
      <w:lang w:eastAsia="en-GB"/>
    </w:rPr>
  </w:style>
  <w:style w:type="character" w:customStyle="1" w:styleId="A3">
    <w:name w:val="A3"/>
    <w:uiPriority w:val="99"/>
    <w:rsid w:val="006243AF"/>
    <w:rPr>
      <w:rFonts w:cs="Frutiger 45 Light"/>
      <w:color w:val="000000"/>
      <w:sz w:val="12"/>
      <w:szCs w:val="12"/>
    </w:rPr>
  </w:style>
  <w:style w:type="paragraph" w:customStyle="1" w:styleId="Default">
    <w:name w:val="Default"/>
    <w:rsid w:val="006243AF"/>
    <w:pPr>
      <w:autoSpaceDE w:val="0"/>
      <w:autoSpaceDN w:val="0"/>
      <w:adjustRightInd w:val="0"/>
      <w:spacing w:after="0" w:line="240" w:lineRule="auto"/>
    </w:pPr>
    <w:rPr>
      <w:rFonts w:ascii="Arial" w:hAnsi="Arial" w:cs="Arial"/>
      <w:color w:val="000000"/>
      <w:sz w:val="24"/>
      <w:szCs w:val="24"/>
    </w:rPr>
  </w:style>
  <w:style w:type="character" w:customStyle="1" w:styleId="verdanas12c990000">
    <w:name w:val="verdana s12 c990000"/>
    <w:rsid w:val="006243AF"/>
    <w:rPr>
      <w:rFonts w:cs="Times New Roman"/>
    </w:rPr>
  </w:style>
  <w:style w:type="paragraph" w:styleId="BodyText2">
    <w:name w:val="Body Text 2"/>
    <w:basedOn w:val="Normal"/>
    <w:link w:val="BodyText2Char"/>
    <w:rsid w:val="006243AF"/>
    <w:pPr>
      <w:suppressAutoHyphens/>
      <w:spacing w:after="120" w:line="480" w:lineRule="auto"/>
    </w:pPr>
    <w:rPr>
      <w:rFonts w:ascii="JI Smallcaps" w:eastAsia="Calibri" w:hAnsi="JI Smallcaps" w:cs="JI Smallcaps"/>
      <w:color w:val="000000"/>
      <w:kern w:val="1"/>
      <w:sz w:val="24"/>
      <w:szCs w:val="24"/>
      <w:lang w:val="en-US" w:eastAsia="ar-SA"/>
    </w:rPr>
  </w:style>
  <w:style w:type="character" w:customStyle="1" w:styleId="BodyText2Char">
    <w:name w:val="Body Text 2 Char"/>
    <w:basedOn w:val="DefaultParagraphFont"/>
    <w:link w:val="BodyText2"/>
    <w:rsid w:val="006243AF"/>
    <w:rPr>
      <w:rFonts w:ascii="JI Smallcaps" w:eastAsia="Calibri" w:hAnsi="JI Smallcaps" w:cs="JI Smallcaps"/>
      <w:color w:val="000000"/>
      <w:kern w:val="1"/>
      <w:sz w:val="24"/>
      <w:szCs w:val="24"/>
      <w:lang w:val="en-US" w:eastAsia="ar-SA"/>
    </w:rPr>
  </w:style>
  <w:style w:type="character" w:customStyle="1" w:styleId="verdana">
    <w:name w:val="verdana"/>
    <w:basedOn w:val="DefaultParagraphFont"/>
    <w:rsid w:val="006243AF"/>
  </w:style>
  <w:style w:type="paragraph" w:customStyle="1" w:styleId="Normal1">
    <w:name w:val="Normal1"/>
    <w:rsid w:val="008F23EA"/>
    <w:pPr>
      <w:spacing w:after="0" w:line="276" w:lineRule="auto"/>
    </w:pPr>
    <w:rPr>
      <w:rFonts w:ascii="Arial" w:eastAsia="Arial" w:hAnsi="Arial" w:cs="Arial"/>
      <w:color w:val="000000"/>
      <w:szCs w:val="20"/>
    </w:rPr>
  </w:style>
  <w:style w:type="paragraph" w:styleId="BodyText">
    <w:name w:val="Body Text"/>
    <w:basedOn w:val="Normal"/>
    <w:link w:val="BodyTextChar"/>
    <w:uiPriority w:val="99"/>
    <w:semiHidden/>
    <w:unhideWhenUsed/>
    <w:rsid w:val="00AC29CB"/>
    <w:pPr>
      <w:spacing w:after="120"/>
    </w:pPr>
  </w:style>
  <w:style w:type="character" w:customStyle="1" w:styleId="BodyTextChar">
    <w:name w:val="Body Text Char"/>
    <w:basedOn w:val="DefaultParagraphFont"/>
    <w:link w:val="BodyText"/>
    <w:uiPriority w:val="99"/>
    <w:semiHidden/>
    <w:rsid w:val="00AC29CB"/>
  </w:style>
  <w:style w:type="character" w:styleId="Strong">
    <w:name w:val="Strong"/>
    <w:qFormat/>
    <w:rsid w:val="00AC29CB"/>
    <w:rPr>
      <w:b/>
      <w:bCs/>
    </w:rPr>
  </w:style>
  <w:style w:type="paragraph" w:styleId="PlainText">
    <w:name w:val="Plain Text"/>
    <w:basedOn w:val="Normal"/>
    <w:link w:val="PlainTextChar"/>
    <w:uiPriority w:val="99"/>
    <w:rsid w:val="00AC29C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C29CB"/>
    <w:rPr>
      <w:rFonts w:ascii="Courier New" w:eastAsia="Times New Roman" w:hAnsi="Courier New" w:cs="Courier New"/>
      <w:sz w:val="20"/>
      <w:szCs w:val="20"/>
    </w:rPr>
  </w:style>
  <w:style w:type="paragraph" w:customStyle="1" w:styleId="BodyA">
    <w:name w:val="Body A"/>
    <w:rsid w:val="00AC29CB"/>
    <w:pPr>
      <w:pBdr>
        <w:top w:val="nil"/>
        <w:left w:val="nil"/>
        <w:bottom w:val="nil"/>
        <w:right w:val="nil"/>
        <w:between w:val="nil"/>
        <w:bar w:val="nil"/>
      </w:pBdr>
      <w:spacing w:after="0" w:line="240" w:lineRule="auto"/>
    </w:pPr>
    <w:rPr>
      <w:rFonts w:ascii="Palatino" w:eastAsia="Arial Unicode MS" w:hAnsi="Arial Unicode MS" w:cs="Arial Unicode MS"/>
      <w:color w:val="000000"/>
      <w:sz w:val="24"/>
      <w:szCs w:val="24"/>
      <w:u w:color="000000"/>
      <w:bdr w:val="nil"/>
      <w:lang w:val="en-US" w:eastAsia="en-GB"/>
    </w:rPr>
  </w:style>
  <w:style w:type="character" w:customStyle="1" w:styleId="Hyperlink0">
    <w:name w:val="Hyperlink.0"/>
    <w:basedOn w:val="DefaultParagraphFont"/>
    <w:rsid w:val="00AC29CB"/>
    <w:rPr>
      <w:rFonts w:ascii="Palatino" w:eastAsia="Palatino" w:hAnsi="Palatino" w:cs="Palatino"/>
      <w:color w:val="0000FF"/>
      <w:spacing w:val="0"/>
      <w:kern w:val="1"/>
      <w:sz w:val="24"/>
      <w:szCs w:val="24"/>
      <w:u w:val="single" w:color="0000FF"/>
    </w:rPr>
  </w:style>
  <w:style w:type="character" w:customStyle="1" w:styleId="Hyperlink1">
    <w:name w:val="Hyperlink.1"/>
    <w:basedOn w:val="DefaultParagraphFont"/>
    <w:rsid w:val="00AC29CB"/>
    <w:rPr>
      <w:rFonts w:ascii="Palatino" w:eastAsia="Palatino" w:hAnsi="Palatino" w:cs="Palatino"/>
      <w:color w:val="0000FF"/>
      <w:spacing w:val="0"/>
      <w:kern w:val="0"/>
      <w:sz w:val="24"/>
      <w:szCs w:val="24"/>
      <w:u w:val="single" w:color="0000FF"/>
    </w:rPr>
  </w:style>
  <w:style w:type="character" w:customStyle="1" w:styleId="Hyperlink2">
    <w:name w:val="Hyperlink.2"/>
    <w:basedOn w:val="DefaultParagraphFont"/>
    <w:rsid w:val="00AC29CB"/>
    <w:rPr>
      <w:rFonts w:ascii="Palatino" w:eastAsia="Palatino" w:hAnsi="Palatino" w:cs="Palatino"/>
      <w:color w:val="0000FF"/>
      <w:spacing w:val="0"/>
      <w:kern w:val="1"/>
      <w:sz w:val="24"/>
      <w:szCs w:val="24"/>
      <w:u w:val="single" w:color="0000FF"/>
      <w:lang w:val="nl-NL"/>
    </w:rPr>
  </w:style>
  <w:style w:type="character" w:styleId="FootnoteReference">
    <w:name w:val="footnote reference"/>
    <w:basedOn w:val="DefaultParagraphFont"/>
    <w:uiPriority w:val="99"/>
    <w:semiHidden/>
    <w:unhideWhenUsed/>
    <w:rsid w:val="00EB3E58"/>
    <w:rPr>
      <w:vertAlign w:val="superscript"/>
    </w:rPr>
  </w:style>
  <w:style w:type="paragraph" w:styleId="NoSpacing">
    <w:name w:val="No Spacing"/>
    <w:uiPriority w:val="1"/>
    <w:qFormat/>
    <w:rsid w:val="00E35B5D"/>
    <w:pPr>
      <w:spacing w:after="0" w:line="240" w:lineRule="auto"/>
    </w:pPr>
  </w:style>
  <w:style w:type="paragraph" w:styleId="Bibliography">
    <w:name w:val="Bibliography"/>
    <w:basedOn w:val="Normal"/>
    <w:next w:val="Normal"/>
    <w:uiPriority w:val="37"/>
    <w:semiHidden/>
    <w:unhideWhenUsed/>
    <w:rsid w:val="00E35B5D"/>
  </w:style>
  <w:style w:type="character" w:customStyle="1" w:styleId="Heading2Char">
    <w:name w:val="Heading 2 Char"/>
    <w:basedOn w:val="DefaultParagraphFont"/>
    <w:link w:val="Heading2"/>
    <w:rsid w:val="00E35B5D"/>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E35B5D"/>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E35B5D"/>
    <w:rPr>
      <w:rFonts w:ascii="Times New Roman" w:eastAsia="Times New Roman" w:hAnsi="Times New Roman" w:cs="Times New Roman"/>
      <w:b/>
      <w:bCs/>
      <w:sz w:val="28"/>
      <w:szCs w:val="28"/>
      <w:lang w:eastAsia="en-GB"/>
    </w:rPr>
  </w:style>
  <w:style w:type="character" w:customStyle="1" w:styleId="apple-converted-space">
    <w:name w:val="apple-converted-space"/>
    <w:basedOn w:val="DefaultParagraphFont"/>
    <w:rsid w:val="00E35B5D"/>
  </w:style>
  <w:style w:type="paragraph" w:customStyle="1" w:styleId="TableContents">
    <w:name w:val="Table Contents"/>
    <w:basedOn w:val="Normal"/>
    <w:rsid w:val="00E35B5D"/>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specialissuelabel">
    <w:name w:val="specialissuelabel"/>
    <w:basedOn w:val="DefaultParagraphFont"/>
    <w:rsid w:val="00E35B5D"/>
  </w:style>
  <w:style w:type="character" w:styleId="FollowedHyperlink">
    <w:name w:val="FollowedHyperlink"/>
    <w:rsid w:val="00E35B5D"/>
    <w:rPr>
      <w:color w:val="800080"/>
      <w:u w:val="single"/>
    </w:rPr>
  </w:style>
  <w:style w:type="character" w:styleId="PageNumber">
    <w:name w:val="page number"/>
    <w:basedOn w:val="DefaultParagraphFont"/>
    <w:rsid w:val="00E35B5D"/>
  </w:style>
  <w:style w:type="character" w:customStyle="1" w:styleId="personname">
    <w:name w:val="person_name"/>
    <w:basedOn w:val="DefaultParagraphFont"/>
    <w:rsid w:val="00647FC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6243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qFormat/>
    <w:rsid w:val="00E35B5D"/>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E35B5D"/>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E35B5D"/>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F39"/>
  </w:style>
  <w:style w:type="paragraph" w:styleId="Footer">
    <w:name w:val="footer"/>
    <w:basedOn w:val="Normal"/>
    <w:link w:val="FooterChar"/>
    <w:uiPriority w:val="99"/>
    <w:unhideWhenUsed/>
    <w:rsid w:val="007F3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F39"/>
  </w:style>
  <w:style w:type="paragraph" w:styleId="ListParagraph">
    <w:name w:val="List Paragraph"/>
    <w:basedOn w:val="Normal"/>
    <w:uiPriority w:val="34"/>
    <w:qFormat/>
    <w:rsid w:val="00723FA9"/>
    <w:pPr>
      <w:ind w:left="720"/>
      <w:contextualSpacing/>
    </w:pPr>
  </w:style>
  <w:style w:type="character" w:styleId="Emphasis">
    <w:name w:val="Emphasis"/>
    <w:basedOn w:val="DefaultParagraphFont"/>
    <w:uiPriority w:val="20"/>
    <w:qFormat/>
    <w:rsid w:val="00242D4A"/>
    <w:rPr>
      <w:b/>
      <w:bCs/>
      <w:i w:val="0"/>
      <w:iCs w:val="0"/>
    </w:rPr>
  </w:style>
  <w:style w:type="paragraph" w:styleId="NormalWeb">
    <w:name w:val="Normal (Web)"/>
    <w:basedOn w:val="Normal"/>
    <w:uiPriority w:val="99"/>
    <w:rsid w:val="00875AB7"/>
    <w:pPr>
      <w:spacing w:after="0" w:line="240" w:lineRule="auto"/>
    </w:pPr>
    <w:rPr>
      <w:rFonts w:ascii="Times New Roman" w:eastAsia="Times New Roman" w:hAnsi="Times New Roman" w:cs="Times New Roman"/>
      <w:sz w:val="24"/>
      <w:szCs w:val="24"/>
      <w:lang w:val="en-US"/>
    </w:rPr>
  </w:style>
  <w:style w:type="character" w:customStyle="1" w:styleId="st1">
    <w:name w:val="st1"/>
    <w:rsid w:val="00875AB7"/>
  </w:style>
  <w:style w:type="character" w:styleId="Hyperlink">
    <w:name w:val="Hyperlink"/>
    <w:basedOn w:val="DefaultParagraphFont"/>
    <w:unhideWhenUsed/>
    <w:rsid w:val="006243AF"/>
    <w:rPr>
      <w:color w:val="0563C1" w:themeColor="hyperlink"/>
      <w:u w:val="single"/>
    </w:rPr>
  </w:style>
  <w:style w:type="character" w:customStyle="1" w:styleId="apple-style-span">
    <w:name w:val="apple-style-span"/>
    <w:basedOn w:val="DefaultParagraphFont"/>
    <w:rsid w:val="006243AF"/>
  </w:style>
  <w:style w:type="paragraph" w:customStyle="1" w:styleId="articleintro">
    <w:name w:val="articleintro"/>
    <w:basedOn w:val="Normal"/>
    <w:rsid w:val="006243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6243AF"/>
    <w:rPr>
      <w:rFonts w:ascii="Times New Roman" w:eastAsia="Times New Roman" w:hAnsi="Times New Roman" w:cs="Times New Roman"/>
      <w:b/>
      <w:bCs/>
      <w:kern w:val="36"/>
      <w:sz w:val="48"/>
      <w:szCs w:val="48"/>
      <w:lang w:eastAsia="en-GB"/>
    </w:rPr>
  </w:style>
  <w:style w:type="character" w:customStyle="1" w:styleId="A3">
    <w:name w:val="A3"/>
    <w:uiPriority w:val="99"/>
    <w:rsid w:val="006243AF"/>
    <w:rPr>
      <w:rFonts w:cs="Frutiger 45 Light"/>
      <w:color w:val="000000"/>
      <w:sz w:val="12"/>
      <w:szCs w:val="12"/>
    </w:rPr>
  </w:style>
  <w:style w:type="paragraph" w:customStyle="1" w:styleId="Default">
    <w:name w:val="Default"/>
    <w:rsid w:val="006243AF"/>
    <w:pPr>
      <w:autoSpaceDE w:val="0"/>
      <w:autoSpaceDN w:val="0"/>
      <w:adjustRightInd w:val="0"/>
      <w:spacing w:after="0" w:line="240" w:lineRule="auto"/>
    </w:pPr>
    <w:rPr>
      <w:rFonts w:ascii="Arial" w:hAnsi="Arial" w:cs="Arial"/>
      <w:color w:val="000000"/>
      <w:sz w:val="24"/>
      <w:szCs w:val="24"/>
    </w:rPr>
  </w:style>
  <w:style w:type="character" w:customStyle="1" w:styleId="verdanas12c990000">
    <w:name w:val="verdana s12 c990000"/>
    <w:rsid w:val="006243AF"/>
    <w:rPr>
      <w:rFonts w:cs="Times New Roman"/>
    </w:rPr>
  </w:style>
  <w:style w:type="paragraph" w:styleId="BodyText2">
    <w:name w:val="Body Text 2"/>
    <w:basedOn w:val="Normal"/>
    <w:link w:val="BodyText2Char"/>
    <w:rsid w:val="006243AF"/>
    <w:pPr>
      <w:suppressAutoHyphens/>
      <w:spacing w:after="120" w:line="480" w:lineRule="auto"/>
    </w:pPr>
    <w:rPr>
      <w:rFonts w:ascii="JI Smallcaps" w:eastAsia="Calibri" w:hAnsi="JI Smallcaps" w:cs="JI Smallcaps"/>
      <w:color w:val="000000"/>
      <w:kern w:val="1"/>
      <w:sz w:val="24"/>
      <w:szCs w:val="24"/>
      <w:lang w:val="en-US" w:eastAsia="ar-SA"/>
    </w:rPr>
  </w:style>
  <w:style w:type="character" w:customStyle="1" w:styleId="BodyText2Char">
    <w:name w:val="Body Text 2 Char"/>
    <w:basedOn w:val="DefaultParagraphFont"/>
    <w:link w:val="BodyText2"/>
    <w:rsid w:val="006243AF"/>
    <w:rPr>
      <w:rFonts w:ascii="JI Smallcaps" w:eastAsia="Calibri" w:hAnsi="JI Smallcaps" w:cs="JI Smallcaps"/>
      <w:color w:val="000000"/>
      <w:kern w:val="1"/>
      <w:sz w:val="24"/>
      <w:szCs w:val="24"/>
      <w:lang w:val="en-US" w:eastAsia="ar-SA"/>
    </w:rPr>
  </w:style>
  <w:style w:type="character" w:customStyle="1" w:styleId="verdana">
    <w:name w:val="verdana"/>
    <w:basedOn w:val="DefaultParagraphFont"/>
    <w:rsid w:val="006243AF"/>
  </w:style>
  <w:style w:type="paragraph" w:customStyle="1" w:styleId="Normal1">
    <w:name w:val="Normal1"/>
    <w:rsid w:val="008F23EA"/>
    <w:pPr>
      <w:spacing w:after="0" w:line="276" w:lineRule="auto"/>
    </w:pPr>
    <w:rPr>
      <w:rFonts w:ascii="Arial" w:eastAsia="Arial" w:hAnsi="Arial" w:cs="Arial"/>
      <w:color w:val="000000"/>
      <w:szCs w:val="20"/>
    </w:rPr>
  </w:style>
  <w:style w:type="paragraph" w:styleId="BodyText">
    <w:name w:val="Body Text"/>
    <w:basedOn w:val="Normal"/>
    <w:link w:val="BodyTextChar"/>
    <w:uiPriority w:val="99"/>
    <w:semiHidden/>
    <w:unhideWhenUsed/>
    <w:rsid w:val="00AC29CB"/>
    <w:pPr>
      <w:spacing w:after="120"/>
    </w:pPr>
  </w:style>
  <w:style w:type="character" w:customStyle="1" w:styleId="BodyTextChar">
    <w:name w:val="Body Text Char"/>
    <w:basedOn w:val="DefaultParagraphFont"/>
    <w:link w:val="BodyText"/>
    <w:uiPriority w:val="99"/>
    <w:semiHidden/>
    <w:rsid w:val="00AC29CB"/>
  </w:style>
  <w:style w:type="character" w:styleId="Strong">
    <w:name w:val="Strong"/>
    <w:qFormat/>
    <w:rsid w:val="00AC29CB"/>
    <w:rPr>
      <w:b/>
      <w:bCs/>
    </w:rPr>
  </w:style>
  <w:style w:type="paragraph" w:styleId="PlainText">
    <w:name w:val="Plain Text"/>
    <w:basedOn w:val="Normal"/>
    <w:link w:val="PlainTextChar"/>
    <w:uiPriority w:val="99"/>
    <w:rsid w:val="00AC29C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C29CB"/>
    <w:rPr>
      <w:rFonts w:ascii="Courier New" w:eastAsia="Times New Roman" w:hAnsi="Courier New" w:cs="Courier New"/>
      <w:sz w:val="20"/>
      <w:szCs w:val="20"/>
    </w:rPr>
  </w:style>
  <w:style w:type="paragraph" w:customStyle="1" w:styleId="BodyA">
    <w:name w:val="Body A"/>
    <w:rsid w:val="00AC29CB"/>
    <w:pPr>
      <w:pBdr>
        <w:top w:val="nil"/>
        <w:left w:val="nil"/>
        <w:bottom w:val="nil"/>
        <w:right w:val="nil"/>
        <w:between w:val="nil"/>
        <w:bar w:val="nil"/>
      </w:pBdr>
      <w:spacing w:after="0" w:line="240" w:lineRule="auto"/>
    </w:pPr>
    <w:rPr>
      <w:rFonts w:ascii="Palatino" w:eastAsia="Arial Unicode MS" w:hAnsi="Arial Unicode MS" w:cs="Arial Unicode MS"/>
      <w:color w:val="000000"/>
      <w:sz w:val="24"/>
      <w:szCs w:val="24"/>
      <w:u w:color="000000"/>
      <w:bdr w:val="nil"/>
      <w:lang w:val="en-US" w:eastAsia="en-GB"/>
    </w:rPr>
  </w:style>
  <w:style w:type="character" w:customStyle="1" w:styleId="Hyperlink0">
    <w:name w:val="Hyperlink.0"/>
    <w:basedOn w:val="DefaultParagraphFont"/>
    <w:rsid w:val="00AC29CB"/>
    <w:rPr>
      <w:rFonts w:ascii="Palatino" w:eastAsia="Palatino" w:hAnsi="Palatino" w:cs="Palatino"/>
      <w:color w:val="0000FF"/>
      <w:spacing w:val="0"/>
      <w:kern w:val="1"/>
      <w:sz w:val="24"/>
      <w:szCs w:val="24"/>
      <w:u w:val="single" w:color="0000FF"/>
    </w:rPr>
  </w:style>
  <w:style w:type="character" w:customStyle="1" w:styleId="Hyperlink1">
    <w:name w:val="Hyperlink.1"/>
    <w:basedOn w:val="DefaultParagraphFont"/>
    <w:rsid w:val="00AC29CB"/>
    <w:rPr>
      <w:rFonts w:ascii="Palatino" w:eastAsia="Palatino" w:hAnsi="Palatino" w:cs="Palatino"/>
      <w:color w:val="0000FF"/>
      <w:spacing w:val="0"/>
      <w:kern w:val="0"/>
      <w:sz w:val="24"/>
      <w:szCs w:val="24"/>
      <w:u w:val="single" w:color="0000FF"/>
    </w:rPr>
  </w:style>
  <w:style w:type="character" w:customStyle="1" w:styleId="Hyperlink2">
    <w:name w:val="Hyperlink.2"/>
    <w:basedOn w:val="DefaultParagraphFont"/>
    <w:rsid w:val="00AC29CB"/>
    <w:rPr>
      <w:rFonts w:ascii="Palatino" w:eastAsia="Palatino" w:hAnsi="Palatino" w:cs="Palatino"/>
      <w:color w:val="0000FF"/>
      <w:spacing w:val="0"/>
      <w:kern w:val="1"/>
      <w:sz w:val="24"/>
      <w:szCs w:val="24"/>
      <w:u w:val="single" w:color="0000FF"/>
      <w:lang w:val="nl-NL"/>
    </w:rPr>
  </w:style>
  <w:style w:type="character" w:styleId="FootnoteReference">
    <w:name w:val="footnote reference"/>
    <w:basedOn w:val="DefaultParagraphFont"/>
    <w:uiPriority w:val="99"/>
    <w:semiHidden/>
    <w:unhideWhenUsed/>
    <w:rsid w:val="00EB3E58"/>
    <w:rPr>
      <w:vertAlign w:val="superscript"/>
    </w:rPr>
  </w:style>
  <w:style w:type="paragraph" w:styleId="NoSpacing">
    <w:name w:val="No Spacing"/>
    <w:uiPriority w:val="1"/>
    <w:qFormat/>
    <w:rsid w:val="00E35B5D"/>
    <w:pPr>
      <w:spacing w:after="0" w:line="240" w:lineRule="auto"/>
    </w:pPr>
  </w:style>
  <w:style w:type="paragraph" w:styleId="Bibliography">
    <w:name w:val="Bibliography"/>
    <w:basedOn w:val="Normal"/>
    <w:next w:val="Normal"/>
    <w:uiPriority w:val="37"/>
    <w:semiHidden/>
    <w:unhideWhenUsed/>
    <w:rsid w:val="00E35B5D"/>
  </w:style>
  <w:style w:type="character" w:customStyle="1" w:styleId="Heading2Char">
    <w:name w:val="Heading 2 Char"/>
    <w:basedOn w:val="DefaultParagraphFont"/>
    <w:link w:val="Heading2"/>
    <w:rsid w:val="00E35B5D"/>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E35B5D"/>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E35B5D"/>
    <w:rPr>
      <w:rFonts w:ascii="Times New Roman" w:eastAsia="Times New Roman" w:hAnsi="Times New Roman" w:cs="Times New Roman"/>
      <w:b/>
      <w:bCs/>
      <w:sz w:val="28"/>
      <w:szCs w:val="28"/>
      <w:lang w:eastAsia="en-GB"/>
    </w:rPr>
  </w:style>
  <w:style w:type="character" w:customStyle="1" w:styleId="apple-converted-space">
    <w:name w:val="apple-converted-space"/>
    <w:basedOn w:val="DefaultParagraphFont"/>
    <w:rsid w:val="00E35B5D"/>
  </w:style>
  <w:style w:type="paragraph" w:customStyle="1" w:styleId="TableContents">
    <w:name w:val="Table Contents"/>
    <w:basedOn w:val="Normal"/>
    <w:rsid w:val="00E35B5D"/>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specialissuelabel">
    <w:name w:val="specialissuelabel"/>
    <w:basedOn w:val="DefaultParagraphFont"/>
    <w:rsid w:val="00E35B5D"/>
  </w:style>
  <w:style w:type="character" w:styleId="FollowedHyperlink">
    <w:name w:val="FollowedHyperlink"/>
    <w:rsid w:val="00E35B5D"/>
    <w:rPr>
      <w:color w:val="800080"/>
      <w:u w:val="single"/>
    </w:rPr>
  </w:style>
  <w:style w:type="character" w:styleId="PageNumber">
    <w:name w:val="page number"/>
    <w:basedOn w:val="DefaultParagraphFont"/>
    <w:rsid w:val="00E35B5D"/>
  </w:style>
  <w:style w:type="character" w:customStyle="1" w:styleId="personname">
    <w:name w:val="person_name"/>
    <w:basedOn w:val="DefaultParagraphFont"/>
    <w:rsid w:val="00647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980800">
      <w:bodyDiv w:val="1"/>
      <w:marLeft w:val="0"/>
      <w:marRight w:val="0"/>
      <w:marTop w:val="0"/>
      <w:marBottom w:val="0"/>
      <w:divBdr>
        <w:top w:val="none" w:sz="0" w:space="0" w:color="auto"/>
        <w:left w:val="none" w:sz="0" w:space="0" w:color="auto"/>
        <w:bottom w:val="none" w:sz="0" w:space="0" w:color="auto"/>
        <w:right w:val="none" w:sz="0" w:space="0" w:color="auto"/>
      </w:divBdr>
    </w:div>
    <w:div w:id="110003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8CB03-80D0-034C-8FF8-C043E033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3072</Words>
  <Characters>17515</Characters>
  <Application>Microsoft Macintosh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Petrie, Joel</dc:creator>
  <cp:keywords/>
  <dc:description/>
  <cp:lastModifiedBy>ROUXEL Doug</cp:lastModifiedBy>
  <cp:revision>2</cp:revision>
  <dcterms:created xsi:type="dcterms:W3CDTF">2015-05-21T06:59:00Z</dcterms:created>
  <dcterms:modified xsi:type="dcterms:W3CDTF">2015-05-21T06:59:00Z</dcterms:modified>
</cp:coreProperties>
</file>