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E27" w:rsidRPr="00621C69" w:rsidRDefault="00490E27" w:rsidP="004B55E1">
      <w:pPr>
        <w:pStyle w:val="Heading1"/>
        <w:spacing w:before="0" w:line="480" w:lineRule="auto"/>
        <w:jc w:val="center"/>
        <w:rPr>
          <w:rFonts w:asciiTheme="minorHAnsi" w:hAnsiTheme="minorHAnsi"/>
        </w:rPr>
      </w:pPr>
      <w:r w:rsidRPr="00621C69">
        <w:rPr>
          <w:rFonts w:asciiTheme="minorHAnsi" w:hAnsiTheme="minorHAnsi"/>
        </w:rPr>
        <w:t xml:space="preserve">Social and ecological drivers of success in </w:t>
      </w:r>
      <w:proofErr w:type="spellStart"/>
      <w:r w:rsidRPr="00621C69">
        <w:rPr>
          <w:rFonts w:asciiTheme="minorHAnsi" w:hAnsiTheme="minorHAnsi"/>
        </w:rPr>
        <w:t>agri</w:t>
      </w:r>
      <w:proofErr w:type="spellEnd"/>
      <w:r w:rsidRPr="00621C69">
        <w:rPr>
          <w:rFonts w:asciiTheme="minorHAnsi" w:hAnsiTheme="minorHAnsi"/>
        </w:rPr>
        <w:t xml:space="preserve">-environment schemes: the roles of farmers and environmental context </w:t>
      </w:r>
    </w:p>
    <w:p w:rsidR="00490E27" w:rsidRPr="00621C69" w:rsidRDefault="00490E27" w:rsidP="004B55E1">
      <w:pPr>
        <w:spacing w:after="0" w:line="480" w:lineRule="auto"/>
        <w:rPr>
          <w:sz w:val="24"/>
          <w:szCs w:val="24"/>
        </w:rPr>
      </w:pPr>
    </w:p>
    <w:p w:rsidR="00490E27" w:rsidRPr="00621C69" w:rsidRDefault="00490E27" w:rsidP="004B55E1">
      <w:pPr>
        <w:spacing w:after="0" w:line="480" w:lineRule="auto"/>
        <w:jc w:val="center"/>
        <w:rPr>
          <w:sz w:val="24"/>
          <w:szCs w:val="24"/>
        </w:rPr>
      </w:pPr>
      <w:r w:rsidRPr="00621C69">
        <w:rPr>
          <w:sz w:val="24"/>
          <w:szCs w:val="24"/>
        </w:rPr>
        <w:t>Morag E. McCracken</w:t>
      </w:r>
      <w:r w:rsidRPr="00621C69">
        <w:rPr>
          <w:sz w:val="24"/>
          <w:szCs w:val="24"/>
          <w:vertAlign w:val="superscript"/>
        </w:rPr>
        <w:t>1</w:t>
      </w:r>
      <w:r w:rsidRPr="00621C69">
        <w:rPr>
          <w:sz w:val="24"/>
          <w:szCs w:val="24"/>
        </w:rPr>
        <w:t>, Ben A. Woodcock</w:t>
      </w:r>
      <w:r w:rsidRPr="00621C69">
        <w:rPr>
          <w:sz w:val="24"/>
          <w:szCs w:val="24"/>
          <w:vertAlign w:val="superscript"/>
        </w:rPr>
        <w:t>1</w:t>
      </w:r>
      <w:r w:rsidRPr="00621C69">
        <w:rPr>
          <w:sz w:val="24"/>
          <w:szCs w:val="24"/>
        </w:rPr>
        <w:t>, Matt Lobley</w:t>
      </w:r>
      <w:r w:rsidRPr="00621C69">
        <w:rPr>
          <w:sz w:val="24"/>
          <w:szCs w:val="24"/>
          <w:vertAlign w:val="superscript"/>
        </w:rPr>
        <w:t>2</w:t>
      </w:r>
      <w:r w:rsidRPr="00621C69">
        <w:rPr>
          <w:sz w:val="24"/>
          <w:szCs w:val="24"/>
        </w:rPr>
        <w:t>, Richard F. Pywell</w:t>
      </w:r>
      <w:r w:rsidRPr="00621C69">
        <w:rPr>
          <w:sz w:val="24"/>
          <w:szCs w:val="24"/>
          <w:vertAlign w:val="superscript"/>
        </w:rPr>
        <w:t>1</w:t>
      </w:r>
      <w:r w:rsidRPr="00621C69">
        <w:rPr>
          <w:sz w:val="24"/>
          <w:szCs w:val="24"/>
        </w:rPr>
        <w:t>, Eirini Saratsi</w:t>
      </w:r>
      <w:r w:rsidRPr="00621C69">
        <w:rPr>
          <w:sz w:val="24"/>
          <w:szCs w:val="24"/>
          <w:vertAlign w:val="superscript"/>
        </w:rPr>
        <w:t>2</w:t>
      </w:r>
      <w:r w:rsidRPr="00621C69">
        <w:rPr>
          <w:sz w:val="24"/>
          <w:szCs w:val="24"/>
        </w:rPr>
        <w:t>, Ruth D. Swetnam</w:t>
      </w:r>
      <w:r w:rsidRPr="00621C69">
        <w:rPr>
          <w:sz w:val="24"/>
          <w:szCs w:val="24"/>
          <w:vertAlign w:val="superscript"/>
        </w:rPr>
        <w:t>1,3</w:t>
      </w:r>
      <w:r w:rsidRPr="00621C69">
        <w:rPr>
          <w:sz w:val="24"/>
          <w:szCs w:val="24"/>
        </w:rPr>
        <w:t>, Simon R. Mortimer</w:t>
      </w:r>
      <w:r w:rsidRPr="00621C69">
        <w:rPr>
          <w:sz w:val="24"/>
          <w:szCs w:val="24"/>
          <w:vertAlign w:val="superscript"/>
        </w:rPr>
        <w:t>4</w:t>
      </w:r>
      <w:r w:rsidRPr="00621C69">
        <w:rPr>
          <w:sz w:val="24"/>
          <w:szCs w:val="24"/>
        </w:rPr>
        <w:t>, Stephanie J. Harris</w:t>
      </w:r>
      <w:r w:rsidRPr="00621C69">
        <w:rPr>
          <w:sz w:val="24"/>
          <w:szCs w:val="24"/>
          <w:vertAlign w:val="superscript"/>
        </w:rPr>
        <w:t>4</w:t>
      </w:r>
      <w:r w:rsidRPr="00621C69">
        <w:rPr>
          <w:sz w:val="24"/>
          <w:szCs w:val="24"/>
        </w:rPr>
        <w:t>, Michael Winter</w:t>
      </w:r>
      <w:r w:rsidRPr="00621C69">
        <w:rPr>
          <w:sz w:val="24"/>
          <w:szCs w:val="24"/>
          <w:vertAlign w:val="superscript"/>
        </w:rPr>
        <w:t>2</w:t>
      </w:r>
      <w:r w:rsidRPr="00621C69">
        <w:rPr>
          <w:sz w:val="24"/>
          <w:szCs w:val="24"/>
        </w:rPr>
        <w:t>, Shelley Hinsley</w:t>
      </w:r>
      <w:r w:rsidRPr="00621C69">
        <w:rPr>
          <w:sz w:val="24"/>
          <w:szCs w:val="24"/>
          <w:vertAlign w:val="superscript"/>
        </w:rPr>
        <w:t>1</w:t>
      </w:r>
      <w:r w:rsidRPr="00621C69">
        <w:rPr>
          <w:sz w:val="24"/>
          <w:szCs w:val="24"/>
        </w:rPr>
        <w:t xml:space="preserve">, and </w:t>
      </w:r>
    </w:p>
    <w:p w:rsidR="00490E27" w:rsidRPr="00621C69" w:rsidRDefault="00490E27" w:rsidP="004B55E1">
      <w:pPr>
        <w:spacing w:after="0" w:line="480" w:lineRule="auto"/>
        <w:jc w:val="center"/>
        <w:rPr>
          <w:i/>
          <w:sz w:val="24"/>
          <w:szCs w:val="24"/>
        </w:rPr>
      </w:pPr>
      <w:proofErr w:type="gramStart"/>
      <w:r w:rsidRPr="00621C69">
        <w:rPr>
          <w:sz w:val="24"/>
          <w:szCs w:val="24"/>
        </w:rPr>
        <w:t>James M. Bullock</w:t>
      </w:r>
      <w:r w:rsidRPr="00621C69">
        <w:rPr>
          <w:sz w:val="24"/>
          <w:szCs w:val="24"/>
          <w:vertAlign w:val="superscript"/>
        </w:rPr>
        <w:t>1</w:t>
      </w:r>
      <w:r w:rsidRPr="00621C69">
        <w:rPr>
          <w:sz w:val="24"/>
          <w:szCs w:val="24"/>
        </w:rPr>
        <w:t>*.</w:t>
      </w:r>
      <w:proofErr w:type="gramEnd"/>
      <w:r w:rsidRPr="00621C69">
        <w:rPr>
          <w:sz w:val="24"/>
          <w:szCs w:val="24"/>
        </w:rPr>
        <w:t xml:space="preserve"> </w:t>
      </w:r>
    </w:p>
    <w:p w:rsidR="00490E27" w:rsidRPr="00621C69" w:rsidRDefault="00490E27" w:rsidP="004B55E1">
      <w:pPr>
        <w:spacing w:after="0" w:line="480" w:lineRule="auto"/>
        <w:rPr>
          <w:sz w:val="24"/>
          <w:szCs w:val="24"/>
        </w:rPr>
      </w:pPr>
    </w:p>
    <w:p w:rsidR="00490E27" w:rsidRPr="00621C69" w:rsidRDefault="00490E27" w:rsidP="004B55E1">
      <w:pPr>
        <w:spacing w:after="0" w:line="480" w:lineRule="auto"/>
      </w:pPr>
      <w:r w:rsidRPr="00621C69">
        <w:rPr>
          <w:vertAlign w:val="superscript"/>
        </w:rPr>
        <w:t>1</w:t>
      </w:r>
      <w:r w:rsidRPr="00621C69">
        <w:t>NERC Centre for Ecology and Hydrology, Benson Lane, Wallingford, UK, OX10 8BB</w:t>
      </w:r>
    </w:p>
    <w:p w:rsidR="00490E27" w:rsidRPr="00621C69" w:rsidRDefault="00490E27" w:rsidP="004B55E1">
      <w:pPr>
        <w:spacing w:after="0" w:line="480" w:lineRule="auto"/>
      </w:pPr>
      <w:r w:rsidRPr="00621C69">
        <w:rPr>
          <w:vertAlign w:val="superscript"/>
        </w:rPr>
        <w:t xml:space="preserve">2 </w:t>
      </w:r>
      <w:r w:rsidRPr="00621C69">
        <w:rPr>
          <w:rFonts w:cs="AdvP3549"/>
        </w:rPr>
        <w:t>Centre for Rural Policy Research, Department of Politics, University of Exeter, Rennes Drive, Exeter, UK, EX4 4RJ</w:t>
      </w:r>
    </w:p>
    <w:p w:rsidR="00490E27" w:rsidRPr="00621C69" w:rsidRDefault="00490E27" w:rsidP="004B55E1">
      <w:pPr>
        <w:spacing w:after="0" w:line="480" w:lineRule="auto"/>
      </w:pPr>
      <w:bookmarkStart w:id="0" w:name="addressWOS:000323039200006-6"/>
      <w:bookmarkStart w:id="1" w:name="addressWOS:000297438100005-1"/>
      <w:r w:rsidRPr="00621C69">
        <w:rPr>
          <w:vertAlign w:val="superscript"/>
        </w:rPr>
        <w:t>3</w:t>
      </w:r>
      <w:r w:rsidRPr="00621C69">
        <w:t>Department of Geography, Staffordshire University, Leek Rd, Stoke-on-Trent</w:t>
      </w:r>
      <w:bookmarkEnd w:id="0"/>
      <w:r w:rsidRPr="00621C69">
        <w:t>, UK, ST4 2DF</w:t>
      </w:r>
    </w:p>
    <w:bookmarkEnd w:id="1"/>
    <w:p w:rsidR="00490E27" w:rsidRPr="00621C69" w:rsidRDefault="00490E27" w:rsidP="004B55E1">
      <w:pPr>
        <w:spacing w:after="0" w:line="480" w:lineRule="auto"/>
      </w:pPr>
      <w:r w:rsidRPr="00621C69">
        <w:rPr>
          <w:vertAlign w:val="superscript"/>
        </w:rPr>
        <w:t>4</w:t>
      </w:r>
      <w:r w:rsidRPr="00621C69">
        <w:t>School of Agriculture, Policy and Development</w:t>
      </w:r>
      <w:r w:rsidRPr="00621C69">
        <w:rPr>
          <w:rStyle w:val="normaltext1"/>
          <w:rFonts w:asciiTheme="minorHAnsi" w:hAnsiTheme="minorHAnsi"/>
          <w:color w:val="auto"/>
          <w:sz w:val="22"/>
          <w:szCs w:val="22"/>
        </w:rPr>
        <w:t>, University of Reading</w:t>
      </w:r>
      <w:r w:rsidRPr="00621C69">
        <w:t xml:space="preserve">, </w:t>
      </w:r>
      <w:proofErr w:type="spellStart"/>
      <w:r w:rsidRPr="00621C69">
        <w:t>Earley</w:t>
      </w:r>
      <w:proofErr w:type="spellEnd"/>
      <w:r w:rsidRPr="00621C69">
        <w:t xml:space="preserve"> Gate, Reading, UK, RG6 6AR</w:t>
      </w:r>
    </w:p>
    <w:p w:rsidR="00490E27" w:rsidRPr="00621C69" w:rsidRDefault="00490E27" w:rsidP="004B55E1">
      <w:pPr>
        <w:spacing w:after="0" w:line="480" w:lineRule="auto"/>
        <w:jc w:val="center"/>
        <w:rPr>
          <w:sz w:val="24"/>
          <w:szCs w:val="24"/>
          <w:vertAlign w:val="superscript"/>
        </w:rPr>
      </w:pPr>
    </w:p>
    <w:p w:rsidR="00490E27" w:rsidRPr="00621C69" w:rsidRDefault="00490E27" w:rsidP="004B55E1">
      <w:pPr>
        <w:spacing w:after="0" w:line="480" w:lineRule="auto"/>
        <w:rPr>
          <w:sz w:val="24"/>
          <w:szCs w:val="24"/>
        </w:rPr>
      </w:pPr>
      <w:r w:rsidRPr="00621C69">
        <w:rPr>
          <w:sz w:val="24"/>
          <w:szCs w:val="24"/>
          <w:vertAlign w:val="superscript"/>
        </w:rPr>
        <w:t>*</w:t>
      </w:r>
      <w:r w:rsidRPr="00621C69">
        <w:rPr>
          <w:b/>
          <w:sz w:val="24"/>
          <w:szCs w:val="24"/>
        </w:rPr>
        <w:t>Corresponding author</w:t>
      </w:r>
      <w:r w:rsidRPr="00621C69">
        <w:rPr>
          <w:sz w:val="24"/>
          <w:szCs w:val="24"/>
        </w:rPr>
        <w:t>: James Bullock; NERC Centre for Ecology and Hydrology, Benson Lane, Wallingford, UK, OX10 8BB; jmbul@ceh.ac.uk; +44 (0)7824 460866</w:t>
      </w:r>
    </w:p>
    <w:p w:rsidR="00490E27" w:rsidRPr="00621C69" w:rsidRDefault="00490E27" w:rsidP="004B55E1">
      <w:pPr>
        <w:spacing w:after="0" w:line="480" w:lineRule="auto"/>
        <w:rPr>
          <w:sz w:val="24"/>
          <w:szCs w:val="24"/>
        </w:rPr>
      </w:pPr>
    </w:p>
    <w:p w:rsidR="00490E27" w:rsidRPr="00621C69" w:rsidRDefault="00490E27" w:rsidP="004B55E1">
      <w:pPr>
        <w:spacing w:after="0" w:line="480" w:lineRule="auto"/>
        <w:rPr>
          <w:sz w:val="24"/>
          <w:szCs w:val="24"/>
        </w:rPr>
      </w:pPr>
      <w:r w:rsidRPr="00621C69">
        <w:rPr>
          <w:b/>
          <w:sz w:val="24"/>
          <w:szCs w:val="24"/>
        </w:rPr>
        <w:t xml:space="preserve">Running title: </w:t>
      </w:r>
      <w:r w:rsidRPr="00621C69">
        <w:rPr>
          <w:sz w:val="24"/>
          <w:szCs w:val="24"/>
        </w:rPr>
        <w:t xml:space="preserve">The success of </w:t>
      </w:r>
      <w:proofErr w:type="spellStart"/>
      <w:r w:rsidRPr="00621C69">
        <w:rPr>
          <w:sz w:val="24"/>
          <w:szCs w:val="24"/>
        </w:rPr>
        <w:t>agri</w:t>
      </w:r>
      <w:proofErr w:type="spellEnd"/>
      <w:r w:rsidRPr="00621C69">
        <w:rPr>
          <w:sz w:val="24"/>
          <w:szCs w:val="24"/>
        </w:rPr>
        <w:t xml:space="preserve">-environment schemes </w:t>
      </w:r>
    </w:p>
    <w:p w:rsidR="00490E27" w:rsidRPr="00621C69" w:rsidRDefault="00490E27" w:rsidP="004B55E1">
      <w:pPr>
        <w:spacing w:after="0" w:line="480" w:lineRule="auto"/>
        <w:rPr>
          <w:b/>
          <w:sz w:val="24"/>
          <w:szCs w:val="24"/>
        </w:rPr>
      </w:pPr>
    </w:p>
    <w:p w:rsidR="00490E27" w:rsidRPr="00621C69" w:rsidRDefault="00490E27" w:rsidP="004B55E1">
      <w:pPr>
        <w:spacing w:after="0" w:line="480" w:lineRule="auto"/>
        <w:rPr>
          <w:b/>
          <w:sz w:val="24"/>
          <w:szCs w:val="24"/>
        </w:rPr>
      </w:pPr>
      <w:r w:rsidRPr="00621C69">
        <w:rPr>
          <w:b/>
          <w:sz w:val="24"/>
          <w:szCs w:val="24"/>
        </w:rPr>
        <w:t xml:space="preserve">Word count: </w:t>
      </w:r>
      <w:r w:rsidR="008C4EC2" w:rsidRPr="00621C69">
        <w:rPr>
          <w:rFonts w:eastAsia="Times New Roman" w:cs="Times New Roman"/>
          <w:sz w:val="24"/>
          <w:szCs w:val="24"/>
        </w:rPr>
        <w:t>7,00</w:t>
      </w:r>
      <w:r w:rsidR="001D2734" w:rsidRPr="00621C69">
        <w:rPr>
          <w:rFonts w:eastAsia="Times New Roman" w:cs="Times New Roman"/>
          <w:sz w:val="24"/>
          <w:szCs w:val="24"/>
        </w:rPr>
        <w:t>7</w:t>
      </w:r>
    </w:p>
    <w:p w:rsidR="00490E27" w:rsidRPr="00621C69" w:rsidRDefault="00490E27" w:rsidP="004B55E1">
      <w:pPr>
        <w:pStyle w:val="Heading1"/>
        <w:spacing w:before="0" w:line="480" w:lineRule="auto"/>
        <w:rPr>
          <w:rFonts w:asciiTheme="minorHAnsi" w:eastAsiaTheme="minorEastAsia" w:hAnsiTheme="minorHAnsi" w:cstheme="minorBidi"/>
          <w:b w:val="0"/>
          <w:bCs w:val="0"/>
          <w:sz w:val="24"/>
          <w:szCs w:val="24"/>
        </w:rPr>
      </w:pPr>
    </w:p>
    <w:p w:rsidR="00490E27" w:rsidRPr="00621C69" w:rsidRDefault="00490E27">
      <w:pPr>
        <w:rPr>
          <w:sz w:val="24"/>
          <w:szCs w:val="24"/>
        </w:rPr>
      </w:pPr>
      <w:r w:rsidRPr="00621C69">
        <w:rPr>
          <w:b/>
          <w:sz w:val="24"/>
          <w:szCs w:val="24"/>
        </w:rPr>
        <w:t>Number of: Tables</w:t>
      </w:r>
      <w:r w:rsidRPr="00621C69">
        <w:rPr>
          <w:sz w:val="24"/>
          <w:szCs w:val="24"/>
        </w:rPr>
        <w:t xml:space="preserve"> 2; </w:t>
      </w:r>
      <w:r w:rsidRPr="00621C69">
        <w:rPr>
          <w:b/>
          <w:sz w:val="24"/>
          <w:szCs w:val="24"/>
        </w:rPr>
        <w:t>Figures</w:t>
      </w:r>
      <w:r w:rsidRPr="00621C69">
        <w:rPr>
          <w:sz w:val="24"/>
          <w:szCs w:val="24"/>
        </w:rPr>
        <w:t xml:space="preserve"> 2: </w:t>
      </w:r>
      <w:r w:rsidRPr="00621C69">
        <w:rPr>
          <w:b/>
          <w:sz w:val="24"/>
          <w:szCs w:val="24"/>
        </w:rPr>
        <w:t>References</w:t>
      </w:r>
      <w:r w:rsidRPr="00621C69">
        <w:rPr>
          <w:sz w:val="24"/>
          <w:szCs w:val="24"/>
        </w:rPr>
        <w:t xml:space="preserve"> 40</w:t>
      </w:r>
    </w:p>
    <w:p w:rsidR="00490E27" w:rsidRPr="00621C69" w:rsidRDefault="00490E27">
      <w:pPr>
        <w:rPr>
          <w:sz w:val="24"/>
          <w:szCs w:val="24"/>
        </w:rPr>
      </w:pPr>
    </w:p>
    <w:p w:rsidR="00490E27" w:rsidRPr="00621C69" w:rsidRDefault="00490E27" w:rsidP="004B55E1">
      <w:pPr>
        <w:pStyle w:val="NormalWeb"/>
        <w:spacing w:before="0" w:beforeAutospacing="0" w:after="0" w:afterAutospacing="0" w:line="480" w:lineRule="auto"/>
        <w:rPr>
          <w:rFonts w:asciiTheme="minorHAnsi" w:hAnsiTheme="minorHAnsi"/>
          <w:b/>
        </w:rPr>
      </w:pPr>
      <w:r w:rsidRPr="00621C69">
        <w:rPr>
          <w:rFonts w:asciiTheme="minorHAnsi" w:hAnsiTheme="minorHAnsi"/>
          <w:b/>
        </w:rPr>
        <w:lastRenderedPageBreak/>
        <w:t xml:space="preserve">Summary </w:t>
      </w:r>
    </w:p>
    <w:p w:rsidR="00490E27" w:rsidRPr="00621C69" w:rsidRDefault="00490E27" w:rsidP="004B55E1">
      <w:pPr>
        <w:pStyle w:val="NormalWeb"/>
        <w:numPr>
          <w:ilvl w:val="0"/>
          <w:numId w:val="9"/>
        </w:numPr>
        <w:spacing w:before="0" w:beforeAutospacing="0" w:after="0" w:afterAutospacing="0" w:line="480" w:lineRule="auto"/>
        <w:ind w:left="0" w:firstLine="0"/>
        <w:jc w:val="both"/>
        <w:rPr>
          <w:rFonts w:asciiTheme="minorHAnsi" w:hAnsiTheme="minorHAnsi"/>
        </w:rPr>
      </w:pPr>
      <w:proofErr w:type="spellStart"/>
      <w:r w:rsidRPr="00621C69">
        <w:rPr>
          <w:rFonts w:asciiTheme="minorHAnsi" w:hAnsiTheme="minorHAnsi"/>
        </w:rPr>
        <w:t>Agri</w:t>
      </w:r>
      <w:proofErr w:type="spellEnd"/>
      <w:r w:rsidRPr="00621C69">
        <w:rPr>
          <w:rFonts w:asciiTheme="minorHAnsi" w:hAnsiTheme="minorHAnsi"/>
        </w:rPr>
        <w:t>-environment schemes remain a controversial approach to reversing biodiversity losses, partly because the drivers of variation in outcomes are poorly understood. In particular, there is a lack of studies that consider both social and ecological factors.</w:t>
      </w:r>
    </w:p>
    <w:p w:rsidR="00490E27" w:rsidRPr="00621C69" w:rsidRDefault="00490E27" w:rsidP="004B55E1">
      <w:pPr>
        <w:pStyle w:val="NormalWeb"/>
        <w:numPr>
          <w:ilvl w:val="0"/>
          <w:numId w:val="9"/>
        </w:numPr>
        <w:spacing w:before="0" w:beforeAutospacing="0" w:after="0" w:afterAutospacing="0" w:line="480" w:lineRule="auto"/>
        <w:ind w:left="0" w:firstLine="0"/>
        <w:jc w:val="both"/>
        <w:rPr>
          <w:rFonts w:asciiTheme="minorHAnsi" w:hAnsiTheme="minorHAnsi"/>
        </w:rPr>
      </w:pPr>
      <w:r w:rsidRPr="00621C69">
        <w:rPr>
          <w:rFonts w:asciiTheme="minorHAnsi" w:hAnsiTheme="minorHAnsi"/>
        </w:rPr>
        <w:t xml:space="preserve">We analysed variation across 48 farms in the quality and biodiversity outcomes of </w:t>
      </w:r>
      <w:proofErr w:type="spellStart"/>
      <w:r w:rsidRPr="00621C69">
        <w:rPr>
          <w:rFonts w:asciiTheme="minorHAnsi" w:hAnsiTheme="minorHAnsi"/>
        </w:rPr>
        <w:t>agri</w:t>
      </w:r>
      <w:proofErr w:type="spellEnd"/>
      <w:r w:rsidRPr="00621C69">
        <w:rPr>
          <w:rFonts w:asciiTheme="minorHAnsi" w:hAnsiTheme="minorHAnsi"/>
        </w:rPr>
        <w:t xml:space="preserve">-environmental habitats designed to provide pollen and nectar for bumblebees and butterflies or winter seed for birds. We used interviews and ecological surveys to gather data on farmer experience and understanding of </w:t>
      </w:r>
      <w:proofErr w:type="spellStart"/>
      <w:r w:rsidRPr="00621C69">
        <w:rPr>
          <w:rFonts w:asciiTheme="minorHAnsi" w:hAnsiTheme="minorHAnsi"/>
        </w:rPr>
        <w:t>agri</w:t>
      </w:r>
      <w:proofErr w:type="spellEnd"/>
      <w:r w:rsidRPr="00621C69">
        <w:rPr>
          <w:rFonts w:asciiTheme="minorHAnsi" w:hAnsiTheme="minorHAnsi"/>
        </w:rPr>
        <w:t>-environment schemes, and local and landscape environmental factors.</w:t>
      </w:r>
    </w:p>
    <w:p w:rsidR="00490E27" w:rsidRPr="00621C69" w:rsidRDefault="00490E27" w:rsidP="004B55E1">
      <w:pPr>
        <w:pStyle w:val="NormalWeb"/>
        <w:numPr>
          <w:ilvl w:val="0"/>
          <w:numId w:val="9"/>
        </w:numPr>
        <w:spacing w:before="0" w:beforeAutospacing="0" w:after="0" w:afterAutospacing="0" w:line="480" w:lineRule="auto"/>
        <w:ind w:left="0" w:firstLine="0"/>
        <w:jc w:val="both"/>
        <w:rPr>
          <w:rFonts w:asciiTheme="minorHAnsi" w:hAnsiTheme="minorHAnsi"/>
        </w:rPr>
      </w:pPr>
      <w:proofErr w:type="spellStart"/>
      <w:r w:rsidRPr="00621C69">
        <w:rPr>
          <w:rFonts w:asciiTheme="minorHAnsi" w:hAnsiTheme="minorHAnsi"/>
        </w:rPr>
        <w:t>Multimodel</w:t>
      </w:r>
      <w:proofErr w:type="spellEnd"/>
      <w:r w:rsidRPr="00621C69">
        <w:rPr>
          <w:rFonts w:asciiTheme="minorHAnsi" w:hAnsiTheme="minorHAnsi"/>
        </w:rPr>
        <w:t xml:space="preserve"> inference indicated social factors had a strong impact on outcomes and that farmer experiential learning was a key process. The quality of the created habitat was affected positively by the farmer’s previous experience in environmental management</w:t>
      </w:r>
      <w:r w:rsidR="00455D2E">
        <w:rPr>
          <w:rFonts w:asciiTheme="minorHAnsi" w:hAnsiTheme="minorHAnsi"/>
        </w:rPr>
        <w:t xml:space="preserve">. The farmer’s confidence in </w:t>
      </w:r>
      <w:r w:rsidR="00324DBE">
        <w:rPr>
          <w:rFonts w:asciiTheme="minorHAnsi" w:hAnsiTheme="minorHAnsi"/>
        </w:rPr>
        <w:t>their</w:t>
      </w:r>
      <w:r w:rsidRPr="00621C69">
        <w:rPr>
          <w:rFonts w:asciiTheme="minorHAnsi" w:hAnsiTheme="minorHAnsi"/>
        </w:rPr>
        <w:t xml:space="preserve"> ability to carry out the required management was negatively related to the provision of floral resources. Farmers with more wildlife-friendly motivations tended to produce more floral resources, but fewer seed resources. </w:t>
      </w:r>
    </w:p>
    <w:p w:rsidR="00490E27" w:rsidRPr="00621C69" w:rsidRDefault="00490E27" w:rsidP="004B55E1">
      <w:pPr>
        <w:pStyle w:val="NormalWeb"/>
        <w:numPr>
          <w:ilvl w:val="0"/>
          <w:numId w:val="9"/>
        </w:numPr>
        <w:spacing w:before="0" w:beforeAutospacing="0" w:after="0" w:afterAutospacing="0" w:line="480" w:lineRule="auto"/>
        <w:ind w:left="0" w:firstLine="0"/>
        <w:jc w:val="both"/>
        <w:rPr>
          <w:rFonts w:asciiTheme="minorHAnsi" w:hAnsiTheme="minorHAnsi"/>
        </w:rPr>
      </w:pPr>
      <w:r w:rsidRPr="00621C69">
        <w:rPr>
          <w:rFonts w:asciiTheme="minorHAnsi" w:hAnsiTheme="minorHAnsi"/>
        </w:rPr>
        <w:t>Bird, bumblebee and butterfly biodiversity responses were strongly affected by the quantity of seed or floral resources. Shelter enhanced biodiversity directly, increased floral resources and decreased seed yield. Seasonal weather patterns had large effects on both measures. Surprisingly, larger species pools and amounts of semi-natural habitat in the surrounding landscape had negative effects on biodiversity, which may indicate use by fauna of alternative foraging resources.</w:t>
      </w:r>
    </w:p>
    <w:p w:rsidR="00490E27" w:rsidRPr="00621C69" w:rsidRDefault="00490E27" w:rsidP="004B55E1">
      <w:pPr>
        <w:pStyle w:val="NormalWeb"/>
        <w:numPr>
          <w:ilvl w:val="0"/>
          <w:numId w:val="9"/>
        </w:numPr>
        <w:spacing w:before="0" w:beforeAutospacing="0" w:after="0" w:afterAutospacing="0" w:line="480" w:lineRule="auto"/>
        <w:ind w:left="0" w:firstLine="0"/>
        <w:jc w:val="both"/>
        <w:rPr>
          <w:rFonts w:asciiTheme="minorHAnsi" w:hAnsiTheme="minorHAnsi"/>
        </w:rPr>
      </w:pPr>
      <w:r w:rsidRPr="00621C69">
        <w:rPr>
          <w:rFonts w:asciiTheme="minorHAnsi" w:hAnsiTheme="minorHAnsi"/>
          <w:i/>
        </w:rPr>
        <w:t xml:space="preserve">Synthesis and application. </w:t>
      </w:r>
      <w:r w:rsidRPr="00621C69">
        <w:rPr>
          <w:rFonts w:asciiTheme="minorHAnsi" w:hAnsiTheme="minorHAnsi"/>
        </w:rPr>
        <w:t xml:space="preserve">This is the first study to show a direct role of farmer social variables on the success of </w:t>
      </w:r>
      <w:proofErr w:type="spellStart"/>
      <w:r w:rsidRPr="00621C69">
        <w:rPr>
          <w:rFonts w:asciiTheme="minorHAnsi" w:hAnsiTheme="minorHAnsi"/>
        </w:rPr>
        <w:t>agri</w:t>
      </w:r>
      <w:proofErr w:type="spellEnd"/>
      <w:r w:rsidRPr="00621C69">
        <w:rPr>
          <w:rFonts w:asciiTheme="minorHAnsi" w:hAnsiTheme="minorHAnsi"/>
        </w:rPr>
        <w:t xml:space="preserve">-environment schemes in supporting farmland biodiversity.  It suggests that farmers are not simply implementing </w:t>
      </w:r>
      <w:proofErr w:type="spellStart"/>
      <w:r w:rsidRPr="00621C69">
        <w:rPr>
          <w:rFonts w:asciiTheme="minorHAnsi" w:hAnsiTheme="minorHAnsi"/>
        </w:rPr>
        <w:t>agri</w:t>
      </w:r>
      <w:proofErr w:type="spellEnd"/>
      <w:r w:rsidRPr="00621C69">
        <w:rPr>
          <w:rFonts w:asciiTheme="minorHAnsi" w:hAnsiTheme="minorHAnsi"/>
        </w:rPr>
        <w:t xml:space="preserve">-environment options, but are </w:t>
      </w:r>
      <w:r w:rsidRPr="00621C69">
        <w:rPr>
          <w:rFonts w:asciiTheme="minorHAnsi" w:hAnsiTheme="minorHAnsi"/>
        </w:rPr>
        <w:lastRenderedPageBreak/>
        <w:t xml:space="preserve">learning and improving outcomes by doing so. Better engagement with farmers and working with farmers who have a history of environmental management may therefore enhance success.  The importance of a number of environmental factors may explain why </w:t>
      </w:r>
      <w:proofErr w:type="spellStart"/>
      <w:r w:rsidRPr="00621C69">
        <w:rPr>
          <w:rFonts w:asciiTheme="minorHAnsi" w:hAnsiTheme="minorHAnsi"/>
        </w:rPr>
        <w:t>agri</w:t>
      </w:r>
      <w:proofErr w:type="spellEnd"/>
      <w:r w:rsidRPr="00621C69">
        <w:rPr>
          <w:rFonts w:asciiTheme="minorHAnsi" w:hAnsiTheme="minorHAnsi"/>
        </w:rPr>
        <w:t xml:space="preserve">-environment outcomes are variable, and suggests some – such as the weather – cannot be controlled. Others, such as shelter, could be incorporated into </w:t>
      </w:r>
      <w:proofErr w:type="spellStart"/>
      <w:r w:rsidRPr="00621C69">
        <w:rPr>
          <w:rFonts w:asciiTheme="minorHAnsi" w:hAnsiTheme="minorHAnsi"/>
        </w:rPr>
        <w:t>agri</w:t>
      </w:r>
      <w:proofErr w:type="spellEnd"/>
      <w:r w:rsidRPr="00621C69">
        <w:rPr>
          <w:rFonts w:asciiTheme="minorHAnsi" w:hAnsiTheme="minorHAnsi"/>
        </w:rPr>
        <w:t>-environment prescriptions. The role of landscape factors remains complex and currently eludes simple conclusions about large-scale targeting of schemes.</w:t>
      </w:r>
    </w:p>
    <w:p w:rsidR="00490E27" w:rsidRPr="00621C69" w:rsidRDefault="00490E27" w:rsidP="004B55E1">
      <w:pPr>
        <w:spacing w:after="0" w:line="480" w:lineRule="auto"/>
        <w:rPr>
          <w:sz w:val="24"/>
          <w:szCs w:val="24"/>
        </w:rPr>
      </w:pPr>
    </w:p>
    <w:p w:rsidR="00490E27" w:rsidRPr="00621C69" w:rsidRDefault="00490E27" w:rsidP="004B55E1">
      <w:pPr>
        <w:spacing w:after="0" w:line="480" w:lineRule="auto"/>
        <w:rPr>
          <w:b/>
          <w:sz w:val="24"/>
          <w:szCs w:val="24"/>
        </w:rPr>
      </w:pPr>
      <w:r w:rsidRPr="00621C69">
        <w:rPr>
          <w:b/>
          <w:sz w:val="24"/>
          <w:szCs w:val="24"/>
        </w:rPr>
        <w:t xml:space="preserve">Keywords:  </w:t>
      </w:r>
      <w:r w:rsidR="00455D2E">
        <w:rPr>
          <w:sz w:val="24"/>
          <w:szCs w:val="24"/>
        </w:rPr>
        <w:t>b</w:t>
      </w:r>
      <w:r w:rsidRPr="00621C69">
        <w:rPr>
          <w:sz w:val="24"/>
          <w:szCs w:val="24"/>
        </w:rPr>
        <w:t xml:space="preserve">irds; </w:t>
      </w:r>
      <w:r w:rsidR="00455D2E">
        <w:rPr>
          <w:sz w:val="24"/>
          <w:szCs w:val="24"/>
        </w:rPr>
        <w:t>b</w:t>
      </w:r>
      <w:r w:rsidRPr="00621C69">
        <w:rPr>
          <w:sz w:val="24"/>
          <w:szCs w:val="24"/>
        </w:rPr>
        <w:t xml:space="preserve">umblebees; </w:t>
      </w:r>
      <w:r w:rsidR="00455D2E">
        <w:rPr>
          <w:sz w:val="24"/>
          <w:szCs w:val="24"/>
        </w:rPr>
        <w:t>b</w:t>
      </w:r>
      <w:r w:rsidRPr="00621C69">
        <w:rPr>
          <w:sz w:val="24"/>
          <w:szCs w:val="24"/>
        </w:rPr>
        <w:t xml:space="preserve">utterflies; </w:t>
      </w:r>
      <w:r w:rsidR="00455D2E">
        <w:rPr>
          <w:sz w:val="24"/>
          <w:szCs w:val="24"/>
        </w:rPr>
        <w:t>e</w:t>
      </w:r>
      <w:r w:rsidRPr="00621C69">
        <w:rPr>
          <w:sz w:val="24"/>
          <w:szCs w:val="24"/>
        </w:rPr>
        <w:t xml:space="preserve">xperiential learning; </w:t>
      </w:r>
      <w:r w:rsidR="00455D2E">
        <w:rPr>
          <w:sz w:val="24"/>
          <w:szCs w:val="24"/>
        </w:rPr>
        <w:t>f</w:t>
      </w:r>
      <w:r w:rsidRPr="00621C69">
        <w:rPr>
          <w:sz w:val="24"/>
          <w:szCs w:val="24"/>
        </w:rPr>
        <w:t xml:space="preserve">armer; </w:t>
      </w:r>
      <w:r w:rsidR="00455D2E">
        <w:rPr>
          <w:sz w:val="24"/>
          <w:szCs w:val="24"/>
        </w:rPr>
        <w:t>f</w:t>
      </w:r>
      <w:r w:rsidRPr="00621C69">
        <w:rPr>
          <w:sz w:val="24"/>
          <w:szCs w:val="24"/>
        </w:rPr>
        <w:t xml:space="preserve">armland; </w:t>
      </w:r>
      <w:r w:rsidR="00455D2E">
        <w:rPr>
          <w:sz w:val="24"/>
          <w:szCs w:val="24"/>
        </w:rPr>
        <w:t>h</w:t>
      </w:r>
      <w:r w:rsidRPr="00621C69">
        <w:rPr>
          <w:sz w:val="24"/>
          <w:szCs w:val="24"/>
        </w:rPr>
        <w:t xml:space="preserve">abitat quality; </w:t>
      </w:r>
      <w:r w:rsidR="00455D2E">
        <w:rPr>
          <w:sz w:val="24"/>
          <w:szCs w:val="24"/>
        </w:rPr>
        <w:t>i</w:t>
      </w:r>
      <w:r w:rsidRPr="00621C69">
        <w:rPr>
          <w:sz w:val="24"/>
          <w:szCs w:val="24"/>
        </w:rPr>
        <w:t xml:space="preserve">nterdisciplinary; </w:t>
      </w:r>
      <w:r w:rsidR="00455D2E">
        <w:rPr>
          <w:sz w:val="24"/>
          <w:szCs w:val="24"/>
        </w:rPr>
        <w:t>l</w:t>
      </w:r>
      <w:r w:rsidRPr="00621C69">
        <w:rPr>
          <w:sz w:val="24"/>
          <w:szCs w:val="24"/>
        </w:rPr>
        <w:t xml:space="preserve">andscape; </w:t>
      </w:r>
      <w:proofErr w:type="spellStart"/>
      <w:r w:rsidR="00455D2E">
        <w:rPr>
          <w:sz w:val="24"/>
          <w:szCs w:val="24"/>
        </w:rPr>
        <w:t>m</w:t>
      </w:r>
      <w:r w:rsidRPr="00621C69">
        <w:rPr>
          <w:sz w:val="24"/>
          <w:szCs w:val="24"/>
        </w:rPr>
        <w:t>ultimodel</w:t>
      </w:r>
      <w:proofErr w:type="spellEnd"/>
      <w:r w:rsidRPr="00621C69">
        <w:rPr>
          <w:sz w:val="24"/>
          <w:szCs w:val="24"/>
        </w:rPr>
        <w:t xml:space="preserve"> inference</w:t>
      </w:r>
      <w:r w:rsidRPr="00621C69">
        <w:rPr>
          <w:sz w:val="24"/>
          <w:szCs w:val="24"/>
        </w:rPr>
        <w:br w:type="page"/>
      </w:r>
      <w:r w:rsidRPr="00621C69">
        <w:rPr>
          <w:b/>
          <w:sz w:val="24"/>
          <w:szCs w:val="24"/>
        </w:rPr>
        <w:lastRenderedPageBreak/>
        <w:t>Introduction</w:t>
      </w:r>
    </w:p>
    <w:p w:rsidR="00490E27" w:rsidRPr="00621C69" w:rsidRDefault="00490E27" w:rsidP="004B55E1">
      <w:pPr>
        <w:spacing w:after="0" w:line="480" w:lineRule="auto"/>
        <w:jc w:val="both"/>
        <w:rPr>
          <w:sz w:val="24"/>
          <w:szCs w:val="24"/>
        </w:rPr>
      </w:pPr>
      <w:proofErr w:type="spellStart"/>
      <w:r w:rsidRPr="00621C69">
        <w:rPr>
          <w:sz w:val="24"/>
          <w:szCs w:val="24"/>
        </w:rPr>
        <w:t>Agri</w:t>
      </w:r>
      <w:proofErr w:type="spellEnd"/>
      <w:r w:rsidRPr="00621C69">
        <w:rPr>
          <w:sz w:val="24"/>
          <w:szCs w:val="24"/>
        </w:rPr>
        <w:t xml:space="preserve">-environment schemes offer farmers financial incentives to adopt wildlife-friendly management practices, and are implemented in several parts of the world with the goal of reversing biodiversity losses </w:t>
      </w:r>
      <w:r w:rsidRPr="00621C69">
        <w:rPr>
          <w:noProof/>
          <w:sz w:val="24"/>
          <w:szCs w:val="24"/>
        </w:rPr>
        <w:t>(Baylis</w:t>
      </w:r>
      <w:r w:rsidRPr="00621C69">
        <w:rPr>
          <w:i/>
          <w:noProof/>
          <w:sz w:val="24"/>
          <w:szCs w:val="24"/>
        </w:rPr>
        <w:t xml:space="preserve"> et al.</w:t>
      </w:r>
      <w:r w:rsidRPr="00621C69">
        <w:rPr>
          <w:noProof/>
          <w:sz w:val="24"/>
          <w:szCs w:val="24"/>
        </w:rPr>
        <w:t xml:space="preserve"> 2008; Lindenmayer</w:t>
      </w:r>
      <w:r w:rsidRPr="00621C69">
        <w:rPr>
          <w:i/>
          <w:noProof/>
          <w:sz w:val="24"/>
          <w:szCs w:val="24"/>
        </w:rPr>
        <w:t xml:space="preserve"> et al.</w:t>
      </w:r>
      <w:r w:rsidRPr="00621C69">
        <w:rPr>
          <w:noProof/>
          <w:sz w:val="24"/>
          <w:szCs w:val="24"/>
        </w:rPr>
        <w:t xml:space="preserve"> 2012)</w:t>
      </w:r>
      <w:r w:rsidRPr="00621C69">
        <w:rPr>
          <w:sz w:val="24"/>
          <w:szCs w:val="24"/>
        </w:rPr>
        <w:t>. These schemes are costly – the European Union budgeted €22.2bn for the period 2007</w:t>
      </w:r>
      <w:r w:rsidR="0010010E">
        <w:rPr>
          <w:sz w:val="24"/>
          <w:szCs w:val="24"/>
        </w:rPr>
        <w:t>–</w:t>
      </w:r>
      <w:r w:rsidRPr="00621C69">
        <w:rPr>
          <w:sz w:val="24"/>
          <w:szCs w:val="24"/>
        </w:rPr>
        <w:t xml:space="preserve">2013 </w:t>
      </w:r>
      <w:r w:rsidRPr="00621C69">
        <w:rPr>
          <w:noProof/>
          <w:sz w:val="24"/>
          <w:szCs w:val="24"/>
        </w:rPr>
        <w:t>(EU 2011)</w:t>
      </w:r>
      <w:r w:rsidRPr="00621C69">
        <w:rPr>
          <w:sz w:val="24"/>
          <w:szCs w:val="24"/>
        </w:rPr>
        <w:t xml:space="preserve"> – and controversial.  Controversy arises because researchers have reported variable success of </w:t>
      </w:r>
      <w:proofErr w:type="spellStart"/>
      <w:r w:rsidRPr="00621C69">
        <w:rPr>
          <w:sz w:val="24"/>
          <w:szCs w:val="24"/>
        </w:rPr>
        <w:t>agri</w:t>
      </w:r>
      <w:proofErr w:type="spellEnd"/>
      <w:r w:rsidRPr="00621C69">
        <w:rPr>
          <w:sz w:val="24"/>
          <w:szCs w:val="24"/>
        </w:rPr>
        <w:t xml:space="preserve">-environment schemes in enhancing biodiversity </w:t>
      </w:r>
      <w:r w:rsidRPr="00621C69">
        <w:rPr>
          <w:noProof/>
          <w:sz w:val="24"/>
          <w:szCs w:val="24"/>
        </w:rPr>
        <w:t>(Kleijn</w:t>
      </w:r>
      <w:r w:rsidRPr="00621C69">
        <w:rPr>
          <w:i/>
          <w:noProof/>
          <w:sz w:val="24"/>
          <w:szCs w:val="24"/>
        </w:rPr>
        <w:t xml:space="preserve"> et al.</w:t>
      </w:r>
      <w:r w:rsidRPr="00621C69">
        <w:rPr>
          <w:noProof/>
          <w:sz w:val="24"/>
          <w:szCs w:val="24"/>
        </w:rPr>
        <w:t xml:space="preserve"> 2006; Batary</w:t>
      </w:r>
      <w:r w:rsidRPr="00621C69">
        <w:rPr>
          <w:i/>
          <w:noProof/>
          <w:sz w:val="24"/>
          <w:szCs w:val="24"/>
        </w:rPr>
        <w:t xml:space="preserve"> et al.</w:t>
      </w:r>
      <w:r w:rsidRPr="00621C69">
        <w:rPr>
          <w:noProof/>
          <w:sz w:val="24"/>
          <w:szCs w:val="24"/>
        </w:rPr>
        <w:t xml:space="preserve"> 2010b)</w:t>
      </w:r>
      <w:r w:rsidRPr="00621C69">
        <w:rPr>
          <w:sz w:val="24"/>
          <w:szCs w:val="24"/>
        </w:rPr>
        <w:t xml:space="preserve">. It is clear that well-designed and well-managed options can benefit target taxa. For example, </w:t>
      </w:r>
      <w:r w:rsidRPr="00621C69">
        <w:rPr>
          <w:noProof/>
          <w:sz w:val="24"/>
          <w:szCs w:val="24"/>
        </w:rPr>
        <w:t>Pywell</w:t>
      </w:r>
      <w:r w:rsidRPr="00621C69">
        <w:rPr>
          <w:i/>
          <w:noProof/>
          <w:sz w:val="24"/>
          <w:szCs w:val="24"/>
        </w:rPr>
        <w:t xml:space="preserve"> et al.</w:t>
      </w:r>
      <w:r w:rsidRPr="00621C69">
        <w:rPr>
          <w:noProof/>
          <w:sz w:val="24"/>
          <w:szCs w:val="24"/>
        </w:rPr>
        <w:t xml:space="preserve"> (2012)</w:t>
      </w:r>
      <w:r w:rsidRPr="00621C69">
        <w:rPr>
          <w:sz w:val="24"/>
          <w:szCs w:val="24"/>
        </w:rPr>
        <w:t xml:space="preserve"> found that options designed for birds, bees or plants had increased richness and abundance of both rare and common species. </w:t>
      </w:r>
      <w:r w:rsidRPr="00621C69">
        <w:rPr>
          <w:noProof/>
          <w:sz w:val="24"/>
          <w:szCs w:val="24"/>
        </w:rPr>
        <w:t>Baker</w:t>
      </w:r>
      <w:r w:rsidRPr="00621C69">
        <w:rPr>
          <w:i/>
          <w:noProof/>
          <w:sz w:val="24"/>
          <w:szCs w:val="24"/>
        </w:rPr>
        <w:t xml:space="preserve"> et al.</w:t>
      </w:r>
      <w:r w:rsidRPr="00621C69">
        <w:rPr>
          <w:noProof/>
          <w:sz w:val="24"/>
          <w:szCs w:val="24"/>
        </w:rPr>
        <w:t xml:space="preserve"> (2012)</w:t>
      </w:r>
      <w:r w:rsidRPr="00621C69">
        <w:rPr>
          <w:sz w:val="24"/>
          <w:szCs w:val="24"/>
        </w:rPr>
        <w:t xml:space="preserve"> showed positive effects of options providing winter seed resources on granivorous bird populations. The question therefore arises – what causes variation in the success of </w:t>
      </w:r>
      <w:proofErr w:type="spellStart"/>
      <w:r w:rsidRPr="00621C69">
        <w:rPr>
          <w:sz w:val="24"/>
          <w:szCs w:val="24"/>
        </w:rPr>
        <w:t>agri</w:t>
      </w:r>
      <w:proofErr w:type="spellEnd"/>
      <w:r w:rsidRPr="00621C69">
        <w:rPr>
          <w:sz w:val="24"/>
          <w:szCs w:val="24"/>
        </w:rPr>
        <w:t>-environment schemes?</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 xml:space="preserve">Some options seem to work less well than others. </w:t>
      </w:r>
      <w:r w:rsidRPr="00621C69">
        <w:rPr>
          <w:noProof/>
          <w:sz w:val="24"/>
          <w:szCs w:val="24"/>
        </w:rPr>
        <w:t>Pywell</w:t>
      </w:r>
      <w:r w:rsidRPr="00621C69">
        <w:rPr>
          <w:i/>
          <w:noProof/>
          <w:sz w:val="24"/>
          <w:szCs w:val="24"/>
        </w:rPr>
        <w:t xml:space="preserve"> et al.</w:t>
      </w:r>
      <w:r w:rsidRPr="00621C69">
        <w:rPr>
          <w:noProof/>
          <w:sz w:val="24"/>
          <w:szCs w:val="24"/>
        </w:rPr>
        <w:t xml:space="preserve"> (2012)</w:t>
      </w:r>
      <w:r w:rsidRPr="00621C69">
        <w:rPr>
          <w:sz w:val="24"/>
          <w:szCs w:val="24"/>
        </w:rPr>
        <w:t xml:space="preserve"> demonstrated that general compared to more targeted management had little effect in enhancing birds, bees and plants, while</w:t>
      </w:r>
      <w:hyperlink w:anchor="_ENREF_3" w:tooltip="Baker, 2012 #13633" w:history="1"/>
      <w:r w:rsidRPr="00621C69">
        <w:rPr>
          <w:sz w:val="24"/>
          <w:szCs w:val="24"/>
        </w:rPr>
        <w:t xml:space="preserve"> </w:t>
      </w:r>
      <w:r w:rsidRPr="00621C69">
        <w:rPr>
          <w:noProof/>
          <w:sz w:val="24"/>
          <w:szCs w:val="24"/>
        </w:rPr>
        <w:t>Baker</w:t>
      </w:r>
      <w:r w:rsidRPr="00621C69">
        <w:rPr>
          <w:i/>
          <w:noProof/>
          <w:sz w:val="24"/>
          <w:szCs w:val="24"/>
        </w:rPr>
        <w:t xml:space="preserve"> et al.</w:t>
      </w:r>
      <w:r w:rsidRPr="00621C69">
        <w:rPr>
          <w:noProof/>
          <w:sz w:val="24"/>
          <w:szCs w:val="24"/>
        </w:rPr>
        <w:t xml:space="preserve"> (2012)</w:t>
      </w:r>
      <w:r w:rsidRPr="00621C69">
        <w:rPr>
          <w:sz w:val="24"/>
          <w:szCs w:val="24"/>
        </w:rPr>
        <w:t xml:space="preserve"> found that habitats providing breeding season resources for birds were less effective than those supplying winter food. But even within options there is great variation in biodiversity responses </w:t>
      </w:r>
      <w:r w:rsidRPr="00621C69">
        <w:rPr>
          <w:noProof/>
          <w:sz w:val="24"/>
          <w:szCs w:val="24"/>
        </w:rPr>
        <w:t>(Batary</w:t>
      </w:r>
      <w:r w:rsidRPr="00621C69">
        <w:rPr>
          <w:i/>
          <w:noProof/>
          <w:sz w:val="24"/>
          <w:szCs w:val="24"/>
        </w:rPr>
        <w:t xml:space="preserve"> et al.</w:t>
      </w:r>
      <w:r w:rsidRPr="00621C69">
        <w:rPr>
          <w:noProof/>
          <w:sz w:val="24"/>
          <w:szCs w:val="24"/>
        </w:rPr>
        <w:t xml:space="preserve"> 2010a; Scheper</w:t>
      </w:r>
      <w:r w:rsidRPr="00621C69">
        <w:rPr>
          <w:i/>
          <w:noProof/>
          <w:sz w:val="24"/>
          <w:szCs w:val="24"/>
        </w:rPr>
        <w:t xml:space="preserve"> et al.</w:t>
      </w:r>
      <w:r w:rsidRPr="00621C69">
        <w:rPr>
          <w:noProof/>
          <w:sz w:val="24"/>
          <w:szCs w:val="24"/>
        </w:rPr>
        <w:t xml:space="preserve"> 2013)</w:t>
      </w:r>
      <w:r w:rsidRPr="00621C69">
        <w:rPr>
          <w:sz w:val="24"/>
          <w:szCs w:val="24"/>
        </w:rPr>
        <w:t xml:space="preserve">. There are several studies of the drivers of </w:t>
      </w:r>
      <w:proofErr w:type="spellStart"/>
      <w:r w:rsidRPr="00621C69">
        <w:rPr>
          <w:sz w:val="24"/>
          <w:szCs w:val="24"/>
        </w:rPr>
        <w:t>agri</w:t>
      </w:r>
      <w:proofErr w:type="spellEnd"/>
      <w:r w:rsidRPr="00621C69">
        <w:rPr>
          <w:sz w:val="24"/>
          <w:szCs w:val="24"/>
        </w:rPr>
        <w:t xml:space="preserve">-environmental success (with success defined variously), but individual projects have looked at only one or a few drivers.  In this paper we take a holistic approach by assessing a number of putative social and environmental constraints on success; specifically farmer experience and understanding, </w:t>
      </w:r>
      <w:r w:rsidRPr="00621C69">
        <w:rPr>
          <w:sz w:val="24"/>
          <w:szCs w:val="24"/>
        </w:rPr>
        <w:lastRenderedPageBreak/>
        <w:t>landscape and local environment, and the weather. In doing so, we consider success in terms of both biodiversity outcomes and habitat quality.</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 xml:space="preserve">Social scientists have long considered the role of the farmer in </w:t>
      </w:r>
      <w:proofErr w:type="spellStart"/>
      <w:r w:rsidRPr="00621C69">
        <w:rPr>
          <w:sz w:val="24"/>
          <w:szCs w:val="24"/>
        </w:rPr>
        <w:t>agri</w:t>
      </w:r>
      <w:proofErr w:type="spellEnd"/>
      <w:r w:rsidRPr="00621C69">
        <w:rPr>
          <w:sz w:val="24"/>
          <w:szCs w:val="24"/>
        </w:rPr>
        <w:t xml:space="preserve">-environment schemes, but their questions have tended to focus on why farmers do or do not participate in the schemes </w:t>
      </w:r>
      <w:r w:rsidRPr="00621C69">
        <w:rPr>
          <w:noProof/>
          <w:sz w:val="24"/>
          <w:szCs w:val="24"/>
        </w:rPr>
        <w:t>(Wilson &amp; Hart 2001; Wynne-Jones 2013)</w:t>
      </w:r>
      <w:r w:rsidRPr="00621C69">
        <w:rPr>
          <w:sz w:val="24"/>
          <w:szCs w:val="24"/>
        </w:rPr>
        <w:t xml:space="preserve"> or how to change farmer behaviours in relation to environmental management </w:t>
      </w:r>
      <w:r w:rsidRPr="00621C69">
        <w:rPr>
          <w:noProof/>
          <w:sz w:val="24"/>
          <w:szCs w:val="24"/>
        </w:rPr>
        <w:t>(Burton &amp; Schwarz 2013; de Snoo</w:t>
      </w:r>
      <w:r w:rsidRPr="00621C69">
        <w:rPr>
          <w:i/>
          <w:noProof/>
          <w:sz w:val="24"/>
          <w:szCs w:val="24"/>
        </w:rPr>
        <w:t xml:space="preserve"> et al.</w:t>
      </w:r>
      <w:r w:rsidRPr="00621C69">
        <w:rPr>
          <w:noProof/>
          <w:sz w:val="24"/>
          <w:szCs w:val="24"/>
        </w:rPr>
        <w:t xml:space="preserve"> 2013)</w:t>
      </w:r>
      <w:r w:rsidRPr="00621C69">
        <w:rPr>
          <w:sz w:val="24"/>
          <w:szCs w:val="24"/>
        </w:rPr>
        <w:t xml:space="preserve">. There is a consensus that many farmers show limited engagement with the aims of </w:t>
      </w:r>
      <w:proofErr w:type="spellStart"/>
      <w:r w:rsidRPr="00621C69">
        <w:rPr>
          <w:sz w:val="24"/>
          <w:szCs w:val="24"/>
        </w:rPr>
        <w:t>agri</w:t>
      </w:r>
      <w:proofErr w:type="spellEnd"/>
      <w:r w:rsidRPr="00621C69">
        <w:rPr>
          <w:sz w:val="24"/>
          <w:szCs w:val="24"/>
        </w:rPr>
        <w:t xml:space="preserve">-environment schemes </w:t>
      </w:r>
      <w:r w:rsidRPr="00621C69">
        <w:rPr>
          <w:noProof/>
          <w:sz w:val="24"/>
          <w:szCs w:val="24"/>
        </w:rPr>
        <w:t>(Wilson &amp; Hart 2001; Burton, Kuczera &amp; Schwarz 2008)</w:t>
      </w:r>
      <w:r w:rsidRPr="00621C69">
        <w:rPr>
          <w:sz w:val="24"/>
          <w:szCs w:val="24"/>
        </w:rPr>
        <w:t>, leading to concern that this may jeopardi</w:t>
      </w:r>
      <w:r w:rsidR="005351C9">
        <w:rPr>
          <w:sz w:val="24"/>
          <w:szCs w:val="24"/>
        </w:rPr>
        <w:t>z</w:t>
      </w:r>
      <w:r w:rsidRPr="00621C69">
        <w:rPr>
          <w:sz w:val="24"/>
          <w:szCs w:val="24"/>
        </w:rPr>
        <w:t xml:space="preserve">e scheme success </w:t>
      </w:r>
      <w:r w:rsidRPr="00621C69">
        <w:rPr>
          <w:noProof/>
          <w:sz w:val="24"/>
          <w:szCs w:val="24"/>
        </w:rPr>
        <w:t>(de Snoo</w:t>
      </w:r>
      <w:r w:rsidRPr="00621C69">
        <w:rPr>
          <w:i/>
          <w:noProof/>
          <w:sz w:val="24"/>
          <w:szCs w:val="24"/>
        </w:rPr>
        <w:t xml:space="preserve"> et al.</w:t>
      </w:r>
      <w:r w:rsidRPr="00621C69">
        <w:rPr>
          <w:noProof/>
          <w:sz w:val="24"/>
          <w:szCs w:val="24"/>
        </w:rPr>
        <w:t xml:space="preserve"> 2013)</w:t>
      </w:r>
      <w:r w:rsidRPr="00621C69">
        <w:rPr>
          <w:sz w:val="24"/>
          <w:szCs w:val="24"/>
        </w:rPr>
        <w:t xml:space="preserve">. There is, however, little direct evidence to link farmer understanding of, and engagement with, </w:t>
      </w:r>
      <w:proofErr w:type="spellStart"/>
      <w:r w:rsidRPr="00621C69">
        <w:rPr>
          <w:sz w:val="24"/>
          <w:szCs w:val="24"/>
        </w:rPr>
        <w:t>agri</w:t>
      </w:r>
      <w:proofErr w:type="spellEnd"/>
      <w:r w:rsidRPr="00621C69">
        <w:rPr>
          <w:sz w:val="24"/>
          <w:szCs w:val="24"/>
        </w:rPr>
        <w:t xml:space="preserve">-environmental management with biodiversity outcomes on the farm </w:t>
      </w:r>
      <w:r w:rsidRPr="00621C69">
        <w:rPr>
          <w:noProof/>
          <w:sz w:val="24"/>
          <w:szCs w:val="24"/>
        </w:rPr>
        <w:t>(Lobley</w:t>
      </w:r>
      <w:r w:rsidRPr="00621C69">
        <w:rPr>
          <w:i/>
          <w:noProof/>
          <w:sz w:val="24"/>
          <w:szCs w:val="24"/>
        </w:rPr>
        <w:t xml:space="preserve"> et al.</w:t>
      </w:r>
      <w:r w:rsidRPr="00621C69">
        <w:rPr>
          <w:noProof/>
          <w:sz w:val="24"/>
          <w:szCs w:val="24"/>
        </w:rPr>
        <w:t xml:space="preserve"> 2013)</w:t>
      </w:r>
      <w:r w:rsidRPr="00621C69">
        <w:rPr>
          <w:sz w:val="24"/>
          <w:szCs w:val="24"/>
        </w:rPr>
        <w:t xml:space="preserve">. Indeed, despite calls for more interdisciplinary social and ecological research into rural land use </w:t>
      </w:r>
      <w:r w:rsidRPr="00621C69">
        <w:rPr>
          <w:noProof/>
          <w:sz w:val="24"/>
          <w:szCs w:val="24"/>
        </w:rPr>
        <w:t>(Phillipson, Lowe &amp; Bullock 2009)</w:t>
      </w:r>
      <w:r w:rsidRPr="00621C69">
        <w:rPr>
          <w:sz w:val="24"/>
          <w:szCs w:val="24"/>
        </w:rPr>
        <w:t xml:space="preserve"> there is little such work in relation to </w:t>
      </w:r>
      <w:proofErr w:type="spellStart"/>
      <w:r w:rsidRPr="00621C69">
        <w:rPr>
          <w:sz w:val="24"/>
          <w:szCs w:val="24"/>
        </w:rPr>
        <w:t>agri</w:t>
      </w:r>
      <w:proofErr w:type="spellEnd"/>
      <w:r w:rsidRPr="00621C69">
        <w:rPr>
          <w:sz w:val="24"/>
          <w:szCs w:val="24"/>
        </w:rPr>
        <w:t>-environment schemes.</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 xml:space="preserve">Much ecological work has focused on the roles of landscape and local environments in determining biodiversity outcomes. Several studies have shown that the abundance and diversity of target species in </w:t>
      </w:r>
      <w:proofErr w:type="spellStart"/>
      <w:r w:rsidRPr="00621C69">
        <w:rPr>
          <w:sz w:val="24"/>
          <w:szCs w:val="24"/>
        </w:rPr>
        <w:t>agri</w:t>
      </w:r>
      <w:proofErr w:type="spellEnd"/>
      <w:r w:rsidRPr="00621C69">
        <w:rPr>
          <w:sz w:val="24"/>
          <w:szCs w:val="24"/>
        </w:rPr>
        <w:t xml:space="preserve">-environment habitats is greater: a) in landscapes with higher target species richness or amount of (semi-)natural habitat; and/or b) where local habitat quality (e.g. food plant diversity) is greater </w:t>
      </w:r>
      <w:r w:rsidRPr="00621C69">
        <w:rPr>
          <w:noProof/>
          <w:sz w:val="24"/>
          <w:szCs w:val="24"/>
        </w:rPr>
        <w:t>(Carvell</w:t>
      </w:r>
      <w:r w:rsidRPr="00621C69">
        <w:rPr>
          <w:i/>
          <w:noProof/>
          <w:sz w:val="24"/>
          <w:szCs w:val="24"/>
        </w:rPr>
        <w:t xml:space="preserve"> et al.</w:t>
      </w:r>
      <w:r w:rsidRPr="00621C69">
        <w:rPr>
          <w:noProof/>
          <w:sz w:val="24"/>
          <w:szCs w:val="24"/>
        </w:rPr>
        <w:t xml:space="preserve"> 2011; Concepcion</w:t>
      </w:r>
      <w:r w:rsidRPr="00621C69">
        <w:rPr>
          <w:i/>
          <w:noProof/>
          <w:sz w:val="24"/>
          <w:szCs w:val="24"/>
        </w:rPr>
        <w:t xml:space="preserve"> et al.</w:t>
      </w:r>
      <w:r w:rsidRPr="00621C69">
        <w:rPr>
          <w:noProof/>
          <w:sz w:val="24"/>
          <w:szCs w:val="24"/>
        </w:rPr>
        <w:t xml:space="preserve"> 2012; Shackelford</w:t>
      </w:r>
      <w:r w:rsidRPr="00621C69">
        <w:rPr>
          <w:i/>
          <w:noProof/>
          <w:sz w:val="24"/>
          <w:szCs w:val="24"/>
        </w:rPr>
        <w:t xml:space="preserve"> et al.</w:t>
      </w:r>
      <w:r w:rsidRPr="00621C69">
        <w:rPr>
          <w:noProof/>
          <w:sz w:val="24"/>
          <w:szCs w:val="24"/>
        </w:rPr>
        <w:t xml:space="preserve"> 2013)</w:t>
      </w:r>
      <w:r w:rsidRPr="00621C69">
        <w:rPr>
          <w:sz w:val="24"/>
          <w:szCs w:val="24"/>
        </w:rPr>
        <w:t xml:space="preserve">. While weather conditions are rarely considered, it is likely that weather during surveys will affect animal activity and the weather during the preceding seasons will affect local population sizes </w:t>
      </w:r>
      <w:r w:rsidRPr="00621C69">
        <w:rPr>
          <w:noProof/>
          <w:sz w:val="24"/>
          <w:szCs w:val="24"/>
        </w:rPr>
        <w:t>(Pollard &amp; Moss 1995)</w:t>
      </w:r>
      <w:r w:rsidRPr="00621C69">
        <w:rPr>
          <w:sz w:val="24"/>
          <w:szCs w:val="24"/>
        </w:rPr>
        <w:t xml:space="preserve">. </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 xml:space="preserve">While most studies focus on success in terms of biodiversity outcomes, the farmer can only directly affect the quality of the created habitat. It is therefore useful to consider success in these terms as well. In this paper we derive measures of habitat quality related to the foraging resources made available to the target biota. As well as impacts of the farmer’s activities, such quality measures may be affected by local abiotic factors such as soil type, shading and seasonal weather </w:t>
      </w:r>
      <w:r w:rsidRPr="00621C69">
        <w:rPr>
          <w:noProof/>
          <w:sz w:val="24"/>
          <w:szCs w:val="24"/>
        </w:rPr>
        <w:t>(Myers, Hoksch &amp; Mason 2012)</w:t>
      </w:r>
      <w:r w:rsidRPr="00621C69">
        <w:rPr>
          <w:sz w:val="24"/>
          <w:szCs w:val="24"/>
        </w:rPr>
        <w:t xml:space="preserve">. </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 xml:space="preserve">Putting these social and ecological factors together, we hypothesize that the richness and abundance of target </w:t>
      </w:r>
      <w:proofErr w:type="spellStart"/>
      <w:r w:rsidRPr="00621C69">
        <w:rPr>
          <w:sz w:val="24"/>
          <w:szCs w:val="24"/>
        </w:rPr>
        <w:t>taxa</w:t>
      </w:r>
      <w:proofErr w:type="spellEnd"/>
      <w:r w:rsidRPr="00621C69">
        <w:rPr>
          <w:sz w:val="24"/>
          <w:szCs w:val="24"/>
        </w:rPr>
        <w:t xml:space="preserve"> using </w:t>
      </w:r>
      <w:proofErr w:type="spellStart"/>
      <w:r w:rsidRPr="00621C69">
        <w:rPr>
          <w:sz w:val="24"/>
          <w:szCs w:val="24"/>
        </w:rPr>
        <w:t>agri</w:t>
      </w:r>
      <w:proofErr w:type="spellEnd"/>
      <w:r w:rsidRPr="00621C69">
        <w:rPr>
          <w:sz w:val="24"/>
          <w:szCs w:val="24"/>
        </w:rPr>
        <w:t>-environment habitats are increased where: the landscape contains more target species and semi-natural habitat</w:t>
      </w:r>
      <w:r w:rsidR="00324DBE">
        <w:rPr>
          <w:sz w:val="24"/>
          <w:szCs w:val="24"/>
        </w:rPr>
        <w:t>,</w:t>
      </w:r>
      <w:r w:rsidRPr="00621C69">
        <w:rPr>
          <w:sz w:val="24"/>
          <w:szCs w:val="24"/>
        </w:rPr>
        <w:t xml:space="preserve"> the quality of the created habitat is higher and when weather conditions during the season and the survey period are more optimal for these taxa. We expect local habitat quality to be important and hypothesize that this is in turn affected by the farmer’s experience in, and understanding of, </w:t>
      </w:r>
      <w:proofErr w:type="spellStart"/>
      <w:r w:rsidRPr="00621C69">
        <w:rPr>
          <w:sz w:val="24"/>
          <w:szCs w:val="24"/>
        </w:rPr>
        <w:t>agri</w:t>
      </w:r>
      <w:proofErr w:type="spellEnd"/>
      <w:r w:rsidRPr="00621C69">
        <w:rPr>
          <w:sz w:val="24"/>
          <w:szCs w:val="24"/>
        </w:rPr>
        <w:t xml:space="preserve">-environmental management, as well as local abiotic environmental factors. We consider these hypotheses for </w:t>
      </w:r>
      <w:proofErr w:type="spellStart"/>
      <w:r w:rsidRPr="00621C69">
        <w:rPr>
          <w:sz w:val="24"/>
          <w:szCs w:val="24"/>
        </w:rPr>
        <w:t>agri</w:t>
      </w:r>
      <w:proofErr w:type="spellEnd"/>
      <w:r w:rsidRPr="00621C69">
        <w:rPr>
          <w:sz w:val="24"/>
          <w:szCs w:val="24"/>
        </w:rPr>
        <w:t>-environment options developed to provide resources for key declining taxa of the farmed environment: pollen and nectar for bees and butterflies; and winter food for granivorous farmland birds.</w:t>
      </w:r>
      <w:r w:rsidRPr="00621C69">
        <w:rPr>
          <w:sz w:val="24"/>
          <w:szCs w:val="24"/>
        </w:rPr>
        <w:br w:type="page"/>
      </w:r>
    </w:p>
    <w:p w:rsidR="00490E27" w:rsidRPr="00621C69" w:rsidRDefault="00490E27" w:rsidP="004B55E1">
      <w:pPr>
        <w:pStyle w:val="Heading1"/>
        <w:spacing w:before="0" w:line="480" w:lineRule="auto"/>
        <w:rPr>
          <w:rFonts w:asciiTheme="minorHAnsi" w:hAnsiTheme="minorHAnsi"/>
          <w:sz w:val="24"/>
          <w:szCs w:val="24"/>
        </w:rPr>
      </w:pPr>
      <w:r w:rsidRPr="00621C69">
        <w:rPr>
          <w:rFonts w:asciiTheme="minorHAnsi" w:hAnsiTheme="minorHAnsi"/>
          <w:sz w:val="24"/>
          <w:szCs w:val="24"/>
        </w:rPr>
        <w:lastRenderedPageBreak/>
        <w:t>M</w:t>
      </w:r>
      <w:r w:rsidR="003A730A">
        <w:rPr>
          <w:rFonts w:asciiTheme="minorHAnsi" w:hAnsiTheme="minorHAnsi"/>
          <w:sz w:val="24"/>
          <w:szCs w:val="24"/>
        </w:rPr>
        <w:t>aterials and m</w:t>
      </w:r>
      <w:r w:rsidRPr="00621C69">
        <w:rPr>
          <w:rFonts w:asciiTheme="minorHAnsi" w:hAnsiTheme="minorHAnsi"/>
          <w:sz w:val="24"/>
          <w:szCs w:val="24"/>
        </w:rPr>
        <w:t>ethods</w:t>
      </w:r>
    </w:p>
    <w:p w:rsidR="00490E27" w:rsidRPr="00621C69" w:rsidRDefault="00490E27" w:rsidP="004B55E1">
      <w:pPr>
        <w:pStyle w:val="Heading2"/>
        <w:spacing w:before="0" w:line="480" w:lineRule="auto"/>
        <w:rPr>
          <w:rFonts w:asciiTheme="minorHAnsi" w:hAnsiTheme="minorHAnsi"/>
          <w:b w:val="0"/>
          <w:sz w:val="24"/>
          <w:szCs w:val="24"/>
        </w:rPr>
      </w:pPr>
      <w:r w:rsidRPr="00621C69">
        <w:rPr>
          <w:rFonts w:asciiTheme="minorHAnsi" w:hAnsiTheme="minorHAnsi"/>
          <w:b w:val="0"/>
          <w:sz w:val="24"/>
          <w:szCs w:val="24"/>
        </w:rPr>
        <w:t>STUDY SITES AND AGRI-ENVIRONMENT OPTIONS</w:t>
      </w:r>
    </w:p>
    <w:p w:rsidR="00490E27" w:rsidRPr="00621C69" w:rsidRDefault="00490E27" w:rsidP="004B55E1">
      <w:pPr>
        <w:spacing w:after="0" w:line="480" w:lineRule="auto"/>
        <w:jc w:val="both"/>
        <w:rPr>
          <w:sz w:val="24"/>
          <w:szCs w:val="24"/>
        </w:rPr>
      </w:pPr>
      <w:r w:rsidRPr="00621C69">
        <w:rPr>
          <w:sz w:val="24"/>
          <w:szCs w:val="24"/>
        </w:rPr>
        <w:t xml:space="preserve">We assessed the success of two options available to arable farmers under the English Entry Level </w:t>
      </w:r>
      <w:proofErr w:type="spellStart"/>
      <w:r w:rsidRPr="00621C69">
        <w:rPr>
          <w:sz w:val="24"/>
          <w:szCs w:val="24"/>
        </w:rPr>
        <w:t>agri</w:t>
      </w:r>
      <w:proofErr w:type="spellEnd"/>
      <w:r w:rsidRPr="00621C69">
        <w:rPr>
          <w:sz w:val="24"/>
          <w:szCs w:val="24"/>
        </w:rPr>
        <w:t xml:space="preserve">-environment scheme (ELS), which involve sowing selected plant species in 6 m wide strips at field edges. The Nectar Flower Mixture option NFM (‘EF4’ under ELS; </w:t>
      </w:r>
      <w:r w:rsidRPr="00621C69">
        <w:rPr>
          <w:noProof/>
          <w:sz w:val="24"/>
          <w:szCs w:val="24"/>
        </w:rPr>
        <w:t>Natural England (2013)</w:t>
      </w:r>
      <w:r w:rsidRPr="00621C69">
        <w:rPr>
          <w:sz w:val="24"/>
          <w:szCs w:val="24"/>
        </w:rPr>
        <w:t xml:space="preserve">) uses a mixture of at least three nectar-rich plant species to support nectar-feeding insects, specifically bumblebees and butterflies. The Wild Bird Seed Mixture WBM (‘EF2’ under ELS) requires at least three small-seed bearing plant species to be sown, and is designed to provide food for farmland birds, especially during winter and early spring (see Appendix S1 in Supporting Information for more detail). We assessed NFM and WBM because they had specific success criteria, in terms of the taxa targeted </w:t>
      </w:r>
      <w:r w:rsidRPr="00621C69">
        <w:rPr>
          <w:noProof/>
          <w:sz w:val="24"/>
          <w:szCs w:val="24"/>
        </w:rPr>
        <w:t>(Pywell</w:t>
      </w:r>
      <w:r w:rsidRPr="00621C69">
        <w:rPr>
          <w:i/>
          <w:noProof/>
          <w:sz w:val="24"/>
          <w:szCs w:val="24"/>
        </w:rPr>
        <w:t xml:space="preserve"> et al.</w:t>
      </w:r>
      <w:r w:rsidRPr="00621C69">
        <w:rPr>
          <w:noProof/>
          <w:sz w:val="24"/>
          <w:szCs w:val="24"/>
        </w:rPr>
        <w:t xml:space="preserve"> 2012)</w:t>
      </w:r>
      <w:r w:rsidRPr="00621C69">
        <w:rPr>
          <w:sz w:val="24"/>
          <w:szCs w:val="24"/>
        </w:rPr>
        <w:t>.</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 xml:space="preserve">We selected 48 arable or mixed farms that had NFM or WBM strips sown between autumn 2005 and autumn 2006. To represent a range of English farming landscapes, 24 farms were in the east (Cambridgeshire and Lincolnshire), which is flat with large arable fields, and 24 in the south-west (Wiltshire, Dorset, Devon &amp; Somerset), which is more hilly, with smaller fields and more mixed arable and grass farms. Half of the farms in each region had NFM options and half WBM. All farms had a minimum of two fields with the relevant ELS option. The farms were selected: a) first by Natural </w:t>
      </w:r>
      <w:r w:rsidR="00324DBE">
        <w:rPr>
          <w:sz w:val="24"/>
          <w:szCs w:val="24"/>
        </w:rPr>
        <w:t>England –</w:t>
      </w:r>
      <w:r w:rsidRPr="00621C69">
        <w:rPr>
          <w:sz w:val="24"/>
          <w:szCs w:val="24"/>
        </w:rPr>
        <w:t xml:space="preserve"> the statutory body that manages ELS – examining their GENESIS database for </w:t>
      </w:r>
      <w:r w:rsidR="003724B3">
        <w:rPr>
          <w:sz w:val="24"/>
          <w:szCs w:val="24"/>
        </w:rPr>
        <w:t>farms</w:t>
      </w:r>
      <w:r w:rsidR="003724B3" w:rsidRPr="00621C69">
        <w:rPr>
          <w:sz w:val="24"/>
          <w:szCs w:val="24"/>
        </w:rPr>
        <w:t xml:space="preserve"> </w:t>
      </w:r>
      <w:r w:rsidRPr="00621C69">
        <w:rPr>
          <w:sz w:val="24"/>
          <w:szCs w:val="24"/>
        </w:rPr>
        <w:t>meeting the</w:t>
      </w:r>
      <w:r w:rsidR="003724B3">
        <w:rPr>
          <w:sz w:val="24"/>
          <w:szCs w:val="24"/>
        </w:rPr>
        <w:t xml:space="preserve"> required</w:t>
      </w:r>
      <w:r w:rsidRPr="00621C69">
        <w:rPr>
          <w:sz w:val="24"/>
          <w:szCs w:val="24"/>
        </w:rPr>
        <w:t xml:space="preserve"> geographic, date and ELS option criteria; and then b) by contacting farmers until sufficient had been found that were willing to take part.  </w:t>
      </w:r>
    </w:p>
    <w:p w:rsidR="00490E27" w:rsidRPr="00621C69" w:rsidRDefault="00490E27" w:rsidP="004B55E1">
      <w:pPr>
        <w:spacing w:after="0" w:line="480" w:lineRule="auto"/>
        <w:jc w:val="both"/>
        <w:rPr>
          <w:i/>
          <w:sz w:val="24"/>
          <w:szCs w:val="24"/>
        </w:rPr>
      </w:pPr>
    </w:p>
    <w:p w:rsidR="00490E27" w:rsidRPr="00621C69" w:rsidRDefault="00490E27" w:rsidP="004B55E1">
      <w:pPr>
        <w:pStyle w:val="Heading2"/>
        <w:spacing w:before="0" w:line="480" w:lineRule="auto"/>
        <w:rPr>
          <w:rFonts w:asciiTheme="minorHAnsi" w:hAnsiTheme="minorHAnsi"/>
          <w:b w:val="0"/>
          <w:sz w:val="24"/>
          <w:szCs w:val="24"/>
        </w:rPr>
      </w:pPr>
      <w:r w:rsidRPr="00621C69">
        <w:rPr>
          <w:rFonts w:asciiTheme="minorHAnsi" w:hAnsiTheme="minorHAnsi"/>
          <w:b w:val="0"/>
          <w:sz w:val="24"/>
          <w:szCs w:val="24"/>
        </w:rPr>
        <w:t>FARMER INTERVIEWS</w:t>
      </w:r>
    </w:p>
    <w:p w:rsidR="00490E27" w:rsidRPr="00621C69" w:rsidRDefault="00490E27" w:rsidP="004B55E1">
      <w:pPr>
        <w:spacing w:after="0" w:line="480" w:lineRule="auto"/>
        <w:jc w:val="both"/>
        <w:rPr>
          <w:sz w:val="24"/>
          <w:szCs w:val="24"/>
        </w:rPr>
      </w:pPr>
      <w:r w:rsidRPr="00621C69">
        <w:rPr>
          <w:sz w:val="24"/>
          <w:szCs w:val="24"/>
        </w:rPr>
        <w:lastRenderedPageBreak/>
        <w:t xml:space="preserve">Semi-structured interviews were conducted in 2007 with all farmers. The interviews were designed to explore farmer attitudes towards, and history of, environmental management and their perceptions and understanding of the management requirements for NFM or WBM. Lobley </w:t>
      </w:r>
      <w:r w:rsidRPr="00621C69">
        <w:rPr>
          <w:i/>
          <w:sz w:val="24"/>
          <w:szCs w:val="24"/>
        </w:rPr>
        <w:t>et al.</w:t>
      </w:r>
      <w:r w:rsidRPr="00621C69">
        <w:rPr>
          <w:sz w:val="24"/>
          <w:szCs w:val="24"/>
        </w:rPr>
        <w:t xml:space="preserve"> </w:t>
      </w:r>
      <w:r w:rsidRPr="00621C69">
        <w:rPr>
          <w:noProof/>
          <w:sz w:val="24"/>
          <w:szCs w:val="24"/>
        </w:rPr>
        <w:t>(2013)</w:t>
      </w:r>
      <w:r w:rsidRPr="00621C69">
        <w:rPr>
          <w:sz w:val="24"/>
          <w:szCs w:val="24"/>
        </w:rPr>
        <w:t xml:space="preserve"> analyse</w:t>
      </w:r>
      <w:r w:rsidR="000A565D">
        <w:rPr>
          <w:sz w:val="24"/>
          <w:szCs w:val="24"/>
        </w:rPr>
        <w:t>d</w:t>
      </w:r>
      <w:r w:rsidRPr="00621C69">
        <w:rPr>
          <w:sz w:val="24"/>
          <w:szCs w:val="24"/>
        </w:rPr>
        <w:t xml:space="preserve"> these interviews</w:t>
      </w:r>
      <w:r w:rsidR="00B92EBA" w:rsidRPr="00621C69">
        <w:rPr>
          <w:sz w:val="24"/>
          <w:szCs w:val="24"/>
        </w:rPr>
        <w:t xml:space="preserve">, and we </w:t>
      </w:r>
      <w:r w:rsidRPr="00621C69">
        <w:rPr>
          <w:sz w:val="24"/>
          <w:szCs w:val="24"/>
        </w:rPr>
        <w:t>used the</w:t>
      </w:r>
      <w:r w:rsidR="00B92EBA" w:rsidRPr="00621C69">
        <w:rPr>
          <w:sz w:val="24"/>
          <w:szCs w:val="24"/>
        </w:rPr>
        <w:t>m</w:t>
      </w:r>
      <w:r w:rsidRPr="00621C69">
        <w:rPr>
          <w:sz w:val="24"/>
          <w:szCs w:val="24"/>
        </w:rPr>
        <w:t xml:space="preserve"> to calculate three measures of farmer attitudes to, and engagement with, </w:t>
      </w:r>
      <w:proofErr w:type="spellStart"/>
      <w:r w:rsidRPr="00621C69">
        <w:rPr>
          <w:sz w:val="24"/>
          <w:szCs w:val="24"/>
        </w:rPr>
        <w:t>agri</w:t>
      </w:r>
      <w:proofErr w:type="spellEnd"/>
      <w:r w:rsidRPr="00621C69">
        <w:rPr>
          <w:sz w:val="24"/>
          <w:szCs w:val="24"/>
        </w:rPr>
        <w:t>-environment schemes.  “Experience” describes, on a four point scale, the farmer’s history of environmental management both formally as part of a scheme and informally: some had long-lasting and frequent engagement</w:t>
      </w:r>
      <w:r w:rsidR="000A565D">
        <w:rPr>
          <w:sz w:val="24"/>
          <w:szCs w:val="24"/>
        </w:rPr>
        <w:t xml:space="preserve"> (4)</w:t>
      </w:r>
      <w:r w:rsidRPr="00621C69">
        <w:rPr>
          <w:sz w:val="24"/>
          <w:szCs w:val="24"/>
        </w:rPr>
        <w:t>; others</w:t>
      </w:r>
      <w:r w:rsidR="000A565D">
        <w:rPr>
          <w:sz w:val="24"/>
          <w:szCs w:val="24"/>
        </w:rPr>
        <w:t xml:space="preserve"> </w:t>
      </w:r>
      <w:r w:rsidRPr="00621C69">
        <w:rPr>
          <w:sz w:val="24"/>
          <w:szCs w:val="24"/>
        </w:rPr>
        <w:t>less frequent</w:t>
      </w:r>
      <w:r w:rsidR="000A565D">
        <w:rPr>
          <w:sz w:val="24"/>
          <w:szCs w:val="24"/>
        </w:rPr>
        <w:t xml:space="preserve"> engagement (3)</w:t>
      </w:r>
      <w:r w:rsidRPr="00621C69">
        <w:rPr>
          <w:sz w:val="24"/>
          <w:szCs w:val="24"/>
        </w:rPr>
        <w:t>; while some had limited experience, perhaps undertaking a single project</w:t>
      </w:r>
      <w:r w:rsidR="000A565D">
        <w:rPr>
          <w:sz w:val="24"/>
          <w:szCs w:val="24"/>
        </w:rPr>
        <w:t xml:space="preserve"> (2)</w:t>
      </w:r>
      <w:r w:rsidRPr="00621C69">
        <w:rPr>
          <w:sz w:val="24"/>
          <w:szCs w:val="24"/>
        </w:rPr>
        <w:t>; and some had no previous engagement</w:t>
      </w:r>
      <w:r w:rsidR="000A565D">
        <w:rPr>
          <w:sz w:val="24"/>
          <w:szCs w:val="24"/>
        </w:rPr>
        <w:t xml:space="preserve"> (1)</w:t>
      </w:r>
      <w:r w:rsidRPr="00621C69">
        <w:rPr>
          <w:sz w:val="24"/>
          <w:szCs w:val="24"/>
        </w:rPr>
        <w:t xml:space="preserve">. </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“Concerns” represents farmer statements about their perceptions as to how easy it would be to meet the stipulations for creating and managing the habitat (e.g. establishing the plants, limiting herbicide use, cutting requirements). Responses to each requirement were scored 1 (very difficult) to 5 (easy), and a mean score across requirements was derived for each farmer.  Finally, “Motivation” categori</w:t>
      </w:r>
      <w:r w:rsidR="00311836">
        <w:rPr>
          <w:sz w:val="24"/>
          <w:szCs w:val="24"/>
        </w:rPr>
        <w:t>z</w:t>
      </w:r>
      <w:r w:rsidRPr="00621C69">
        <w:rPr>
          <w:sz w:val="24"/>
          <w:szCs w:val="24"/>
        </w:rPr>
        <w:t xml:space="preserve">ed the farmers in terms of their stated motivation for where they placed the strips on the farm, from more wildlife-focused to more utilitarian. The three categories were: 1) the best for wildlife, 2) to fit in with farming operations, or 3) simply to fulfill ELS requirements. Spearman rank correlations across the 48 farms indicated that these measures were independent of each other. We did not consider the influence of farmer demographic variables (e.g. age or education) as these have a complex relationship with environmental behaviours </w:t>
      </w:r>
      <w:r w:rsidRPr="00621C69">
        <w:rPr>
          <w:noProof/>
          <w:sz w:val="24"/>
          <w:szCs w:val="24"/>
        </w:rPr>
        <w:t>(Burton 2014)</w:t>
      </w:r>
      <w:r w:rsidRPr="00621C69">
        <w:rPr>
          <w:sz w:val="24"/>
          <w:szCs w:val="24"/>
        </w:rPr>
        <w:t xml:space="preserve">. </w:t>
      </w:r>
    </w:p>
    <w:p w:rsidR="00490E27" w:rsidRPr="00621C69" w:rsidRDefault="00490E27" w:rsidP="004B55E1">
      <w:pPr>
        <w:pStyle w:val="Heading2"/>
        <w:spacing w:before="0" w:line="480" w:lineRule="auto"/>
        <w:rPr>
          <w:rFonts w:asciiTheme="minorHAnsi" w:eastAsiaTheme="minorEastAsia" w:hAnsiTheme="minorHAnsi" w:cstheme="minorBidi"/>
          <w:b w:val="0"/>
          <w:bCs w:val="0"/>
          <w:sz w:val="24"/>
          <w:szCs w:val="24"/>
        </w:rPr>
      </w:pPr>
    </w:p>
    <w:p w:rsidR="00490E27" w:rsidRPr="00621C69" w:rsidRDefault="00490E27" w:rsidP="004B55E1">
      <w:pPr>
        <w:pStyle w:val="Heading2"/>
        <w:spacing w:before="0" w:line="480" w:lineRule="auto"/>
        <w:rPr>
          <w:rFonts w:asciiTheme="minorHAnsi" w:hAnsiTheme="minorHAnsi"/>
          <w:b w:val="0"/>
          <w:sz w:val="24"/>
          <w:szCs w:val="24"/>
        </w:rPr>
      </w:pPr>
      <w:r w:rsidRPr="00621C69">
        <w:rPr>
          <w:rFonts w:asciiTheme="minorHAnsi" w:hAnsiTheme="minorHAnsi"/>
          <w:b w:val="0"/>
          <w:sz w:val="24"/>
          <w:szCs w:val="24"/>
        </w:rPr>
        <w:t>ECOLOGICAL SURVEYS</w:t>
      </w:r>
    </w:p>
    <w:p w:rsidR="00490E27" w:rsidRPr="00621C69" w:rsidRDefault="00490E27" w:rsidP="004B55E1">
      <w:pPr>
        <w:spacing w:after="0" w:line="480" w:lineRule="auto"/>
        <w:jc w:val="both"/>
        <w:rPr>
          <w:sz w:val="24"/>
          <w:szCs w:val="24"/>
        </w:rPr>
      </w:pPr>
      <w:r w:rsidRPr="00621C69">
        <w:rPr>
          <w:sz w:val="24"/>
          <w:szCs w:val="24"/>
        </w:rPr>
        <w:lastRenderedPageBreak/>
        <w:t>Ecological surveys were carried out in 2007 and repeated in 2008. Three strips – or two if there were no more – were surveyed on each farm and parallel measures were made in a nearby ‘control’ cropped area at a field edge and of equivalent size, shape and aspect. A shelter score (0</w:t>
      </w:r>
      <w:r w:rsidR="00B47FFC">
        <w:rPr>
          <w:sz w:val="24"/>
          <w:szCs w:val="24"/>
        </w:rPr>
        <w:t>–</w:t>
      </w:r>
      <w:r w:rsidRPr="00621C69">
        <w:rPr>
          <w:sz w:val="24"/>
          <w:szCs w:val="24"/>
        </w:rPr>
        <w:t xml:space="preserve">8) was calculated, which represented the number of directions in which the strip was protected by hedges, etc </w:t>
      </w:r>
      <w:r w:rsidRPr="00621C69">
        <w:rPr>
          <w:noProof/>
          <w:sz w:val="24"/>
          <w:szCs w:val="24"/>
        </w:rPr>
        <w:t>(Dover 1996)</w:t>
      </w:r>
      <w:r w:rsidRPr="00621C69">
        <w:rPr>
          <w:sz w:val="24"/>
          <w:szCs w:val="24"/>
        </w:rPr>
        <w:t>. We obtained data from national sources further describing the physical environment of each strip: the Agricultural Land Classification ALC, which grades land from 1</w:t>
      </w:r>
      <w:r w:rsidR="00B47FFC">
        <w:rPr>
          <w:sz w:val="24"/>
          <w:szCs w:val="24"/>
        </w:rPr>
        <w:t>–</w:t>
      </w:r>
      <w:r w:rsidRPr="00621C69">
        <w:rPr>
          <w:sz w:val="24"/>
          <w:szCs w:val="24"/>
        </w:rPr>
        <w:t xml:space="preserve">5 according to its agricultural quality; and the soil type, which we classified into </w:t>
      </w:r>
      <w:r w:rsidR="008557B7">
        <w:rPr>
          <w:sz w:val="24"/>
          <w:szCs w:val="24"/>
        </w:rPr>
        <w:t>l</w:t>
      </w:r>
      <w:r w:rsidRPr="00621C69">
        <w:rPr>
          <w:sz w:val="24"/>
          <w:szCs w:val="24"/>
        </w:rPr>
        <w:t xml:space="preserve">ight, </w:t>
      </w:r>
      <w:r w:rsidR="008557B7">
        <w:rPr>
          <w:sz w:val="24"/>
          <w:szCs w:val="24"/>
        </w:rPr>
        <w:t>m</w:t>
      </w:r>
      <w:r w:rsidRPr="00621C69">
        <w:rPr>
          <w:sz w:val="24"/>
          <w:szCs w:val="24"/>
        </w:rPr>
        <w:t xml:space="preserve">edium or </w:t>
      </w:r>
      <w:r w:rsidR="008557B7">
        <w:rPr>
          <w:sz w:val="24"/>
          <w:szCs w:val="24"/>
        </w:rPr>
        <w:t>h</w:t>
      </w:r>
      <w:r w:rsidRPr="00621C69">
        <w:rPr>
          <w:sz w:val="24"/>
          <w:szCs w:val="24"/>
        </w:rPr>
        <w:t>eavy soils (see Appendix S2).</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 xml:space="preserve">For NFM strips we counted the number of flower units (i.e. a single flower, a multi-flowered stem or an umbel; </w:t>
      </w:r>
      <w:r w:rsidRPr="00621C69">
        <w:rPr>
          <w:noProof/>
          <w:sz w:val="24"/>
          <w:szCs w:val="24"/>
        </w:rPr>
        <w:t>Heard</w:t>
      </w:r>
      <w:r w:rsidRPr="00621C69">
        <w:rPr>
          <w:i/>
          <w:noProof/>
          <w:sz w:val="24"/>
          <w:szCs w:val="24"/>
        </w:rPr>
        <w:t xml:space="preserve"> et al.</w:t>
      </w:r>
      <w:r w:rsidRPr="00621C69">
        <w:rPr>
          <w:noProof/>
          <w:sz w:val="24"/>
          <w:szCs w:val="24"/>
        </w:rPr>
        <w:t xml:space="preserve"> (2007)</w:t>
      </w:r>
      <w:r w:rsidRPr="00621C69">
        <w:rPr>
          <w:sz w:val="24"/>
          <w:szCs w:val="24"/>
        </w:rPr>
        <w:t xml:space="preserve">) and identified these </w:t>
      </w:r>
      <w:proofErr w:type="spellStart"/>
      <w:r w:rsidRPr="00621C69">
        <w:rPr>
          <w:sz w:val="24"/>
          <w:szCs w:val="24"/>
        </w:rPr>
        <w:t>to</w:t>
      </w:r>
      <w:proofErr w:type="spellEnd"/>
      <w:r w:rsidRPr="00621C69">
        <w:rPr>
          <w:sz w:val="24"/>
          <w:szCs w:val="24"/>
        </w:rPr>
        <w:t xml:space="preserve"> species in five 1 m</w:t>
      </w:r>
      <w:r w:rsidRPr="00621C69">
        <w:rPr>
          <w:sz w:val="24"/>
          <w:szCs w:val="24"/>
          <w:vertAlign w:val="superscript"/>
        </w:rPr>
        <w:t>2</w:t>
      </w:r>
      <w:r w:rsidRPr="00621C69">
        <w:rPr>
          <w:sz w:val="24"/>
          <w:szCs w:val="24"/>
        </w:rPr>
        <w:t xml:space="preserve"> quadrats at 10 m intervals along two parallel 50 m transects during July and again in August (for later emerging species). Bumblebees (as colour groups, e.g. </w:t>
      </w:r>
      <w:r w:rsidRPr="00621C69">
        <w:rPr>
          <w:noProof/>
          <w:sz w:val="24"/>
          <w:szCs w:val="24"/>
        </w:rPr>
        <w:t>Heard</w:t>
      </w:r>
      <w:r w:rsidRPr="00621C69">
        <w:rPr>
          <w:i/>
          <w:noProof/>
          <w:sz w:val="24"/>
          <w:szCs w:val="24"/>
        </w:rPr>
        <w:t xml:space="preserve"> et al.</w:t>
      </w:r>
      <w:r w:rsidRPr="00621C69">
        <w:rPr>
          <w:noProof/>
          <w:sz w:val="24"/>
          <w:szCs w:val="24"/>
        </w:rPr>
        <w:t xml:space="preserve"> (2007)</w:t>
      </w:r>
      <w:r w:rsidRPr="00621C69">
        <w:rPr>
          <w:sz w:val="24"/>
          <w:szCs w:val="24"/>
        </w:rPr>
        <w:t xml:space="preserve"> – for brevity we refer to these as species) and butterflies (to species) were surveyed along these transects by recording those foraging within a 4 m band centred on </w:t>
      </w:r>
      <w:proofErr w:type="gramStart"/>
      <w:r w:rsidRPr="00621C69">
        <w:rPr>
          <w:sz w:val="24"/>
          <w:szCs w:val="24"/>
        </w:rPr>
        <w:t>the transect</w:t>
      </w:r>
      <w:proofErr w:type="gramEnd"/>
      <w:r w:rsidRPr="00621C69">
        <w:rPr>
          <w:sz w:val="24"/>
          <w:szCs w:val="24"/>
        </w:rPr>
        <w:t>. Insect surveys were carried out between 10</w:t>
      </w:r>
      <w:r w:rsidR="0026072E">
        <w:t>·</w:t>
      </w:r>
      <w:r w:rsidRPr="00621C69">
        <w:rPr>
          <w:sz w:val="24"/>
          <w:szCs w:val="24"/>
        </w:rPr>
        <w:t>30</w:t>
      </w:r>
      <w:r w:rsidR="0026072E">
        <w:rPr>
          <w:sz w:val="24"/>
          <w:szCs w:val="24"/>
        </w:rPr>
        <w:t xml:space="preserve"> h </w:t>
      </w:r>
      <w:r w:rsidRPr="00621C69">
        <w:rPr>
          <w:sz w:val="24"/>
          <w:szCs w:val="24"/>
        </w:rPr>
        <w:t>and 17</w:t>
      </w:r>
      <w:r w:rsidR="0026072E">
        <w:t>·</w:t>
      </w:r>
      <w:r w:rsidRPr="00621C69">
        <w:rPr>
          <w:sz w:val="24"/>
          <w:szCs w:val="24"/>
        </w:rPr>
        <w:t>00</w:t>
      </w:r>
      <w:r w:rsidR="0026072E">
        <w:rPr>
          <w:sz w:val="24"/>
          <w:szCs w:val="24"/>
        </w:rPr>
        <w:t xml:space="preserve"> h</w:t>
      </w:r>
      <w:r w:rsidRPr="00621C69">
        <w:rPr>
          <w:sz w:val="24"/>
          <w:szCs w:val="24"/>
        </w:rPr>
        <w:t xml:space="preserve"> during dry weather at temperatures &gt;16 </w:t>
      </w:r>
      <w:r w:rsidR="0026072E">
        <w:rPr>
          <w:sz w:val="24"/>
          <w:szCs w:val="24"/>
        </w:rPr>
        <w:t>°</w:t>
      </w:r>
      <w:r w:rsidRPr="00621C69">
        <w:rPr>
          <w:sz w:val="24"/>
          <w:szCs w:val="24"/>
        </w:rPr>
        <w:t xml:space="preserve">C, and weather conditions – air temperature and wind speed (from 0=calm to 5=strong breeze) – were recorded. </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For WBM strips, we estimated the seed resource by gathering all seeds from each sown species in three 1 m</w:t>
      </w:r>
      <w:r w:rsidRPr="00621C69">
        <w:rPr>
          <w:sz w:val="24"/>
          <w:szCs w:val="24"/>
          <w:vertAlign w:val="superscript"/>
        </w:rPr>
        <w:t>2</w:t>
      </w:r>
      <w:r w:rsidRPr="00621C69">
        <w:rPr>
          <w:sz w:val="24"/>
          <w:szCs w:val="24"/>
        </w:rPr>
        <w:t xml:space="preserve"> quadrats at 10 m intervals along two parallel 50 m transects in September. Samples were stored at -20 </w:t>
      </w:r>
      <w:proofErr w:type="spellStart"/>
      <w:r w:rsidRPr="00621C69">
        <w:rPr>
          <w:sz w:val="24"/>
          <w:szCs w:val="24"/>
          <w:vertAlign w:val="superscript"/>
        </w:rPr>
        <w:t>o</w:t>
      </w:r>
      <w:r w:rsidRPr="00621C69">
        <w:rPr>
          <w:sz w:val="24"/>
          <w:szCs w:val="24"/>
        </w:rPr>
        <w:t>C</w:t>
      </w:r>
      <w:proofErr w:type="spellEnd"/>
      <w:r w:rsidRPr="00621C69">
        <w:rPr>
          <w:sz w:val="24"/>
          <w:szCs w:val="24"/>
        </w:rPr>
        <w:t xml:space="preserve"> in the dark until processing, at which time the seeds were separated from other plant material, dried at 80 °C for 24 hr and weighed. Bird use of the whole strip was monitored in November, January and February, during weather </w:t>
      </w:r>
      <w:r w:rsidRPr="00621C69">
        <w:rPr>
          <w:sz w:val="24"/>
          <w:szCs w:val="24"/>
        </w:rPr>
        <w:lastRenderedPageBreak/>
        <w:t>conducive to bird activity (e.g. avoiding rain or high winds)</w:t>
      </w:r>
      <w:r w:rsidRPr="00621C69">
        <w:rPr>
          <w:i/>
          <w:sz w:val="24"/>
          <w:szCs w:val="24"/>
        </w:rPr>
        <w:t xml:space="preserve">. </w:t>
      </w:r>
      <w:r w:rsidRPr="00621C69">
        <w:rPr>
          <w:sz w:val="24"/>
          <w:szCs w:val="24"/>
        </w:rPr>
        <w:t xml:space="preserve">Timed bird counts were made from a distance and then all birds were flushed </w:t>
      </w:r>
      <w:r w:rsidRPr="00621C69">
        <w:rPr>
          <w:noProof/>
          <w:sz w:val="24"/>
          <w:szCs w:val="24"/>
        </w:rPr>
        <w:t>(Hinsley</w:t>
      </w:r>
      <w:r w:rsidRPr="00621C69">
        <w:rPr>
          <w:i/>
          <w:noProof/>
          <w:sz w:val="24"/>
          <w:szCs w:val="24"/>
        </w:rPr>
        <w:t xml:space="preserve"> et al.</w:t>
      </w:r>
      <w:r w:rsidRPr="00621C69">
        <w:rPr>
          <w:noProof/>
          <w:sz w:val="24"/>
          <w:szCs w:val="24"/>
        </w:rPr>
        <w:t xml:space="preserve"> 2010)</w:t>
      </w:r>
      <w:r w:rsidRPr="00621C69">
        <w:rPr>
          <w:sz w:val="24"/>
          <w:szCs w:val="24"/>
        </w:rPr>
        <w:t>.</w:t>
      </w:r>
    </w:p>
    <w:p w:rsidR="00490E27" w:rsidRPr="00621C69" w:rsidRDefault="00490E27" w:rsidP="004B55E1">
      <w:pPr>
        <w:spacing w:after="0" w:line="480" w:lineRule="auto"/>
        <w:jc w:val="both"/>
        <w:rPr>
          <w:sz w:val="24"/>
          <w:szCs w:val="24"/>
        </w:rPr>
      </w:pPr>
    </w:p>
    <w:p w:rsidR="00490E27" w:rsidRPr="00621C69" w:rsidRDefault="00490E27" w:rsidP="004B55E1">
      <w:pPr>
        <w:pStyle w:val="Heading2"/>
        <w:spacing w:before="0" w:line="480" w:lineRule="auto"/>
        <w:rPr>
          <w:rFonts w:asciiTheme="minorHAnsi" w:hAnsiTheme="minorHAnsi"/>
          <w:b w:val="0"/>
          <w:sz w:val="24"/>
          <w:szCs w:val="24"/>
        </w:rPr>
      </w:pPr>
      <w:r w:rsidRPr="00621C69">
        <w:rPr>
          <w:rFonts w:asciiTheme="minorHAnsi" w:hAnsiTheme="minorHAnsi"/>
          <w:b w:val="0"/>
          <w:sz w:val="24"/>
          <w:szCs w:val="24"/>
        </w:rPr>
        <w:t>LANDSCAPE AND SEASONAL WEATHER VARIABLES</w:t>
      </w:r>
    </w:p>
    <w:p w:rsidR="00490E27" w:rsidRPr="00621C69" w:rsidRDefault="00B92EBA" w:rsidP="004B55E1">
      <w:pPr>
        <w:spacing w:after="0" w:line="480" w:lineRule="auto"/>
        <w:jc w:val="both"/>
        <w:rPr>
          <w:sz w:val="24"/>
          <w:szCs w:val="24"/>
        </w:rPr>
      </w:pPr>
      <w:r w:rsidRPr="00621C69">
        <w:rPr>
          <w:sz w:val="24"/>
          <w:szCs w:val="24"/>
        </w:rPr>
        <w:t>To</w:t>
      </w:r>
      <w:r w:rsidR="00490E27" w:rsidRPr="00621C69">
        <w:rPr>
          <w:sz w:val="24"/>
          <w:szCs w:val="24"/>
        </w:rPr>
        <w:t xml:space="preserve"> describ</w:t>
      </w:r>
      <w:r w:rsidRPr="00621C69">
        <w:rPr>
          <w:sz w:val="24"/>
          <w:szCs w:val="24"/>
        </w:rPr>
        <w:t>e</w:t>
      </w:r>
      <w:r w:rsidR="00490E27" w:rsidRPr="00621C69">
        <w:rPr>
          <w:sz w:val="24"/>
          <w:szCs w:val="24"/>
        </w:rPr>
        <w:t xml:space="preserve"> the landscape context of each farm</w:t>
      </w:r>
      <w:r w:rsidRPr="00621C69">
        <w:rPr>
          <w:sz w:val="24"/>
          <w:szCs w:val="24"/>
        </w:rPr>
        <w:t>,</w:t>
      </w:r>
      <w:r w:rsidR="00490E27" w:rsidRPr="00621C69">
        <w:rPr>
          <w:sz w:val="24"/>
          <w:szCs w:val="24"/>
        </w:rPr>
        <w:t xml:space="preserve"> </w:t>
      </w:r>
      <w:r w:rsidRPr="00621C69">
        <w:rPr>
          <w:sz w:val="24"/>
          <w:szCs w:val="24"/>
        </w:rPr>
        <w:t>l</w:t>
      </w:r>
      <w:r w:rsidR="00490E27" w:rsidRPr="00621C69">
        <w:rPr>
          <w:sz w:val="24"/>
          <w:szCs w:val="24"/>
        </w:rPr>
        <w:t xml:space="preserve">and cover was mapped </w:t>
      </w:r>
      <w:r w:rsidRPr="00621C69">
        <w:rPr>
          <w:sz w:val="24"/>
          <w:szCs w:val="24"/>
        </w:rPr>
        <w:t>in a 4</w:t>
      </w:r>
      <w:r w:rsidR="004E08DB">
        <w:rPr>
          <w:sz w:val="24"/>
          <w:szCs w:val="24"/>
        </w:rPr>
        <w:t xml:space="preserve"> </w:t>
      </w:r>
      <w:r w:rsidRPr="00621C69">
        <w:rPr>
          <w:sz w:val="24"/>
          <w:szCs w:val="24"/>
        </w:rPr>
        <w:t>x</w:t>
      </w:r>
      <w:r w:rsidR="004E08DB">
        <w:rPr>
          <w:sz w:val="24"/>
          <w:szCs w:val="24"/>
        </w:rPr>
        <w:t xml:space="preserve"> </w:t>
      </w:r>
      <w:r w:rsidRPr="00621C69">
        <w:rPr>
          <w:sz w:val="24"/>
          <w:szCs w:val="24"/>
        </w:rPr>
        <w:t xml:space="preserve">4 km square centred on each farm </w:t>
      </w:r>
      <w:r w:rsidR="00490E27" w:rsidRPr="00621C69">
        <w:rPr>
          <w:sz w:val="24"/>
          <w:szCs w:val="24"/>
        </w:rPr>
        <w:t xml:space="preserve">using Google Earth and the CEH Land Cover Map 2007. We used this single square size and a single landscape measure – the percentage cover of semi-natural habitats (grassland, woods, heaths, etc) – to avoid type 1 errors and highly correlated variables. This scale encompasses foraging distances of the target taxa (e.g. </w:t>
      </w:r>
      <w:r w:rsidR="00490E27" w:rsidRPr="00621C69">
        <w:rPr>
          <w:noProof/>
          <w:sz w:val="24"/>
          <w:szCs w:val="24"/>
        </w:rPr>
        <w:t>Osborne</w:t>
      </w:r>
      <w:r w:rsidR="00490E27" w:rsidRPr="00621C69">
        <w:rPr>
          <w:i/>
          <w:noProof/>
          <w:sz w:val="24"/>
          <w:szCs w:val="24"/>
        </w:rPr>
        <w:t xml:space="preserve"> et al.</w:t>
      </w:r>
      <w:r w:rsidR="00490E27" w:rsidRPr="00621C69">
        <w:rPr>
          <w:noProof/>
          <w:sz w:val="24"/>
          <w:szCs w:val="24"/>
        </w:rPr>
        <w:t xml:space="preserve"> 2008)</w:t>
      </w:r>
      <w:r w:rsidR="00490E27" w:rsidRPr="00621C69">
        <w:rPr>
          <w:sz w:val="24"/>
          <w:szCs w:val="24"/>
        </w:rPr>
        <w:t>, although the exact scale used was probably unimportant as differences among farms in % semi-natural cover were very similar for 2</w:t>
      </w:r>
      <w:r w:rsidR="004E08DB">
        <w:rPr>
          <w:sz w:val="24"/>
          <w:szCs w:val="24"/>
        </w:rPr>
        <w:t xml:space="preserve"> </w:t>
      </w:r>
      <w:r w:rsidR="00490E27" w:rsidRPr="00621C69">
        <w:rPr>
          <w:sz w:val="24"/>
          <w:szCs w:val="24"/>
        </w:rPr>
        <w:t>x</w:t>
      </w:r>
      <w:r w:rsidR="004E08DB">
        <w:rPr>
          <w:sz w:val="24"/>
          <w:szCs w:val="24"/>
        </w:rPr>
        <w:t xml:space="preserve"> </w:t>
      </w:r>
      <w:r w:rsidR="00490E27" w:rsidRPr="00621C69">
        <w:rPr>
          <w:sz w:val="24"/>
          <w:szCs w:val="24"/>
        </w:rPr>
        <w:t>2 km and 4</w:t>
      </w:r>
      <w:r w:rsidR="004E08DB">
        <w:rPr>
          <w:sz w:val="24"/>
          <w:szCs w:val="24"/>
        </w:rPr>
        <w:t xml:space="preserve"> </w:t>
      </w:r>
      <w:r w:rsidR="00490E27" w:rsidRPr="00621C69">
        <w:rPr>
          <w:sz w:val="24"/>
          <w:szCs w:val="24"/>
        </w:rPr>
        <w:t>x</w:t>
      </w:r>
      <w:r w:rsidR="004E08DB">
        <w:rPr>
          <w:sz w:val="24"/>
          <w:szCs w:val="24"/>
        </w:rPr>
        <w:t xml:space="preserve"> </w:t>
      </w:r>
      <w:r w:rsidR="00490E27" w:rsidRPr="00621C69">
        <w:rPr>
          <w:sz w:val="24"/>
          <w:szCs w:val="24"/>
        </w:rPr>
        <w:t>4 km squares (correlation coefficient = 0.81). Species pools were estimated from national datasets of species lists mapped on a 10 x 10 km grid</w:t>
      </w:r>
      <w:r w:rsidRPr="00621C69">
        <w:rPr>
          <w:sz w:val="24"/>
          <w:szCs w:val="24"/>
        </w:rPr>
        <w:t xml:space="preserve"> (Appendix S2)</w:t>
      </w:r>
      <w:r w:rsidR="00490E27" w:rsidRPr="00621C69">
        <w:rPr>
          <w:sz w:val="24"/>
          <w:szCs w:val="24"/>
        </w:rPr>
        <w:t>. The grid square overlapping the centre point of each farm was interrogated for species lists of: butterflies for the period 2005</w:t>
      </w:r>
      <w:r w:rsidR="004E08DB">
        <w:rPr>
          <w:sz w:val="24"/>
          <w:szCs w:val="24"/>
        </w:rPr>
        <w:t>–</w:t>
      </w:r>
      <w:r w:rsidR="00490E27" w:rsidRPr="00621C69">
        <w:rPr>
          <w:sz w:val="24"/>
          <w:szCs w:val="24"/>
        </w:rPr>
        <w:t>2009; granivorous birds during the winter for 2007</w:t>
      </w:r>
      <w:r w:rsidR="004E08DB">
        <w:rPr>
          <w:sz w:val="24"/>
          <w:szCs w:val="24"/>
        </w:rPr>
        <w:t>–</w:t>
      </w:r>
      <w:r w:rsidR="00490E27" w:rsidRPr="00621C69">
        <w:rPr>
          <w:sz w:val="24"/>
          <w:szCs w:val="24"/>
        </w:rPr>
        <w:t>2011; and bumblebees from 2000</w:t>
      </w:r>
      <w:r w:rsidR="004E08DB">
        <w:rPr>
          <w:sz w:val="24"/>
          <w:szCs w:val="24"/>
        </w:rPr>
        <w:t>–</w:t>
      </w:r>
      <w:r w:rsidR="00490E27" w:rsidRPr="00621C69">
        <w:rPr>
          <w:sz w:val="24"/>
          <w:szCs w:val="24"/>
        </w:rPr>
        <w:t xml:space="preserve">2010. </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Daily weather data through 2007 and 2008 were obtained from the British Atmospheric Data Centre for the weather station closest to each farm. Daily maxima or minima were averaged across specific seasons (winter = December</w:t>
      </w:r>
      <w:r w:rsidR="004E08DB">
        <w:rPr>
          <w:sz w:val="24"/>
          <w:szCs w:val="24"/>
        </w:rPr>
        <w:t>–</w:t>
      </w:r>
      <w:r w:rsidRPr="00621C69">
        <w:rPr>
          <w:sz w:val="24"/>
          <w:szCs w:val="24"/>
        </w:rPr>
        <w:t>February, etc) according to hypotheses about how weather would affect certain response variables (e.g. winter bird numbers would be affected by winter minimum temperatures).</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bCs/>
          <w:iCs/>
          <w:sz w:val="24"/>
          <w:szCs w:val="24"/>
        </w:rPr>
      </w:pPr>
      <w:r w:rsidRPr="00621C69">
        <w:rPr>
          <w:bCs/>
          <w:iCs/>
          <w:sz w:val="24"/>
          <w:szCs w:val="24"/>
        </w:rPr>
        <w:t>STATISTICAL ANALYSES</w:t>
      </w:r>
    </w:p>
    <w:p w:rsidR="00490E27" w:rsidRPr="00621C69" w:rsidRDefault="00490E27" w:rsidP="004B55E1">
      <w:pPr>
        <w:spacing w:after="0" w:line="480" w:lineRule="auto"/>
        <w:jc w:val="both"/>
        <w:rPr>
          <w:sz w:val="24"/>
          <w:szCs w:val="24"/>
        </w:rPr>
      </w:pPr>
      <w:r w:rsidRPr="00621C69">
        <w:rPr>
          <w:sz w:val="24"/>
          <w:szCs w:val="24"/>
        </w:rPr>
        <w:lastRenderedPageBreak/>
        <w:t xml:space="preserve">We analysed the success of NFM and WBM habitats in terms of: a) biodiversity responses and b) habitat quality in terms of resources for the target taxa. For a), we considered the number and species richness of butterflies, bumblebees and granivorous birds. Number was the sum across the multiple surveys in a year, and species the total seen across the surveys. For b), we considered the number and species richness of flowers (mean across the quadrats and surveys) and seed weight (mean across quadrats). Determinants of success were analysed using general linear mixed models in R </w:t>
      </w:r>
      <w:r w:rsidRPr="00621C69">
        <w:rPr>
          <w:noProof/>
          <w:sz w:val="24"/>
          <w:szCs w:val="24"/>
        </w:rPr>
        <w:t>(R_Core_Development_Team 2008)</w:t>
      </w:r>
      <w:r w:rsidRPr="00621C69">
        <w:rPr>
          <w:sz w:val="24"/>
          <w:szCs w:val="24"/>
        </w:rPr>
        <w:t xml:space="preserve"> using the ‘</w:t>
      </w:r>
      <w:proofErr w:type="spellStart"/>
      <w:r w:rsidRPr="00621C69">
        <w:rPr>
          <w:sz w:val="24"/>
          <w:szCs w:val="24"/>
        </w:rPr>
        <w:t>glme</w:t>
      </w:r>
      <w:proofErr w:type="spellEnd"/>
      <w:r w:rsidRPr="00621C69">
        <w:rPr>
          <w:sz w:val="24"/>
          <w:szCs w:val="24"/>
        </w:rPr>
        <w:t xml:space="preserve">’ function of the lme4 package </w:t>
      </w:r>
      <w:r w:rsidRPr="00621C69">
        <w:rPr>
          <w:noProof/>
          <w:sz w:val="24"/>
          <w:szCs w:val="24"/>
        </w:rPr>
        <w:t>(Bates 2010)</w:t>
      </w:r>
      <w:r w:rsidRPr="00621C69">
        <w:rPr>
          <w:sz w:val="24"/>
          <w:szCs w:val="24"/>
        </w:rPr>
        <w:t xml:space="preserve">.  The nine response variables were tested against subsets of continuous and categorical explanatory variables (‘fixed effects’: Tables 1, 2), which were selected to reflect our hypotheses about the roles of farmer and environmental factors.  </w:t>
      </w:r>
      <w:r w:rsidR="000730DA" w:rsidRPr="00621C69">
        <w:rPr>
          <w:sz w:val="24"/>
          <w:szCs w:val="24"/>
        </w:rPr>
        <w:t xml:space="preserve">Note that because we included ‘region’ as a separate factor, </w:t>
      </w:r>
      <w:r w:rsidR="000730DA">
        <w:rPr>
          <w:sz w:val="24"/>
          <w:szCs w:val="24"/>
        </w:rPr>
        <w:t>any</w:t>
      </w:r>
      <w:r w:rsidR="000730DA" w:rsidRPr="00621C69">
        <w:rPr>
          <w:sz w:val="24"/>
          <w:szCs w:val="24"/>
        </w:rPr>
        <w:t xml:space="preserve"> </w:t>
      </w:r>
      <w:r w:rsidR="000730DA">
        <w:rPr>
          <w:sz w:val="24"/>
          <w:szCs w:val="24"/>
        </w:rPr>
        <w:t>effects of other variables</w:t>
      </w:r>
      <w:r w:rsidR="000730DA" w:rsidRPr="00621C69">
        <w:rPr>
          <w:sz w:val="24"/>
          <w:szCs w:val="24"/>
        </w:rPr>
        <w:t xml:space="preserve"> do not reflect differences between the south-western and eastern regions.</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In addition to these fixed effects, year was treated as a repeated measure by nesting it as a random effect within a subject factor describing the smallest sampling unit, i.e. the individual strip.  To account for additional random effects, replicate strips were nested within farm, allowing analysis of factors at both the farm and the strip scale (Table 1). All data were counts and were modelled using a Poisson error term with a log link function, with the exception of seed weight, which was ln(</w:t>
      </w:r>
      <w:r w:rsidRPr="00621C69">
        <w:rPr>
          <w:i/>
          <w:sz w:val="24"/>
          <w:szCs w:val="24"/>
        </w:rPr>
        <w:t>n</w:t>
      </w:r>
      <w:r w:rsidRPr="00621C69">
        <w:rPr>
          <w:sz w:val="24"/>
          <w:szCs w:val="24"/>
        </w:rPr>
        <w:t xml:space="preserve">+1) transformed and modelled with normal errors. When used as explanatory variables, seed weight and flower numbers were </w:t>
      </w:r>
      <w:proofErr w:type="gramStart"/>
      <w:r w:rsidRPr="00621C69">
        <w:rPr>
          <w:sz w:val="24"/>
          <w:szCs w:val="24"/>
        </w:rPr>
        <w:t>ln(</w:t>
      </w:r>
      <w:proofErr w:type="gramEnd"/>
      <w:r w:rsidRPr="00621C69">
        <w:rPr>
          <w:i/>
          <w:sz w:val="24"/>
          <w:szCs w:val="24"/>
        </w:rPr>
        <w:t>n</w:t>
      </w:r>
      <w:r w:rsidRPr="00621C69">
        <w:rPr>
          <w:sz w:val="24"/>
          <w:szCs w:val="24"/>
        </w:rPr>
        <w:t xml:space="preserve">+1) transformed. For the analysis of seed weight responses, four outlier values (&gt;1000 mg) were removed to improve model fit and ALC was excluded as performance of the mixed models showed it to be strongly collinear with other explanatory variables. Because birds </w:t>
      </w:r>
      <w:r w:rsidRPr="00621C69">
        <w:rPr>
          <w:sz w:val="24"/>
          <w:szCs w:val="24"/>
        </w:rPr>
        <w:lastRenderedPageBreak/>
        <w:t>were surveyed over the whole strip we considered strip area in preliminary analyses, but this was collinear with other factors and had low importance and so was excluded from the full analyses.</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 xml:space="preserve">We used </w:t>
      </w:r>
      <w:proofErr w:type="spellStart"/>
      <w:r w:rsidRPr="00621C69">
        <w:rPr>
          <w:sz w:val="24"/>
          <w:szCs w:val="24"/>
        </w:rPr>
        <w:t>multimodel</w:t>
      </w:r>
      <w:proofErr w:type="spellEnd"/>
      <w:r w:rsidRPr="00621C69">
        <w:rPr>
          <w:sz w:val="24"/>
          <w:szCs w:val="24"/>
        </w:rPr>
        <w:t xml:space="preserve"> inference, which allowed us to consider competing models and moderately collinear variables </w:t>
      </w:r>
      <w:r w:rsidRPr="00621C69">
        <w:rPr>
          <w:noProof/>
          <w:sz w:val="24"/>
          <w:szCs w:val="24"/>
        </w:rPr>
        <w:t>(Burnham &amp; Anderson 2002; Freckleton 2011)</w:t>
      </w:r>
      <w:r w:rsidRPr="00621C69">
        <w:rPr>
          <w:sz w:val="24"/>
          <w:szCs w:val="24"/>
        </w:rPr>
        <w:t xml:space="preserve">. For each response variable, models representing all possible combinations of the fixed effects (excluding interactions), including a null model and a saturated global model, were created and the </w:t>
      </w:r>
      <w:r w:rsidRPr="00621C69">
        <w:rPr>
          <w:i/>
          <w:sz w:val="24"/>
          <w:szCs w:val="24"/>
        </w:rPr>
        <w:t>AIC</w:t>
      </w:r>
      <w:r w:rsidRPr="00621C69">
        <w:rPr>
          <w:sz w:val="24"/>
          <w:szCs w:val="24"/>
        </w:rPr>
        <w:t xml:space="preserve"> difference (</w:t>
      </w:r>
      <w:r w:rsidRPr="00621C69">
        <w:rPr>
          <w:i/>
          <w:sz w:val="24"/>
          <w:szCs w:val="24"/>
        </w:rPr>
        <w:t>∆</w:t>
      </w:r>
      <w:r w:rsidRPr="00621C69">
        <w:rPr>
          <w:i/>
          <w:sz w:val="24"/>
          <w:szCs w:val="24"/>
          <w:vertAlign w:val="subscript"/>
        </w:rPr>
        <w:t>i</w:t>
      </w:r>
      <w:r w:rsidRPr="00621C69">
        <w:rPr>
          <w:sz w:val="24"/>
          <w:szCs w:val="24"/>
        </w:rPr>
        <w:t>) was calculated as</w:t>
      </w:r>
      <w:r w:rsidR="00F974F0">
        <w:rPr>
          <w:sz w:val="24"/>
          <w:szCs w:val="24"/>
        </w:rPr>
        <w:t>:</w:t>
      </w:r>
    </w:p>
    <w:p w:rsidR="00490E27" w:rsidRPr="00621C69" w:rsidRDefault="00490E27" w:rsidP="004B55E1">
      <w:pPr>
        <w:spacing w:after="0" w:line="480" w:lineRule="auto"/>
        <w:rPr>
          <w:sz w:val="24"/>
          <w:szCs w:val="24"/>
        </w:rPr>
      </w:pPr>
      <w:r w:rsidRPr="00621C69">
        <w:rPr>
          <w:sz w:val="24"/>
          <w:szCs w:val="24"/>
        </w:rPr>
        <w:t xml:space="preserve"> </w:t>
      </w:r>
      <w:r w:rsidRPr="00621C69">
        <w:rPr>
          <w:position w:val="-12"/>
          <w:sz w:val="24"/>
          <w:szCs w:val="24"/>
        </w:rPr>
        <w:object w:dxaOrig="193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8pt;height:18.35pt" o:ole="">
            <v:imagedata r:id="rId8" o:title=""/>
          </v:shape>
          <o:OLEObject Type="Embed" ProgID="Equation.3" ShapeID="_x0000_i1025" DrawAspect="Content" ObjectID="_1485255431" r:id="rId9"/>
        </w:object>
      </w:r>
      <w:r w:rsidRPr="00621C69">
        <w:rPr>
          <w:sz w:val="24"/>
          <w:szCs w:val="24"/>
        </w:rPr>
        <w:t>,</w:t>
      </w:r>
    </w:p>
    <w:p w:rsidR="00490E27" w:rsidRPr="00621C69" w:rsidRDefault="00490E27" w:rsidP="004B55E1">
      <w:pPr>
        <w:autoSpaceDE w:val="0"/>
        <w:autoSpaceDN w:val="0"/>
        <w:adjustRightInd w:val="0"/>
        <w:spacing w:after="0" w:line="480" w:lineRule="auto"/>
        <w:jc w:val="both"/>
        <w:rPr>
          <w:sz w:val="24"/>
          <w:szCs w:val="24"/>
        </w:rPr>
      </w:pPr>
      <w:proofErr w:type="gramStart"/>
      <w:r w:rsidRPr="00621C69">
        <w:rPr>
          <w:sz w:val="24"/>
          <w:szCs w:val="24"/>
        </w:rPr>
        <w:t>where</w:t>
      </w:r>
      <w:proofErr w:type="gramEnd"/>
      <w:r w:rsidRPr="00621C69">
        <w:rPr>
          <w:sz w:val="24"/>
          <w:szCs w:val="24"/>
        </w:rPr>
        <w:t xml:space="preserve"> </w:t>
      </w:r>
      <w:proofErr w:type="spellStart"/>
      <w:r w:rsidRPr="00621C69">
        <w:rPr>
          <w:i/>
          <w:sz w:val="24"/>
          <w:szCs w:val="24"/>
        </w:rPr>
        <w:t>AIC</w:t>
      </w:r>
      <w:r w:rsidRPr="00621C69">
        <w:rPr>
          <w:i/>
          <w:sz w:val="24"/>
          <w:szCs w:val="24"/>
          <w:vertAlign w:val="subscript"/>
        </w:rPr>
        <w:t>min</w:t>
      </w:r>
      <w:proofErr w:type="spellEnd"/>
      <w:r w:rsidRPr="00621C69">
        <w:rPr>
          <w:sz w:val="24"/>
          <w:szCs w:val="24"/>
        </w:rPr>
        <w:t xml:space="preserve"> is the lowest value of any model, and </w:t>
      </w:r>
      <w:proofErr w:type="spellStart"/>
      <w:r w:rsidRPr="00621C69">
        <w:rPr>
          <w:i/>
          <w:sz w:val="24"/>
          <w:szCs w:val="24"/>
        </w:rPr>
        <w:t>AIC</w:t>
      </w:r>
      <w:r w:rsidRPr="00621C69">
        <w:rPr>
          <w:i/>
          <w:sz w:val="24"/>
          <w:szCs w:val="24"/>
          <w:vertAlign w:val="subscript"/>
        </w:rPr>
        <w:t>i</w:t>
      </w:r>
      <w:proofErr w:type="spellEnd"/>
      <w:r w:rsidRPr="00621C69">
        <w:rPr>
          <w:sz w:val="24"/>
          <w:szCs w:val="24"/>
        </w:rPr>
        <w:t xml:space="preserve"> is the model</w:t>
      </w:r>
      <w:r w:rsidR="00F974F0">
        <w:rPr>
          <w:sz w:val="24"/>
          <w:szCs w:val="24"/>
        </w:rPr>
        <w:t>-</w:t>
      </w:r>
      <w:r w:rsidRPr="00621C69">
        <w:rPr>
          <w:sz w:val="24"/>
          <w:szCs w:val="24"/>
        </w:rPr>
        <w:t xml:space="preserve">specific value. Following </w:t>
      </w:r>
      <w:r w:rsidRPr="00621C69">
        <w:rPr>
          <w:noProof/>
          <w:sz w:val="24"/>
          <w:szCs w:val="24"/>
        </w:rPr>
        <w:t>Burnham and Anderson (2002)</w:t>
      </w:r>
      <w:r w:rsidRPr="00621C69">
        <w:rPr>
          <w:sz w:val="24"/>
          <w:szCs w:val="24"/>
        </w:rPr>
        <w:t xml:space="preserve">, models </w:t>
      </w:r>
      <w:proofErr w:type="gramStart"/>
      <w:r w:rsidRPr="00621C69">
        <w:rPr>
          <w:sz w:val="24"/>
          <w:szCs w:val="24"/>
        </w:rPr>
        <w:t>with  ∆</w:t>
      </w:r>
      <w:proofErr w:type="gramEnd"/>
      <w:r w:rsidRPr="00621C69">
        <w:rPr>
          <w:i/>
          <w:sz w:val="24"/>
          <w:szCs w:val="24"/>
          <w:vertAlign w:val="subscript"/>
        </w:rPr>
        <w:t>i</w:t>
      </w:r>
      <w:r w:rsidRPr="00621C69">
        <w:rPr>
          <w:sz w:val="24"/>
          <w:szCs w:val="24"/>
        </w:rPr>
        <w:t xml:space="preserve"> &lt; 4 were considered to form a set that best explained variation.  For this subset of </w:t>
      </w:r>
      <w:r w:rsidRPr="00621C69">
        <w:rPr>
          <w:i/>
          <w:sz w:val="24"/>
          <w:szCs w:val="24"/>
        </w:rPr>
        <w:t xml:space="preserve">R </w:t>
      </w:r>
      <w:r w:rsidRPr="00621C69">
        <w:rPr>
          <w:sz w:val="24"/>
          <w:szCs w:val="24"/>
        </w:rPr>
        <w:t xml:space="preserve">models, </w:t>
      </w:r>
      <w:proofErr w:type="spellStart"/>
      <w:r w:rsidRPr="00621C69">
        <w:rPr>
          <w:sz w:val="24"/>
          <w:szCs w:val="24"/>
        </w:rPr>
        <w:t>Akaike</w:t>
      </w:r>
      <w:proofErr w:type="spellEnd"/>
      <w:r w:rsidRPr="00621C69">
        <w:rPr>
          <w:sz w:val="24"/>
          <w:szCs w:val="24"/>
        </w:rPr>
        <w:t xml:space="preserve"> weights (</w:t>
      </w:r>
      <w:proofErr w:type="spellStart"/>
      <w:proofErr w:type="gramStart"/>
      <w:r w:rsidRPr="00621C69">
        <w:rPr>
          <w:i/>
          <w:sz w:val="24"/>
          <w:szCs w:val="24"/>
        </w:rPr>
        <w:t>w</w:t>
      </w:r>
      <w:r w:rsidRPr="00621C69">
        <w:rPr>
          <w:i/>
          <w:sz w:val="24"/>
          <w:szCs w:val="24"/>
          <w:vertAlign w:val="subscript"/>
        </w:rPr>
        <w:t>i</w:t>
      </w:r>
      <w:proofErr w:type="spellEnd"/>
      <w:proofErr w:type="gramEnd"/>
      <w:r w:rsidRPr="00621C69">
        <w:rPr>
          <w:sz w:val="24"/>
          <w:szCs w:val="24"/>
        </w:rPr>
        <w:t>) were derived</w:t>
      </w:r>
      <w:r w:rsidR="00F974F0">
        <w:rPr>
          <w:sz w:val="24"/>
          <w:szCs w:val="24"/>
        </w:rPr>
        <w:t>:</w:t>
      </w:r>
    </w:p>
    <w:p w:rsidR="00490E27" w:rsidRPr="00621C69" w:rsidRDefault="00490E27" w:rsidP="004B55E1">
      <w:pPr>
        <w:spacing w:after="0" w:line="480" w:lineRule="auto"/>
        <w:rPr>
          <w:sz w:val="24"/>
          <w:szCs w:val="24"/>
        </w:rPr>
      </w:pPr>
      <w:r w:rsidRPr="00621C69">
        <w:rPr>
          <w:noProof/>
          <w:position w:val="-60"/>
          <w:sz w:val="24"/>
          <w:szCs w:val="24"/>
        </w:rPr>
        <w:drawing>
          <wp:inline distT="0" distB="0" distL="0" distR="0">
            <wp:extent cx="12954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295400" cy="838200"/>
                    </a:xfrm>
                    <a:prstGeom prst="rect">
                      <a:avLst/>
                    </a:prstGeom>
                    <a:noFill/>
                    <a:ln w="9525">
                      <a:noFill/>
                      <a:miter lim="800000"/>
                      <a:headEnd/>
                      <a:tailEnd/>
                    </a:ln>
                  </pic:spPr>
                </pic:pic>
              </a:graphicData>
            </a:graphic>
          </wp:inline>
        </w:drawing>
      </w:r>
      <w:r w:rsidRPr="00621C69">
        <w:rPr>
          <w:sz w:val="24"/>
          <w:szCs w:val="24"/>
        </w:rPr>
        <w:t>,</w:t>
      </w:r>
    </w:p>
    <w:p w:rsidR="00490E27" w:rsidRPr="00621C69" w:rsidRDefault="00490E27" w:rsidP="004B55E1">
      <w:pPr>
        <w:autoSpaceDE w:val="0"/>
        <w:autoSpaceDN w:val="0"/>
        <w:adjustRightInd w:val="0"/>
        <w:spacing w:after="0" w:line="480" w:lineRule="auto"/>
        <w:jc w:val="both"/>
        <w:rPr>
          <w:sz w:val="24"/>
          <w:szCs w:val="24"/>
        </w:rPr>
      </w:pPr>
      <w:proofErr w:type="gramStart"/>
      <w:r w:rsidRPr="00621C69">
        <w:rPr>
          <w:rFonts w:cs="TimesNRMT"/>
          <w:sz w:val="24"/>
          <w:szCs w:val="24"/>
        </w:rPr>
        <w:t>where</w:t>
      </w:r>
      <w:proofErr w:type="gramEnd"/>
      <w:r w:rsidRPr="00621C69">
        <w:rPr>
          <w:rFonts w:cs="TimesNRMT"/>
          <w:sz w:val="24"/>
          <w:szCs w:val="24"/>
        </w:rPr>
        <w:t xml:space="preserve"> </w:t>
      </w:r>
      <w:proofErr w:type="spellStart"/>
      <w:r w:rsidRPr="00621C69">
        <w:rPr>
          <w:rFonts w:cs="TimesNRMT"/>
          <w:i/>
          <w:sz w:val="24"/>
          <w:szCs w:val="24"/>
        </w:rPr>
        <w:t>w</w:t>
      </w:r>
      <w:r w:rsidRPr="00621C69">
        <w:rPr>
          <w:rFonts w:cs="TimesNRMT"/>
          <w:i/>
          <w:sz w:val="24"/>
          <w:szCs w:val="24"/>
          <w:vertAlign w:val="subscript"/>
        </w:rPr>
        <w:t>i</w:t>
      </w:r>
      <w:proofErr w:type="spellEnd"/>
      <w:r w:rsidRPr="00621C69">
        <w:rPr>
          <w:rFonts w:cs="TimesNRMT"/>
          <w:i/>
          <w:sz w:val="24"/>
          <w:szCs w:val="24"/>
        </w:rPr>
        <w:t xml:space="preserve"> </w:t>
      </w:r>
      <w:r w:rsidRPr="00621C69">
        <w:rPr>
          <w:rFonts w:cs="TimesNRMT"/>
          <w:sz w:val="24"/>
          <w:szCs w:val="24"/>
        </w:rPr>
        <w:t xml:space="preserve">represents the probability that model </w:t>
      </w:r>
      <w:r w:rsidRPr="00621C69">
        <w:rPr>
          <w:rFonts w:cs="TimesNRMT"/>
          <w:i/>
          <w:sz w:val="24"/>
          <w:szCs w:val="24"/>
        </w:rPr>
        <w:t>i</w:t>
      </w:r>
      <w:r w:rsidRPr="00621C69">
        <w:rPr>
          <w:rFonts w:cs="TimesNRMT"/>
          <w:sz w:val="24"/>
          <w:szCs w:val="24"/>
        </w:rPr>
        <w:t xml:space="preserve"> would be the best fitting if the data were collected again under identical conditions.  The relative importance of individual variables can be calculated as the </w:t>
      </w:r>
      <w:proofErr w:type="spellStart"/>
      <w:proofErr w:type="gramStart"/>
      <w:r w:rsidRPr="00621C69">
        <w:rPr>
          <w:rFonts w:cs="TimesNRMT"/>
          <w:i/>
          <w:sz w:val="24"/>
          <w:szCs w:val="24"/>
        </w:rPr>
        <w:t>w</w:t>
      </w:r>
      <w:r w:rsidRPr="00621C69">
        <w:rPr>
          <w:rFonts w:cs="TimesNRMT"/>
          <w:i/>
          <w:sz w:val="24"/>
          <w:szCs w:val="24"/>
          <w:vertAlign w:val="subscript"/>
        </w:rPr>
        <w:t>i</w:t>
      </w:r>
      <w:proofErr w:type="spellEnd"/>
      <w:proofErr w:type="gramEnd"/>
      <w:r w:rsidRPr="00621C69">
        <w:rPr>
          <w:rFonts w:cs="TimesNRMT"/>
          <w:i/>
          <w:sz w:val="24"/>
          <w:szCs w:val="24"/>
        </w:rPr>
        <w:t xml:space="preserve"> </w:t>
      </w:r>
      <w:r w:rsidRPr="00621C69">
        <w:rPr>
          <w:rFonts w:cs="TimesNRMT"/>
          <w:sz w:val="24"/>
          <w:szCs w:val="24"/>
        </w:rPr>
        <w:t>of</w:t>
      </w:r>
      <w:r w:rsidRPr="00621C69">
        <w:rPr>
          <w:rFonts w:cs="TimesNRMT"/>
          <w:i/>
          <w:sz w:val="24"/>
          <w:szCs w:val="24"/>
        </w:rPr>
        <w:t xml:space="preserve"> </w:t>
      </w:r>
      <w:r w:rsidRPr="00621C69">
        <w:rPr>
          <w:rFonts w:cs="TimesNRMT"/>
          <w:sz w:val="24"/>
          <w:szCs w:val="24"/>
        </w:rPr>
        <w:t xml:space="preserve">all models within the </w:t>
      </w:r>
      <w:r w:rsidRPr="00621C69">
        <w:rPr>
          <w:sz w:val="24"/>
          <w:szCs w:val="24"/>
        </w:rPr>
        <w:t>∆</w:t>
      </w:r>
      <w:r w:rsidRPr="00621C69">
        <w:rPr>
          <w:i/>
          <w:sz w:val="24"/>
          <w:szCs w:val="24"/>
          <w:vertAlign w:val="subscript"/>
        </w:rPr>
        <w:t>i</w:t>
      </w:r>
      <w:r w:rsidRPr="00621C69">
        <w:rPr>
          <w:sz w:val="24"/>
          <w:szCs w:val="24"/>
        </w:rPr>
        <w:t xml:space="preserve"> &lt; 4 subset </w:t>
      </w:r>
      <w:r w:rsidRPr="00621C69">
        <w:rPr>
          <w:rFonts w:cs="TimesNRMT"/>
          <w:sz w:val="24"/>
          <w:szCs w:val="24"/>
        </w:rPr>
        <w:t xml:space="preserve">sums to 1.  The importance of individual fixed effects was assessed by summing the </w:t>
      </w:r>
      <w:proofErr w:type="spellStart"/>
      <w:proofErr w:type="gramStart"/>
      <w:r w:rsidRPr="00621C69">
        <w:rPr>
          <w:rFonts w:cs="TimesNRMT"/>
          <w:i/>
          <w:sz w:val="24"/>
          <w:szCs w:val="24"/>
        </w:rPr>
        <w:t>w</w:t>
      </w:r>
      <w:r w:rsidRPr="00621C69">
        <w:rPr>
          <w:rFonts w:cs="TimesNRMT"/>
          <w:i/>
          <w:sz w:val="24"/>
          <w:szCs w:val="24"/>
          <w:vertAlign w:val="subscript"/>
        </w:rPr>
        <w:t>i</w:t>
      </w:r>
      <w:proofErr w:type="spellEnd"/>
      <w:proofErr w:type="gramEnd"/>
      <w:r w:rsidRPr="00621C69">
        <w:rPr>
          <w:rFonts w:cs="TimesNRMT"/>
          <w:sz w:val="24"/>
          <w:szCs w:val="24"/>
        </w:rPr>
        <w:t xml:space="preserve"> values of all models containing that explanatory variable within the subset using the </w:t>
      </w:r>
      <w:r w:rsidRPr="00621C69">
        <w:rPr>
          <w:sz w:val="24"/>
          <w:szCs w:val="24"/>
        </w:rPr>
        <w:t>‘</w:t>
      </w:r>
      <w:proofErr w:type="spellStart"/>
      <w:r w:rsidRPr="00621C69">
        <w:rPr>
          <w:sz w:val="24"/>
          <w:szCs w:val="24"/>
        </w:rPr>
        <w:t>MuMIn</w:t>
      </w:r>
      <w:proofErr w:type="spellEnd"/>
      <w:r w:rsidRPr="00621C69">
        <w:rPr>
          <w:sz w:val="24"/>
          <w:szCs w:val="24"/>
        </w:rPr>
        <w:t xml:space="preserve">’ package </w:t>
      </w:r>
      <w:r w:rsidRPr="00621C69">
        <w:rPr>
          <w:noProof/>
          <w:sz w:val="24"/>
          <w:szCs w:val="24"/>
        </w:rPr>
        <w:t>(Bartoń 2013)</w:t>
      </w:r>
      <w:r w:rsidRPr="00621C69">
        <w:rPr>
          <w:sz w:val="24"/>
          <w:szCs w:val="24"/>
        </w:rPr>
        <w:t xml:space="preserve">.  As many variables were modelled, we </w:t>
      </w:r>
      <w:r w:rsidRPr="00621C69">
        <w:rPr>
          <w:rFonts w:cs="TimesNRMT"/>
          <w:sz w:val="24"/>
          <w:szCs w:val="24"/>
        </w:rPr>
        <w:t xml:space="preserve">focused subsequently on the most frequently-included variables with an importance ≥0.4 (all included variables are given in Tables 1, 2). Parameter estimates were weighted by </w:t>
      </w:r>
      <w:proofErr w:type="spellStart"/>
      <w:proofErr w:type="gramStart"/>
      <w:r w:rsidRPr="00621C69">
        <w:rPr>
          <w:rFonts w:cs="TimesNRMT"/>
          <w:i/>
          <w:sz w:val="24"/>
          <w:szCs w:val="24"/>
        </w:rPr>
        <w:t>w</w:t>
      </w:r>
      <w:r w:rsidRPr="00621C69">
        <w:rPr>
          <w:rFonts w:cs="TimesNRMT"/>
          <w:i/>
          <w:sz w:val="24"/>
          <w:szCs w:val="24"/>
          <w:vertAlign w:val="subscript"/>
        </w:rPr>
        <w:t>i</w:t>
      </w:r>
      <w:proofErr w:type="spellEnd"/>
      <w:proofErr w:type="gramEnd"/>
      <w:r w:rsidRPr="00621C69">
        <w:rPr>
          <w:rFonts w:cs="TimesNRMT"/>
          <w:i/>
          <w:sz w:val="24"/>
          <w:szCs w:val="24"/>
        </w:rPr>
        <w:t xml:space="preserve"> </w:t>
      </w:r>
      <w:r w:rsidRPr="00621C69">
        <w:rPr>
          <w:rFonts w:cs="TimesNRMT"/>
          <w:sz w:val="24"/>
          <w:szCs w:val="24"/>
        </w:rPr>
        <w:t xml:space="preserve">and averaged across all models.  </w:t>
      </w:r>
      <w:r w:rsidRPr="00621C69">
        <w:rPr>
          <w:sz w:val="24"/>
          <w:szCs w:val="24"/>
        </w:rPr>
        <w:t xml:space="preserve">Following </w:t>
      </w:r>
      <w:r w:rsidRPr="00621C69">
        <w:rPr>
          <w:noProof/>
          <w:sz w:val="24"/>
          <w:szCs w:val="24"/>
        </w:rPr>
        <w:t xml:space="preserve">Symonds and </w:t>
      </w:r>
      <w:r w:rsidRPr="00621C69">
        <w:rPr>
          <w:noProof/>
          <w:sz w:val="24"/>
          <w:szCs w:val="24"/>
        </w:rPr>
        <w:lastRenderedPageBreak/>
        <w:t>Moussalli (2011)</w:t>
      </w:r>
      <w:r w:rsidRPr="00621C69">
        <w:rPr>
          <w:sz w:val="24"/>
          <w:szCs w:val="24"/>
        </w:rPr>
        <w:t xml:space="preserve"> we calculated the marginal </w:t>
      </w:r>
      <w:r w:rsidRPr="00621C69">
        <w:rPr>
          <w:i/>
          <w:sz w:val="24"/>
          <w:szCs w:val="24"/>
        </w:rPr>
        <w:t>R</w:t>
      </w:r>
      <w:r w:rsidRPr="00621C69">
        <w:rPr>
          <w:i/>
          <w:sz w:val="24"/>
          <w:szCs w:val="24"/>
          <w:vertAlign w:val="superscript"/>
        </w:rPr>
        <w:t>2</w:t>
      </w:r>
      <w:r w:rsidRPr="00621C69">
        <w:rPr>
          <w:sz w:val="24"/>
          <w:szCs w:val="24"/>
        </w:rPr>
        <w:t xml:space="preserve"> value for the global model to indicate goodness of fit.  </w:t>
      </w:r>
    </w:p>
    <w:p w:rsidR="00490E27" w:rsidRPr="00621C69" w:rsidRDefault="00490E27" w:rsidP="004B55E1">
      <w:pPr>
        <w:spacing w:after="0" w:line="480" w:lineRule="auto"/>
        <w:rPr>
          <w:b/>
          <w:sz w:val="24"/>
          <w:szCs w:val="24"/>
        </w:rPr>
      </w:pPr>
    </w:p>
    <w:p w:rsidR="00490E27" w:rsidRPr="00621C69" w:rsidRDefault="00490E27" w:rsidP="004B55E1">
      <w:pPr>
        <w:spacing w:after="0" w:line="480" w:lineRule="auto"/>
        <w:jc w:val="both"/>
        <w:rPr>
          <w:b/>
          <w:sz w:val="24"/>
          <w:szCs w:val="24"/>
        </w:rPr>
      </w:pPr>
      <w:r w:rsidRPr="00621C69">
        <w:rPr>
          <w:b/>
          <w:sz w:val="24"/>
          <w:szCs w:val="24"/>
        </w:rPr>
        <w:t>Results</w:t>
      </w:r>
    </w:p>
    <w:p w:rsidR="00490E27" w:rsidRPr="00621C69" w:rsidRDefault="00490E27" w:rsidP="004B55E1">
      <w:pPr>
        <w:spacing w:after="0" w:line="480" w:lineRule="auto"/>
        <w:jc w:val="both"/>
        <w:rPr>
          <w:sz w:val="24"/>
          <w:szCs w:val="24"/>
        </w:rPr>
      </w:pPr>
      <w:r w:rsidRPr="00621C69">
        <w:rPr>
          <w:sz w:val="24"/>
          <w:szCs w:val="24"/>
        </w:rPr>
        <w:t xml:space="preserve">The ELS strips were successful in that they had more target species and resources than the paired control (crop) strips. Generalized linear mixed models using Poison errors and pairing ELS and control strips showed the former had higher bumblebee numbers (mean </w:t>
      </w:r>
      <w:r w:rsidRPr="00621C69">
        <w:rPr>
          <w:i/>
          <w:sz w:val="24"/>
          <w:szCs w:val="24"/>
        </w:rPr>
        <w:t>per</w:t>
      </w:r>
      <w:r w:rsidRPr="00621C69">
        <w:rPr>
          <w:sz w:val="24"/>
          <w:szCs w:val="24"/>
        </w:rPr>
        <w:t xml:space="preserve"> strip, </w:t>
      </w:r>
      <w:r w:rsidRPr="00621C69">
        <w:rPr>
          <w:i/>
          <w:sz w:val="24"/>
          <w:szCs w:val="24"/>
        </w:rPr>
        <w:t>per</w:t>
      </w:r>
      <w:r w:rsidRPr="00621C69">
        <w:rPr>
          <w:sz w:val="24"/>
          <w:szCs w:val="24"/>
        </w:rPr>
        <w:t xml:space="preserve"> year 10.6 </w:t>
      </w:r>
      <w:r w:rsidR="00C50628">
        <w:rPr>
          <w:sz w:val="24"/>
          <w:szCs w:val="24"/>
        </w:rPr>
        <w:t xml:space="preserve">vs. </w:t>
      </w:r>
      <w:r w:rsidRPr="00621C69">
        <w:rPr>
          <w:sz w:val="24"/>
          <w:szCs w:val="24"/>
        </w:rPr>
        <w:t xml:space="preserve">0.3; </w:t>
      </w:r>
      <w:r w:rsidRPr="00621C69">
        <w:rPr>
          <w:i/>
          <w:sz w:val="24"/>
          <w:szCs w:val="24"/>
        </w:rPr>
        <w:t>F</w:t>
      </w:r>
      <w:r w:rsidRPr="00621C69">
        <w:rPr>
          <w:sz w:val="24"/>
          <w:szCs w:val="24"/>
          <w:vertAlign w:val="subscript"/>
        </w:rPr>
        <w:t xml:space="preserve">1,242 </w:t>
      </w:r>
      <w:r w:rsidRPr="00621C69">
        <w:rPr>
          <w:sz w:val="24"/>
          <w:szCs w:val="24"/>
        </w:rPr>
        <w:t xml:space="preserve">= 686, </w:t>
      </w:r>
      <w:r w:rsidRPr="00621C69">
        <w:rPr>
          <w:i/>
          <w:sz w:val="24"/>
          <w:szCs w:val="24"/>
        </w:rPr>
        <w:t>P</w:t>
      </w:r>
      <w:r w:rsidRPr="00621C69">
        <w:rPr>
          <w:sz w:val="24"/>
          <w:szCs w:val="24"/>
        </w:rPr>
        <w:t xml:space="preserve">&lt;0.001) and species (2.0 </w:t>
      </w:r>
      <w:r w:rsidR="00C50628">
        <w:rPr>
          <w:sz w:val="24"/>
          <w:szCs w:val="24"/>
        </w:rPr>
        <w:t>vs.</w:t>
      </w:r>
      <w:r w:rsidRPr="00621C69">
        <w:rPr>
          <w:sz w:val="24"/>
          <w:szCs w:val="24"/>
        </w:rPr>
        <w:t xml:space="preserve"> 0.1; </w:t>
      </w:r>
      <w:r w:rsidRPr="00621C69">
        <w:rPr>
          <w:i/>
          <w:sz w:val="24"/>
          <w:szCs w:val="24"/>
        </w:rPr>
        <w:t>F</w:t>
      </w:r>
      <w:r w:rsidRPr="00621C69">
        <w:rPr>
          <w:sz w:val="24"/>
          <w:szCs w:val="24"/>
          <w:vertAlign w:val="subscript"/>
        </w:rPr>
        <w:t xml:space="preserve">1,242 </w:t>
      </w:r>
      <w:r w:rsidRPr="00621C69">
        <w:rPr>
          <w:sz w:val="24"/>
          <w:szCs w:val="24"/>
        </w:rPr>
        <w:t xml:space="preserve">= 91, </w:t>
      </w:r>
      <w:r w:rsidRPr="00621C69">
        <w:rPr>
          <w:i/>
          <w:sz w:val="24"/>
          <w:szCs w:val="24"/>
        </w:rPr>
        <w:t>P</w:t>
      </w:r>
      <w:r w:rsidRPr="00621C69">
        <w:rPr>
          <w:sz w:val="24"/>
          <w:szCs w:val="24"/>
        </w:rPr>
        <w:t xml:space="preserve">&lt;0.001), butterfly numbers (6.1 </w:t>
      </w:r>
      <w:r w:rsidR="00C50628">
        <w:rPr>
          <w:sz w:val="24"/>
          <w:szCs w:val="24"/>
        </w:rPr>
        <w:t>vs.</w:t>
      </w:r>
      <w:r w:rsidRPr="00621C69">
        <w:rPr>
          <w:sz w:val="24"/>
          <w:szCs w:val="24"/>
        </w:rPr>
        <w:t xml:space="preserve"> 0.6; </w:t>
      </w:r>
      <w:r w:rsidRPr="00621C69">
        <w:rPr>
          <w:i/>
          <w:sz w:val="24"/>
          <w:szCs w:val="24"/>
        </w:rPr>
        <w:t>F</w:t>
      </w:r>
      <w:r w:rsidRPr="00621C69">
        <w:rPr>
          <w:sz w:val="24"/>
          <w:szCs w:val="24"/>
          <w:vertAlign w:val="subscript"/>
        </w:rPr>
        <w:t xml:space="preserve">1,242 </w:t>
      </w:r>
      <w:r w:rsidRPr="00621C69">
        <w:rPr>
          <w:sz w:val="24"/>
          <w:szCs w:val="24"/>
        </w:rPr>
        <w:t xml:space="preserve">= 346, </w:t>
      </w:r>
      <w:r w:rsidRPr="00621C69">
        <w:rPr>
          <w:i/>
          <w:sz w:val="24"/>
          <w:szCs w:val="24"/>
        </w:rPr>
        <w:t>P</w:t>
      </w:r>
      <w:r w:rsidRPr="00621C69">
        <w:rPr>
          <w:sz w:val="24"/>
          <w:szCs w:val="24"/>
        </w:rPr>
        <w:t xml:space="preserve">&lt;0.001) and species (2.2 </w:t>
      </w:r>
      <w:r w:rsidR="00C50628">
        <w:rPr>
          <w:sz w:val="24"/>
          <w:szCs w:val="24"/>
        </w:rPr>
        <w:t>vs.</w:t>
      </w:r>
      <w:r w:rsidRPr="00621C69">
        <w:rPr>
          <w:sz w:val="24"/>
          <w:szCs w:val="24"/>
        </w:rPr>
        <w:t xml:space="preserve"> 0.5; </w:t>
      </w:r>
      <w:r w:rsidRPr="00621C69">
        <w:rPr>
          <w:i/>
          <w:sz w:val="24"/>
          <w:szCs w:val="24"/>
        </w:rPr>
        <w:t>F</w:t>
      </w:r>
      <w:r w:rsidRPr="00621C69">
        <w:rPr>
          <w:sz w:val="24"/>
          <w:szCs w:val="24"/>
          <w:vertAlign w:val="subscript"/>
        </w:rPr>
        <w:t xml:space="preserve">1,242 </w:t>
      </w:r>
      <w:r w:rsidRPr="00621C69">
        <w:rPr>
          <w:sz w:val="24"/>
          <w:szCs w:val="24"/>
        </w:rPr>
        <w:t xml:space="preserve">= 75, </w:t>
      </w:r>
      <w:r w:rsidRPr="00621C69">
        <w:rPr>
          <w:i/>
          <w:sz w:val="24"/>
          <w:szCs w:val="24"/>
        </w:rPr>
        <w:t>P</w:t>
      </w:r>
      <w:r w:rsidRPr="00621C69">
        <w:rPr>
          <w:sz w:val="24"/>
          <w:szCs w:val="24"/>
        </w:rPr>
        <w:t xml:space="preserve">&lt;0.001), flower numbers (672 </w:t>
      </w:r>
      <w:r w:rsidR="00C50628">
        <w:rPr>
          <w:sz w:val="24"/>
          <w:szCs w:val="24"/>
        </w:rPr>
        <w:t>vs.</w:t>
      </w:r>
      <w:r w:rsidRPr="00621C69">
        <w:rPr>
          <w:sz w:val="24"/>
          <w:szCs w:val="24"/>
        </w:rPr>
        <w:t xml:space="preserve"> 71; </w:t>
      </w:r>
      <w:r w:rsidRPr="00621C69">
        <w:rPr>
          <w:i/>
          <w:sz w:val="24"/>
          <w:szCs w:val="24"/>
        </w:rPr>
        <w:t>F</w:t>
      </w:r>
      <w:r w:rsidRPr="00621C69">
        <w:rPr>
          <w:sz w:val="24"/>
          <w:szCs w:val="24"/>
          <w:vertAlign w:val="subscript"/>
        </w:rPr>
        <w:t xml:space="preserve">1,242 </w:t>
      </w:r>
      <w:r w:rsidRPr="00621C69">
        <w:rPr>
          <w:sz w:val="24"/>
          <w:szCs w:val="24"/>
        </w:rPr>
        <w:t xml:space="preserve">= 39676, </w:t>
      </w:r>
      <w:r w:rsidRPr="00621C69">
        <w:rPr>
          <w:i/>
          <w:sz w:val="24"/>
          <w:szCs w:val="24"/>
        </w:rPr>
        <w:t>P</w:t>
      </w:r>
      <w:r w:rsidRPr="00621C69">
        <w:rPr>
          <w:sz w:val="24"/>
          <w:szCs w:val="24"/>
        </w:rPr>
        <w:t xml:space="preserve">&lt;0.001), granivorous bird numbers (63 </w:t>
      </w:r>
      <w:r w:rsidR="00C50628">
        <w:rPr>
          <w:sz w:val="24"/>
          <w:szCs w:val="24"/>
        </w:rPr>
        <w:t>vs.</w:t>
      </w:r>
      <w:r w:rsidRPr="00621C69">
        <w:rPr>
          <w:sz w:val="24"/>
          <w:szCs w:val="24"/>
        </w:rPr>
        <w:t xml:space="preserve"> 1.7; </w:t>
      </w:r>
      <w:r w:rsidRPr="00621C69">
        <w:rPr>
          <w:i/>
          <w:sz w:val="24"/>
          <w:szCs w:val="24"/>
        </w:rPr>
        <w:t>F</w:t>
      </w:r>
      <w:r w:rsidRPr="00621C69">
        <w:rPr>
          <w:sz w:val="24"/>
          <w:szCs w:val="24"/>
          <w:vertAlign w:val="subscript"/>
        </w:rPr>
        <w:t xml:space="preserve">1,230 </w:t>
      </w:r>
      <w:r w:rsidRPr="00621C69">
        <w:rPr>
          <w:sz w:val="24"/>
          <w:szCs w:val="24"/>
        </w:rPr>
        <w:t xml:space="preserve">= 2946, </w:t>
      </w:r>
      <w:r w:rsidRPr="00621C69">
        <w:rPr>
          <w:i/>
          <w:sz w:val="24"/>
          <w:szCs w:val="24"/>
        </w:rPr>
        <w:t>P</w:t>
      </w:r>
      <w:r w:rsidRPr="00621C69">
        <w:rPr>
          <w:sz w:val="24"/>
          <w:szCs w:val="24"/>
        </w:rPr>
        <w:t xml:space="preserve">&lt;0.001) and species (4.4 </w:t>
      </w:r>
      <w:r w:rsidR="00C50628">
        <w:rPr>
          <w:sz w:val="24"/>
          <w:szCs w:val="24"/>
        </w:rPr>
        <w:t>vs.</w:t>
      </w:r>
      <w:r w:rsidRPr="00621C69">
        <w:rPr>
          <w:sz w:val="24"/>
          <w:szCs w:val="24"/>
        </w:rPr>
        <w:t xml:space="preserve"> 1.1; </w:t>
      </w:r>
      <w:r w:rsidRPr="00621C69">
        <w:rPr>
          <w:i/>
          <w:sz w:val="24"/>
          <w:szCs w:val="24"/>
        </w:rPr>
        <w:t>F</w:t>
      </w:r>
      <w:r w:rsidRPr="00621C69">
        <w:rPr>
          <w:sz w:val="24"/>
          <w:szCs w:val="24"/>
          <w:vertAlign w:val="subscript"/>
        </w:rPr>
        <w:t xml:space="preserve">1,230 </w:t>
      </w:r>
      <w:r w:rsidRPr="00621C69">
        <w:rPr>
          <w:sz w:val="24"/>
          <w:szCs w:val="24"/>
        </w:rPr>
        <w:t xml:space="preserve">= 150, </w:t>
      </w:r>
      <w:r w:rsidRPr="00621C69">
        <w:rPr>
          <w:i/>
          <w:sz w:val="24"/>
          <w:szCs w:val="24"/>
        </w:rPr>
        <w:t>P</w:t>
      </w:r>
      <w:r w:rsidRPr="00621C69">
        <w:rPr>
          <w:sz w:val="24"/>
          <w:szCs w:val="24"/>
        </w:rPr>
        <w:t xml:space="preserve">&lt;0.001), and seed weight (124 </w:t>
      </w:r>
      <w:r w:rsidR="00C50628">
        <w:rPr>
          <w:sz w:val="24"/>
          <w:szCs w:val="24"/>
        </w:rPr>
        <w:t>vs.</w:t>
      </w:r>
      <w:r w:rsidRPr="00621C69">
        <w:rPr>
          <w:sz w:val="24"/>
          <w:szCs w:val="24"/>
        </w:rPr>
        <w:t xml:space="preserve"> 0 g; </w:t>
      </w:r>
      <w:r w:rsidRPr="00621C69">
        <w:rPr>
          <w:i/>
          <w:sz w:val="24"/>
          <w:szCs w:val="24"/>
        </w:rPr>
        <w:t>F</w:t>
      </w:r>
      <w:r w:rsidRPr="00621C69">
        <w:rPr>
          <w:sz w:val="24"/>
          <w:szCs w:val="24"/>
          <w:vertAlign w:val="subscript"/>
        </w:rPr>
        <w:t xml:space="preserve">1,230 </w:t>
      </w:r>
      <w:r w:rsidRPr="00621C69">
        <w:rPr>
          <w:sz w:val="24"/>
          <w:szCs w:val="24"/>
        </w:rPr>
        <w:t xml:space="preserve">= 2629, </w:t>
      </w:r>
      <w:r w:rsidRPr="00621C69">
        <w:rPr>
          <w:i/>
          <w:sz w:val="24"/>
          <w:szCs w:val="24"/>
        </w:rPr>
        <w:t>P</w:t>
      </w:r>
      <w:r w:rsidRPr="00621C69">
        <w:rPr>
          <w:sz w:val="24"/>
          <w:szCs w:val="24"/>
        </w:rPr>
        <w:t>&lt;0.001).</w:t>
      </w:r>
    </w:p>
    <w:p w:rsidR="00490E27" w:rsidRPr="00621C69" w:rsidRDefault="00490E27" w:rsidP="004B55E1">
      <w:pPr>
        <w:spacing w:after="0" w:line="480" w:lineRule="auto"/>
        <w:jc w:val="both"/>
        <w:rPr>
          <w:sz w:val="24"/>
          <w:szCs w:val="24"/>
        </w:rPr>
      </w:pPr>
    </w:p>
    <w:p w:rsidR="00490E27" w:rsidRPr="00621C69" w:rsidRDefault="00490E27" w:rsidP="004B55E1">
      <w:pPr>
        <w:pStyle w:val="Heading1"/>
        <w:spacing w:before="0" w:line="480" w:lineRule="auto"/>
        <w:jc w:val="both"/>
        <w:rPr>
          <w:rFonts w:asciiTheme="minorHAnsi" w:hAnsiTheme="minorHAnsi"/>
          <w:b w:val="0"/>
          <w:sz w:val="24"/>
          <w:szCs w:val="24"/>
        </w:rPr>
      </w:pPr>
      <w:r w:rsidRPr="00621C69">
        <w:rPr>
          <w:rFonts w:asciiTheme="minorHAnsi" w:hAnsiTheme="minorHAnsi"/>
          <w:b w:val="0"/>
          <w:sz w:val="24"/>
          <w:szCs w:val="24"/>
        </w:rPr>
        <w:t>BIODIVERSITY OUTCOMES</w:t>
      </w:r>
    </w:p>
    <w:p w:rsidR="00490E27" w:rsidRPr="00621C69" w:rsidRDefault="00490E27" w:rsidP="004B55E1">
      <w:pPr>
        <w:spacing w:after="0" w:line="480" w:lineRule="auto"/>
        <w:jc w:val="both"/>
        <w:rPr>
          <w:sz w:val="24"/>
          <w:szCs w:val="24"/>
        </w:rPr>
      </w:pPr>
      <w:r w:rsidRPr="00621C69">
        <w:rPr>
          <w:sz w:val="24"/>
          <w:szCs w:val="24"/>
        </w:rPr>
        <w:t xml:space="preserve">The </w:t>
      </w:r>
      <w:proofErr w:type="spellStart"/>
      <w:r w:rsidRPr="00621C69">
        <w:rPr>
          <w:sz w:val="24"/>
          <w:szCs w:val="24"/>
        </w:rPr>
        <w:t>agri</w:t>
      </w:r>
      <w:proofErr w:type="spellEnd"/>
      <w:r w:rsidRPr="00621C69">
        <w:rPr>
          <w:sz w:val="24"/>
          <w:szCs w:val="24"/>
        </w:rPr>
        <w:t>-environment strips had a wide range of bumblebee numbers (</w:t>
      </w:r>
      <w:r w:rsidRPr="00621C69">
        <w:rPr>
          <w:i/>
          <w:sz w:val="24"/>
          <w:szCs w:val="24"/>
        </w:rPr>
        <w:t>per</w:t>
      </w:r>
      <w:r w:rsidRPr="00621C69">
        <w:rPr>
          <w:sz w:val="24"/>
          <w:szCs w:val="24"/>
        </w:rPr>
        <w:t xml:space="preserve"> strip, </w:t>
      </w:r>
      <w:r w:rsidRPr="00621C69">
        <w:rPr>
          <w:i/>
          <w:sz w:val="24"/>
          <w:szCs w:val="24"/>
        </w:rPr>
        <w:t>per</w:t>
      </w:r>
      <w:r w:rsidRPr="00621C69">
        <w:rPr>
          <w:sz w:val="24"/>
          <w:szCs w:val="24"/>
        </w:rPr>
        <w:t xml:space="preserve"> year; 0</w:t>
      </w:r>
      <w:r w:rsidR="00A45B42">
        <w:rPr>
          <w:sz w:val="24"/>
          <w:szCs w:val="24"/>
        </w:rPr>
        <w:t>–</w:t>
      </w:r>
      <w:r w:rsidRPr="00621C69">
        <w:rPr>
          <w:sz w:val="24"/>
          <w:szCs w:val="24"/>
        </w:rPr>
        <w:t>97) and species (0</w:t>
      </w:r>
      <w:r w:rsidR="00A45B42">
        <w:rPr>
          <w:sz w:val="24"/>
          <w:szCs w:val="24"/>
        </w:rPr>
        <w:t>–</w:t>
      </w:r>
      <w:r w:rsidRPr="00621C69">
        <w:rPr>
          <w:sz w:val="24"/>
          <w:szCs w:val="24"/>
        </w:rPr>
        <w:t>6), butterfly numbers (0</w:t>
      </w:r>
      <w:r w:rsidR="00A45B42">
        <w:rPr>
          <w:sz w:val="24"/>
          <w:szCs w:val="24"/>
        </w:rPr>
        <w:t>–</w:t>
      </w:r>
      <w:r w:rsidRPr="00621C69">
        <w:rPr>
          <w:sz w:val="24"/>
          <w:szCs w:val="24"/>
        </w:rPr>
        <w:t>50) and species (0</w:t>
      </w:r>
      <w:r w:rsidR="00A45B42">
        <w:rPr>
          <w:sz w:val="24"/>
          <w:szCs w:val="24"/>
        </w:rPr>
        <w:t>–</w:t>
      </w:r>
      <w:r w:rsidRPr="00621C69">
        <w:rPr>
          <w:sz w:val="24"/>
          <w:szCs w:val="24"/>
        </w:rPr>
        <w:t>8), and granivorous bird numbers (0</w:t>
      </w:r>
      <w:r w:rsidR="00A45B42">
        <w:rPr>
          <w:sz w:val="24"/>
          <w:szCs w:val="24"/>
        </w:rPr>
        <w:t>–</w:t>
      </w:r>
      <w:r w:rsidRPr="00621C69">
        <w:rPr>
          <w:sz w:val="24"/>
          <w:szCs w:val="24"/>
        </w:rPr>
        <w:t>485) and species (0</w:t>
      </w:r>
      <w:r w:rsidR="00A45B42">
        <w:rPr>
          <w:sz w:val="24"/>
          <w:szCs w:val="24"/>
        </w:rPr>
        <w:t>–</w:t>
      </w:r>
      <w:r w:rsidRPr="00621C69">
        <w:rPr>
          <w:sz w:val="24"/>
          <w:szCs w:val="24"/>
        </w:rPr>
        <w:t>13). The global models explained variation in each response quite well (R</w:t>
      </w:r>
      <w:r w:rsidRPr="00621C69">
        <w:rPr>
          <w:sz w:val="24"/>
          <w:szCs w:val="24"/>
          <w:vertAlign w:val="superscript"/>
        </w:rPr>
        <w:t>2</w:t>
      </w:r>
      <w:r w:rsidRPr="00621C69">
        <w:rPr>
          <w:sz w:val="24"/>
          <w:szCs w:val="24"/>
        </w:rPr>
        <w:t xml:space="preserve"> = 0.28</w:t>
      </w:r>
      <w:r w:rsidR="00A45B42">
        <w:rPr>
          <w:sz w:val="24"/>
          <w:szCs w:val="24"/>
        </w:rPr>
        <w:t>–</w:t>
      </w:r>
      <w:r w:rsidRPr="00621C69">
        <w:rPr>
          <w:sz w:val="24"/>
          <w:szCs w:val="24"/>
        </w:rPr>
        <w:t xml:space="preserve">0.68), and to a similar extent to other large-scale agro-ecology studies </w:t>
      </w:r>
      <w:r w:rsidRPr="00621C69">
        <w:rPr>
          <w:noProof/>
          <w:sz w:val="24"/>
          <w:szCs w:val="24"/>
        </w:rPr>
        <w:t>(Gabriel</w:t>
      </w:r>
      <w:r w:rsidRPr="00621C69">
        <w:rPr>
          <w:i/>
          <w:noProof/>
          <w:sz w:val="24"/>
          <w:szCs w:val="24"/>
        </w:rPr>
        <w:t xml:space="preserve"> et al.</w:t>
      </w:r>
      <w:r w:rsidRPr="00621C69">
        <w:rPr>
          <w:noProof/>
          <w:sz w:val="24"/>
          <w:szCs w:val="24"/>
        </w:rPr>
        <w:t xml:space="preserve"> 2010)</w:t>
      </w:r>
      <w:r w:rsidRPr="00621C69">
        <w:rPr>
          <w:sz w:val="24"/>
          <w:szCs w:val="24"/>
        </w:rPr>
        <w:t xml:space="preserve">. The most important explanatory variables were those describing the local environment (Table 1). Bumblebees, butterflies and birds were more abundant and diverse in strips which had more abundant and diverse flowers or a greater seed mass (Fig. 1), and in strips which were more sheltered. Weather conditions during the survey had generally minor importance, which may be because the surveys were done during a narrow set of benign conditions. Unsurprisingly, farmer social variables had little </w:t>
      </w:r>
      <w:r w:rsidRPr="00621C69">
        <w:rPr>
          <w:sz w:val="24"/>
          <w:szCs w:val="24"/>
        </w:rPr>
        <w:lastRenderedPageBreak/>
        <w:t>direct importance for biodiversity measures although there were more bumblebee numbers and species on farms with more experienced farmers, and more butterfly species where farmers placed their strips in locations they considered best for wildlife.</w:t>
      </w:r>
    </w:p>
    <w:p w:rsidR="00490E27" w:rsidRPr="00621C69" w:rsidRDefault="00490E27" w:rsidP="004B55E1">
      <w:pPr>
        <w:spacing w:after="0" w:line="480" w:lineRule="auto"/>
        <w:rPr>
          <w:sz w:val="24"/>
          <w:szCs w:val="24"/>
        </w:rPr>
      </w:pPr>
    </w:p>
    <w:p w:rsidR="00490E27" w:rsidRPr="00621C69" w:rsidRDefault="00490E27" w:rsidP="004B55E1">
      <w:pPr>
        <w:spacing w:after="0" w:line="480" w:lineRule="auto"/>
        <w:jc w:val="both"/>
        <w:rPr>
          <w:sz w:val="24"/>
          <w:szCs w:val="24"/>
        </w:rPr>
      </w:pPr>
      <w:r w:rsidRPr="00621C69">
        <w:rPr>
          <w:sz w:val="24"/>
          <w:szCs w:val="24"/>
        </w:rPr>
        <w:t>Region had contrasting effects, with south-western farms having more bumblebee numbers and species, fewer butterfly numbers and species, and similar bird numbers and species to eastern farms. Landscape factors were often important, in that both the percentage of semi-natural habitat and the size of the species pool had (surprisingly) negative relationships with biodiversity. Bird numbers and species were enhanced under higher winter minimum temperatures, and a similar pattern was seen for insect numbers in relation to summer maximum temperatures.</w:t>
      </w:r>
    </w:p>
    <w:p w:rsidR="00490E27" w:rsidRPr="00621C69" w:rsidRDefault="00490E27" w:rsidP="004B55E1">
      <w:pPr>
        <w:spacing w:after="0" w:line="480" w:lineRule="auto"/>
        <w:rPr>
          <w:sz w:val="24"/>
          <w:szCs w:val="24"/>
        </w:rPr>
      </w:pPr>
    </w:p>
    <w:p w:rsidR="00490E27" w:rsidRPr="00621C69" w:rsidRDefault="00490E27" w:rsidP="004B55E1">
      <w:pPr>
        <w:spacing w:after="0" w:line="480" w:lineRule="auto"/>
        <w:rPr>
          <w:sz w:val="24"/>
          <w:szCs w:val="24"/>
        </w:rPr>
      </w:pPr>
      <w:r w:rsidRPr="00621C69">
        <w:rPr>
          <w:sz w:val="24"/>
          <w:szCs w:val="24"/>
        </w:rPr>
        <w:t>HABITAT QUALITY OUTCOMES</w:t>
      </w:r>
    </w:p>
    <w:p w:rsidR="00490E27" w:rsidRPr="00621C69" w:rsidRDefault="00490E27" w:rsidP="004B55E1">
      <w:pPr>
        <w:spacing w:after="0" w:line="480" w:lineRule="auto"/>
        <w:jc w:val="both"/>
        <w:rPr>
          <w:sz w:val="24"/>
          <w:szCs w:val="24"/>
        </w:rPr>
      </w:pPr>
      <w:r w:rsidRPr="00621C69">
        <w:rPr>
          <w:sz w:val="24"/>
          <w:szCs w:val="24"/>
        </w:rPr>
        <w:t>There was large variation among strips in flower number (</w:t>
      </w:r>
      <w:r w:rsidRPr="00621C69">
        <w:rPr>
          <w:i/>
          <w:sz w:val="24"/>
          <w:szCs w:val="24"/>
        </w:rPr>
        <w:t>per</w:t>
      </w:r>
      <w:r w:rsidRPr="00621C69">
        <w:rPr>
          <w:sz w:val="24"/>
          <w:szCs w:val="24"/>
        </w:rPr>
        <w:t xml:space="preserve"> strip, </w:t>
      </w:r>
      <w:r w:rsidRPr="00621C69">
        <w:rPr>
          <w:i/>
          <w:sz w:val="24"/>
          <w:szCs w:val="24"/>
        </w:rPr>
        <w:t>per</w:t>
      </w:r>
      <w:r w:rsidRPr="00621C69">
        <w:rPr>
          <w:sz w:val="24"/>
          <w:szCs w:val="24"/>
        </w:rPr>
        <w:t xml:space="preserve"> year; 0</w:t>
      </w:r>
      <w:r w:rsidR="001F3456">
        <w:rPr>
          <w:sz w:val="24"/>
          <w:szCs w:val="24"/>
        </w:rPr>
        <w:t>–</w:t>
      </w:r>
      <w:r w:rsidRPr="00621C69">
        <w:rPr>
          <w:sz w:val="24"/>
          <w:szCs w:val="24"/>
        </w:rPr>
        <w:t>9329) and species (0</w:t>
      </w:r>
      <w:r w:rsidR="001F3456">
        <w:rPr>
          <w:sz w:val="24"/>
          <w:szCs w:val="24"/>
        </w:rPr>
        <w:t>–</w:t>
      </w:r>
      <w:r w:rsidRPr="00621C69">
        <w:rPr>
          <w:sz w:val="24"/>
          <w:szCs w:val="24"/>
        </w:rPr>
        <w:t>17), or seed weight (0</w:t>
      </w:r>
      <w:r w:rsidR="001F3456">
        <w:rPr>
          <w:sz w:val="24"/>
          <w:szCs w:val="24"/>
        </w:rPr>
        <w:t>–</w:t>
      </w:r>
      <w:r w:rsidRPr="00621C69">
        <w:rPr>
          <w:sz w:val="24"/>
          <w:szCs w:val="24"/>
        </w:rPr>
        <w:t>597 mg). No model explained variation in flower species richness in the NFM strips well (R</w:t>
      </w:r>
      <w:r w:rsidRPr="00621C69">
        <w:rPr>
          <w:sz w:val="24"/>
          <w:szCs w:val="24"/>
          <w:vertAlign w:val="superscript"/>
        </w:rPr>
        <w:t>2</w:t>
      </w:r>
      <w:r w:rsidRPr="00621C69">
        <w:rPr>
          <w:sz w:val="24"/>
          <w:szCs w:val="24"/>
        </w:rPr>
        <w:t xml:space="preserve"> ≤ 0.06), and no variable had high importance (Table 2). Models for flower number and seed weight performed better.  According to these, more experienced farmers produced strips with more resources (Fig. 2). Higher flower numbers were also found on strips created by farmers who placed them on the basis of wildlife-focused than utilitarian motives, but the opposite pattern was shown for seed weight. Interestingly, farmers who had envisioned greater problems with establishing and maintaining these habitats produced strips with a greater seed yield. Of the environmental factors, region had little importance and the local conditions were important only in determining flower numbers, which were greater on sites of poorer agricultural quality and </w:t>
      </w:r>
      <w:r w:rsidRPr="00621C69">
        <w:rPr>
          <w:sz w:val="24"/>
          <w:szCs w:val="24"/>
        </w:rPr>
        <w:lastRenderedPageBreak/>
        <w:t xml:space="preserve">which were more sheltered. Flower numbers and seed weight were boosted by higher maximum temperatures in the season preceding maturation of flowers (spring) or seeds (summer). In addition, flower numbers were negatively affected by higher temperatures in the summer. </w:t>
      </w:r>
    </w:p>
    <w:p w:rsidR="00490E27" w:rsidRPr="00621C69" w:rsidRDefault="00490E27" w:rsidP="004B55E1">
      <w:pPr>
        <w:spacing w:after="0" w:line="480" w:lineRule="auto"/>
        <w:rPr>
          <w:sz w:val="24"/>
          <w:szCs w:val="24"/>
        </w:rPr>
      </w:pPr>
    </w:p>
    <w:p w:rsidR="00490E27" w:rsidRPr="00621C69" w:rsidRDefault="00490E27" w:rsidP="004B55E1">
      <w:pPr>
        <w:spacing w:after="0" w:line="480" w:lineRule="auto"/>
        <w:rPr>
          <w:b/>
          <w:sz w:val="24"/>
          <w:szCs w:val="24"/>
        </w:rPr>
      </w:pPr>
      <w:r w:rsidRPr="00621C69">
        <w:rPr>
          <w:b/>
          <w:sz w:val="24"/>
          <w:szCs w:val="24"/>
        </w:rPr>
        <w:t>Discussion</w:t>
      </w:r>
    </w:p>
    <w:p w:rsidR="00490E27" w:rsidRPr="00621C69" w:rsidRDefault="00490E27" w:rsidP="004B55E1">
      <w:pPr>
        <w:spacing w:after="0" w:line="480" w:lineRule="auto"/>
        <w:jc w:val="both"/>
        <w:rPr>
          <w:sz w:val="24"/>
          <w:szCs w:val="24"/>
        </w:rPr>
      </w:pPr>
      <w:r w:rsidRPr="00621C69">
        <w:rPr>
          <w:sz w:val="24"/>
          <w:szCs w:val="24"/>
        </w:rPr>
        <w:t xml:space="preserve">As we hypothesized, the biodiversity outcomes of the </w:t>
      </w:r>
      <w:proofErr w:type="spellStart"/>
      <w:r w:rsidRPr="00621C69">
        <w:rPr>
          <w:sz w:val="24"/>
          <w:szCs w:val="24"/>
        </w:rPr>
        <w:t>agri</w:t>
      </w:r>
      <w:proofErr w:type="spellEnd"/>
      <w:r w:rsidRPr="00621C69">
        <w:rPr>
          <w:sz w:val="24"/>
          <w:szCs w:val="24"/>
        </w:rPr>
        <w:t xml:space="preserve">-environment schemes were influenced by a range of factors, including landscape variables, the quality of the local habitat, seasonal weather and conditions during the surveys. Habitat quality itself – i.e. floral or seed resources – responded to </w:t>
      </w:r>
      <w:r w:rsidR="00E61E90">
        <w:rPr>
          <w:sz w:val="24"/>
          <w:szCs w:val="24"/>
        </w:rPr>
        <w:t xml:space="preserve">the </w:t>
      </w:r>
      <w:r w:rsidRPr="00621C69">
        <w:rPr>
          <w:sz w:val="24"/>
          <w:szCs w:val="24"/>
        </w:rPr>
        <w:t xml:space="preserve">farmers’ experience and understanding of </w:t>
      </w:r>
      <w:proofErr w:type="spellStart"/>
      <w:r w:rsidRPr="00621C69">
        <w:rPr>
          <w:sz w:val="24"/>
          <w:szCs w:val="24"/>
        </w:rPr>
        <w:t>agri</w:t>
      </w:r>
      <w:proofErr w:type="spellEnd"/>
      <w:r w:rsidRPr="00621C69">
        <w:rPr>
          <w:sz w:val="24"/>
          <w:szCs w:val="24"/>
        </w:rPr>
        <w:t xml:space="preserve">-environmental management as well as local environment and seasonal weather. Below we consider the factors in detail, but this study has highlighted the importance of multiple drivers in explaining variation in the success of </w:t>
      </w:r>
      <w:proofErr w:type="spellStart"/>
      <w:r w:rsidRPr="00621C69">
        <w:rPr>
          <w:sz w:val="24"/>
          <w:szCs w:val="24"/>
        </w:rPr>
        <w:t>agri</w:t>
      </w:r>
      <w:proofErr w:type="spellEnd"/>
      <w:r w:rsidRPr="00621C69">
        <w:rPr>
          <w:sz w:val="24"/>
          <w:szCs w:val="24"/>
        </w:rPr>
        <w:t xml:space="preserve">-environment schemes. This builds on previous work, which has shown that a suite of factors are required for </w:t>
      </w:r>
      <w:proofErr w:type="spellStart"/>
      <w:r w:rsidRPr="00621C69">
        <w:rPr>
          <w:sz w:val="24"/>
          <w:szCs w:val="24"/>
        </w:rPr>
        <w:t>agri</w:t>
      </w:r>
      <w:proofErr w:type="spellEnd"/>
      <w:r w:rsidRPr="00621C69">
        <w:rPr>
          <w:sz w:val="24"/>
          <w:szCs w:val="24"/>
        </w:rPr>
        <w:t xml:space="preserve">-environment success, including relevant prescriptions, adequate management and proximity to source populations </w:t>
      </w:r>
      <w:r w:rsidRPr="00621C69">
        <w:rPr>
          <w:noProof/>
          <w:sz w:val="24"/>
          <w:szCs w:val="24"/>
        </w:rPr>
        <w:t>(Whittingham 2011; Pywell</w:t>
      </w:r>
      <w:r w:rsidRPr="00621C69">
        <w:rPr>
          <w:i/>
          <w:noProof/>
          <w:sz w:val="24"/>
          <w:szCs w:val="24"/>
        </w:rPr>
        <w:t xml:space="preserve"> et al.</w:t>
      </w:r>
      <w:r w:rsidRPr="00621C69">
        <w:rPr>
          <w:noProof/>
          <w:sz w:val="24"/>
          <w:szCs w:val="24"/>
        </w:rPr>
        <w:t xml:space="preserve"> 2012)</w:t>
      </w:r>
      <w:r w:rsidRPr="00621C69">
        <w:rPr>
          <w:sz w:val="24"/>
          <w:szCs w:val="24"/>
        </w:rPr>
        <w:t xml:space="preserve">. We have for the first time demonstrated the direct roles of social alongside these ecological factors. This interdisciplinary insight suggests actions to improve the success of </w:t>
      </w:r>
      <w:proofErr w:type="spellStart"/>
      <w:r w:rsidRPr="00621C69">
        <w:rPr>
          <w:sz w:val="24"/>
          <w:szCs w:val="24"/>
        </w:rPr>
        <w:t>agri</w:t>
      </w:r>
      <w:proofErr w:type="spellEnd"/>
      <w:r w:rsidRPr="00621C69">
        <w:rPr>
          <w:sz w:val="24"/>
          <w:szCs w:val="24"/>
        </w:rPr>
        <w:t xml:space="preserve">-environment schemes need to consider farmers’ motivations, landscape factors and the local environment. </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FARMER EXPERIENCE AND UNDERSTANDING</w:t>
      </w:r>
    </w:p>
    <w:p w:rsidR="00490E27" w:rsidRPr="00621C69" w:rsidRDefault="00490E27" w:rsidP="004B55E1">
      <w:pPr>
        <w:spacing w:after="0" w:line="480" w:lineRule="auto"/>
        <w:jc w:val="both"/>
        <w:rPr>
          <w:sz w:val="24"/>
          <w:szCs w:val="24"/>
        </w:rPr>
      </w:pPr>
      <w:r w:rsidRPr="00621C69">
        <w:rPr>
          <w:sz w:val="24"/>
          <w:szCs w:val="24"/>
        </w:rPr>
        <w:t xml:space="preserve">While social scientists have researched farmers’ attitudes and motivations towards </w:t>
      </w:r>
      <w:proofErr w:type="spellStart"/>
      <w:r w:rsidRPr="00621C69">
        <w:rPr>
          <w:sz w:val="24"/>
          <w:szCs w:val="24"/>
        </w:rPr>
        <w:t>agri</w:t>
      </w:r>
      <w:proofErr w:type="spellEnd"/>
      <w:r w:rsidRPr="00621C69">
        <w:rPr>
          <w:sz w:val="24"/>
          <w:szCs w:val="24"/>
        </w:rPr>
        <w:t xml:space="preserve">-environmental management </w:t>
      </w:r>
      <w:r w:rsidRPr="00621C69">
        <w:rPr>
          <w:noProof/>
          <w:sz w:val="24"/>
          <w:szCs w:val="24"/>
        </w:rPr>
        <w:t>(de Snoo</w:t>
      </w:r>
      <w:r w:rsidRPr="00621C69">
        <w:rPr>
          <w:i/>
          <w:noProof/>
          <w:sz w:val="24"/>
          <w:szCs w:val="24"/>
        </w:rPr>
        <w:t xml:space="preserve"> et al.</w:t>
      </w:r>
      <w:r w:rsidRPr="00621C69">
        <w:rPr>
          <w:noProof/>
          <w:sz w:val="24"/>
          <w:szCs w:val="24"/>
        </w:rPr>
        <w:t xml:space="preserve"> 2013)</w:t>
      </w:r>
      <w:r w:rsidRPr="00621C69">
        <w:rPr>
          <w:sz w:val="24"/>
          <w:szCs w:val="24"/>
        </w:rPr>
        <w:t xml:space="preserve">, little is known about whether and how </w:t>
      </w:r>
      <w:r w:rsidRPr="00621C69">
        <w:rPr>
          <w:sz w:val="24"/>
          <w:szCs w:val="24"/>
        </w:rPr>
        <w:lastRenderedPageBreak/>
        <w:t xml:space="preserve">these social drivers affect biodiversity outcomes. The social and natural sciences have different research traditions, and while there are a number of studies which have used interdisciplinary approaches </w:t>
      </w:r>
      <w:r w:rsidRPr="00621C69">
        <w:rPr>
          <w:noProof/>
          <w:sz w:val="24"/>
          <w:szCs w:val="24"/>
        </w:rPr>
        <w:t>(Phillipson, Lowe &amp; Bullock 2009; Austin, Raffaelli &amp; White 2013)</w:t>
      </w:r>
      <w:r w:rsidRPr="00621C69">
        <w:rPr>
          <w:sz w:val="24"/>
          <w:szCs w:val="24"/>
        </w:rPr>
        <w:t xml:space="preserve"> there is still little work linking social and ecological data in quantitative analyses. Interviews provide complex qualitative data, and those with our farmers revealed a range of previous engagement with </w:t>
      </w:r>
      <w:proofErr w:type="spellStart"/>
      <w:r w:rsidRPr="00621C69">
        <w:rPr>
          <w:sz w:val="24"/>
          <w:szCs w:val="24"/>
        </w:rPr>
        <w:t>agri</w:t>
      </w:r>
      <w:proofErr w:type="spellEnd"/>
      <w:r w:rsidRPr="00621C69">
        <w:rPr>
          <w:sz w:val="24"/>
          <w:szCs w:val="24"/>
        </w:rPr>
        <w:t xml:space="preserve">-environmental management, a variety of opinions about the ease with which farmers felt they would be able to implement the required management, and different motivations for taking part </w:t>
      </w:r>
      <w:r w:rsidRPr="00621C69">
        <w:rPr>
          <w:noProof/>
          <w:sz w:val="24"/>
          <w:szCs w:val="24"/>
        </w:rPr>
        <w:t>(Lobley</w:t>
      </w:r>
      <w:r w:rsidRPr="00621C69">
        <w:rPr>
          <w:i/>
          <w:noProof/>
          <w:sz w:val="24"/>
          <w:szCs w:val="24"/>
        </w:rPr>
        <w:t xml:space="preserve"> et al.</w:t>
      </w:r>
      <w:r w:rsidRPr="00621C69">
        <w:rPr>
          <w:noProof/>
          <w:sz w:val="24"/>
          <w:szCs w:val="24"/>
        </w:rPr>
        <w:t xml:space="preserve"> 2013)</w:t>
      </w:r>
      <w:r w:rsidRPr="00621C69">
        <w:rPr>
          <w:sz w:val="24"/>
          <w:szCs w:val="24"/>
        </w:rPr>
        <w:t>. The social scientists in the project team translated these qualitative responses into quantitative scores, which allowed us to combine social with ecological data in linear mixed models.</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 xml:space="preserve">This approach proved to be powerful in linking biodiversity outcomes to farmer motivations. In the </w:t>
      </w:r>
      <w:proofErr w:type="spellStart"/>
      <w:r w:rsidRPr="00621C69">
        <w:rPr>
          <w:sz w:val="24"/>
          <w:szCs w:val="24"/>
        </w:rPr>
        <w:t>agri</w:t>
      </w:r>
      <w:proofErr w:type="spellEnd"/>
      <w:r w:rsidRPr="00621C69">
        <w:rPr>
          <w:sz w:val="24"/>
          <w:szCs w:val="24"/>
        </w:rPr>
        <w:t xml:space="preserve">-environment options investigated, farmers are asked to establish specific seed mixes in field margins, which supply food resources to the target taxa. Farmers with greater </w:t>
      </w:r>
      <w:proofErr w:type="spellStart"/>
      <w:r w:rsidRPr="00621C69">
        <w:rPr>
          <w:sz w:val="24"/>
          <w:szCs w:val="24"/>
        </w:rPr>
        <w:t>agri</w:t>
      </w:r>
      <w:proofErr w:type="spellEnd"/>
      <w:r w:rsidRPr="00621C69">
        <w:rPr>
          <w:sz w:val="24"/>
          <w:szCs w:val="24"/>
        </w:rPr>
        <w:t xml:space="preserve">-environmental experience produced strips with more of these resources. Experience was scored relative to the length of time and frequency with which farmers stated they had been involved in environmental management. </w:t>
      </w:r>
      <w:proofErr w:type="spellStart"/>
      <w:r w:rsidRPr="00621C69">
        <w:rPr>
          <w:sz w:val="24"/>
          <w:szCs w:val="24"/>
        </w:rPr>
        <w:t>Agri</w:t>
      </w:r>
      <w:proofErr w:type="spellEnd"/>
      <w:r w:rsidRPr="00621C69">
        <w:rPr>
          <w:sz w:val="24"/>
          <w:szCs w:val="24"/>
        </w:rPr>
        <w:t xml:space="preserve">-environment schemes such as that in England, which simply pay farmers to follow specific prescriptions, have been criticized as not actively engaging farmers or allowing them to develop skills in environmental management </w:t>
      </w:r>
      <w:r w:rsidRPr="00621C69">
        <w:rPr>
          <w:noProof/>
          <w:sz w:val="24"/>
          <w:szCs w:val="24"/>
        </w:rPr>
        <w:t>(Burton, Kuczera &amp; Schwarz 2008; de Snoo</w:t>
      </w:r>
      <w:r w:rsidRPr="00621C69">
        <w:rPr>
          <w:i/>
          <w:noProof/>
          <w:sz w:val="24"/>
          <w:szCs w:val="24"/>
        </w:rPr>
        <w:t xml:space="preserve"> et al.</w:t>
      </w:r>
      <w:r w:rsidRPr="00621C69">
        <w:rPr>
          <w:noProof/>
          <w:sz w:val="24"/>
          <w:szCs w:val="24"/>
        </w:rPr>
        <w:t xml:space="preserve"> 2013)</w:t>
      </w:r>
      <w:r w:rsidRPr="00621C69">
        <w:rPr>
          <w:sz w:val="24"/>
          <w:szCs w:val="24"/>
        </w:rPr>
        <w:t xml:space="preserve">. In our case, it seems that farmers had developed such skills through their involvement in </w:t>
      </w:r>
      <w:proofErr w:type="spellStart"/>
      <w:r w:rsidRPr="00621C69">
        <w:rPr>
          <w:sz w:val="24"/>
          <w:szCs w:val="24"/>
        </w:rPr>
        <w:t>agri</w:t>
      </w:r>
      <w:proofErr w:type="spellEnd"/>
      <w:r w:rsidRPr="00621C69">
        <w:rPr>
          <w:sz w:val="24"/>
          <w:szCs w:val="24"/>
        </w:rPr>
        <w:t xml:space="preserve">-environmental management. </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i/>
          <w:sz w:val="24"/>
          <w:szCs w:val="24"/>
        </w:rPr>
      </w:pPr>
      <w:r w:rsidRPr="00621C69">
        <w:rPr>
          <w:sz w:val="24"/>
          <w:szCs w:val="24"/>
        </w:rPr>
        <w:lastRenderedPageBreak/>
        <w:t xml:space="preserve">The unexpected findings that more experienced farmers had more bumblebees and more wildlife-focused farmers had more butterfly species on their strips independent of their effects on habitat quality raises the tantalizing prospect that more continuous </w:t>
      </w:r>
      <w:proofErr w:type="spellStart"/>
      <w:r w:rsidRPr="00621C69">
        <w:rPr>
          <w:sz w:val="24"/>
          <w:szCs w:val="24"/>
        </w:rPr>
        <w:t>agri</w:t>
      </w:r>
      <w:proofErr w:type="spellEnd"/>
      <w:r w:rsidRPr="00621C69">
        <w:rPr>
          <w:sz w:val="24"/>
          <w:szCs w:val="24"/>
        </w:rPr>
        <w:t xml:space="preserve">-environmental management had allowed populations to increase. While this interpretation is speculative, it reflects the scheme’s aim to facilitate population recovery of target species </w:t>
      </w:r>
      <w:r w:rsidRPr="00621C69">
        <w:rPr>
          <w:noProof/>
          <w:sz w:val="24"/>
          <w:szCs w:val="24"/>
        </w:rPr>
        <w:t>(Baker</w:t>
      </w:r>
      <w:r w:rsidRPr="00621C69">
        <w:rPr>
          <w:i/>
          <w:noProof/>
          <w:sz w:val="24"/>
          <w:szCs w:val="24"/>
        </w:rPr>
        <w:t xml:space="preserve"> et al.</w:t>
      </w:r>
      <w:r w:rsidRPr="00621C69">
        <w:rPr>
          <w:noProof/>
          <w:sz w:val="24"/>
          <w:szCs w:val="24"/>
        </w:rPr>
        <w:t xml:space="preserve"> 2012)</w:t>
      </w:r>
      <w:r w:rsidRPr="00621C69">
        <w:rPr>
          <w:sz w:val="24"/>
          <w:szCs w:val="24"/>
        </w:rPr>
        <w:t>.</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 xml:space="preserve">The fact that farmers with more concerns about the ease of management produced greater quantities of seed suggests that if farmers are learning experientially </w:t>
      </w:r>
      <w:r w:rsidRPr="00621C69">
        <w:rPr>
          <w:noProof/>
          <w:sz w:val="24"/>
          <w:szCs w:val="24"/>
        </w:rPr>
        <w:t>(Riley 2008)</w:t>
      </w:r>
      <w:r w:rsidRPr="00621C69">
        <w:rPr>
          <w:sz w:val="24"/>
          <w:szCs w:val="24"/>
        </w:rPr>
        <w:t xml:space="preserve"> then this is more successful if they are aware of their own knowledge gaps. That is, those who thought it would be easy had a misplaced confidence. The conflicting effects of farmer motivation for strip placement on the quality of the two strip types may reflect the relative levels of knowledge about these habitats. NFM w</w:t>
      </w:r>
      <w:r w:rsidR="00316100">
        <w:rPr>
          <w:sz w:val="24"/>
          <w:szCs w:val="24"/>
        </w:rPr>
        <w:t>as</w:t>
      </w:r>
      <w:r w:rsidRPr="00621C69">
        <w:rPr>
          <w:sz w:val="24"/>
          <w:szCs w:val="24"/>
        </w:rPr>
        <w:t xml:space="preserve"> quite novel for many farmers and so those more motivated by wildlife benefits may have managed these strips more carefully. Farmers are more familiar with the requirements for WBM as many sow game cover, which is similar. While the differences were small, utilitarian farmers achieved better WBM results. </w:t>
      </w:r>
    </w:p>
    <w:p w:rsidR="00490E27" w:rsidRPr="00621C69" w:rsidRDefault="00490E27" w:rsidP="004B55E1">
      <w:pPr>
        <w:spacing w:after="0" w:line="480" w:lineRule="auto"/>
        <w:jc w:val="both"/>
        <w:rPr>
          <w:sz w:val="24"/>
          <w:szCs w:val="24"/>
        </w:rPr>
      </w:pPr>
    </w:p>
    <w:p w:rsidR="00490E27" w:rsidRPr="00621C69" w:rsidRDefault="004D27EE" w:rsidP="004B55E1">
      <w:pPr>
        <w:spacing w:after="0" w:line="480" w:lineRule="auto"/>
        <w:jc w:val="both"/>
        <w:rPr>
          <w:sz w:val="24"/>
          <w:szCs w:val="24"/>
        </w:rPr>
      </w:pPr>
      <w:r w:rsidRPr="00621C69">
        <w:rPr>
          <w:sz w:val="24"/>
          <w:szCs w:val="24"/>
        </w:rPr>
        <w:t>T</w:t>
      </w:r>
      <w:r w:rsidR="00490E27" w:rsidRPr="00621C69">
        <w:rPr>
          <w:sz w:val="24"/>
          <w:szCs w:val="24"/>
        </w:rPr>
        <w:t xml:space="preserve">he three social variables </w:t>
      </w:r>
      <w:r w:rsidRPr="00621C69">
        <w:rPr>
          <w:sz w:val="24"/>
          <w:szCs w:val="24"/>
        </w:rPr>
        <w:t xml:space="preserve">were not correlated </w:t>
      </w:r>
      <w:r w:rsidR="00490E27" w:rsidRPr="00621C69">
        <w:rPr>
          <w:sz w:val="24"/>
          <w:szCs w:val="24"/>
        </w:rPr>
        <w:t xml:space="preserve">and so these relationships reveal different aspects of the </w:t>
      </w:r>
      <w:proofErr w:type="spellStart"/>
      <w:r w:rsidR="00490E27" w:rsidRPr="00621C69">
        <w:rPr>
          <w:sz w:val="24"/>
          <w:szCs w:val="24"/>
        </w:rPr>
        <w:t>agri</w:t>
      </w:r>
      <w:proofErr w:type="spellEnd"/>
      <w:r w:rsidR="00490E27" w:rsidRPr="00621C69">
        <w:rPr>
          <w:sz w:val="24"/>
          <w:szCs w:val="24"/>
        </w:rPr>
        <w:t xml:space="preserve">-environmental role of farmers.  We did not link these social variables to specific actions carried out by the farmer. This was because: a) we did not want to burden farmers with recording their actions or to influence their behaviours by doing so; and b) we were more interested in the farmers’ experience and motivations than the well-studied issue of how management affects outcomes. However, it is clear that we are only beginning to understand the role of farmers in achieving </w:t>
      </w:r>
      <w:proofErr w:type="spellStart"/>
      <w:r w:rsidR="00490E27" w:rsidRPr="00621C69">
        <w:rPr>
          <w:sz w:val="24"/>
          <w:szCs w:val="24"/>
        </w:rPr>
        <w:t>agri</w:t>
      </w:r>
      <w:proofErr w:type="spellEnd"/>
      <w:r w:rsidR="00490E27" w:rsidRPr="00621C69">
        <w:rPr>
          <w:sz w:val="24"/>
          <w:szCs w:val="24"/>
        </w:rPr>
        <w:t>-environmental success.</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LOCAL AND LARGE-SCALE ENVIRONMENTAL FACTORS</w:t>
      </w:r>
    </w:p>
    <w:p w:rsidR="00490E27" w:rsidRPr="00621C69" w:rsidRDefault="00490E27" w:rsidP="004B55E1">
      <w:pPr>
        <w:spacing w:after="0" w:line="480" w:lineRule="auto"/>
        <w:jc w:val="both"/>
        <w:rPr>
          <w:sz w:val="24"/>
          <w:szCs w:val="24"/>
        </w:rPr>
      </w:pPr>
      <w:r w:rsidRPr="00621C69">
        <w:rPr>
          <w:sz w:val="24"/>
          <w:szCs w:val="24"/>
        </w:rPr>
        <w:t xml:space="preserve">The </w:t>
      </w:r>
      <w:proofErr w:type="spellStart"/>
      <w:r w:rsidRPr="00621C69">
        <w:rPr>
          <w:sz w:val="24"/>
          <w:szCs w:val="24"/>
        </w:rPr>
        <w:t>agri</w:t>
      </w:r>
      <w:proofErr w:type="spellEnd"/>
      <w:r w:rsidRPr="00621C69">
        <w:rPr>
          <w:sz w:val="24"/>
          <w:szCs w:val="24"/>
        </w:rPr>
        <w:t xml:space="preserve">-environmental prescriptions were supported by the </w:t>
      </w:r>
      <w:r w:rsidR="004D27EE" w:rsidRPr="00621C69">
        <w:rPr>
          <w:sz w:val="24"/>
          <w:szCs w:val="24"/>
        </w:rPr>
        <w:t xml:space="preserve">importance </w:t>
      </w:r>
      <w:r w:rsidRPr="00621C69">
        <w:rPr>
          <w:sz w:val="24"/>
          <w:szCs w:val="24"/>
        </w:rPr>
        <w:t xml:space="preserve">of the abundance and richness of </w:t>
      </w:r>
      <w:r w:rsidR="004D27EE" w:rsidRPr="00621C69">
        <w:rPr>
          <w:sz w:val="24"/>
          <w:szCs w:val="24"/>
        </w:rPr>
        <w:t>flowers</w:t>
      </w:r>
      <w:r w:rsidRPr="00621C69">
        <w:rPr>
          <w:sz w:val="24"/>
          <w:szCs w:val="24"/>
        </w:rPr>
        <w:t xml:space="preserve"> in attracting bumblebees and butterflies </w:t>
      </w:r>
      <w:r w:rsidRPr="00621C69">
        <w:rPr>
          <w:noProof/>
          <w:sz w:val="24"/>
          <w:szCs w:val="24"/>
        </w:rPr>
        <w:t>(Carvell</w:t>
      </w:r>
      <w:r w:rsidRPr="00621C69">
        <w:rPr>
          <w:i/>
          <w:noProof/>
          <w:sz w:val="24"/>
          <w:szCs w:val="24"/>
        </w:rPr>
        <w:t xml:space="preserve"> et al.</w:t>
      </w:r>
      <w:r w:rsidRPr="00621C69">
        <w:rPr>
          <w:noProof/>
          <w:sz w:val="24"/>
          <w:szCs w:val="24"/>
        </w:rPr>
        <w:t xml:space="preserve"> 2011)</w:t>
      </w:r>
      <w:r w:rsidRPr="00621C69">
        <w:rPr>
          <w:sz w:val="24"/>
          <w:szCs w:val="24"/>
        </w:rPr>
        <w:t xml:space="preserve"> and of seed </w:t>
      </w:r>
      <w:r w:rsidR="004D27EE" w:rsidRPr="00621C69">
        <w:rPr>
          <w:sz w:val="24"/>
          <w:szCs w:val="24"/>
        </w:rPr>
        <w:t xml:space="preserve">resources </w:t>
      </w:r>
      <w:r w:rsidRPr="00621C69">
        <w:rPr>
          <w:sz w:val="24"/>
          <w:szCs w:val="24"/>
        </w:rPr>
        <w:t xml:space="preserve">in attracting granivorous birds </w:t>
      </w:r>
      <w:r w:rsidRPr="00621C69">
        <w:rPr>
          <w:noProof/>
          <w:sz w:val="24"/>
          <w:szCs w:val="24"/>
        </w:rPr>
        <w:t>(Hinsley</w:t>
      </w:r>
      <w:r w:rsidRPr="00621C69">
        <w:rPr>
          <w:i/>
          <w:noProof/>
          <w:sz w:val="24"/>
          <w:szCs w:val="24"/>
        </w:rPr>
        <w:t xml:space="preserve"> et al.</w:t>
      </w:r>
      <w:r w:rsidRPr="00621C69">
        <w:rPr>
          <w:noProof/>
          <w:sz w:val="24"/>
          <w:szCs w:val="24"/>
        </w:rPr>
        <w:t xml:space="preserve"> 2010)</w:t>
      </w:r>
      <w:r w:rsidRPr="00621C69">
        <w:rPr>
          <w:sz w:val="24"/>
          <w:szCs w:val="24"/>
        </w:rPr>
        <w:t xml:space="preserve">. Shelter </w:t>
      </w:r>
      <w:r w:rsidR="004D27EE" w:rsidRPr="00621C69">
        <w:rPr>
          <w:sz w:val="24"/>
          <w:szCs w:val="24"/>
        </w:rPr>
        <w:t>benefits</w:t>
      </w:r>
      <w:r w:rsidRPr="00621C69">
        <w:rPr>
          <w:sz w:val="24"/>
          <w:szCs w:val="24"/>
        </w:rPr>
        <w:t xml:space="preserve"> </w:t>
      </w:r>
      <w:r w:rsidR="004D27EE" w:rsidRPr="00621C69">
        <w:rPr>
          <w:sz w:val="24"/>
          <w:szCs w:val="24"/>
        </w:rPr>
        <w:t>animals</w:t>
      </w:r>
      <w:r w:rsidRPr="00621C69">
        <w:rPr>
          <w:sz w:val="24"/>
          <w:szCs w:val="24"/>
        </w:rPr>
        <w:t xml:space="preserve"> by providing warmth and protection </w:t>
      </w:r>
      <w:r w:rsidRPr="00621C69">
        <w:rPr>
          <w:noProof/>
          <w:sz w:val="24"/>
          <w:szCs w:val="24"/>
        </w:rPr>
        <w:t>(Pywell</w:t>
      </w:r>
      <w:r w:rsidRPr="00621C69">
        <w:rPr>
          <w:i/>
          <w:noProof/>
          <w:sz w:val="24"/>
          <w:szCs w:val="24"/>
        </w:rPr>
        <w:t xml:space="preserve"> et al.</w:t>
      </w:r>
      <w:r w:rsidRPr="00621C69">
        <w:rPr>
          <w:noProof/>
          <w:sz w:val="24"/>
          <w:szCs w:val="24"/>
        </w:rPr>
        <w:t xml:space="preserve"> 2004)</w:t>
      </w:r>
      <w:r w:rsidRPr="00621C69">
        <w:rPr>
          <w:sz w:val="24"/>
          <w:szCs w:val="24"/>
        </w:rPr>
        <w:t xml:space="preserve">. Our findings of a positive effect of shelter on flower numbers, but a negative effect on seed weight are more novel, and may reflect </w:t>
      </w:r>
      <w:r w:rsidR="004D27EE" w:rsidRPr="00621C69">
        <w:rPr>
          <w:sz w:val="24"/>
          <w:szCs w:val="24"/>
        </w:rPr>
        <w:t xml:space="preserve">a </w:t>
      </w:r>
      <w:r w:rsidRPr="00621C69">
        <w:rPr>
          <w:sz w:val="24"/>
          <w:szCs w:val="24"/>
        </w:rPr>
        <w:t xml:space="preserve">balance of competition (e.g. shading) and facilitation (e.g. warming). </w:t>
      </w:r>
      <w:r w:rsidR="004D27EE" w:rsidRPr="00621C69">
        <w:rPr>
          <w:sz w:val="24"/>
          <w:szCs w:val="24"/>
        </w:rPr>
        <w:t>More</w:t>
      </w:r>
      <w:r w:rsidRPr="00621C69">
        <w:rPr>
          <w:sz w:val="24"/>
          <w:szCs w:val="24"/>
        </w:rPr>
        <w:t xml:space="preserve"> flower</w:t>
      </w:r>
      <w:r w:rsidR="004D27EE" w:rsidRPr="00621C69">
        <w:rPr>
          <w:sz w:val="24"/>
          <w:szCs w:val="24"/>
        </w:rPr>
        <w:t>s</w:t>
      </w:r>
      <w:r w:rsidRPr="00621C69">
        <w:rPr>
          <w:sz w:val="24"/>
          <w:szCs w:val="24"/>
        </w:rPr>
        <w:t xml:space="preserve"> under conditions of low agricultural quality (i.e. low ALC) may reflect lower cover of </w:t>
      </w:r>
      <w:r w:rsidR="004D27EE" w:rsidRPr="00621C69">
        <w:rPr>
          <w:sz w:val="24"/>
          <w:szCs w:val="24"/>
        </w:rPr>
        <w:t>competitive</w:t>
      </w:r>
      <w:r w:rsidRPr="00621C69">
        <w:rPr>
          <w:sz w:val="24"/>
          <w:szCs w:val="24"/>
        </w:rPr>
        <w:t xml:space="preserve"> grasses, etc </w:t>
      </w:r>
      <w:r w:rsidRPr="00621C69">
        <w:rPr>
          <w:noProof/>
          <w:sz w:val="24"/>
          <w:szCs w:val="24"/>
        </w:rPr>
        <w:t>(Pywell</w:t>
      </w:r>
      <w:r w:rsidRPr="00621C69">
        <w:rPr>
          <w:i/>
          <w:noProof/>
          <w:sz w:val="24"/>
          <w:szCs w:val="24"/>
        </w:rPr>
        <w:t xml:space="preserve"> et al.</w:t>
      </w:r>
      <w:r w:rsidRPr="00621C69">
        <w:rPr>
          <w:noProof/>
          <w:sz w:val="24"/>
          <w:szCs w:val="24"/>
        </w:rPr>
        <w:t xml:space="preserve"> 2005)</w:t>
      </w:r>
      <w:r w:rsidRPr="00621C69">
        <w:rPr>
          <w:sz w:val="24"/>
          <w:szCs w:val="24"/>
        </w:rPr>
        <w:t>.</w:t>
      </w:r>
    </w:p>
    <w:p w:rsidR="00490E27" w:rsidRPr="00621C69" w:rsidRDefault="00490E27" w:rsidP="004B55E1">
      <w:pPr>
        <w:spacing w:after="0" w:line="480" w:lineRule="auto"/>
        <w:jc w:val="both"/>
        <w:rPr>
          <w:sz w:val="24"/>
          <w:szCs w:val="24"/>
        </w:rPr>
      </w:pPr>
    </w:p>
    <w:p w:rsidR="00490E27" w:rsidRPr="00621C69" w:rsidRDefault="004B55E1" w:rsidP="004B55E1">
      <w:pPr>
        <w:spacing w:after="0" w:line="480" w:lineRule="auto"/>
        <w:jc w:val="both"/>
        <w:rPr>
          <w:sz w:val="24"/>
          <w:szCs w:val="24"/>
        </w:rPr>
      </w:pPr>
      <w:r w:rsidRPr="00621C69">
        <w:rPr>
          <w:sz w:val="24"/>
          <w:szCs w:val="24"/>
        </w:rPr>
        <w:t>Several</w:t>
      </w:r>
      <w:r w:rsidR="00490E27" w:rsidRPr="00621C69">
        <w:rPr>
          <w:sz w:val="24"/>
          <w:szCs w:val="24"/>
        </w:rPr>
        <w:t xml:space="preserve"> studies have found that bee and bird abundance and richness </w:t>
      </w:r>
      <w:r w:rsidR="00E52609" w:rsidRPr="00621C69">
        <w:rPr>
          <w:sz w:val="24"/>
          <w:szCs w:val="24"/>
        </w:rPr>
        <w:t xml:space="preserve">are </w:t>
      </w:r>
      <w:r w:rsidR="00490E27" w:rsidRPr="00621C69">
        <w:rPr>
          <w:sz w:val="24"/>
          <w:szCs w:val="24"/>
        </w:rPr>
        <w:t xml:space="preserve">higher within </w:t>
      </w:r>
      <w:proofErr w:type="spellStart"/>
      <w:r w:rsidR="00490E27" w:rsidRPr="00621C69">
        <w:rPr>
          <w:sz w:val="24"/>
          <w:szCs w:val="24"/>
        </w:rPr>
        <w:t>agri</w:t>
      </w:r>
      <w:proofErr w:type="spellEnd"/>
      <w:r w:rsidR="00490E27" w:rsidRPr="00621C69">
        <w:rPr>
          <w:sz w:val="24"/>
          <w:szCs w:val="24"/>
        </w:rPr>
        <w:t xml:space="preserve">-environmental options in landscapes with more semi-natural habitat </w:t>
      </w:r>
      <w:r w:rsidR="00490E27" w:rsidRPr="00621C69">
        <w:rPr>
          <w:noProof/>
          <w:sz w:val="24"/>
          <w:szCs w:val="24"/>
        </w:rPr>
        <w:t>(Concepcion</w:t>
      </w:r>
      <w:r w:rsidR="00490E27" w:rsidRPr="00621C69">
        <w:rPr>
          <w:i/>
          <w:noProof/>
          <w:sz w:val="24"/>
          <w:szCs w:val="24"/>
        </w:rPr>
        <w:t xml:space="preserve"> et al.</w:t>
      </w:r>
      <w:r w:rsidR="00490E27" w:rsidRPr="00621C69">
        <w:rPr>
          <w:noProof/>
          <w:sz w:val="24"/>
          <w:szCs w:val="24"/>
        </w:rPr>
        <w:t xml:space="preserve"> 2012; Shackelford</w:t>
      </w:r>
      <w:r w:rsidR="00490E27" w:rsidRPr="00621C69">
        <w:rPr>
          <w:i/>
          <w:noProof/>
          <w:sz w:val="24"/>
          <w:szCs w:val="24"/>
        </w:rPr>
        <w:t xml:space="preserve"> et al.</w:t>
      </w:r>
      <w:r w:rsidR="00490E27" w:rsidRPr="00621C69">
        <w:rPr>
          <w:noProof/>
          <w:sz w:val="24"/>
          <w:szCs w:val="24"/>
        </w:rPr>
        <w:t xml:space="preserve"> 2013)</w:t>
      </w:r>
      <w:r w:rsidR="00490E27" w:rsidRPr="00621C69">
        <w:rPr>
          <w:sz w:val="24"/>
          <w:szCs w:val="24"/>
        </w:rPr>
        <w:t xml:space="preserve">. There is less information on the role of </w:t>
      </w:r>
      <w:r w:rsidR="005F4DD9" w:rsidRPr="00621C69">
        <w:rPr>
          <w:sz w:val="24"/>
          <w:szCs w:val="24"/>
        </w:rPr>
        <w:t xml:space="preserve">the </w:t>
      </w:r>
      <w:r w:rsidR="00490E27" w:rsidRPr="00621C69">
        <w:rPr>
          <w:sz w:val="24"/>
          <w:szCs w:val="24"/>
        </w:rPr>
        <w:t xml:space="preserve">species richness in the landscape, although </w:t>
      </w:r>
      <w:r w:rsidR="00490E27" w:rsidRPr="00621C69">
        <w:rPr>
          <w:noProof/>
          <w:sz w:val="24"/>
          <w:szCs w:val="24"/>
        </w:rPr>
        <w:t>Pywell</w:t>
      </w:r>
      <w:r w:rsidR="00490E27" w:rsidRPr="00621C69">
        <w:rPr>
          <w:i/>
          <w:noProof/>
          <w:sz w:val="24"/>
          <w:szCs w:val="24"/>
        </w:rPr>
        <w:t xml:space="preserve"> et al.</w:t>
      </w:r>
      <w:r w:rsidR="00490E27" w:rsidRPr="00621C69">
        <w:rPr>
          <w:noProof/>
          <w:sz w:val="24"/>
          <w:szCs w:val="24"/>
        </w:rPr>
        <w:t xml:space="preserve"> (2012)</w:t>
      </w:r>
      <w:r w:rsidR="00490E27" w:rsidRPr="00621C69">
        <w:rPr>
          <w:sz w:val="24"/>
          <w:szCs w:val="24"/>
        </w:rPr>
        <w:t xml:space="preserve"> found this had a positive effect for bees but no</w:t>
      </w:r>
      <w:r w:rsidR="005F4DD9" w:rsidRPr="00621C69">
        <w:rPr>
          <w:sz w:val="24"/>
          <w:szCs w:val="24"/>
        </w:rPr>
        <w:t xml:space="preserve">ne </w:t>
      </w:r>
      <w:r w:rsidR="00490E27" w:rsidRPr="00621C69">
        <w:rPr>
          <w:sz w:val="24"/>
          <w:szCs w:val="24"/>
        </w:rPr>
        <w:t xml:space="preserve">for birds.  By contrast, our study suggested negative effects of the proportion of semi-natural habitat and/or the size of the species pool on all but one of the biodiversity measures. Some studies have shown that </w:t>
      </w:r>
      <w:proofErr w:type="spellStart"/>
      <w:r w:rsidR="00490E27" w:rsidRPr="00621C69">
        <w:rPr>
          <w:sz w:val="24"/>
          <w:szCs w:val="24"/>
        </w:rPr>
        <w:t>agri</w:t>
      </w:r>
      <w:proofErr w:type="spellEnd"/>
      <w:r w:rsidR="00490E27" w:rsidRPr="00621C69">
        <w:rPr>
          <w:sz w:val="24"/>
          <w:szCs w:val="24"/>
        </w:rPr>
        <w:t xml:space="preserve">-environmental options can have smaller effects on biodiversity in more diverse landscapes, presumably because these offer alternative foraging resources </w:t>
      </w:r>
      <w:r w:rsidR="00490E27" w:rsidRPr="00621C69">
        <w:rPr>
          <w:noProof/>
          <w:sz w:val="24"/>
          <w:szCs w:val="24"/>
        </w:rPr>
        <w:t>(Batary</w:t>
      </w:r>
      <w:r w:rsidR="00490E27" w:rsidRPr="00621C69">
        <w:rPr>
          <w:i/>
          <w:noProof/>
          <w:sz w:val="24"/>
          <w:szCs w:val="24"/>
        </w:rPr>
        <w:t xml:space="preserve"> et al.</w:t>
      </w:r>
      <w:r w:rsidR="00490E27" w:rsidRPr="00621C69">
        <w:rPr>
          <w:noProof/>
          <w:sz w:val="24"/>
          <w:szCs w:val="24"/>
        </w:rPr>
        <w:t xml:space="preserve"> 2010a; Carvell</w:t>
      </w:r>
      <w:r w:rsidR="00490E27" w:rsidRPr="00621C69">
        <w:rPr>
          <w:i/>
          <w:noProof/>
          <w:sz w:val="24"/>
          <w:szCs w:val="24"/>
        </w:rPr>
        <w:t xml:space="preserve"> et al.</w:t>
      </w:r>
      <w:r w:rsidR="00490E27" w:rsidRPr="00621C69">
        <w:rPr>
          <w:noProof/>
          <w:sz w:val="24"/>
          <w:szCs w:val="24"/>
        </w:rPr>
        <w:t xml:space="preserve"> 2011)</w:t>
      </w:r>
      <w:r w:rsidR="00490E27" w:rsidRPr="00621C69">
        <w:rPr>
          <w:sz w:val="24"/>
          <w:szCs w:val="24"/>
        </w:rPr>
        <w:t xml:space="preserve">. In our case it may be that smaller species pools and areas of semi-natural habitat indicate fewer alternative resources and so the </w:t>
      </w:r>
      <w:proofErr w:type="spellStart"/>
      <w:r w:rsidR="00490E27" w:rsidRPr="00621C69">
        <w:rPr>
          <w:sz w:val="24"/>
          <w:szCs w:val="24"/>
        </w:rPr>
        <w:t>agri</w:t>
      </w:r>
      <w:proofErr w:type="spellEnd"/>
      <w:r w:rsidR="00490E27" w:rsidRPr="00621C69">
        <w:rPr>
          <w:sz w:val="24"/>
          <w:szCs w:val="24"/>
        </w:rPr>
        <w:t xml:space="preserve">-environment strips act as ‘honey pots’ in attracting more birds or insects. Whatever the mechanism, landscape effects on </w:t>
      </w:r>
      <w:proofErr w:type="spellStart"/>
      <w:r w:rsidR="00490E27" w:rsidRPr="00621C69">
        <w:rPr>
          <w:sz w:val="24"/>
          <w:szCs w:val="24"/>
        </w:rPr>
        <w:t>agri</w:t>
      </w:r>
      <w:proofErr w:type="spellEnd"/>
      <w:r w:rsidR="00490E27" w:rsidRPr="00621C69">
        <w:rPr>
          <w:sz w:val="24"/>
          <w:szCs w:val="24"/>
        </w:rPr>
        <w:t>-environmental outcomes are not straightforward.</w:t>
      </w:r>
    </w:p>
    <w:p w:rsidR="00490E27" w:rsidRPr="00621C69" w:rsidRDefault="00490E27" w:rsidP="004B55E1">
      <w:pPr>
        <w:spacing w:after="0" w:line="480" w:lineRule="auto"/>
        <w:jc w:val="both"/>
        <w:rPr>
          <w:sz w:val="24"/>
          <w:szCs w:val="24"/>
        </w:rPr>
      </w:pPr>
    </w:p>
    <w:p w:rsidR="00490E27" w:rsidRPr="00621C69" w:rsidRDefault="005F4DD9" w:rsidP="004B55E1">
      <w:pPr>
        <w:spacing w:after="0" w:line="480" w:lineRule="auto"/>
        <w:jc w:val="both"/>
        <w:rPr>
          <w:sz w:val="24"/>
          <w:szCs w:val="24"/>
        </w:rPr>
      </w:pPr>
      <w:r w:rsidRPr="00621C69">
        <w:rPr>
          <w:sz w:val="24"/>
          <w:szCs w:val="24"/>
        </w:rPr>
        <w:t>S</w:t>
      </w:r>
      <w:r w:rsidR="00490E27" w:rsidRPr="00621C69">
        <w:rPr>
          <w:sz w:val="24"/>
          <w:szCs w:val="24"/>
        </w:rPr>
        <w:t xml:space="preserve">easonal weather </w:t>
      </w:r>
      <w:r w:rsidRPr="00621C69">
        <w:rPr>
          <w:sz w:val="24"/>
          <w:szCs w:val="24"/>
        </w:rPr>
        <w:t xml:space="preserve">effects </w:t>
      </w:r>
      <w:r w:rsidR="00490E27" w:rsidRPr="00621C69">
        <w:rPr>
          <w:sz w:val="24"/>
          <w:szCs w:val="24"/>
        </w:rPr>
        <w:t xml:space="preserve">on abundance of the target biota and floral and seed resources </w:t>
      </w:r>
      <w:r w:rsidRPr="00621C69">
        <w:rPr>
          <w:sz w:val="24"/>
          <w:szCs w:val="24"/>
        </w:rPr>
        <w:t xml:space="preserve">are </w:t>
      </w:r>
      <w:r w:rsidR="00490E27" w:rsidRPr="00621C69">
        <w:rPr>
          <w:sz w:val="24"/>
          <w:szCs w:val="24"/>
        </w:rPr>
        <w:t xml:space="preserve">not surprising and reflect fundamental biological optima </w:t>
      </w:r>
      <w:r w:rsidR="00490E27" w:rsidRPr="00621C69">
        <w:rPr>
          <w:noProof/>
          <w:sz w:val="24"/>
          <w:szCs w:val="24"/>
        </w:rPr>
        <w:t>(Anguilletta 2009)</w:t>
      </w:r>
      <w:r w:rsidR="00490E27" w:rsidRPr="00621C69">
        <w:rPr>
          <w:sz w:val="24"/>
          <w:szCs w:val="24"/>
        </w:rPr>
        <w:t xml:space="preserve">. However, it is important to note the importance of weather patterns for </w:t>
      </w:r>
      <w:proofErr w:type="spellStart"/>
      <w:r w:rsidR="00490E27" w:rsidRPr="00621C69">
        <w:rPr>
          <w:sz w:val="24"/>
          <w:szCs w:val="24"/>
        </w:rPr>
        <w:t>spatio</w:t>
      </w:r>
      <w:proofErr w:type="spellEnd"/>
      <w:r w:rsidR="00490E27" w:rsidRPr="00621C69">
        <w:rPr>
          <w:sz w:val="24"/>
          <w:szCs w:val="24"/>
        </w:rPr>
        <w:t>-temporal variation in success, and that these may cause apparent failures which are beyond anyone’s control.</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t>IMPLICATIONS FOR IMPROVING AGRI-ENVIRONMENT SUCCESS</w:t>
      </w:r>
    </w:p>
    <w:p w:rsidR="00490E27" w:rsidRPr="00621C69" w:rsidRDefault="00490E27" w:rsidP="004B55E1">
      <w:pPr>
        <w:spacing w:after="0" w:line="480" w:lineRule="auto"/>
        <w:jc w:val="both"/>
        <w:rPr>
          <w:sz w:val="24"/>
          <w:szCs w:val="24"/>
        </w:rPr>
      </w:pPr>
      <w:proofErr w:type="spellStart"/>
      <w:r w:rsidRPr="00621C69">
        <w:rPr>
          <w:sz w:val="24"/>
          <w:szCs w:val="24"/>
        </w:rPr>
        <w:t>Agri</w:t>
      </w:r>
      <w:proofErr w:type="spellEnd"/>
      <w:r w:rsidRPr="00621C69">
        <w:rPr>
          <w:sz w:val="24"/>
          <w:szCs w:val="24"/>
        </w:rPr>
        <w:t xml:space="preserve">-environmental research needs to move on from the question that has predominated for </w:t>
      </w:r>
      <w:r w:rsidR="005F4DD9" w:rsidRPr="00621C69">
        <w:rPr>
          <w:sz w:val="24"/>
          <w:szCs w:val="24"/>
        </w:rPr>
        <w:t>some time</w:t>
      </w:r>
      <w:r w:rsidRPr="00621C69">
        <w:rPr>
          <w:sz w:val="24"/>
          <w:szCs w:val="24"/>
        </w:rPr>
        <w:t xml:space="preserve"> – ‘do they work?’ – </w:t>
      </w:r>
      <w:proofErr w:type="gramStart"/>
      <w:r w:rsidRPr="00621C69">
        <w:rPr>
          <w:sz w:val="24"/>
          <w:szCs w:val="24"/>
        </w:rPr>
        <w:t>to</w:t>
      </w:r>
      <w:proofErr w:type="gramEnd"/>
      <w:r w:rsidRPr="00621C69">
        <w:rPr>
          <w:sz w:val="24"/>
          <w:szCs w:val="24"/>
        </w:rPr>
        <w:t xml:space="preserve"> ask instead – ‘what are the causes of variation in success?’. While some factors that affect outcomes have been studied – such as landscape context – this paper has shown that a holistic understanding of drivers is necessary. In particular, we have demonstrated the role of the farmer. In implementing </w:t>
      </w:r>
      <w:proofErr w:type="spellStart"/>
      <w:r w:rsidRPr="00621C69">
        <w:rPr>
          <w:sz w:val="24"/>
          <w:szCs w:val="24"/>
        </w:rPr>
        <w:t>agri</w:t>
      </w:r>
      <w:proofErr w:type="spellEnd"/>
      <w:r w:rsidRPr="00621C69">
        <w:rPr>
          <w:sz w:val="24"/>
          <w:szCs w:val="24"/>
        </w:rPr>
        <w:t xml:space="preserve">-environment management, the farmer is not simply carrying out prescribed tasks, but is making decisions which impact on success. The importance of experience suggests that farmers gain experiential understanding of </w:t>
      </w:r>
      <w:proofErr w:type="spellStart"/>
      <w:r w:rsidRPr="00621C69">
        <w:rPr>
          <w:sz w:val="24"/>
          <w:szCs w:val="24"/>
        </w:rPr>
        <w:t>agri</w:t>
      </w:r>
      <w:proofErr w:type="spellEnd"/>
      <w:r w:rsidRPr="00621C69">
        <w:rPr>
          <w:sz w:val="24"/>
          <w:szCs w:val="24"/>
        </w:rPr>
        <w:t xml:space="preserve">-environment management. This indicates scheme success might be improved by ensuring farmers stay engaged and build up experience. Indeed, </w:t>
      </w:r>
      <w:proofErr w:type="spellStart"/>
      <w:r w:rsidRPr="00621C69">
        <w:rPr>
          <w:sz w:val="24"/>
          <w:szCs w:val="24"/>
        </w:rPr>
        <w:t>Jarratt</w:t>
      </w:r>
      <w:proofErr w:type="spellEnd"/>
      <w:r w:rsidRPr="00621C69">
        <w:rPr>
          <w:sz w:val="24"/>
          <w:szCs w:val="24"/>
        </w:rPr>
        <w:t xml:space="preserve"> (2012) found that as farmers become more engaged in environmental-friendly farming there is a willingness to take on more complex conservation activities. </w:t>
      </w:r>
      <w:r w:rsidR="00C32C06" w:rsidRPr="00621C69">
        <w:rPr>
          <w:sz w:val="24"/>
          <w:szCs w:val="24"/>
        </w:rPr>
        <w:t>This leads to</w:t>
      </w:r>
      <w:r w:rsidRPr="00621C69">
        <w:rPr>
          <w:sz w:val="24"/>
          <w:szCs w:val="24"/>
        </w:rPr>
        <w:t xml:space="preserve"> the question whether actively training farmers in </w:t>
      </w:r>
      <w:proofErr w:type="spellStart"/>
      <w:r w:rsidRPr="00621C69">
        <w:rPr>
          <w:sz w:val="24"/>
          <w:szCs w:val="24"/>
        </w:rPr>
        <w:t>agri</w:t>
      </w:r>
      <w:proofErr w:type="spellEnd"/>
      <w:r w:rsidRPr="00621C69">
        <w:rPr>
          <w:sz w:val="24"/>
          <w:szCs w:val="24"/>
        </w:rPr>
        <w:t xml:space="preserve">-environment management might expedite such learning </w:t>
      </w:r>
      <w:r w:rsidRPr="00621C69">
        <w:rPr>
          <w:noProof/>
          <w:sz w:val="24"/>
          <w:szCs w:val="24"/>
        </w:rPr>
        <w:t>(Lobley</w:t>
      </w:r>
      <w:r w:rsidRPr="00621C69">
        <w:rPr>
          <w:i/>
          <w:noProof/>
          <w:sz w:val="24"/>
          <w:szCs w:val="24"/>
        </w:rPr>
        <w:t xml:space="preserve"> et al.</w:t>
      </w:r>
      <w:r w:rsidRPr="00621C69">
        <w:rPr>
          <w:noProof/>
          <w:sz w:val="24"/>
          <w:szCs w:val="24"/>
        </w:rPr>
        <w:t xml:space="preserve"> 2013)</w:t>
      </w:r>
      <w:r w:rsidRPr="00621C69">
        <w:rPr>
          <w:sz w:val="24"/>
          <w:szCs w:val="24"/>
        </w:rPr>
        <w:t xml:space="preserve">. Indeed a review of the English scheme </w:t>
      </w:r>
      <w:r w:rsidRPr="00621C69">
        <w:rPr>
          <w:noProof/>
          <w:sz w:val="24"/>
          <w:szCs w:val="24"/>
        </w:rPr>
        <w:t>(Defra 2008)</w:t>
      </w:r>
      <w:r w:rsidRPr="00621C69">
        <w:rPr>
          <w:sz w:val="24"/>
          <w:szCs w:val="24"/>
        </w:rPr>
        <w:t xml:space="preserve"> recommended that farmers should get increased advice, although it remains to be seen whether this will be implemented.</w:t>
      </w:r>
    </w:p>
    <w:p w:rsidR="00490E27" w:rsidRPr="00621C69" w:rsidRDefault="00490E27" w:rsidP="004B55E1">
      <w:pPr>
        <w:spacing w:after="0" w:line="480" w:lineRule="auto"/>
        <w:jc w:val="both"/>
        <w:rPr>
          <w:sz w:val="24"/>
          <w:szCs w:val="24"/>
        </w:rPr>
      </w:pPr>
    </w:p>
    <w:p w:rsidR="00490E27" w:rsidRPr="00621C69" w:rsidRDefault="00490E27" w:rsidP="004B55E1">
      <w:pPr>
        <w:spacing w:after="0" w:line="480" w:lineRule="auto"/>
        <w:jc w:val="both"/>
        <w:rPr>
          <w:sz w:val="24"/>
          <w:szCs w:val="24"/>
        </w:rPr>
      </w:pPr>
      <w:r w:rsidRPr="00621C69">
        <w:rPr>
          <w:sz w:val="24"/>
          <w:szCs w:val="24"/>
        </w:rPr>
        <w:lastRenderedPageBreak/>
        <w:t xml:space="preserve">The farmer has a role in choosing which </w:t>
      </w:r>
      <w:proofErr w:type="spellStart"/>
      <w:r w:rsidRPr="00621C69">
        <w:rPr>
          <w:sz w:val="24"/>
          <w:szCs w:val="24"/>
        </w:rPr>
        <w:t>agri</w:t>
      </w:r>
      <w:proofErr w:type="spellEnd"/>
      <w:r w:rsidRPr="00621C69">
        <w:rPr>
          <w:sz w:val="24"/>
          <w:szCs w:val="24"/>
        </w:rPr>
        <w:t xml:space="preserve">-environment options to use, their placement on the farm and their establishment and management. Our study covered the latter two processes and these determined the quality of habitat produced and, ultimately, how many birds or insects used these strips. The fact that the amount of shelter affected both the quality and biodiversity outcomes suggests that farmers might be advised to consider this factor when deciding where to place strips. Similarly, pollen and nectar flower strips might be best placed on poorer quality land. Understanding of the role of the weather has a different implication, in that it can help farmers and others understand why </w:t>
      </w:r>
      <w:proofErr w:type="spellStart"/>
      <w:r w:rsidRPr="00621C69">
        <w:rPr>
          <w:sz w:val="24"/>
          <w:szCs w:val="24"/>
        </w:rPr>
        <w:t>agri</w:t>
      </w:r>
      <w:proofErr w:type="spellEnd"/>
      <w:r w:rsidRPr="00621C69">
        <w:rPr>
          <w:sz w:val="24"/>
          <w:szCs w:val="24"/>
        </w:rPr>
        <w:t xml:space="preserve">-environment options may perform badly sometimes, much as crops do. Landscape factors have a complex role and the lack of general patterns </w:t>
      </w:r>
      <w:r w:rsidRPr="00621C69">
        <w:rPr>
          <w:noProof/>
          <w:sz w:val="24"/>
          <w:szCs w:val="24"/>
        </w:rPr>
        <w:t>(Batary</w:t>
      </w:r>
      <w:r w:rsidRPr="00621C69">
        <w:rPr>
          <w:i/>
          <w:noProof/>
          <w:sz w:val="24"/>
          <w:szCs w:val="24"/>
        </w:rPr>
        <w:t xml:space="preserve"> et al.</w:t>
      </w:r>
      <w:r w:rsidRPr="00621C69">
        <w:rPr>
          <w:noProof/>
          <w:sz w:val="24"/>
          <w:szCs w:val="24"/>
        </w:rPr>
        <w:t xml:space="preserve"> 2010a; Concepcion</w:t>
      </w:r>
      <w:r w:rsidRPr="00621C69">
        <w:rPr>
          <w:i/>
          <w:noProof/>
          <w:sz w:val="24"/>
          <w:szCs w:val="24"/>
        </w:rPr>
        <w:t xml:space="preserve"> et al.</w:t>
      </w:r>
      <w:r w:rsidRPr="00621C69">
        <w:rPr>
          <w:noProof/>
          <w:sz w:val="24"/>
          <w:szCs w:val="24"/>
        </w:rPr>
        <w:t xml:space="preserve"> 2012)</w:t>
      </w:r>
      <w:r w:rsidRPr="00621C69">
        <w:rPr>
          <w:sz w:val="24"/>
          <w:szCs w:val="24"/>
        </w:rPr>
        <w:t xml:space="preserve"> suggests that any large-sca</w:t>
      </w:r>
      <w:bookmarkStart w:id="2" w:name="_GoBack"/>
      <w:bookmarkEnd w:id="2"/>
      <w:r w:rsidRPr="00621C69">
        <w:rPr>
          <w:sz w:val="24"/>
          <w:szCs w:val="24"/>
        </w:rPr>
        <w:t xml:space="preserve">le targeting of </w:t>
      </w:r>
      <w:proofErr w:type="spellStart"/>
      <w:r w:rsidRPr="00621C69">
        <w:rPr>
          <w:sz w:val="24"/>
          <w:szCs w:val="24"/>
        </w:rPr>
        <w:t>agri</w:t>
      </w:r>
      <w:proofErr w:type="spellEnd"/>
      <w:r w:rsidRPr="00621C69">
        <w:rPr>
          <w:sz w:val="24"/>
          <w:szCs w:val="24"/>
        </w:rPr>
        <w:t>-environment schemes should be done with caution.</w:t>
      </w:r>
    </w:p>
    <w:p w:rsidR="00490E27" w:rsidRPr="00621C69" w:rsidRDefault="00490E27">
      <w:pPr>
        <w:rPr>
          <w:sz w:val="24"/>
          <w:szCs w:val="24"/>
        </w:rPr>
      </w:pPr>
    </w:p>
    <w:p w:rsidR="00490E27" w:rsidRPr="00621C69" w:rsidRDefault="00490E27">
      <w:pPr>
        <w:rPr>
          <w:b/>
          <w:sz w:val="24"/>
          <w:szCs w:val="24"/>
        </w:rPr>
      </w:pPr>
      <w:r w:rsidRPr="00621C69">
        <w:rPr>
          <w:b/>
          <w:sz w:val="24"/>
          <w:szCs w:val="24"/>
        </w:rPr>
        <w:t>Acknowledgements</w:t>
      </w:r>
    </w:p>
    <w:p w:rsidR="00490E27" w:rsidRPr="00621C69" w:rsidRDefault="00490E27" w:rsidP="004B55E1">
      <w:pPr>
        <w:spacing w:after="0" w:line="480" w:lineRule="auto"/>
        <w:jc w:val="both"/>
        <w:rPr>
          <w:sz w:val="24"/>
          <w:szCs w:val="24"/>
        </w:rPr>
      </w:pPr>
      <w:r w:rsidRPr="00621C69">
        <w:rPr>
          <w:sz w:val="24"/>
          <w:szCs w:val="24"/>
        </w:rPr>
        <w:t xml:space="preserve">Many people helped with fieldwork, especially Sarah Hulmes, Lucy Hulmes, Rich Broughton Paul Bellamy, John Redhead and Jodey Peyton. Claire Carvell advised on surveys. The research was funded under the RELU programme (grant RES-227-25-0010). We thank the following for providing data: BTO, BWARS, Butterfly Conservation and the BADC. Natural England helped with finding farmers and we also thank the 48 farmers for their cooperation. </w:t>
      </w:r>
    </w:p>
    <w:p w:rsidR="007A1190" w:rsidRPr="00621C69" w:rsidRDefault="007A1190" w:rsidP="004B55E1">
      <w:pPr>
        <w:spacing w:after="0" w:line="480" w:lineRule="auto"/>
        <w:jc w:val="both"/>
        <w:rPr>
          <w:sz w:val="24"/>
          <w:szCs w:val="24"/>
        </w:rPr>
      </w:pPr>
    </w:p>
    <w:p w:rsidR="007A1190" w:rsidRPr="00621C69" w:rsidRDefault="007A1190" w:rsidP="007A1190">
      <w:pPr>
        <w:rPr>
          <w:b/>
          <w:sz w:val="24"/>
          <w:szCs w:val="24"/>
        </w:rPr>
      </w:pPr>
      <w:r w:rsidRPr="00621C69">
        <w:rPr>
          <w:b/>
          <w:sz w:val="24"/>
          <w:szCs w:val="24"/>
        </w:rPr>
        <w:t>Data accessibility</w:t>
      </w:r>
    </w:p>
    <w:p w:rsidR="00490E27" w:rsidRPr="003A580F" w:rsidRDefault="002A5A03" w:rsidP="003A580F">
      <w:pPr>
        <w:pStyle w:val="ListParagraph"/>
        <w:numPr>
          <w:ilvl w:val="0"/>
          <w:numId w:val="13"/>
        </w:numPr>
        <w:spacing w:after="0" w:line="480" w:lineRule="auto"/>
        <w:rPr>
          <w:sz w:val="24"/>
          <w:szCs w:val="24"/>
        </w:rPr>
      </w:pPr>
      <w:r w:rsidRPr="003A580F">
        <w:rPr>
          <w:rFonts w:cs="Calibri"/>
          <w:sz w:val="24"/>
          <w:szCs w:val="24"/>
        </w:rPr>
        <w:t xml:space="preserve">Social and environmental data: </w:t>
      </w:r>
      <w:r w:rsidR="003A580F" w:rsidRPr="003A580F">
        <w:rPr>
          <w:sz w:val="24"/>
          <w:szCs w:val="24"/>
        </w:rPr>
        <w:t>NERC-Environmental Information Data Centre doi:10.5285/d774f98f-030d-45bb-8042-7729573a13b2</w:t>
      </w:r>
      <w:r w:rsidR="003A580F">
        <w:rPr>
          <w:sz w:val="24"/>
          <w:szCs w:val="24"/>
        </w:rPr>
        <w:t xml:space="preserve"> (McCracken </w:t>
      </w:r>
      <w:r w:rsidR="003A580F">
        <w:rPr>
          <w:i/>
          <w:sz w:val="24"/>
          <w:szCs w:val="24"/>
        </w:rPr>
        <w:t xml:space="preserve">et al. </w:t>
      </w:r>
      <w:r w:rsidR="003A580F">
        <w:rPr>
          <w:sz w:val="24"/>
          <w:szCs w:val="24"/>
        </w:rPr>
        <w:t>2015)</w:t>
      </w:r>
      <w:r w:rsidR="00490E27" w:rsidRPr="003A580F">
        <w:rPr>
          <w:sz w:val="24"/>
          <w:szCs w:val="24"/>
        </w:rPr>
        <w:br w:type="page"/>
      </w:r>
    </w:p>
    <w:p w:rsidR="00490E27" w:rsidRPr="00621C69" w:rsidRDefault="00490E27" w:rsidP="004B55E1">
      <w:pPr>
        <w:spacing w:after="0" w:line="480" w:lineRule="auto"/>
        <w:jc w:val="both"/>
        <w:rPr>
          <w:b/>
          <w:sz w:val="24"/>
          <w:szCs w:val="24"/>
        </w:rPr>
      </w:pPr>
      <w:r w:rsidRPr="00621C69">
        <w:rPr>
          <w:b/>
          <w:sz w:val="24"/>
          <w:szCs w:val="24"/>
        </w:rPr>
        <w:lastRenderedPageBreak/>
        <w:t>References</w:t>
      </w:r>
    </w:p>
    <w:p w:rsidR="00490E27" w:rsidRPr="00621C69" w:rsidRDefault="00490E27" w:rsidP="004D27EE">
      <w:pPr>
        <w:pStyle w:val="EndNoteBibliography"/>
        <w:spacing w:after="0" w:line="480" w:lineRule="auto"/>
        <w:ind w:left="720" w:hanging="720"/>
        <w:rPr>
          <w:sz w:val="24"/>
          <w:szCs w:val="24"/>
        </w:rPr>
      </w:pPr>
      <w:bookmarkStart w:id="3" w:name="_ENREF_2"/>
      <w:r w:rsidRPr="00621C69">
        <w:rPr>
          <w:sz w:val="24"/>
          <w:szCs w:val="24"/>
        </w:rPr>
        <w:t xml:space="preserve">Anguilletta, M.J. (2009) </w:t>
      </w:r>
      <w:r w:rsidRPr="00621C69">
        <w:rPr>
          <w:i/>
          <w:sz w:val="24"/>
          <w:szCs w:val="24"/>
        </w:rPr>
        <w:t>Thermal adaptation: a theoretical and empirical synthesis</w:t>
      </w:r>
      <w:r w:rsidRPr="00621C69">
        <w:rPr>
          <w:sz w:val="24"/>
          <w:szCs w:val="24"/>
        </w:rPr>
        <w:t>. Oxford University Press, Oxford.</w:t>
      </w:r>
      <w:bookmarkEnd w:id="3"/>
    </w:p>
    <w:p w:rsidR="00490E27" w:rsidRPr="00621C69" w:rsidRDefault="00490E27" w:rsidP="004D27EE">
      <w:pPr>
        <w:pStyle w:val="EndNoteBibliography"/>
        <w:spacing w:after="0" w:line="480" w:lineRule="auto"/>
        <w:ind w:left="720" w:hanging="720"/>
        <w:rPr>
          <w:sz w:val="24"/>
          <w:szCs w:val="24"/>
        </w:rPr>
      </w:pPr>
      <w:bookmarkStart w:id="4" w:name="_ENREF_3"/>
      <w:r w:rsidRPr="00621C69">
        <w:rPr>
          <w:sz w:val="24"/>
          <w:szCs w:val="24"/>
        </w:rPr>
        <w:t xml:space="preserve">Austin, Z., Raffaelli, D.G. &amp; White, P.C.L. (2013) Interactions between ecological and social drivers in determining and managing biodiversity impacts of deer. </w:t>
      </w:r>
      <w:r w:rsidRPr="00621C69">
        <w:rPr>
          <w:i/>
          <w:sz w:val="24"/>
          <w:szCs w:val="24"/>
        </w:rPr>
        <w:t>Biological Conservation,</w:t>
      </w:r>
      <w:r w:rsidRPr="00621C69">
        <w:rPr>
          <w:sz w:val="24"/>
          <w:szCs w:val="24"/>
        </w:rPr>
        <w:t xml:space="preserve"> </w:t>
      </w:r>
      <w:r w:rsidRPr="00621C69">
        <w:rPr>
          <w:b/>
          <w:sz w:val="24"/>
          <w:szCs w:val="24"/>
        </w:rPr>
        <w:t>158,</w:t>
      </w:r>
      <w:r w:rsidRPr="00621C69">
        <w:rPr>
          <w:sz w:val="24"/>
          <w:szCs w:val="24"/>
        </w:rPr>
        <w:t xml:space="preserve"> 214-222.</w:t>
      </w:r>
      <w:bookmarkEnd w:id="4"/>
    </w:p>
    <w:p w:rsidR="00490E27" w:rsidRPr="00621C69" w:rsidRDefault="00490E27" w:rsidP="004D27EE">
      <w:pPr>
        <w:pStyle w:val="EndNoteBibliography"/>
        <w:spacing w:after="0" w:line="480" w:lineRule="auto"/>
        <w:ind w:left="720" w:hanging="720"/>
        <w:rPr>
          <w:sz w:val="24"/>
          <w:szCs w:val="24"/>
        </w:rPr>
      </w:pPr>
      <w:bookmarkStart w:id="5" w:name="_ENREF_4"/>
      <w:r w:rsidRPr="00621C69">
        <w:rPr>
          <w:sz w:val="24"/>
          <w:szCs w:val="24"/>
        </w:rPr>
        <w:t xml:space="preserve">Baker, D.J., Freeman, S.N., Grice, P.V. &amp; Siriwardena, G.M. (2012) Landscape-scale responses of birds to agri-environment management: a test of the English Environmental Stewardship scheme. </w:t>
      </w:r>
      <w:r w:rsidRPr="00621C69">
        <w:rPr>
          <w:i/>
          <w:sz w:val="24"/>
          <w:szCs w:val="24"/>
        </w:rPr>
        <w:t>Journal of Applied Ecology,</w:t>
      </w:r>
      <w:r w:rsidRPr="00621C69">
        <w:rPr>
          <w:sz w:val="24"/>
          <w:szCs w:val="24"/>
        </w:rPr>
        <w:t xml:space="preserve"> </w:t>
      </w:r>
      <w:r w:rsidRPr="00621C69">
        <w:rPr>
          <w:b/>
          <w:sz w:val="24"/>
          <w:szCs w:val="24"/>
        </w:rPr>
        <w:t>49,</w:t>
      </w:r>
      <w:r w:rsidRPr="00621C69">
        <w:rPr>
          <w:sz w:val="24"/>
          <w:szCs w:val="24"/>
        </w:rPr>
        <w:t xml:space="preserve"> 871-882.</w:t>
      </w:r>
      <w:bookmarkEnd w:id="5"/>
    </w:p>
    <w:p w:rsidR="00490E27" w:rsidRPr="00621C69" w:rsidRDefault="00490E27" w:rsidP="004D27EE">
      <w:pPr>
        <w:pStyle w:val="EndNoteBibliography"/>
        <w:spacing w:after="0" w:line="480" w:lineRule="auto"/>
        <w:ind w:left="720" w:hanging="720"/>
        <w:rPr>
          <w:sz w:val="24"/>
          <w:szCs w:val="24"/>
        </w:rPr>
      </w:pPr>
      <w:bookmarkStart w:id="6" w:name="_ENREF_5"/>
      <w:r w:rsidRPr="00621C69">
        <w:rPr>
          <w:sz w:val="24"/>
          <w:szCs w:val="24"/>
        </w:rPr>
        <w:t>Bartoń, K. (2013) MuMIn: multi-model inference, R package version 1.9.13.</w:t>
      </w:r>
      <w:bookmarkEnd w:id="6"/>
    </w:p>
    <w:p w:rsidR="00490E27" w:rsidRPr="00621C69" w:rsidRDefault="00490E27" w:rsidP="004D27EE">
      <w:pPr>
        <w:pStyle w:val="EndNoteBibliography"/>
        <w:spacing w:after="0" w:line="480" w:lineRule="auto"/>
        <w:ind w:left="720" w:hanging="720"/>
        <w:rPr>
          <w:sz w:val="24"/>
          <w:szCs w:val="24"/>
        </w:rPr>
      </w:pPr>
      <w:bookmarkStart w:id="7" w:name="_ENREF_6"/>
      <w:r w:rsidRPr="00621C69">
        <w:rPr>
          <w:sz w:val="24"/>
          <w:szCs w:val="24"/>
        </w:rPr>
        <w:t xml:space="preserve">Batary, P., Andras, B., Kleijn, D. &amp; Tscharntke, T. (2010a) Landscape-moderated biodiversity effects of agri-environmental management: a meta-analysis. </w:t>
      </w:r>
      <w:r w:rsidRPr="00621C69">
        <w:rPr>
          <w:i/>
          <w:sz w:val="24"/>
          <w:szCs w:val="24"/>
        </w:rPr>
        <w:t>Proceedings of the Royal Society B-Biological Sciences,</w:t>
      </w:r>
      <w:r w:rsidRPr="00621C69">
        <w:rPr>
          <w:sz w:val="24"/>
          <w:szCs w:val="24"/>
        </w:rPr>
        <w:t xml:space="preserve"> </w:t>
      </w:r>
      <w:r w:rsidRPr="00621C69">
        <w:rPr>
          <w:b/>
          <w:sz w:val="24"/>
          <w:szCs w:val="24"/>
        </w:rPr>
        <w:t>278,</w:t>
      </w:r>
      <w:r w:rsidRPr="00621C69">
        <w:rPr>
          <w:sz w:val="24"/>
          <w:szCs w:val="24"/>
        </w:rPr>
        <w:t xml:space="preserve"> 1894-1902.</w:t>
      </w:r>
      <w:bookmarkEnd w:id="7"/>
    </w:p>
    <w:p w:rsidR="00490E27" w:rsidRPr="00621C69" w:rsidRDefault="00490E27" w:rsidP="004D27EE">
      <w:pPr>
        <w:pStyle w:val="EndNoteBibliography"/>
        <w:spacing w:after="0" w:line="480" w:lineRule="auto"/>
        <w:ind w:left="720" w:hanging="720"/>
        <w:rPr>
          <w:sz w:val="24"/>
          <w:szCs w:val="24"/>
        </w:rPr>
      </w:pPr>
      <w:bookmarkStart w:id="8" w:name="_ENREF_7"/>
      <w:r w:rsidRPr="00621C69">
        <w:rPr>
          <w:sz w:val="24"/>
          <w:szCs w:val="24"/>
        </w:rPr>
        <w:t xml:space="preserve">Batary, P., Baldi, A., Saropataki, M., Kohler, F., Verhulst, J., Knop, E., Herzog, F. &amp; Kleijn, D. (2010b) Effect of conservation management on bees and insect-pollinated grassland plant communities in three European countries. </w:t>
      </w:r>
      <w:r w:rsidRPr="00621C69">
        <w:rPr>
          <w:i/>
          <w:sz w:val="24"/>
          <w:szCs w:val="24"/>
        </w:rPr>
        <w:t>Agriculture Ecosystems &amp; Environment,</w:t>
      </w:r>
      <w:r w:rsidRPr="00621C69">
        <w:rPr>
          <w:sz w:val="24"/>
          <w:szCs w:val="24"/>
        </w:rPr>
        <w:t xml:space="preserve"> </w:t>
      </w:r>
      <w:r w:rsidRPr="00621C69">
        <w:rPr>
          <w:b/>
          <w:sz w:val="24"/>
          <w:szCs w:val="24"/>
        </w:rPr>
        <w:t>136,</w:t>
      </w:r>
      <w:r w:rsidRPr="00621C69">
        <w:rPr>
          <w:sz w:val="24"/>
          <w:szCs w:val="24"/>
        </w:rPr>
        <w:t xml:space="preserve"> 35-39.</w:t>
      </w:r>
      <w:bookmarkEnd w:id="8"/>
    </w:p>
    <w:p w:rsidR="00490E27" w:rsidRPr="00621C69" w:rsidRDefault="00490E27" w:rsidP="004D27EE">
      <w:pPr>
        <w:pStyle w:val="EndNoteBibliography"/>
        <w:spacing w:after="0" w:line="480" w:lineRule="auto"/>
        <w:ind w:left="720" w:hanging="720"/>
        <w:rPr>
          <w:sz w:val="24"/>
          <w:szCs w:val="24"/>
        </w:rPr>
      </w:pPr>
      <w:bookmarkStart w:id="9" w:name="_ENREF_8"/>
      <w:r w:rsidRPr="00621C69">
        <w:rPr>
          <w:sz w:val="24"/>
          <w:szCs w:val="24"/>
        </w:rPr>
        <w:t xml:space="preserve">Bates, D.M. (2010) </w:t>
      </w:r>
      <w:r w:rsidRPr="00621C69">
        <w:rPr>
          <w:i/>
          <w:sz w:val="24"/>
          <w:szCs w:val="24"/>
        </w:rPr>
        <w:t>lme4: Mixed-effects modeling with R.</w:t>
      </w:r>
      <w:r w:rsidRPr="00621C69">
        <w:rPr>
          <w:sz w:val="24"/>
          <w:szCs w:val="24"/>
        </w:rPr>
        <w:t xml:space="preserve"> Springer, London.</w:t>
      </w:r>
      <w:bookmarkEnd w:id="9"/>
    </w:p>
    <w:p w:rsidR="00490E27" w:rsidRPr="00621C69" w:rsidRDefault="00490E27" w:rsidP="004D27EE">
      <w:pPr>
        <w:pStyle w:val="EndNoteBibliography"/>
        <w:spacing w:after="0" w:line="480" w:lineRule="auto"/>
        <w:ind w:left="720" w:hanging="720"/>
        <w:rPr>
          <w:sz w:val="24"/>
          <w:szCs w:val="24"/>
        </w:rPr>
      </w:pPr>
      <w:bookmarkStart w:id="10" w:name="_ENREF_9"/>
      <w:r w:rsidRPr="00621C69">
        <w:rPr>
          <w:sz w:val="24"/>
          <w:szCs w:val="24"/>
        </w:rPr>
        <w:t xml:space="preserve">Baylis, K., Peplow, S., Rausser, G. &amp; Simon, L. (2008) Agri-environmental policies in the EU and United States: A comparison. </w:t>
      </w:r>
      <w:r w:rsidRPr="00621C69">
        <w:rPr>
          <w:i/>
          <w:sz w:val="24"/>
          <w:szCs w:val="24"/>
        </w:rPr>
        <w:t>Ecological Economics,</w:t>
      </w:r>
      <w:r w:rsidRPr="00621C69">
        <w:rPr>
          <w:sz w:val="24"/>
          <w:szCs w:val="24"/>
        </w:rPr>
        <w:t xml:space="preserve"> </w:t>
      </w:r>
      <w:r w:rsidRPr="00621C69">
        <w:rPr>
          <w:b/>
          <w:sz w:val="24"/>
          <w:szCs w:val="24"/>
        </w:rPr>
        <w:t>65,</w:t>
      </w:r>
      <w:r w:rsidRPr="00621C69">
        <w:rPr>
          <w:sz w:val="24"/>
          <w:szCs w:val="24"/>
        </w:rPr>
        <w:t xml:space="preserve"> 753-764.</w:t>
      </w:r>
      <w:bookmarkEnd w:id="10"/>
    </w:p>
    <w:p w:rsidR="00490E27" w:rsidRPr="00621C69" w:rsidRDefault="00490E27" w:rsidP="004D27EE">
      <w:pPr>
        <w:pStyle w:val="EndNoteBibliography"/>
        <w:spacing w:after="0" w:line="480" w:lineRule="auto"/>
        <w:ind w:left="720" w:hanging="720"/>
        <w:rPr>
          <w:sz w:val="24"/>
          <w:szCs w:val="24"/>
        </w:rPr>
      </w:pPr>
      <w:bookmarkStart w:id="11" w:name="_ENREF_10"/>
      <w:r w:rsidRPr="00621C69">
        <w:rPr>
          <w:sz w:val="24"/>
          <w:szCs w:val="24"/>
        </w:rPr>
        <w:t xml:space="preserve">Burnham, K.P. &amp; Anderson, D.R. (2002) </w:t>
      </w:r>
      <w:r w:rsidRPr="00621C69">
        <w:rPr>
          <w:i/>
          <w:sz w:val="24"/>
          <w:szCs w:val="24"/>
        </w:rPr>
        <w:t xml:space="preserve">Model selection and multimodel inference: a practical information-theoretic approach, </w:t>
      </w:r>
      <w:r w:rsidRPr="00621C69">
        <w:rPr>
          <w:sz w:val="24"/>
          <w:szCs w:val="24"/>
        </w:rPr>
        <w:t>2nd edn. New York.</w:t>
      </w:r>
      <w:bookmarkEnd w:id="11"/>
    </w:p>
    <w:p w:rsidR="00490E27" w:rsidRPr="00621C69" w:rsidRDefault="00490E27" w:rsidP="004D27EE">
      <w:pPr>
        <w:pStyle w:val="EndNoteBibliography"/>
        <w:spacing w:after="0" w:line="480" w:lineRule="auto"/>
        <w:ind w:left="720" w:hanging="720"/>
        <w:rPr>
          <w:sz w:val="24"/>
          <w:szCs w:val="24"/>
        </w:rPr>
      </w:pPr>
      <w:bookmarkStart w:id="12" w:name="_ENREF_11"/>
      <w:r w:rsidRPr="00621C69">
        <w:rPr>
          <w:sz w:val="24"/>
          <w:szCs w:val="24"/>
        </w:rPr>
        <w:t xml:space="preserve">Burton, R.J.F. (2014) The influence of farmer demographic characteristics on environmental behaviour: A review. </w:t>
      </w:r>
      <w:r w:rsidRPr="00621C69">
        <w:rPr>
          <w:i/>
          <w:sz w:val="24"/>
          <w:szCs w:val="24"/>
        </w:rPr>
        <w:t>Journal of Environmental Management,</w:t>
      </w:r>
      <w:r w:rsidRPr="00621C69">
        <w:rPr>
          <w:sz w:val="24"/>
          <w:szCs w:val="24"/>
        </w:rPr>
        <w:t xml:space="preserve"> </w:t>
      </w:r>
      <w:r w:rsidRPr="00621C69">
        <w:rPr>
          <w:b/>
          <w:sz w:val="24"/>
          <w:szCs w:val="24"/>
        </w:rPr>
        <w:t>135,</w:t>
      </w:r>
      <w:r w:rsidRPr="00621C69">
        <w:rPr>
          <w:sz w:val="24"/>
          <w:szCs w:val="24"/>
        </w:rPr>
        <w:t xml:space="preserve"> 19-26.</w:t>
      </w:r>
      <w:bookmarkEnd w:id="12"/>
    </w:p>
    <w:p w:rsidR="00490E27" w:rsidRPr="00621C69" w:rsidRDefault="00490E27" w:rsidP="004D27EE">
      <w:pPr>
        <w:pStyle w:val="EndNoteBibliography"/>
        <w:spacing w:after="0" w:line="480" w:lineRule="auto"/>
        <w:ind w:left="720" w:hanging="720"/>
        <w:rPr>
          <w:sz w:val="24"/>
          <w:szCs w:val="24"/>
        </w:rPr>
      </w:pPr>
      <w:bookmarkStart w:id="13" w:name="_ENREF_12"/>
      <w:r w:rsidRPr="00621C69">
        <w:rPr>
          <w:sz w:val="24"/>
          <w:szCs w:val="24"/>
        </w:rPr>
        <w:lastRenderedPageBreak/>
        <w:t xml:space="preserve">Burton, R.J.F., Kuczera, C. &amp; Schwarz, G. (2008) Exploring farmers' cultural resistance to voluntary agri-environmental schemes. </w:t>
      </w:r>
      <w:r w:rsidRPr="00621C69">
        <w:rPr>
          <w:i/>
          <w:sz w:val="24"/>
          <w:szCs w:val="24"/>
        </w:rPr>
        <w:t>Sociologia Ruralis,</w:t>
      </w:r>
      <w:r w:rsidRPr="00621C69">
        <w:rPr>
          <w:sz w:val="24"/>
          <w:szCs w:val="24"/>
        </w:rPr>
        <w:t xml:space="preserve"> </w:t>
      </w:r>
      <w:r w:rsidRPr="00621C69">
        <w:rPr>
          <w:b/>
          <w:sz w:val="24"/>
          <w:szCs w:val="24"/>
        </w:rPr>
        <w:t>48,</w:t>
      </w:r>
      <w:r w:rsidRPr="00621C69">
        <w:rPr>
          <w:sz w:val="24"/>
          <w:szCs w:val="24"/>
        </w:rPr>
        <w:t xml:space="preserve"> 16-37.</w:t>
      </w:r>
      <w:bookmarkEnd w:id="13"/>
    </w:p>
    <w:p w:rsidR="00490E27" w:rsidRPr="00621C69" w:rsidRDefault="00490E27" w:rsidP="004D27EE">
      <w:pPr>
        <w:pStyle w:val="EndNoteBibliography"/>
        <w:spacing w:after="0" w:line="480" w:lineRule="auto"/>
        <w:ind w:left="720" w:hanging="720"/>
        <w:rPr>
          <w:sz w:val="24"/>
          <w:szCs w:val="24"/>
        </w:rPr>
      </w:pPr>
      <w:bookmarkStart w:id="14" w:name="_ENREF_13"/>
      <w:r w:rsidRPr="00621C69">
        <w:rPr>
          <w:sz w:val="24"/>
          <w:szCs w:val="24"/>
        </w:rPr>
        <w:t xml:space="preserve">Burton, R.J.F. &amp; Schwarz, G. (2013) Result-oriented agri-environmental schemes in Europe and their potential for promoting behavioural change. </w:t>
      </w:r>
      <w:r w:rsidRPr="00621C69">
        <w:rPr>
          <w:i/>
          <w:sz w:val="24"/>
          <w:szCs w:val="24"/>
        </w:rPr>
        <w:t>Land Use Policy,</w:t>
      </w:r>
      <w:r w:rsidRPr="00621C69">
        <w:rPr>
          <w:sz w:val="24"/>
          <w:szCs w:val="24"/>
        </w:rPr>
        <w:t xml:space="preserve"> </w:t>
      </w:r>
      <w:r w:rsidRPr="00621C69">
        <w:rPr>
          <w:b/>
          <w:sz w:val="24"/>
          <w:szCs w:val="24"/>
        </w:rPr>
        <w:t>30,</w:t>
      </w:r>
      <w:r w:rsidRPr="00621C69">
        <w:rPr>
          <w:sz w:val="24"/>
          <w:szCs w:val="24"/>
        </w:rPr>
        <w:t xml:space="preserve"> 628-641.</w:t>
      </w:r>
      <w:bookmarkEnd w:id="14"/>
    </w:p>
    <w:p w:rsidR="00490E27" w:rsidRPr="00621C69" w:rsidRDefault="00490E27" w:rsidP="004D27EE">
      <w:pPr>
        <w:pStyle w:val="EndNoteBibliography"/>
        <w:spacing w:after="0" w:line="480" w:lineRule="auto"/>
        <w:ind w:left="720" w:hanging="720"/>
        <w:rPr>
          <w:sz w:val="24"/>
          <w:szCs w:val="24"/>
        </w:rPr>
      </w:pPr>
      <w:bookmarkStart w:id="15" w:name="_ENREF_14"/>
      <w:r w:rsidRPr="00621C69">
        <w:rPr>
          <w:sz w:val="24"/>
          <w:szCs w:val="24"/>
        </w:rPr>
        <w:t xml:space="preserve">Carvell, C., Osborne, J.L., Bourke, A.F.G., Freeman, S.N., Pywell, R.F. &amp; Heard, M.S. (2011) Bumble bee species' responses to a targeted conservation measure depend on landscape context and habitat quality. </w:t>
      </w:r>
      <w:r w:rsidRPr="00621C69">
        <w:rPr>
          <w:i/>
          <w:sz w:val="24"/>
          <w:szCs w:val="24"/>
        </w:rPr>
        <w:t>Ecological Applications,</w:t>
      </w:r>
      <w:r w:rsidRPr="00621C69">
        <w:rPr>
          <w:sz w:val="24"/>
          <w:szCs w:val="24"/>
        </w:rPr>
        <w:t xml:space="preserve"> </w:t>
      </w:r>
      <w:r w:rsidRPr="00621C69">
        <w:rPr>
          <w:b/>
          <w:sz w:val="24"/>
          <w:szCs w:val="24"/>
        </w:rPr>
        <w:t>21,</w:t>
      </w:r>
      <w:r w:rsidRPr="00621C69">
        <w:rPr>
          <w:sz w:val="24"/>
          <w:szCs w:val="24"/>
        </w:rPr>
        <w:t xml:space="preserve"> 1760-1771.</w:t>
      </w:r>
      <w:bookmarkEnd w:id="15"/>
    </w:p>
    <w:p w:rsidR="00490E27" w:rsidRPr="00621C69" w:rsidRDefault="00490E27" w:rsidP="004D27EE">
      <w:pPr>
        <w:pStyle w:val="EndNoteBibliography"/>
        <w:spacing w:after="0" w:line="480" w:lineRule="auto"/>
        <w:ind w:left="720" w:hanging="720"/>
        <w:rPr>
          <w:sz w:val="24"/>
          <w:szCs w:val="24"/>
        </w:rPr>
      </w:pPr>
      <w:bookmarkStart w:id="16" w:name="_ENREF_15"/>
      <w:r w:rsidRPr="00621C69">
        <w:rPr>
          <w:sz w:val="24"/>
          <w:szCs w:val="24"/>
        </w:rPr>
        <w:t xml:space="preserve">Concepcion, E.D., Diaz, M., Kleijn, D., Baldi, A., Batary, P., Clough, Y., Gabriel, D., Herzog, F., Holzschuh, A., Knop, E., Marshall, E.J.P., Tscharntke, T. &amp; Verhulst, J. (2012) Interactive effects of landscape context constrain the effectiveness of local agri-environmental management. </w:t>
      </w:r>
      <w:r w:rsidRPr="00621C69">
        <w:rPr>
          <w:i/>
          <w:sz w:val="24"/>
          <w:szCs w:val="24"/>
        </w:rPr>
        <w:t>Journal of Applied Ecology,</w:t>
      </w:r>
      <w:r w:rsidRPr="00621C69">
        <w:rPr>
          <w:sz w:val="24"/>
          <w:szCs w:val="24"/>
        </w:rPr>
        <w:t xml:space="preserve"> </w:t>
      </w:r>
      <w:r w:rsidRPr="00621C69">
        <w:rPr>
          <w:b/>
          <w:sz w:val="24"/>
          <w:szCs w:val="24"/>
        </w:rPr>
        <w:t>49,</w:t>
      </w:r>
      <w:r w:rsidRPr="00621C69">
        <w:rPr>
          <w:sz w:val="24"/>
          <w:szCs w:val="24"/>
        </w:rPr>
        <w:t xml:space="preserve"> 695-705.</w:t>
      </w:r>
      <w:bookmarkEnd w:id="16"/>
    </w:p>
    <w:p w:rsidR="00490E27" w:rsidRPr="00621C69" w:rsidRDefault="00490E27" w:rsidP="004D27EE">
      <w:pPr>
        <w:pStyle w:val="EndNoteBibliography"/>
        <w:spacing w:after="0" w:line="480" w:lineRule="auto"/>
        <w:ind w:left="720" w:hanging="720"/>
        <w:rPr>
          <w:sz w:val="24"/>
          <w:szCs w:val="24"/>
        </w:rPr>
      </w:pPr>
      <w:bookmarkStart w:id="17" w:name="_ENREF_16"/>
      <w:r w:rsidRPr="00621C69">
        <w:rPr>
          <w:sz w:val="24"/>
          <w:szCs w:val="24"/>
        </w:rPr>
        <w:t xml:space="preserve">de Snoo, G.R., Herzon, I., Staats, H., Burton, R.J.F., Schindler, S., van Dijk, J., Lokhorst, A.M., Bullock, J.M., Lobley, M., Wrbka, T., Schwarz, G. &amp; Musters, C.J.M. (2013) Toward effective nature conservation on farmland: making farmers matter. </w:t>
      </w:r>
      <w:r w:rsidRPr="00621C69">
        <w:rPr>
          <w:i/>
          <w:sz w:val="24"/>
          <w:szCs w:val="24"/>
        </w:rPr>
        <w:t>Conservation Letters,</w:t>
      </w:r>
      <w:r w:rsidRPr="00621C69">
        <w:rPr>
          <w:sz w:val="24"/>
          <w:szCs w:val="24"/>
        </w:rPr>
        <w:t xml:space="preserve"> </w:t>
      </w:r>
      <w:r w:rsidRPr="00621C69">
        <w:rPr>
          <w:b/>
          <w:sz w:val="24"/>
          <w:szCs w:val="24"/>
        </w:rPr>
        <w:t>6,</w:t>
      </w:r>
      <w:r w:rsidRPr="00621C69">
        <w:rPr>
          <w:sz w:val="24"/>
          <w:szCs w:val="24"/>
        </w:rPr>
        <w:t xml:space="preserve"> 66-72.</w:t>
      </w:r>
      <w:bookmarkEnd w:id="17"/>
    </w:p>
    <w:p w:rsidR="00490E27" w:rsidRPr="00621C69" w:rsidRDefault="00490E27" w:rsidP="004D27EE">
      <w:pPr>
        <w:pStyle w:val="EndNoteBibliography"/>
        <w:spacing w:after="0" w:line="480" w:lineRule="auto"/>
        <w:ind w:left="720" w:hanging="720"/>
        <w:rPr>
          <w:sz w:val="24"/>
          <w:szCs w:val="24"/>
        </w:rPr>
      </w:pPr>
      <w:bookmarkStart w:id="18" w:name="_ENREF_17"/>
      <w:r w:rsidRPr="00621C69">
        <w:rPr>
          <w:sz w:val="24"/>
          <w:szCs w:val="24"/>
        </w:rPr>
        <w:t>Defra (2008) Environmental Stewardship review of progress.</w:t>
      </w:r>
      <w:r w:rsidRPr="00621C69">
        <w:rPr>
          <w:i/>
          <w:sz w:val="24"/>
          <w:szCs w:val="24"/>
        </w:rPr>
        <w:t xml:space="preserve"> </w:t>
      </w:r>
      <w:r w:rsidRPr="00621C69">
        <w:rPr>
          <w:sz w:val="24"/>
          <w:szCs w:val="24"/>
        </w:rPr>
        <w:t>Defra, London.</w:t>
      </w:r>
      <w:bookmarkEnd w:id="18"/>
    </w:p>
    <w:p w:rsidR="00490E27" w:rsidRPr="00621C69" w:rsidRDefault="00490E27" w:rsidP="004D27EE">
      <w:pPr>
        <w:pStyle w:val="EndNoteBibliography"/>
        <w:spacing w:after="0" w:line="480" w:lineRule="auto"/>
        <w:ind w:left="720" w:hanging="720"/>
        <w:rPr>
          <w:sz w:val="24"/>
          <w:szCs w:val="24"/>
        </w:rPr>
      </w:pPr>
      <w:bookmarkStart w:id="19" w:name="_ENREF_18"/>
      <w:r w:rsidRPr="00621C69">
        <w:rPr>
          <w:sz w:val="24"/>
          <w:szCs w:val="24"/>
        </w:rPr>
        <w:t xml:space="preserve">Dover, J.W. (1996) Factors affecting the distribution of satyrid butterflies on arable farmland. </w:t>
      </w:r>
      <w:r w:rsidRPr="00621C69">
        <w:rPr>
          <w:i/>
          <w:sz w:val="24"/>
          <w:szCs w:val="24"/>
        </w:rPr>
        <w:t>Journal of Applied Ecology,</w:t>
      </w:r>
      <w:r w:rsidRPr="00621C69">
        <w:rPr>
          <w:sz w:val="24"/>
          <w:szCs w:val="24"/>
        </w:rPr>
        <w:t xml:space="preserve"> </w:t>
      </w:r>
      <w:r w:rsidRPr="00621C69">
        <w:rPr>
          <w:b/>
          <w:sz w:val="24"/>
          <w:szCs w:val="24"/>
        </w:rPr>
        <w:t>33,</w:t>
      </w:r>
      <w:r w:rsidRPr="00621C69">
        <w:rPr>
          <w:sz w:val="24"/>
          <w:szCs w:val="24"/>
        </w:rPr>
        <w:t xml:space="preserve"> 723-734.</w:t>
      </w:r>
      <w:bookmarkEnd w:id="19"/>
    </w:p>
    <w:p w:rsidR="00490E27" w:rsidRPr="00621C69" w:rsidRDefault="00490E27" w:rsidP="004D27EE">
      <w:pPr>
        <w:pStyle w:val="EndNoteBibliography"/>
        <w:spacing w:after="0" w:line="480" w:lineRule="auto"/>
        <w:ind w:left="720" w:hanging="720"/>
        <w:rPr>
          <w:sz w:val="24"/>
          <w:szCs w:val="24"/>
        </w:rPr>
      </w:pPr>
      <w:bookmarkStart w:id="20" w:name="_ENREF_19"/>
      <w:r w:rsidRPr="00621C69">
        <w:rPr>
          <w:sz w:val="24"/>
          <w:szCs w:val="24"/>
        </w:rPr>
        <w:t>EU (2011) Is agri-environment support well designed and managed? European court of auditors special report no. 7/2011. European Commission, Luxembourg.</w:t>
      </w:r>
      <w:bookmarkEnd w:id="20"/>
    </w:p>
    <w:p w:rsidR="00490E27" w:rsidRPr="00621C69" w:rsidRDefault="00490E27" w:rsidP="004D27EE">
      <w:pPr>
        <w:pStyle w:val="EndNoteBibliography"/>
        <w:spacing w:after="0" w:line="480" w:lineRule="auto"/>
        <w:ind w:left="720" w:hanging="720"/>
        <w:rPr>
          <w:sz w:val="24"/>
          <w:szCs w:val="24"/>
        </w:rPr>
      </w:pPr>
      <w:bookmarkStart w:id="21" w:name="_ENREF_20"/>
      <w:r w:rsidRPr="00621C69">
        <w:rPr>
          <w:sz w:val="24"/>
          <w:szCs w:val="24"/>
        </w:rPr>
        <w:t xml:space="preserve">Freckleton, R. (2011) Dealing with collinearity in behavioural and ecological data: model averaging and the problems of measurement error. </w:t>
      </w:r>
      <w:r w:rsidRPr="00621C69">
        <w:rPr>
          <w:i/>
          <w:sz w:val="24"/>
          <w:szCs w:val="24"/>
        </w:rPr>
        <w:t>Behavioral Ecology and Sociobiology,</w:t>
      </w:r>
      <w:r w:rsidRPr="00621C69">
        <w:rPr>
          <w:sz w:val="24"/>
          <w:szCs w:val="24"/>
        </w:rPr>
        <w:t xml:space="preserve"> </w:t>
      </w:r>
      <w:r w:rsidRPr="00621C69">
        <w:rPr>
          <w:b/>
          <w:sz w:val="24"/>
          <w:szCs w:val="24"/>
        </w:rPr>
        <w:t>65,</w:t>
      </w:r>
      <w:r w:rsidRPr="00621C69">
        <w:rPr>
          <w:sz w:val="24"/>
          <w:szCs w:val="24"/>
        </w:rPr>
        <w:t xml:space="preserve"> 91-101.</w:t>
      </w:r>
      <w:bookmarkEnd w:id="21"/>
    </w:p>
    <w:p w:rsidR="00490E27" w:rsidRPr="00621C69" w:rsidRDefault="00490E27" w:rsidP="004D27EE">
      <w:pPr>
        <w:pStyle w:val="EndNoteBibliography"/>
        <w:spacing w:after="0" w:line="480" w:lineRule="auto"/>
        <w:ind w:left="720" w:hanging="720"/>
        <w:rPr>
          <w:sz w:val="24"/>
          <w:szCs w:val="24"/>
        </w:rPr>
      </w:pPr>
      <w:bookmarkStart w:id="22" w:name="_ENREF_21"/>
      <w:r w:rsidRPr="00621C69">
        <w:rPr>
          <w:sz w:val="24"/>
          <w:szCs w:val="24"/>
        </w:rPr>
        <w:lastRenderedPageBreak/>
        <w:t xml:space="preserve">Gabriel, D., Sait, S.M., Hodgson, J.A., Schmutz, U., Kunin, W.E. &amp; Benton, T.G. (2010) Scale matters: the impact of organic farming on biodiversity at different spatial scales. </w:t>
      </w:r>
      <w:r w:rsidRPr="00621C69">
        <w:rPr>
          <w:i/>
          <w:sz w:val="24"/>
          <w:szCs w:val="24"/>
        </w:rPr>
        <w:t>Ecology Letters,</w:t>
      </w:r>
      <w:r w:rsidRPr="00621C69">
        <w:rPr>
          <w:sz w:val="24"/>
          <w:szCs w:val="24"/>
        </w:rPr>
        <w:t xml:space="preserve"> </w:t>
      </w:r>
      <w:r w:rsidRPr="00621C69">
        <w:rPr>
          <w:b/>
          <w:sz w:val="24"/>
          <w:szCs w:val="24"/>
        </w:rPr>
        <w:t>13,</w:t>
      </w:r>
      <w:r w:rsidRPr="00621C69">
        <w:rPr>
          <w:sz w:val="24"/>
          <w:szCs w:val="24"/>
        </w:rPr>
        <w:t xml:space="preserve"> 858-869.</w:t>
      </w:r>
      <w:bookmarkEnd w:id="22"/>
    </w:p>
    <w:p w:rsidR="00490E27" w:rsidRPr="00621C69" w:rsidRDefault="00490E27" w:rsidP="004D27EE">
      <w:pPr>
        <w:pStyle w:val="EndNoteBibliography"/>
        <w:spacing w:after="0" w:line="480" w:lineRule="auto"/>
        <w:ind w:left="720" w:hanging="720"/>
        <w:rPr>
          <w:sz w:val="24"/>
          <w:szCs w:val="24"/>
        </w:rPr>
      </w:pPr>
      <w:bookmarkStart w:id="23" w:name="_ENREF_22"/>
      <w:r w:rsidRPr="00621C69">
        <w:rPr>
          <w:sz w:val="24"/>
          <w:szCs w:val="24"/>
        </w:rPr>
        <w:t xml:space="preserve">Heard, M.S., Carvell, C., Carreck, N.L., Rothery, P., Osborne, J.L. &amp; Bourke, A.F.G. (2007) Landscape context not patch size determines bumble-bee density on flower mixtures sown for agri-environment schemes. </w:t>
      </w:r>
      <w:r w:rsidRPr="00621C69">
        <w:rPr>
          <w:i/>
          <w:sz w:val="24"/>
          <w:szCs w:val="24"/>
        </w:rPr>
        <w:t>Biology Letters,</w:t>
      </w:r>
      <w:r w:rsidRPr="00621C69">
        <w:rPr>
          <w:sz w:val="24"/>
          <w:szCs w:val="24"/>
        </w:rPr>
        <w:t xml:space="preserve"> </w:t>
      </w:r>
      <w:r w:rsidRPr="00621C69">
        <w:rPr>
          <w:b/>
          <w:sz w:val="24"/>
          <w:szCs w:val="24"/>
        </w:rPr>
        <w:t>3,</w:t>
      </w:r>
      <w:r w:rsidRPr="00621C69">
        <w:rPr>
          <w:sz w:val="24"/>
          <w:szCs w:val="24"/>
        </w:rPr>
        <w:t xml:space="preserve"> 638-641.</w:t>
      </w:r>
      <w:bookmarkEnd w:id="23"/>
    </w:p>
    <w:p w:rsidR="004D27EE" w:rsidRPr="00621C69" w:rsidRDefault="00490E27" w:rsidP="004D27EE">
      <w:pPr>
        <w:pStyle w:val="EndNoteBibliography"/>
        <w:spacing w:after="0" w:line="480" w:lineRule="auto"/>
        <w:ind w:left="720" w:hanging="720"/>
        <w:rPr>
          <w:sz w:val="24"/>
          <w:szCs w:val="24"/>
        </w:rPr>
      </w:pPr>
      <w:bookmarkStart w:id="24" w:name="_ENREF_23"/>
      <w:r w:rsidRPr="00621C69">
        <w:rPr>
          <w:sz w:val="24"/>
          <w:szCs w:val="24"/>
        </w:rPr>
        <w:t xml:space="preserve">Hinsley, S.A., Redhead, J.W., Bellamy, P.E., Broughton, R.K., Hill, R.A., Heard, M.S. &amp; Pywell, R.F. (2010) Testing agri-environment delivery for farmland birds at the farm scale: the Hillesden experiment. </w:t>
      </w:r>
      <w:r w:rsidRPr="00621C69">
        <w:rPr>
          <w:i/>
          <w:sz w:val="24"/>
          <w:szCs w:val="24"/>
        </w:rPr>
        <w:t>Ibis,</w:t>
      </w:r>
      <w:r w:rsidRPr="00621C69">
        <w:rPr>
          <w:sz w:val="24"/>
          <w:szCs w:val="24"/>
        </w:rPr>
        <w:t xml:space="preserve"> </w:t>
      </w:r>
      <w:r w:rsidRPr="00621C69">
        <w:rPr>
          <w:b/>
          <w:sz w:val="24"/>
          <w:szCs w:val="24"/>
        </w:rPr>
        <w:t>152,</w:t>
      </w:r>
      <w:r w:rsidRPr="00621C69">
        <w:rPr>
          <w:sz w:val="24"/>
          <w:szCs w:val="24"/>
        </w:rPr>
        <w:t xml:space="preserve"> 500-514.</w:t>
      </w:r>
      <w:bookmarkStart w:id="25" w:name="_ENREF_24"/>
      <w:bookmarkEnd w:id="24"/>
    </w:p>
    <w:p w:rsidR="004D27EE" w:rsidRPr="00621C69" w:rsidRDefault="004D27EE" w:rsidP="004D27EE">
      <w:pPr>
        <w:pStyle w:val="EndNoteBibliography"/>
        <w:spacing w:after="0" w:line="480" w:lineRule="auto"/>
        <w:ind w:left="720" w:hanging="720"/>
        <w:rPr>
          <w:rFonts w:asciiTheme="minorHAnsi" w:hAnsiTheme="minorHAnsi"/>
          <w:sz w:val="24"/>
          <w:szCs w:val="24"/>
        </w:rPr>
      </w:pPr>
      <w:r w:rsidRPr="00621C69">
        <w:rPr>
          <w:rFonts w:asciiTheme="minorHAnsi" w:eastAsiaTheme="minorHAnsi" w:hAnsiTheme="minorHAnsi" w:cs="Segoe UI"/>
          <w:sz w:val="24"/>
          <w:szCs w:val="24"/>
        </w:rPr>
        <w:t>Jarratt, S. (2012) Linking the environmentally friendly farming careers of farmers to their effective delivery of wildlife habitats within the East of England. PhD, Nottingham.</w:t>
      </w:r>
    </w:p>
    <w:p w:rsidR="00490E27" w:rsidRPr="00621C69" w:rsidRDefault="00490E27" w:rsidP="004D27EE">
      <w:pPr>
        <w:pStyle w:val="EndNoteBibliography"/>
        <w:spacing w:after="0" w:line="480" w:lineRule="auto"/>
        <w:ind w:left="720" w:hanging="720"/>
        <w:rPr>
          <w:sz w:val="24"/>
          <w:szCs w:val="24"/>
        </w:rPr>
      </w:pPr>
      <w:r w:rsidRPr="00621C69">
        <w:rPr>
          <w:sz w:val="24"/>
          <w:szCs w:val="24"/>
        </w:rPr>
        <w:t xml:space="preserve">Kleijn, D., Baquero, R.A., Clough, Y., Diaz, M., De Esteban, J., Fernandez, F., Gabriel, D., Herzog, F., Holzschuh, A., Johl, R., Knop, E., Kruess, A., Marshall, E.J.P., Steffan-Dewenter, I., Tscharntke, T., Verhulst, J., West, T.M. &amp; Yela, J.L. (2006) Mixed biodiversity benefits of agri-environment schemes in five European countries. </w:t>
      </w:r>
      <w:r w:rsidRPr="00621C69">
        <w:rPr>
          <w:i/>
          <w:sz w:val="24"/>
          <w:szCs w:val="24"/>
        </w:rPr>
        <w:t>Ecology Letters,</w:t>
      </w:r>
      <w:r w:rsidRPr="00621C69">
        <w:rPr>
          <w:sz w:val="24"/>
          <w:szCs w:val="24"/>
        </w:rPr>
        <w:t xml:space="preserve"> </w:t>
      </w:r>
      <w:r w:rsidRPr="00621C69">
        <w:rPr>
          <w:b/>
          <w:sz w:val="24"/>
          <w:szCs w:val="24"/>
        </w:rPr>
        <w:t>9,</w:t>
      </w:r>
      <w:r w:rsidRPr="00621C69">
        <w:rPr>
          <w:sz w:val="24"/>
          <w:szCs w:val="24"/>
        </w:rPr>
        <w:t xml:space="preserve"> 243-254.</w:t>
      </w:r>
      <w:bookmarkEnd w:id="25"/>
    </w:p>
    <w:p w:rsidR="00490E27" w:rsidRPr="00621C69" w:rsidRDefault="00490E27" w:rsidP="004D27EE">
      <w:pPr>
        <w:pStyle w:val="EndNoteBibliography"/>
        <w:spacing w:after="0" w:line="480" w:lineRule="auto"/>
        <w:ind w:left="720" w:hanging="720"/>
        <w:rPr>
          <w:sz w:val="24"/>
          <w:szCs w:val="24"/>
        </w:rPr>
      </w:pPr>
      <w:bookmarkStart w:id="26" w:name="_ENREF_25"/>
      <w:r w:rsidRPr="00621C69">
        <w:rPr>
          <w:sz w:val="24"/>
          <w:szCs w:val="24"/>
        </w:rPr>
        <w:t xml:space="preserve">Lindenmayer, D., Wood, J., Montague-Drake, R., Michael, D., Crane, M., Okada, S., MacGregor, C. &amp; Gibbons, P. (2012) Is biodiversity management effective? Cross-sectional relationships between management, bird response and vegetation attributes in an Australian agri-environment scheme. </w:t>
      </w:r>
      <w:r w:rsidRPr="00621C69">
        <w:rPr>
          <w:i/>
          <w:sz w:val="24"/>
          <w:szCs w:val="24"/>
        </w:rPr>
        <w:t>Biological Conservation,</w:t>
      </w:r>
      <w:r w:rsidRPr="00621C69">
        <w:rPr>
          <w:sz w:val="24"/>
          <w:szCs w:val="24"/>
        </w:rPr>
        <w:t xml:space="preserve"> </w:t>
      </w:r>
      <w:r w:rsidRPr="00621C69">
        <w:rPr>
          <w:b/>
          <w:sz w:val="24"/>
          <w:szCs w:val="24"/>
        </w:rPr>
        <w:t>152,</w:t>
      </w:r>
      <w:r w:rsidRPr="00621C69">
        <w:rPr>
          <w:sz w:val="24"/>
          <w:szCs w:val="24"/>
        </w:rPr>
        <w:t xml:space="preserve"> 62-73.</w:t>
      </w:r>
      <w:bookmarkEnd w:id="26"/>
    </w:p>
    <w:p w:rsidR="003A580F" w:rsidRDefault="00490E27" w:rsidP="003A580F">
      <w:pPr>
        <w:pStyle w:val="EndNoteBibliography"/>
        <w:spacing w:after="0" w:line="480" w:lineRule="auto"/>
        <w:ind w:left="720" w:hanging="720"/>
        <w:rPr>
          <w:sz w:val="24"/>
          <w:szCs w:val="24"/>
        </w:rPr>
      </w:pPr>
      <w:bookmarkStart w:id="27" w:name="_ENREF_26"/>
      <w:r w:rsidRPr="00621C69">
        <w:rPr>
          <w:sz w:val="24"/>
          <w:szCs w:val="24"/>
        </w:rPr>
        <w:t xml:space="preserve">Lobley, M., Saratsi, E., Winter, M. &amp; Bullock, J.M. (2013) Training farmers in agri-environmental management: the case of Environmental Stewardship in lowland England. </w:t>
      </w:r>
      <w:r w:rsidRPr="00621C69">
        <w:rPr>
          <w:i/>
          <w:sz w:val="24"/>
          <w:szCs w:val="24"/>
        </w:rPr>
        <w:t>International Journal of Agricultural Management,</w:t>
      </w:r>
      <w:r w:rsidRPr="00621C69">
        <w:rPr>
          <w:sz w:val="24"/>
          <w:szCs w:val="24"/>
        </w:rPr>
        <w:t xml:space="preserve"> </w:t>
      </w:r>
      <w:r w:rsidRPr="00621C69">
        <w:rPr>
          <w:b/>
          <w:sz w:val="24"/>
          <w:szCs w:val="24"/>
        </w:rPr>
        <w:t>3,</w:t>
      </w:r>
      <w:r w:rsidRPr="00621C69">
        <w:rPr>
          <w:sz w:val="24"/>
          <w:szCs w:val="24"/>
        </w:rPr>
        <w:t xml:space="preserve"> 12-20.</w:t>
      </w:r>
      <w:bookmarkStart w:id="28" w:name="_ENREF_27"/>
      <w:bookmarkEnd w:id="27"/>
    </w:p>
    <w:p w:rsidR="003A580F" w:rsidRPr="003A580F" w:rsidRDefault="003A580F" w:rsidP="003A580F">
      <w:pPr>
        <w:pStyle w:val="EndNoteBibliography"/>
        <w:spacing w:after="0" w:line="480" w:lineRule="auto"/>
        <w:ind w:left="720" w:hanging="720"/>
        <w:rPr>
          <w:sz w:val="24"/>
          <w:szCs w:val="24"/>
        </w:rPr>
      </w:pPr>
      <w:r w:rsidRPr="003A580F">
        <w:rPr>
          <w:sz w:val="24"/>
          <w:szCs w:val="24"/>
        </w:rPr>
        <w:lastRenderedPageBreak/>
        <w:t>McCracken, M.E., Woodcock, B.A., Lobley, M., Pywell, R.F., Saratsi, E., Swetnam, R.D., Mortimer, S.R., Harris, S.J., Winter, M., Hinsley, S., Bullock, J.M. (2015). Biodiversity, environmental and social data 2007-2008 for the project Improving the Success of Agri-environment Schemes (FarmCAT). NERC-Environmental Information Data Centre doi:10.5285/d774f98f-030d-45bb-8042-7729573a13b2</w:t>
      </w:r>
    </w:p>
    <w:p w:rsidR="00490E27" w:rsidRPr="00621C69" w:rsidRDefault="00490E27" w:rsidP="003A580F">
      <w:pPr>
        <w:pStyle w:val="EndNoteBibliography"/>
        <w:spacing w:after="0" w:line="480" w:lineRule="auto"/>
        <w:ind w:left="720" w:hanging="720"/>
        <w:rPr>
          <w:sz w:val="24"/>
          <w:szCs w:val="24"/>
        </w:rPr>
      </w:pPr>
      <w:r w:rsidRPr="00621C69">
        <w:rPr>
          <w:sz w:val="24"/>
          <w:szCs w:val="24"/>
        </w:rPr>
        <w:t xml:space="preserve">Myers, M.C., Hoksch, B.J. &amp; Mason, J.T. (2012) Butterfly response to floral resources during early establishment at a heterogeneous prairie biomass production site in Iowa, USA. </w:t>
      </w:r>
      <w:r w:rsidRPr="00621C69">
        <w:rPr>
          <w:i/>
          <w:sz w:val="24"/>
          <w:szCs w:val="24"/>
        </w:rPr>
        <w:t>Journal of Insect Conservation,</w:t>
      </w:r>
      <w:r w:rsidRPr="00621C69">
        <w:rPr>
          <w:sz w:val="24"/>
          <w:szCs w:val="24"/>
        </w:rPr>
        <w:t xml:space="preserve"> </w:t>
      </w:r>
      <w:r w:rsidRPr="00621C69">
        <w:rPr>
          <w:b/>
          <w:sz w:val="24"/>
          <w:szCs w:val="24"/>
        </w:rPr>
        <w:t>16,</w:t>
      </w:r>
      <w:r w:rsidRPr="00621C69">
        <w:rPr>
          <w:sz w:val="24"/>
          <w:szCs w:val="24"/>
        </w:rPr>
        <w:t xml:space="preserve"> 457-472.</w:t>
      </w:r>
      <w:bookmarkEnd w:id="28"/>
    </w:p>
    <w:p w:rsidR="00490E27" w:rsidRPr="00621C69" w:rsidRDefault="00490E27" w:rsidP="004D27EE">
      <w:pPr>
        <w:pStyle w:val="EndNoteBibliography"/>
        <w:spacing w:after="0" w:line="480" w:lineRule="auto"/>
        <w:ind w:left="720" w:hanging="720"/>
        <w:rPr>
          <w:sz w:val="24"/>
          <w:szCs w:val="24"/>
        </w:rPr>
      </w:pPr>
      <w:bookmarkStart w:id="29" w:name="_ENREF_28"/>
      <w:r w:rsidRPr="00621C69">
        <w:rPr>
          <w:sz w:val="24"/>
          <w:szCs w:val="24"/>
        </w:rPr>
        <w:t>Natural England (2013) Entry Level Stewardship Handbook 4th edition.</w:t>
      </w:r>
      <w:bookmarkEnd w:id="29"/>
    </w:p>
    <w:p w:rsidR="00490E27" w:rsidRPr="00621C69" w:rsidRDefault="00490E27" w:rsidP="004D27EE">
      <w:pPr>
        <w:pStyle w:val="EndNoteBibliography"/>
        <w:spacing w:after="0" w:line="480" w:lineRule="auto"/>
        <w:ind w:left="720" w:hanging="720"/>
        <w:rPr>
          <w:sz w:val="24"/>
          <w:szCs w:val="24"/>
        </w:rPr>
      </w:pPr>
      <w:bookmarkStart w:id="30" w:name="_ENREF_29"/>
      <w:r w:rsidRPr="00621C69">
        <w:rPr>
          <w:sz w:val="24"/>
          <w:szCs w:val="24"/>
        </w:rPr>
        <w:t xml:space="preserve">Osborne, J.L., Martin, A.P., Carreck, N.L., Swain, J.L., Knight, M.E., Goulson, D., Hale, R.J. &amp; Sanderson, R.A. (2008) Bumblebee flight distances in relation to the forage landscape. </w:t>
      </w:r>
      <w:r w:rsidRPr="00621C69">
        <w:rPr>
          <w:i/>
          <w:sz w:val="24"/>
          <w:szCs w:val="24"/>
        </w:rPr>
        <w:t>Journal of Animal Ecology,</w:t>
      </w:r>
      <w:r w:rsidRPr="00621C69">
        <w:rPr>
          <w:sz w:val="24"/>
          <w:szCs w:val="24"/>
        </w:rPr>
        <w:t xml:space="preserve"> </w:t>
      </w:r>
      <w:r w:rsidRPr="00621C69">
        <w:rPr>
          <w:b/>
          <w:sz w:val="24"/>
          <w:szCs w:val="24"/>
        </w:rPr>
        <w:t>77,</w:t>
      </w:r>
      <w:r w:rsidRPr="00621C69">
        <w:rPr>
          <w:sz w:val="24"/>
          <w:szCs w:val="24"/>
        </w:rPr>
        <w:t xml:space="preserve"> 406-415.</w:t>
      </w:r>
      <w:bookmarkEnd w:id="30"/>
    </w:p>
    <w:p w:rsidR="00490E27" w:rsidRPr="00621C69" w:rsidRDefault="00490E27" w:rsidP="004D27EE">
      <w:pPr>
        <w:pStyle w:val="EndNoteBibliography"/>
        <w:spacing w:after="0" w:line="480" w:lineRule="auto"/>
        <w:ind w:left="720" w:hanging="720"/>
        <w:rPr>
          <w:sz w:val="24"/>
          <w:szCs w:val="24"/>
        </w:rPr>
      </w:pPr>
      <w:bookmarkStart w:id="31" w:name="_ENREF_30"/>
      <w:r w:rsidRPr="00621C69">
        <w:rPr>
          <w:sz w:val="24"/>
          <w:szCs w:val="24"/>
        </w:rPr>
        <w:t xml:space="preserve">Phillipson, J., Lowe, P. &amp; Bullock, J.M. (2009) Navigating the social sciences: interdisciplinarity and ecology. </w:t>
      </w:r>
      <w:r w:rsidRPr="00621C69">
        <w:rPr>
          <w:i/>
          <w:sz w:val="24"/>
          <w:szCs w:val="24"/>
        </w:rPr>
        <w:t>Journal of Applied Ecology,</w:t>
      </w:r>
      <w:r w:rsidRPr="00621C69">
        <w:rPr>
          <w:sz w:val="24"/>
          <w:szCs w:val="24"/>
        </w:rPr>
        <w:t xml:space="preserve"> </w:t>
      </w:r>
      <w:r w:rsidRPr="00621C69">
        <w:rPr>
          <w:b/>
          <w:sz w:val="24"/>
          <w:szCs w:val="24"/>
        </w:rPr>
        <w:t>46,</w:t>
      </w:r>
      <w:r w:rsidRPr="00621C69">
        <w:rPr>
          <w:sz w:val="24"/>
          <w:szCs w:val="24"/>
        </w:rPr>
        <w:t xml:space="preserve"> 261-264.</w:t>
      </w:r>
      <w:bookmarkEnd w:id="31"/>
    </w:p>
    <w:p w:rsidR="00490E27" w:rsidRPr="00621C69" w:rsidRDefault="00490E27" w:rsidP="004D27EE">
      <w:pPr>
        <w:pStyle w:val="EndNoteBibliography"/>
        <w:spacing w:after="0" w:line="480" w:lineRule="auto"/>
        <w:ind w:left="720" w:hanging="720"/>
        <w:rPr>
          <w:sz w:val="24"/>
          <w:szCs w:val="24"/>
        </w:rPr>
      </w:pPr>
      <w:bookmarkStart w:id="32" w:name="_ENREF_31"/>
      <w:r w:rsidRPr="00621C69">
        <w:rPr>
          <w:sz w:val="24"/>
          <w:szCs w:val="24"/>
        </w:rPr>
        <w:t xml:space="preserve">Pollard, E. &amp; Moss, D. (1995) Historical records of the occurrence of butterflies in Britain: examples showing associations between annual number of records and weather. </w:t>
      </w:r>
      <w:r w:rsidRPr="00621C69">
        <w:rPr>
          <w:i/>
          <w:sz w:val="24"/>
          <w:szCs w:val="24"/>
        </w:rPr>
        <w:t>Global Change Biology,</w:t>
      </w:r>
      <w:r w:rsidRPr="00621C69">
        <w:rPr>
          <w:sz w:val="24"/>
          <w:szCs w:val="24"/>
        </w:rPr>
        <w:t xml:space="preserve"> </w:t>
      </w:r>
      <w:r w:rsidRPr="00621C69">
        <w:rPr>
          <w:b/>
          <w:sz w:val="24"/>
          <w:szCs w:val="24"/>
        </w:rPr>
        <w:t>1,</w:t>
      </w:r>
      <w:r w:rsidRPr="00621C69">
        <w:rPr>
          <w:sz w:val="24"/>
          <w:szCs w:val="24"/>
        </w:rPr>
        <w:t xml:space="preserve"> 107-113.</w:t>
      </w:r>
      <w:bookmarkEnd w:id="32"/>
    </w:p>
    <w:p w:rsidR="00490E27" w:rsidRPr="00621C69" w:rsidRDefault="00490E27" w:rsidP="004D27EE">
      <w:pPr>
        <w:pStyle w:val="EndNoteBibliography"/>
        <w:spacing w:after="0" w:line="480" w:lineRule="auto"/>
        <w:ind w:left="720" w:hanging="720"/>
        <w:rPr>
          <w:sz w:val="24"/>
          <w:szCs w:val="24"/>
        </w:rPr>
      </w:pPr>
      <w:bookmarkStart w:id="33" w:name="_ENREF_32"/>
      <w:r w:rsidRPr="00621C69">
        <w:rPr>
          <w:sz w:val="24"/>
          <w:szCs w:val="24"/>
        </w:rPr>
        <w:t xml:space="preserve">Pywell, R.F., Heard, M.S., Bradbury, R.B., Hinsley, S., Nowakowski, M., Walker, K.J. &amp; Bullock, J.M. (2012) Wildlife-friendly farming benefits rare birds, bees and plants. </w:t>
      </w:r>
      <w:r w:rsidRPr="00621C69">
        <w:rPr>
          <w:i/>
          <w:sz w:val="24"/>
          <w:szCs w:val="24"/>
        </w:rPr>
        <w:t>Biology Letters,</w:t>
      </w:r>
      <w:r w:rsidRPr="00621C69">
        <w:rPr>
          <w:sz w:val="24"/>
          <w:szCs w:val="24"/>
        </w:rPr>
        <w:t xml:space="preserve"> </w:t>
      </w:r>
      <w:r w:rsidRPr="00621C69">
        <w:rPr>
          <w:b/>
          <w:sz w:val="24"/>
          <w:szCs w:val="24"/>
        </w:rPr>
        <w:t>8,</w:t>
      </w:r>
      <w:r w:rsidRPr="00621C69">
        <w:rPr>
          <w:sz w:val="24"/>
          <w:szCs w:val="24"/>
        </w:rPr>
        <w:t xml:space="preserve"> 772-775.</w:t>
      </w:r>
      <w:bookmarkEnd w:id="33"/>
    </w:p>
    <w:p w:rsidR="00490E27" w:rsidRPr="00621C69" w:rsidRDefault="00490E27" w:rsidP="004D27EE">
      <w:pPr>
        <w:pStyle w:val="EndNoteBibliography"/>
        <w:spacing w:after="0" w:line="480" w:lineRule="auto"/>
        <w:ind w:left="720" w:hanging="720"/>
        <w:rPr>
          <w:sz w:val="24"/>
          <w:szCs w:val="24"/>
        </w:rPr>
      </w:pPr>
      <w:bookmarkStart w:id="34" w:name="_ENREF_33"/>
      <w:r w:rsidRPr="00621C69">
        <w:rPr>
          <w:sz w:val="24"/>
          <w:szCs w:val="24"/>
        </w:rPr>
        <w:t xml:space="preserve">Pywell, R.F., Warman, E.A., Carvell, C., Sparks, T.H., Dicks, L.V., Bennett, D., Wright, A., Critchley, C.N.R. &amp; Sherwood, A. (2005) Providing foraging resources for bumblebees in intensively farmed landscapes. </w:t>
      </w:r>
      <w:r w:rsidRPr="00621C69">
        <w:rPr>
          <w:i/>
          <w:sz w:val="24"/>
          <w:szCs w:val="24"/>
        </w:rPr>
        <w:t>Biological Conservation,</w:t>
      </w:r>
      <w:r w:rsidRPr="00621C69">
        <w:rPr>
          <w:sz w:val="24"/>
          <w:szCs w:val="24"/>
        </w:rPr>
        <w:t xml:space="preserve"> </w:t>
      </w:r>
      <w:r w:rsidRPr="00621C69">
        <w:rPr>
          <w:b/>
          <w:sz w:val="24"/>
          <w:szCs w:val="24"/>
        </w:rPr>
        <w:t>121,</w:t>
      </w:r>
      <w:r w:rsidRPr="00621C69">
        <w:rPr>
          <w:sz w:val="24"/>
          <w:szCs w:val="24"/>
        </w:rPr>
        <w:t xml:space="preserve"> 479-494.</w:t>
      </w:r>
      <w:bookmarkEnd w:id="34"/>
    </w:p>
    <w:p w:rsidR="00490E27" w:rsidRPr="00621C69" w:rsidRDefault="00490E27" w:rsidP="004D27EE">
      <w:pPr>
        <w:pStyle w:val="EndNoteBibliography"/>
        <w:spacing w:after="0" w:line="480" w:lineRule="auto"/>
        <w:ind w:left="720" w:hanging="720"/>
        <w:rPr>
          <w:sz w:val="24"/>
          <w:szCs w:val="24"/>
        </w:rPr>
      </w:pPr>
      <w:bookmarkStart w:id="35" w:name="_ENREF_34"/>
      <w:r w:rsidRPr="00621C69">
        <w:rPr>
          <w:sz w:val="24"/>
          <w:szCs w:val="24"/>
        </w:rPr>
        <w:lastRenderedPageBreak/>
        <w:t xml:space="preserve">Pywell, R.F., Warman, E.A., Sparks, T.H., Greatorex-Davies, J.N., Walker, K.J., Meek, W.R., Carvell, C., Petit, S. &amp; Firbank, L.G. (2004) Assessing habitat quality for butterflies on intensively managed arable farmland. </w:t>
      </w:r>
      <w:r w:rsidRPr="00621C69">
        <w:rPr>
          <w:i/>
          <w:sz w:val="24"/>
          <w:szCs w:val="24"/>
        </w:rPr>
        <w:t>Biological Conservation,</w:t>
      </w:r>
      <w:r w:rsidRPr="00621C69">
        <w:rPr>
          <w:sz w:val="24"/>
          <w:szCs w:val="24"/>
        </w:rPr>
        <w:t xml:space="preserve"> </w:t>
      </w:r>
      <w:r w:rsidRPr="00621C69">
        <w:rPr>
          <w:b/>
          <w:sz w:val="24"/>
          <w:szCs w:val="24"/>
        </w:rPr>
        <w:t>118,</w:t>
      </w:r>
      <w:r w:rsidRPr="00621C69">
        <w:rPr>
          <w:sz w:val="24"/>
          <w:szCs w:val="24"/>
        </w:rPr>
        <w:t xml:space="preserve"> 313-325.</w:t>
      </w:r>
      <w:bookmarkEnd w:id="35"/>
    </w:p>
    <w:p w:rsidR="00490E27" w:rsidRPr="00621C69" w:rsidRDefault="00490E27" w:rsidP="004D27EE">
      <w:pPr>
        <w:pStyle w:val="EndNoteBibliography"/>
        <w:spacing w:after="0" w:line="480" w:lineRule="auto"/>
        <w:ind w:left="720" w:hanging="720"/>
        <w:rPr>
          <w:sz w:val="24"/>
          <w:szCs w:val="24"/>
        </w:rPr>
      </w:pPr>
      <w:bookmarkStart w:id="36" w:name="_ENREF_35"/>
      <w:r w:rsidRPr="00621C69">
        <w:rPr>
          <w:sz w:val="24"/>
          <w:szCs w:val="24"/>
        </w:rPr>
        <w:t>R_Core_Development_Team (2008) R: Version 2.12.2.  A Language and Environment for Statistical Computing.  R Foundation for Statistical Computing, Bristol, UK.  URL hhtp://cran.r-project.org.</w:t>
      </w:r>
      <w:bookmarkEnd w:id="36"/>
    </w:p>
    <w:p w:rsidR="00490E27" w:rsidRPr="00621C69" w:rsidRDefault="00490E27" w:rsidP="004D27EE">
      <w:pPr>
        <w:pStyle w:val="EndNoteBibliography"/>
        <w:spacing w:after="0" w:line="480" w:lineRule="auto"/>
        <w:ind w:left="720" w:hanging="720"/>
        <w:rPr>
          <w:sz w:val="24"/>
          <w:szCs w:val="24"/>
        </w:rPr>
      </w:pPr>
      <w:bookmarkStart w:id="37" w:name="_ENREF_36"/>
      <w:r w:rsidRPr="00621C69">
        <w:rPr>
          <w:sz w:val="24"/>
          <w:szCs w:val="24"/>
        </w:rPr>
        <w:t xml:space="preserve">Riley, M. (2008) Experts in their fields: farmer-expert knowledges and environmentally friendly farming practices. </w:t>
      </w:r>
      <w:r w:rsidRPr="00621C69">
        <w:rPr>
          <w:i/>
          <w:sz w:val="24"/>
          <w:szCs w:val="24"/>
        </w:rPr>
        <w:t>Environment and Planning A,</w:t>
      </w:r>
      <w:r w:rsidRPr="00621C69">
        <w:rPr>
          <w:sz w:val="24"/>
          <w:szCs w:val="24"/>
        </w:rPr>
        <w:t xml:space="preserve"> </w:t>
      </w:r>
      <w:r w:rsidRPr="00621C69">
        <w:rPr>
          <w:b/>
          <w:sz w:val="24"/>
          <w:szCs w:val="24"/>
        </w:rPr>
        <w:t>40,</w:t>
      </w:r>
      <w:r w:rsidRPr="00621C69">
        <w:rPr>
          <w:sz w:val="24"/>
          <w:szCs w:val="24"/>
        </w:rPr>
        <w:t xml:space="preserve"> 1277-1293.</w:t>
      </w:r>
      <w:bookmarkEnd w:id="37"/>
    </w:p>
    <w:p w:rsidR="00490E27" w:rsidRPr="00621C69" w:rsidRDefault="00490E27" w:rsidP="004D27EE">
      <w:pPr>
        <w:pStyle w:val="EndNoteBibliography"/>
        <w:spacing w:after="0" w:line="480" w:lineRule="auto"/>
        <w:ind w:left="720" w:hanging="720"/>
        <w:rPr>
          <w:sz w:val="24"/>
          <w:szCs w:val="24"/>
        </w:rPr>
      </w:pPr>
      <w:bookmarkStart w:id="38" w:name="_ENREF_37"/>
      <w:r w:rsidRPr="00621C69">
        <w:rPr>
          <w:sz w:val="24"/>
          <w:szCs w:val="24"/>
        </w:rPr>
        <w:t xml:space="preserve">Scheper, J., Holzschuh, A., Kuussaari, M., Potts, S.G., Rundlof, M., Smith, H.G. &amp; Kleijn, D. (2013) Environmental factors driving the effectiveness of European agri-environmental measures in mitigating pollinator loss - a meta-analysis. </w:t>
      </w:r>
      <w:r w:rsidRPr="00621C69">
        <w:rPr>
          <w:i/>
          <w:sz w:val="24"/>
          <w:szCs w:val="24"/>
        </w:rPr>
        <w:t>Ecology Letters,</w:t>
      </w:r>
      <w:r w:rsidRPr="00621C69">
        <w:rPr>
          <w:sz w:val="24"/>
          <w:szCs w:val="24"/>
        </w:rPr>
        <w:t xml:space="preserve"> </w:t>
      </w:r>
      <w:r w:rsidRPr="00621C69">
        <w:rPr>
          <w:b/>
          <w:sz w:val="24"/>
          <w:szCs w:val="24"/>
        </w:rPr>
        <w:t>16,</w:t>
      </w:r>
      <w:r w:rsidRPr="00621C69">
        <w:rPr>
          <w:sz w:val="24"/>
          <w:szCs w:val="24"/>
        </w:rPr>
        <w:t xml:space="preserve"> 912-920.</w:t>
      </w:r>
      <w:bookmarkEnd w:id="38"/>
    </w:p>
    <w:p w:rsidR="00490E27" w:rsidRPr="00621C69" w:rsidRDefault="00490E27" w:rsidP="004D27EE">
      <w:pPr>
        <w:pStyle w:val="EndNoteBibliography"/>
        <w:spacing w:after="0" w:line="480" w:lineRule="auto"/>
        <w:ind w:left="720" w:hanging="720"/>
        <w:rPr>
          <w:sz w:val="24"/>
          <w:szCs w:val="24"/>
        </w:rPr>
      </w:pPr>
      <w:bookmarkStart w:id="39" w:name="_ENREF_38"/>
      <w:r w:rsidRPr="00621C69">
        <w:rPr>
          <w:sz w:val="24"/>
          <w:szCs w:val="24"/>
        </w:rPr>
        <w:t xml:space="preserve">Shackelford, G., Steward, P.R., Benton, T.G., Kunin, W.E., Potts, S.G., Biesmeijer, J.C. &amp; Sait, S.M. (2013) Comparison of pollinators and natural enemies: a meta-analysis of landscape and local effects on abundance and richness in crops. </w:t>
      </w:r>
      <w:r w:rsidRPr="00621C69">
        <w:rPr>
          <w:i/>
          <w:sz w:val="24"/>
          <w:szCs w:val="24"/>
        </w:rPr>
        <w:t>Biological Reviews,</w:t>
      </w:r>
      <w:r w:rsidRPr="00621C69">
        <w:rPr>
          <w:sz w:val="24"/>
          <w:szCs w:val="24"/>
        </w:rPr>
        <w:t xml:space="preserve"> </w:t>
      </w:r>
      <w:r w:rsidRPr="00621C69">
        <w:rPr>
          <w:b/>
          <w:sz w:val="24"/>
          <w:szCs w:val="24"/>
        </w:rPr>
        <w:t>88,</w:t>
      </w:r>
      <w:r w:rsidRPr="00621C69">
        <w:rPr>
          <w:sz w:val="24"/>
          <w:szCs w:val="24"/>
        </w:rPr>
        <w:t xml:space="preserve"> 1002-1021.</w:t>
      </w:r>
      <w:bookmarkEnd w:id="39"/>
    </w:p>
    <w:p w:rsidR="00490E27" w:rsidRPr="00621C69" w:rsidRDefault="00490E27" w:rsidP="004D27EE">
      <w:pPr>
        <w:pStyle w:val="EndNoteBibliography"/>
        <w:spacing w:after="0" w:line="480" w:lineRule="auto"/>
        <w:ind w:left="720" w:hanging="720"/>
        <w:rPr>
          <w:sz w:val="24"/>
          <w:szCs w:val="24"/>
        </w:rPr>
      </w:pPr>
      <w:bookmarkStart w:id="40" w:name="_ENREF_39"/>
      <w:r w:rsidRPr="00621C69">
        <w:rPr>
          <w:sz w:val="24"/>
          <w:szCs w:val="24"/>
        </w:rPr>
        <w:t xml:space="preserve">Symonds, M.E. &amp; Moussalli, A. (2011) A brief guide to model selection, multimodel inference and model averaging in behavioural ecology using Akaike’s information criterion. </w:t>
      </w:r>
      <w:r w:rsidRPr="00621C69">
        <w:rPr>
          <w:i/>
          <w:sz w:val="24"/>
          <w:szCs w:val="24"/>
        </w:rPr>
        <w:t>Behavioral Ecology and Sociobiology,</w:t>
      </w:r>
      <w:r w:rsidRPr="00621C69">
        <w:rPr>
          <w:sz w:val="24"/>
          <w:szCs w:val="24"/>
        </w:rPr>
        <w:t xml:space="preserve"> </w:t>
      </w:r>
      <w:r w:rsidRPr="00621C69">
        <w:rPr>
          <w:b/>
          <w:sz w:val="24"/>
          <w:szCs w:val="24"/>
        </w:rPr>
        <w:t>65,</w:t>
      </w:r>
      <w:r w:rsidRPr="00621C69">
        <w:rPr>
          <w:sz w:val="24"/>
          <w:szCs w:val="24"/>
        </w:rPr>
        <w:t xml:space="preserve"> 13-21.</w:t>
      </w:r>
      <w:bookmarkEnd w:id="40"/>
    </w:p>
    <w:p w:rsidR="00490E27" w:rsidRPr="00621C69" w:rsidRDefault="00490E27" w:rsidP="004D27EE">
      <w:pPr>
        <w:pStyle w:val="EndNoteBibliography"/>
        <w:spacing w:after="0" w:line="480" w:lineRule="auto"/>
        <w:ind w:left="720" w:hanging="720"/>
        <w:rPr>
          <w:sz w:val="24"/>
          <w:szCs w:val="24"/>
        </w:rPr>
      </w:pPr>
      <w:bookmarkStart w:id="41" w:name="_ENREF_41"/>
      <w:r w:rsidRPr="00621C69">
        <w:rPr>
          <w:sz w:val="24"/>
          <w:szCs w:val="24"/>
        </w:rPr>
        <w:t xml:space="preserve">Whittingham, M.J. (2011) The future of agri-environment schemes: biodiversity gains and ecosystem service delivery? </w:t>
      </w:r>
      <w:r w:rsidRPr="00621C69">
        <w:rPr>
          <w:i/>
          <w:sz w:val="24"/>
          <w:szCs w:val="24"/>
        </w:rPr>
        <w:t>Journal of Applied Ecology,</w:t>
      </w:r>
      <w:r w:rsidRPr="00621C69">
        <w:rPr>
          <w:sz w:val="24"/>
          <w:szCs w:val="24"/>
        </w:rPr>
        <w:t xml:space="preserve"> </w:t>
      </w:r>
      <w:r w:rsidRPr="00621C69">
        <w:rPr>
          <w:b/>
          <w:sz w:val="24"/>
          <w:szCs w:val="24"/>
        </w:rPr>
        <w:t>48,</w:t>
      </w:r>
      <w:r w:rsidRPr="00621C69">
        <w:rPr>
          <w:sz w:val="24"/>
          <w:szCs w:val="24"/>
        </w:rPr>
        <w:t xml:space="preserve"> 509-513.</w:t>
      </w:r>
      <w:bookmarkEnd w:id="41"/>
    </w:p>
    <w:p w:rsidR="00490E27" w:rsidRPr="00621C69" w:rsidRDefault="00490E27" w:rsidP="004D27EE">
      <w:pPr>
        <w:pStyle w:val="EndNoteBibliography"/>
        <w:spacing w:after="0" w:line="480" w:lineRule="auto"/>
        <w:ind w:left="720" w:hanging="720"/>
        <w:rPr>
          <w:sz w:val="24"/>
          <w:szCs w:val="24"/>
        </w:rPr>
      </w:pPr>
      <w:bookmarkStart w:id="42" w:name="_ENREF_42"/>
      <w:r w:rsidRPr="00621C69">
        <w:rPr>
          <w:sz w:val="24"/>
          <w:szCs w:val="24"/>
        </w:rPr>
        <w:t xml:space="preserve">Wilson, G.A. &amp; Hart, K. (2001) Farmer participation in agri-environmental schemes: towards conservation-oriented thinking? </w:t>
      </w:r>
      <w:r w:rsidRPr="00621C69">
        <w:rPr>
          <w:i/>
          <w:sz w:val="24"/>
          <w:szCs w:val="24"/>
        </w:rPr>
        <w:t>Sociologia Ruralis,</w:t>
      </w:r>
      <w:r w:rsidRPr="00621C69">
        <w:rPr>
          <w:sz w:val="24"/>
          <w:szCs w:val="24"/>
        </w:rPr>
        <w:t xml:space="preserve"> </w:t>
      </w:r>
      <w:r w:rsidRPr="00621C69">
        <w:rPr>
          <w:b/>
          <w:sz w:val="24"/>
          <w:szCs w:val="24"/>
        </w:rPr>
        <w:t>41,</w:t>
      </w:r>
      <w:r w:rsidRPr="00621C69">
        <w:rPr>
          <w:sz w:val="24"/>
          <w:szCs w:val="24"/>
        </w:rPr>
        <w:t xml:space="preserve"> 254-274.</w:t>
      </w:r>
      <w:bookmarkEnd w:id="42"/>
    </w:p>
    <w:p w:rsidR="00490E27" w:rsidRPr="00621C69" w:rsidRDefault="00490E27" w:rsidP="004D27EE">
      <w:pPr>
        <w:pStyle w:val="EndNoteBibliography"/>
        <w:spacing w:line="480" w:lineRule="auto"/>
        <w:ind w:left="720" w:hanging="720"/>
        <w:rPr>
          <w:sz w:val="24"/>
          <w:szCs w:val="24"/>
        </w:rPr>
      </w:pPr>
      <w:bookmarkStart w:id="43" w:name="_ENREF_43"/>
      <w:r w:rsidRPr="00621C69">
        <w:rPr>
          <w:sz w:val="24"/>
          <w:szCs w:val="24"/>
        </w:rPr>
        <w:lastRenderedPageBreak/>
        <w:t xml:space="preserve">Wynne-Jones, S. (2013) </w:t>
      </w:r>
      <w:r w:rsidR="004D27EE" w:rsidRPr="00621C69">
        <w:rPr>
          <w:sz w:val="24"/>
          <w:szCs w:val="24"/>
        </w:rPr>
        <w:t>Ecosystem service delivery in Wales: evaluating farmers' engagement and willingness to participate</w:t>
      </w:r>
      <w:r w:rsidRPr="00621C69">
        <w:rPr>
          <w:sz w:val="24"/>
          <w:szCs w:val="24"/>
        </w:rPr>
        <w:t xml:space="preserve">. </w:t>
      </w:r>
      <w:r w:rsidRPr="00621C69">
        <w:rPr>
          <w:i/>
          <w:sz w:val="24"/>
          <w:szCs w:val="24"/>
        </w:rPr>
        <w:t>Journal of Environmental Policy &amp; Planning,</w:t>
      </w:r>
      <w:r w:rsidRPr="00621C69">
        <w:rPr>
          <w:sz w:val="24"/>
          <w:szCs w:val="24"/>
        </w:rPr>
        <w:t xml:space="preserve"> </w:t>
      </w:r>
      <w:r w:rsidRPr="00621C69">
        <w:rPr>
          <w:b/>
          <w:sz w:val="24"/>
          <w:szCs w:val="24"/>
        </w:rPr>
        <w:t>15,</w:t>
      </w:r>
      <w:r w:rsidRPr="00621C69">
        <w:rPr>
          <w:sz w:val="24"/>
          <w:szCs w:val="24"/>
        </w:rPr>
        <w:t xml:space="preserve"> 493-511.</w:t>
      </w:r>
      <w:bookmarkEnd w:id="43"/>
    </w:p>
    <w:p w:rsidR="00490E27" w:rsidRPr="00621C69" w:rsidRDefault="00490E27" w:rsidP="004B55E1">
      <w:pPr>
        <w:spacing w:after="0" w:line="480" w:lineRule="auto"/>
        <w:jc w:val="both"/>
        <w:rPr>
          <w:sz w:val="24"/>
          <w:szCs w:val="24"/>
        </w:rPr>
      </w:pPr>
    </w:p>
    <w:p w:rsidR="00F2169E" w:rsidRPr="00621C69" w:rsidRDefault="00F2169E" w:rsidP="00F2169E">
      <w:pPr>
        <w:spacing w:after="0" w:line="480" w:lineRule="auto"/>
        <w:jc w:val="both"/>
        <w:rPr>
          <w:b/>
          <w:sz w:val="24"/>
          <w:szCs w:val="24"/>
        </w:rPr>
      </w:pPr>
      <w:r w:rsidRPr="00621C69">
        <w:rPr>
          <w:b/>
          <w:sz w:val="24"/>
          <w:szCs w:val="24"/>
        </w:rPr>
        <w:t>Supporting Information</w:t>
      </w:r>
    </w:p>
    <w:p w:rsidR="00490E27" w:rsidRPr="00621C69" w:rsidRDefault="00F2169E" w:rsidP="004B55E1">
      <w:pPr>
        <w:spacing w:after="0" w:line="480" w:lineRule="auto"/>
        <w:jc w:val="both"/>
        <w:rPr>
          <w:sz w:val="24"/>
          <w:szCs w:val="24"/>
        </w:rPr>
      </w:pPr>
      <w:r w:rsidRPr="00621C69">
        <w:rPr>
          <w:sz w:val="24"/>
          <w:szCs w:val="24"/>
        </w:rPr>
        <w:t>Supporting information is supplied with the online version of this article.</w:t>
      </w:r>
    </w:p>
    <w:p w:rsidR="00F2169E" w:rsidRPr="00621C69" w:rsidRDefault="00F2169E" w:rsidP="00F2169E">
      <w:pPr>
        <w:tabs>
          <w:tab w:val="left" w:pos="993"/>
          <w:tab w:val="left" w:pos="7655"/>
        </w:tabs>
        <w:spacing w:after="0" w:line="480" w:lineRule="auto"/>
        <w:jc w:val="both"/>
        <w:rPr>
          <w:b/>
          <w:sz w:val="24"/>
          <w:szCs w:val="24"/>
        </w:rPr>
      </w:pPr>
      <w:proofErr w:type="gramStart"/>
      <w:r w:rsidRPr="00621C69">
        <w:rPr>
          <w:b/>
          <w:sz w:val="24"/>
          <w:szCs w:val="24"/>
        </w:rPr>
        <w:t>Appendix S1.</w:t>
      </w:r>
      <w:proofErr w:type="gramEnd"/>
      <w:r w:rsidRPr="00621C69">
        <w:rPr>
          <w:b/>
          <w:sz w:val="24"/>
          <w:szCs w:val="24"/>
        </w:rPr>
        <w:t xml:space="preserve"> </w:t>
      </w:r>
      <w:proofErr w:type="gramStart"/>
      <w:r w:rsidRPr="00621C69">
        <w:rPr>
          <w:sz w:val="24"/>
          <w:szCs w:val="24"/>
        </w:rPr>
        <w:t>Description of Nectar Flower Mix and Wild Bird Mix options.</w:t>
      </w:r>
      <w:proofErr w:type="gramEnd"/>
    </w:p>
    <w:p w:rsidR="00F2169E" w:rsidRPr="00621C69" w:rsidRDefault="00F2169E" w:rsidP="00F2169E">
      <w:pPr>
        <w:tabs>
          <w:tab w:val="left" w:pos="993"/>
          <w:tab w:val="left" w:pos="7655"/>
        </w:tabs>
        <w:spacing w:after="0"/>
        <w:jc w:val="both"/>
        <w:rPr>
          <w:b/>
          <w:sz w:val="24"/>
          <w:szCs w:val="24"/>
        </w:rPr>
      </w:pPr>
      <w:proofErr w:type="gramStart"/>
      <w:r w:rsidRPr="00621C69">
        <w:rPr>
          <w:b/>
          <w:sz w:val="24"/>
          <w:szCs w:val="24"/>
        </w:rPr>
        <w:t>Appendix S2.</w:t>
      </w:r>
      <w:proofErr w:type="gramEnd"/>
      <w:r w:rsidRPr="00621C69">
        <w:rPr>
          <w:b/>
          <w:sz w:val="24"/>
          <w:szCs w:val="24"/>
        </w:rPr>
        <w:t xml:space="preserve"> </w:t>
      </w:r>
      <w:proofErr w:type="gramStart"/>
      <w:r w:rsidRPr="00621C69">
        <w:rPr>
          <w:sz w:val="24"/>
          <w:szCs w:val="24"/>
        </w:rPr>
        <w:t>Additional data sources.</w:t>
      </w:r>
      <w:proofErr w:type="gramEnd"/>
    </w:p>
    <w:p w:rsidR="00F2169E" w:rsidRPr="00621C69" w:rsidRDefault="00F2169E" w:rsidP="004B55E1">
      <w:pPr>
        <w:spacing w:after="0" w:line="480" w:lineRule="auto"/>
        <w:jc w:val="both"/>
        <w:rPr>
          <w:sz w:val="24"/>
          <w:szCs w:val="24"/>
        </w:rPr>
        <w:sectPr w:rsidR="00F2169E" w:rsidRPr="00621C69" w:rsidSect="004D27EE">
          <w:footerReference w:type="default" r:id="rId11"/>
          <w:pgSz w:w="11906" w:h="16838"/>
          <w:pgMar w:top="1440" w:right="1440" w:bottom="1440" w:left="1440" w:header="720" w:footer="720" w:gutter="0"/>
          <w:lnNumType w:countBy="1" w:restart="continuous"/>
          <w:cols w:space="720"/>
          <w:docGrid w:linePitch="360"/>
        </w:sectPr>
      </w:pPr>
    </w:p>
    <w:p w:rsidR="00490E27" w:rsidRPr="00621C69" w:rsidRDefault="00490E27" w:rsidP="004B55E1">
      <w:pPr>
        <w:spacing w:after="0" w:line="480" w:lineRule="auto"/>
        <w:jc w:val="both"/>
        <w:rPr>
          <w:sz w:val="24"/>
          <w:szCs w:val="24"/>
        </w:rPr>
      </w:pPr>
      <w:proofErr w:type="gramStart"/>
      <w:r w:rsidRPr="00621C69">
        <w:rPr>
          <w:sz w:val="24"/>
          <w:szCs w:val="24"/>
        </w:rPr>
        <w:lastRenderedPageBreak/>
        <w:t>Table 1.</w:t>
      </w:r>
      <w:proofErr w:type="gramEnd"/>
      <w:r w:rsidRPr="00621C69">
        <w:rPr>
          <w:sz w:val="24"/>
          <w:szCs w:val="24"/>
        </w:rPr>
        <w:t xml:space="preserve"> The importance of social and ecological drivers of biodiversity outcomes across 24 farms with </w:t>
      </w:r>
      <w:proofErr w:type="spellStart"/>
      <w:r w:rsidRPr="00621C69">
        <w:rPr>
          <w:sz w:val="24"/>
          <w:szCs w:val="24"/>
        </w:rPr>
        <w:t>agri</w:t>
      </w:r>
      <w:proofErr w:type="spellEnd"/>
      <w:r w:rsidRPr="00621C69">
        <w:rPr>
          <w:sz w:val="24"/>
          <w:szCs w:val="24"/>
        </w:rPr>
        <w:t xml:space="preserve">-environment options targeted at pollen and nectar feeding insects and 24 </w:t>
      </w:r>
      <w:r w:rsidR="00CB76E1">
        <w:rPr>
          <w:sz w:val="24"/>
          <w:szCs w:val="24"/>
        </w:rPr>
        <w:t xml:space="preserve">farms </w:t>
      </w:r>
      <w:r w:rsidRPr="00621C69">
        <w:rPr>
          <w:sz w:val="24"/>
          <w:szCs w:val="24"/>
        </w:rPr>
        <w:t xml:space="preserve">with options targeted at seed-eating birds. Importance </w:t>
      </w:r>
      <w:r w:rsidR="00AA192A" w:rsidRPr="00621C69">
        <w:rPr>
          <w:sz w:val="24"/>
          <w:szCs w:val="24"/>
        </w:rPr>
        <w:t>w</w:t>
      </w:r>
      <w:r w:rsidR="00AA192A">
        <w:rPr>
          <w:sz w:val="24"/>
          <w:szCs w:val="24"/>
        </w:rPr>
        <w:t>as</w:t>
      </w:r>
      <w:r w:rsidR="00AA192A" w:rsidRPr="00621C69">
        <w:rPr>
          <w:sz w:val="24"/>
          <w:szCs w:val="24"/>
        </w:rPr>
        <w:t xml:space="preserve"> </w:t>
      </w:r>
      <w:r w:rsidRPr="00621C69">
        <w:rPr>
          <w:sz w:val="24"/>
          <w:szCs w:val="24"/>
        </w:rPr>
        <w:t xml:space="preserve">derived using </w:t>
      </w:r>
      <w:proofErr w:type="spellStart"/>
      <w:r w:rsidRPr="00621C69">
        <w:rPr>
          <w:sz w:val="24"/>
          <w:szCs w:val="24"/>
        </w:rPr>
        <w:t>Akaike</w:t>
      </w:r>
      <w:proofErr w:type="spellEnd"/>
      <w:r w:rsidRPr="00621C69">
        <w:rPr>
          <w:sz w:val="24"/>
          <w:szCs w:val="24"/>
        </w:rPr>
        <w:t xml:space="preserve"> weights (</w:t>
      </w:r>
      <w:proofErr w:type="spellStart"/>
      <w:proofErr w:type="gramStart"/>
      <w:r w:rsidRPr="00621C69">
        <w:rPr>
          <w:i/>
          <w:sz w:val="24"/>
          <w:szCs w:val="24"/>
        </w:rPr>
        <w:t>w</w:t>
      </w:r>
      <w:r w:rsidRPr="00621C69">
        <w:rPr>
          <w:i/>
          <w:sz w:val="24"/>
          <w:szCs w:val="24"/>
          <w:vertAlign w:val="subscript"/>
        </w:rPr>
        <w:t>i</w:t>
      </w:r>
      <w:proofErr w:type="spellEnd"/>
      <w:proofErr w:type="gramEnd"/>
      <w:r w:rsidRPr="00621C69">
        <w:rPr>
          <w:sz w:val="24"/>
          <w:szCs w:val="24"/>
        </w:rPr>
        <w:t>) following averaging of linear mixed models, and the parameter estimates</w:t>
      </w:r>
      <w:r w:rsidR="00C17340">
        <w:rPr>
          <w:sz w:val="24"/>
          <w:szCs w:val="24"/>
        </w:rPr>
        <w:t xml:space="preserve"> (</w:t>
      </w:r>
      <w:proofErr w:type="spellStart"/>
      <w:r w:rsidR="00C17340">
        <w:rPr>
          <w:sz w:val="24"/>
          <w:szCs w:val="24"/>
        </w:rPr>
        <w:t>Param</w:t>
      </w:r>
      <w:proofErr w:type="spellEnd"/>
      <w:r w:rsidR="00C17340">
        <w:rPr>
          <w:sz w:val="24"/>
          <w:szCs w:val="24"/>
        </w:rPr>
        <w:t>. est.)</w:t>
      </w:r>
      <w:r w:rsidRPr="00621C69">
        <w:rPr>
          <w:sz w:val="24"/>
          <w:szCs w:val="24"/>
        </w:rPr>
        <w:t xml:space="preserve"> are weighted by </w:t>
      </w:r>
      <w:proofErr w:type="spellStart"/>
      <w:r w:rsidRPr="00621C69">
        <w:rPr>
          <w:i/>
          <w:sz w:val="24"/>
          <w:szCs w:val="24"/>
        </w:rPr>
        <w:t>w</w:t>
      </w:r>
      <w:r w:rsidRPr="00621C69">
        <w:rPr>
          <w:i/>
          <w:sz w:val="24"/>
          <w:szCs w:val="24"/>
          <w:vertAlign w:val="subscript"/>
        </w:rPr>
        <w:t>i</w:t>
      </w:r>
      <w:proofErr w:type="spellEnd"/>
      <w:r w:rsidRPr="00621C69">
        <w:rPr>
          <w:sz w:val="24"/>
          <w:szCs w:val="24"/>
        </w:rPr>
        <w:t xml:space="preserve"> and averaged across models. Categorical variables are marked * and the parameter estimates are given. The most important variables – with importance ≥0.4 – are highlighted</w:t>
      </w:r>
    </w:p>
    <w:tbl>
      <w:tblPr>
        <w:tblStyle w:val="TableGrid"/>
        <w:tblW w:w="14142" w:type="dxa"/>
        <w:tblLayout w:type="fixed"/>
        <w:tblLook w:val="04A0"/>
      </w:tblPr>
      <w:tblGrid>
        <w:gridCol w:w="1242"/>
        <w:gridCol w:w="851"/>
        <w:gridCol w:w="425"/>
        <w:gridCol w:w="425"/>
        <w:gridCol w:w="851"/>
        <w:gridCol w:w="1276"/>
        <w:gridCol w:w="850"/>
        <w:gridCol w:w="1134"/>
        <w:gridCol w:w="1134"/>
        <w:gridCol w:w="1559"/>
        <w:gridCol w:w="1276"/>
        <w:gridCol w:w="1418"/>
        <w:gridCol w:w="708"/>
        <w:gridCol w:w="993"/>
      </w:tblGrid>
      <w:tr w:rsidR="00490E27" w:rsidRPr="00621C69" w:rsidTr="004B55E1">
        <w:tc>
          <w:tcPr>
            <w:tcW w:w="1242" w:type="dxa"/>
          </w:tcPr>
          <w:p w:rsidR="00490E27" w:rsidRPr="00621C69" w:rsidRDefault="00490E27" w:rsidP="004B55E1">
            <w:pPr>
              <w:jc w:val="center"/>
              <w:rPr>
                <w:b/>
                <w:sz w:val="20"/>
                <w:szCs w:val="20"/>
              </w:rPr>
            </w:pPr>
            <w:r w:rsidRPr="00621C69">
              <w:rPr>
                <w:b/>
                <w:sz w:val="20"/>
                <w:szCs w:val="20"/>
              </w:rPr>
              <w:t>Level</w:t>
            </w:r>
          </w:p>
        </w:tc>
        <w:tc>
          <w:tcPr>
            <w:tcW w:w="2552" w:type="dxa"/>
            <w:gridSpan w:val="4"/>
            <w:tcBorders>
              <w:bottom w:val="single" w:sz="4" w:space="0" w:color="auto"/>
            </w:tcBorders>
          </w:tcPr>
          <w:p w:rsidR="00490E27" w:rsidRPr="00621C69" w:rsidRDefault="00490E27" w:rsidP="004B55E1">
            <w:pPr>
              <w:jc w:val="center"/>
              <w:rPr>
                <w:b/>
                <w:sz w:val="20"/>
                <w:szCs w:val="20"/>
              </w:rPr>
            </w:pPr>
            <w:r w:rsidRPr="00621C69">
              <w:rPr>
                <w:b/>
                <w:sz w:val="20"/>
                <w:szCs w:val="20"/>
              </w:rPr>
              <w:t>Local (strip) environment</w:t>
            </w:r>
          </w:p>
        </w:tc>
        <w:tc>
          <w:tcPr>
            <w:tcW w:w="2126" w:type="dxa"/>
            <w:gridSpan w:val="2"/>
            <w:tcBorders>
              <w:bottom w:val="single" w:sz="4" w:space="0" w:color="auto"/>
            </w:tcBorders>
          </w:tcPr>
          <w:p w:rsidR="00490E27" w:rsidRPr="00621C69" w:rsidRDefault="00490E27" w:rsidP="004B55E1">
            <w:pPr>
              <w:jc w:val="center"/>
              <w:rPr>
                <w:b/>
                <w:sz w:val="20"/>
                <w:szCs w:val="20"/>
              </w:rPr>
            </w:pPr>
            <w:r w:rsidRPr="00621C69">
              <w:rPr>
                <w:b/>
                <w:sz w:val="20"/>
                <w:szCs w:val="20"/>
              </w:rPr>
              <w:t>Landscape</w:t>
            </w:r>
          </w:p>
        </w:tc>
        <w:tc>
          <w:tcPr>
            <w:tcW w:w="3827" w:type="dxa"/>
            <w:gridSpan w:val="3"/>
            <w:tcBorders>
              <w:bottom w:val="single" w:sz="4" w:space="0" w:color="auto"/>
            </w:tcBorders>
          </w:tcPr>
          <w:p w:rsidR="00490E27" w:rsidRPr="00621C69" w:rsidRDefault="00490E27" w:rsidP="004B55E1">
            <w:pPr>
              <w:jc w:val="center"/>
              <w:rPr>
                <w:b/>
                <w:sz w:val="20"/>
                <w:szCs w:val="20"/>
              </w:rPr>
            </w:pPr>
            <w:r w:rsidRPr="00621C69">
              <w:rPr>
                <w:b/>
                <w:sz w:val="20"/>
                <w:szCs w:val="20"/>
              </w:rPr>
              <w:t>Farmer social</w:t>
            </w:r>
          </w:p>
        </w:tc>
        <w:tc>
          <w:tcPr>
            <w:tcW w:w="1276" w:type="dxa"/>
          </w:tcPr>
          <w:p w:rsidR="00490E27" w:rsidRPr="00621C69" w:rsidRDefault="00490E27" w:rsidP="004B55E1">
            <w:pPr>
              <w:jc w:val="center"/>
              <w:rPr>
                <w:b/>
                <w:sz w:val="20"/>
                <w:szCs w:val="20"/>
              </w:rPr>
            </w:pPr>
            <w:r w:rsidRPr="00621C69">
              <w:rPr>
                <w:b/>
                <w:sz w:val="20"/>
                <w:szCs w:val="20"/>
              </w:rPr>
              <w:t>Seasonal weather</w:t>
            </w:r>
          </w:p>
        </w:tc>
        <w:tc>
          <w:tcPr>
            <w:tcW w:w="2126" w:type="dxa"/>
            <w:gridSpan w:val="2"/>
            <w:tcBorders>
              <w:bottom w:val="single" w:sz="4" w:space="0" w:color="auto"/>
            </w:tcBorders>
          </w:tcPr>
          <w:p w:rsidR="00490E27" w:rsidRPr="00621C69" w:rsidRDefault="00490E27" w:rsidP="004B55E1">
            <w:pPr>
              <w:jc w:val="center"/>
              <w:rPr>
                <w:b/>
                <w:sz w:val="20"/>
                <w:szCs w:val="20"/>
              </w:rPr>
            </w:pPr>
            <w:r w:rsidRPr="00621C69">
              <w:rPr>
                <w:b/>
                <w:sz w:val="20"/>
                <w:szCs w:val="20"/>
              </w:rPr>
              <w:t>Weather during survey</w:t>
            </w:r>
          </w:p>
        </w:tc>
        <w:tc>
          <w:tcPr>
            <w:tcW w:w="993" w:type="dxa"/>
            <w:vMerge w:val="restart"/>
          </w:tcPr>
          <w:p w:rsidR="00490E27" w:rsidRPr="00621C69" w:rsidRDefault="00490E27" w:rsidP="004B55E1">
            <w:pPr>
              <w:jc w:val="center"/>
              <w:rPr>
                <w:b/>
                <w:sz w:val="20"/>
                <w:szCs w:val="20"/>
              </w:rPr>
            </w:pPr>
            <w:r w:rsidRPr="00621C69">
              <w:rPr>
                <w:b/>
                <w:sz w:val="20"/>
                <w:szCs w:val="20"/>
              </w:rPr>
              <w:t>Region*</w:t>
            </w:r>
          </w:p>
          <w:p w:rsidR="00490E27" w:rsidRPr="00621C69" w:rsidRDefault="00490E27" w:rsidP="004B55E1">
            <w:pPr>
              <w:jc w:val="center"/>
              <w:rPr>
                <w:b/>
                <w:sz w:val="20"/>
                <w:szCs w:val="20"/>
              </w:rPr>
            </w:pPr>
            <w:r w:rsidRPr="00621C69">
              <w:rPr>
                <w:b/>
                <w:sz w:val="20"/>
                <w:szCs w:val="20"/>
              </w:rPr>
              <w:t>E;SW</w:t>
            </w:r>
          </w:p>
        </w:tc>
      </w:tr>
      <w:tr w:rsidR="00490E27" w:rsidRPr="00621C69" w:rsidTr="004B55E1">
        <w:tc>
          <w:tcPr>
            <w:tcW w:w="1242" w:type="dxa"/>
          </w:tcPr>
          <w:p w:rsidR="00490E27" w:rsidRPr="00621C69" w:rsidRDefault="00490E27" w:rsidP="004B55E1">
            <w:pPr>
              <w:jc w:val="center"/>
              <w:rPr>
                <w:b/>
                <w:sz w:val="20"/>
                <w:szCs w:val="20"/>
              </w:rPr>
            </w:pPr>
            <w:r w:rsidRPr="00621C69">
              <w:rPr>
                <w:b/>
                <w:sz w:val="20"/>
                <w:szCs w:val="20"/>
              </w:rPr>
              <w:t>Variable</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Flower #</w:t>
            </w:r>
          </w:p>
        </w:tc>
        <w:tc>
          <w:tcPr>
            <w:tcW w:w="850" w:type="dxa"/>
            <w:gridSpan w:val="2"/>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Flower species</w:t>
            </w:r>
          </w:p>
        </w:tc>
        <w:tc>
          <w:tcPr>
            <w:tcW w:w="851" w:type="dxa"/>
            <w:tcBorders>
              <w:left w:val="dotted" w:sz="4" w:space="0" w:color="auto"/>
            </w:tcBorders>
          </w:tcPr>
          <w:p w:rsidR="00490E27" w:rsidRPr="00621C69" w:rsidRDefault="00490E27" w:rsidP="004B55E1">
            <w:pPr>
              <w:jc w:val="center"/>
              <w:rPr>
                <w:b/>
                <w:sz w:val="20"/>
                <w:szCs w:val="20"/>
              </w:rPr>
            </w:pPr>
            <w:r w:rsidRPr="00621C69">
              <w:rPr>
                <w:b/>
                <w:sz w:val="20"/>
                <w:szCs w:val="20"/>
              </w:rPr>
              <w:t>Shelter</w:t>
            </w:r>
          </w:p>
        </w:tc>
        <w:tc>
          <w:tcPr>
            <w:tcW w:w="1276" w:type="dxa"/>
            <w:tcBorders>
              <w:right w:val="dotted" w:sz="4" w:space="0" w:color="auto"/>
            </w:tcBorders>
          </w:tcPr>
          <w:p w:rsidR="00490E27" w:rsidRPr="00621C69" w:rsidRDefault="00490E27" w:rsidP="00C17340">
            <w:pPr>
              <w:jc w:val="center"/>
              <w:rPr>
                <w:b/>
                <w:sz w:val="20"/>
                <w:szCs w:val="20"/>
              </w:rPr>
            </w:pPr>
            <w:r w:rsidRPr="00621C69">
              <w:rPr>
                <w:b/>
                <w:sz w:val="20"/>
                <w:szCs w:val="20"/>
              </w:rPr>
              <w:t>% Semi-nat</w:t>
            </w:r>
            <w:r w:rsidR="00C17340">
              <w:rPr>
                <w:b/>
                <w:sz w:val="20"/>
                <w:szCs w:val="20"/>
              </w:rPr>
              <w:t>ural</w:t>
            </w:r>
            <w:r w:rsidRPr="00621C69">
              <w:rPr>
                <w:b/>
                <w:sz w:val="20"/>
                <w:szCs w:val="20"/>
              </w:rPr>
              <w:t xml:space="preserve"> habitat</w:t>
            </w:r>
          </w:p>
        </w:tc>
        <w:tc>
          <w:tcPr>
            <w:tcW w:w="850" w:type="dxa"/>
            <w:tcBorders>
              <w:left w:val="dotted" w:sz="4" w:space="0" w:color="auto"/>
            </w:tcBorders>
          </w:tcPr>
          <w:p w:rsidR="00490E27" w:rsidRPr="00621C69" w:rsidRDefault="00490E27" w:rsidP="004B55E1">
            <w:pPr>
              <w:jc w:val="center"/>
              <w:rPr>
                <w:b/>
                <w:sz w:val="20"/>
                <w:szCs w:val="20"/>
              </w:rPr>
            </w:pPr>
            <w:r w:rsidRPr="00621C69">
              <w:rPr>
                <w:b/>
                <w:sz w:val="20"/>
                <w:szCs w:val="20"/>
              </w:rPr>
              <w:t>Species pool</w:t>
            </w:r>
          </w:p>
        </w:tc>
        <w:tc>
          <w:tcPr>
            <w:tcW w:w="1134" w:type="dxa"/>
            <w:tcBorders>
              <w:right w:val="dotted" w:sz="4" w:space="0" w:color="auto"/>
            </w:tcBorders>
          </w:tcPr>
          <w:p w:rsidR="00490E27" w:rsidRPr="00621C69" w:rsidRDefault="00490E27" w:rsidP="004B55E1">
            <w:pPr>
              <w:jc w:val="center"/>
              <w:rPr>
                <w:b/>
                <w:sz w:val="20"/>
                <w:szCs w:val="20"/>
              </w:rPr>
            </w:pPr>
            <w:r w:rsidRPr="00621C69">
              <w:rPr>
                <w:b/>
                <w:sz w:val="20"/>
                <w:szCs w:val="20"/>
              </w:rPr>
              <w:t>Experience</w:t>
            </w:r>
          </w:p>
        </w:tc>
        <w:tc>
          <w:tcPr>
            <w:tcW w:w="1134" w:type="dxa"/>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Concerns</w:t>
            </w:r>
          </w:p>
        </w:tc>
        <w:tc>
          <w:tcPr>
            <w:tcW w:w="1559" w:type="dxa"/>
            <w:tcBorders>
              <w:left w:val="dotted" w:sz="4" w:space="0" w:color="auto"/>
            </w:tcBorders>
          </w:tcPr>
          <w:p w:rsidR="00490E27" w:rsidRPr="00621C69" w:rsidRDefault="00490E27" w:rsidP="004B55E1">
            <w:pPr>
              <w:jc w:val="center"/>
              <w:rPr>
                <w:b/>
                <w:sz w:val="20"/>
                <w:szCs w:val="20"/>
              </w:rPr>
            </w:pPr>
            <w:r w:rsidRPr="00621C69">
              <w:rPr>
                <w:b/>
                <w:sz w:val="20"/>
                <w:szCs w:val="20"/>
              </w:rPr>
              <w:t>Motivation*</w:t>
            </w:r>
          </w:p>
          <w:p w:rsidR="00490E27" w:rsidRPr="00621C69" w:rsidRDefault="00490E27" w:rsidP="004B55E1">
            <w:pPr>
              <w:jc w:val="center"/>
              <w:rPr>
                <w:b/>
                <w:sz w:val="20"/>
                <w:szCs w:val="20"/>
              </w:rPr>
            </w:pPr>
            <w:r w:rsidRPr="00621C69">
              <w:rPr>
                <w:b/>
                <w:sz w:val="20"/>
                <w:szCs w:val="20"/>
              </w:rPr>
              <w:t>1;2;3</w:t>
            </w:r>
          </w:p>
        </w:tc>
        <w:tc>
          <w:tcPr>
            <w:tcW w:w="1276" w:type="dxa"/>
          </w:tcPr>
          <w:p w:rsidR="00490E27" w:rsidRPr="00621C69" w:rsidRDefault="00490E27" w:rsidP="004B55E1">
            <w:pPr>
              <w:jc w:val="center"/>
              <w:rPr>
                <w:b/>
                <w:sz w:val="20"/>
                <w:szCs w:val="20"/>
              </w:rPr>
            </w:pPr>
            <w:r w:rsidRPr="00621C69">
              <w:rPr>
                <w:b/>
                <w:sz w:val="20"/>
                <w:szCs w:val="20"/>
              </w:rPr>
              <w:t>Summer max. temperature</w:t>
            </w:r>
          </w:p>
        </w:tc>
        <w:tc>
          <w:tcPr>
            <w:tcW w:w="1418" w:type="dxa"/>
            <w:tcBorders>
              <w:right w:val="dotted" w:sz="4" w:space="0" w:color="auto"/>
            </w:tcBorders>
          </w:tcPr>
          <w:p w:rsidR="00490E27" w:rsidRPr="00621C69" w:rsidRDefault="00490E27" w:rsidP="004B55E1">
            <w:pPr>
              <w:jc w:val="center"/>
              <w:rPr>
                <w:b/>
                <w:sz w:val="20"/>
                <w:szCs w:val="20"/>
              </w:rPr>
            </w:pPr>
            <w:r w:rsidRPr="00621C69">
              <w:rPr>
                <w:b/>
                <w:sz w:val="20"/>
                <w:szCs w:val="20"/>
              </w:rPr>
              <w:t>Temperature</w:t>
            </w:r>
          </w:p>
        </w:tc>
        <w:tc>
          <w:tcPr>
            <w:tcW w:w="708" w:type="dxa"/>
            <w:tcBorders>
              <w:left w:val="dotted" w:sz="4" w:space="0" w:color="auto"/>
            </w:tcBorders>
          </w:tcPr>
          <w:p w:rsidR="00490E27" w:rsidRPr="00621C69" w:rsidRDefault="00490E27" w:rsidP="004B55E1">
            <w:pPr>
              <w:jc w:val="center"/>
              <w:rPr>
                <w:b/>
                <w:sz w:val="20"/>
                <w:szCs w:val="20"/>
              </w:rPr>
            </w:pPr>
            <w:r w:rsidRPr="00621C69">
              <w:rPr>
                <w:b/>
                <w:sz w:val="20"/>
                <w:szCs w:val="20"/>
              </w:rPr>
              <w:t>Wind</w:t>
            </w:r>
          </w:p>
        </w:tc>
        <w:tc>
          <w:tcPr>
            <w:tcW w:w="993" w:type="dxa"/>
            <w:vMerge/>
          </w:tcPr>
          <w:p w:rsidR="00490E27" w:rsidRPr="00621C69" w:rsidRDefault="00490E27" w:rsidP="004B55E1">
            <w:pPr>
              <w:jc w:val="both"/>
              <w:rPr>
                <w:sz w:val="20"/>
                <w:szCs w:val="20"/>
              </w:rPr>
            </w:pPr>
          </w:p>
        </w:tc>
      </w:tr>
      <w:tr w:rsidR="00490E27" w:rsidRPr="00621C69" w:rsidTr="004B55E1">
        <w:tc>
          <w:tcPr>
            <w:tcW w:w="14142" w:type="dxa"/>
            <w:gridSpan w:val="14"/>
          </w:tcPr>
          <w:p w:rsidR="00490E27" w:rsidRPr="00621C69" w:rsidRDefault="00490E27" w:rsidP="004B55E1">
            <w:pPr>
              <w:ind w:firstLine="284"/>
              <w:jc w:val="both"/>
              <w:rPr>
                <w:sz w:val="20"/>
                <w:szCs w:val="20"/>
              </w:rPr>
            </w:pPr>
            <w:r w:rsidRPr="00621C69">
              <w:rPr>
                <w:sz w:val="20"/>
                <w:szCs w:val="20"/>
              </w:rPr>
              <w:t>Response = Bumblebee numbers. Marginal R</w:t>
            </w:r>
            <w:r w:rsidRPr="00621C69">
              <w:rPr>
                <w:sz w:val="20"/>
                <w:szCs w:val="20"/>
                <w:vertAlign w:val="superscript"/>
              </w:rPr>
              <w:t>2</w:t>
            </w:r>
            <w:r w:rsidRPr="00621C69">
              <w:rPr>
                <w:sz w:val="20"/>
                <w:szCs w:val="20"/>
              </w:rPr>
              <w:t xml:space="preserve"> = 0.68. Models where </w:t>
            </w:r>
            <w:r w:rsidRPr="00621C69">
              <w:rPr>
                <w:rFonts w:ascii="Calibri" w:hAnsi="Calibri"/>
                <w:i/>
                <w:sz w:val="20"/>
                <w:szCs w:val="20"/>
              </w:rPr>
              <w:t>Δ</w:t>
            </w:r>
            <w:r w:rsidRPr="00621C69">
              <w:rPr>
                <w:rFonts w:ascii="Calibri" w:hAnsi="Calibri"/>
                <w:i/>
                <w:sz w:val="20"/>
                <w:szCs w:val="20"/>
                <w:vertAlign w:val="subscript"/>
              </w:rPr>
              <w:t xml:space="preserve">AIC </w:t>
            </w:r>
            <w:r w:rsidRPr="00621C69">
              <w:rPr>
                <w:rFonts w:ascii="Calibri" w:hAnsi="Calibri"/>
                <w:sz w:val="20"/>
                <w:szCs w:val="20"/>
              </w:rPr>
              <w:t>&lt; 4 = 31 of 4096</w:t>
            </w:r>
          </w:p>
        </w:tc>
      </w:tr>
      <w:tr w:rsidR="00490E27" w:rsidRPr="00621C69" w:rsidTr="004B55E1">
        <w:tc>
          <w:tcPr>
            <w:tcW w:w="1242" w:type="dxa"/>
          </w:tcPr>
          <w:p w:rsidR="00490E27" w:rsidRPr="00621C69" w:rsidRDefault="00490E27" w:rsidP="004B55E1">
            <w:pPr>
              <w:jc w:val="both"/>
              <w:rPr>
                <w:sz w:val="20"/>
                <w:szCs w:val="20"/>
              </w:rPr>
            </w:pPr>
            <w:r w:rsidRPr="00621C69">
              <w:rPr>
                <w:sz w:val="20"/>
                <w:szCs w:val="20"/>
              </w:rPr>
              <w:t>Importance</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1</w:t>
            </w:r>
          </w:p>
        </w:tc>
        <w:tc>
          <w:tcPr>
            <w:tcW w:w="850" w:type="dxa"/>
            <w:gridSpan w:val="2"/>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1</w:t>
            </w:r>
          </w:p>
        </w:tc>
        <w:tc>
          <w:tcPr>
            <w:tcW w:w="851" w:type="dxa"/>
            <w:tcBorders>
              <w:left w:val="dotted" w:sz="4" w:space="0" w:color="auto"/>
            </w:tcBorders>
          </w:tcPr>
          <w:p w:rsidR="00490E27" w:rsidRPr="00621C69" w:rsidRDefault="00490E27" w:rsidP="004B55E1">
            <w:pPr>
              <w:jc w:val="center"/>
              <w:rPr>
                <w:b/>
                <w:sz w:val="20"/>
                <w:szCs w:val="20"/>
              </w:rPr>
            </w:pPr>
            <w:r w:rsidRPr="00621C69">
              <w:rPr>
                <w:b/>
                <w:sz w:val="20"/>
                <w:szCs w:val="20"/>
              </w:rPr>
              <w:t>0.55</w:t>
            </w:r>
          </w:p>
        </w:tc>
        <w:tc>
          <w:tcPr>
            <w:tcW w:w="1276" w:type="dxa"/>
            <w:tcBorders>
              <w:right w:val="dotted" w:sz="4" w:space="0" w:color="auto"/>
            </w:tcBorders>
          </w:tcPr>
          <w:p w:rsidR="00490E27" w:rsidRPr="00621C69" w:rsidRDefault="00490E27" w:rsidP="004B55E1">
            <w:pPr>
              <w:jc w:val="center"/>
              <w:rPr>
                <w:b/>
                <w:sz w:val="20"/>
                <w:szCs w:val="20"/>
              </w:rPr>
            </w:pPr>
            <w:r w:rsidRPr="00621C69">
              <w:rPr>
                <w:b/>
                <w:sz w:val="20"/>
                <w:szCs w:val="20"/>
              </w:rPr>
              <w:t>1</w:t>
            </w:r>
          </w:p>
        </w:tc>
        <w:tc>
          <w:tcPr>
            <w:tcW w:w="850" w:type="dxa"/>
            <w:tcBorders>
              <w:left w:val="dotted" w:sz="4" w:space="0" w:color="auto"/>
            </w:tcBorders>
          </w:tcPr>
          <w:p w:rsidR="00490E27" w:rsidRPr="00621C69" w:rsidRDefault="00490E27" w:rsidP="004B55E1">
            <w:pPr>
              <w:jc w:val="center"/>
              <w:rPr>
                <w:b/>
                <w:sz w:val="20"/>
                <w:szCs w:val="20"/>
              </w:rPr>
            </w:pPr>
            <w:r w:rsidRPr="00621C69">
              <w:rPr>
                <w:b/>
                <w:sz w:val="20"/>
                <w:szCs w:val="20"/>
              </w:rPr>
              <w:t>0.63</w:t>
            </w:r>
          </w:p>
        </w:tc>
        <w:tc>
          <w:tcPr>
            <w:tcW w:w="1134" w:type="dxa"/>
            <w:tcBorders>
              <w:right w:val="dotted" w:sz="4" w:space="0" w:color="auto"/>
            </w:tcBorders>
          </w:tcPr>
          <w:p w:rsidR="00490E27" w:rsidRPr="00621C69" w:rsidRDefault="00490E27" w:rsidP="004B55E1">
            <w:pPr>
              <w:jc w:val="center"/>
              <w:rPr>
                <w:b/>
                <w:sz w:val="20"/>
                <w:szCs w:val="20"/>
              </w:rPr>
            </w:pPr>
            <w:r w:rsidRPr="00621C69">
              <w:rPr>
                <w:b/>
                <w:sz w:val="20"/>
                <w:szCs w:val="20"/>
              </w:rPr>
              <w:t>1</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0.18</w:t>
            </w:r>
          </w:p>
        </w:tc>
        <w:tc>
          <w:tcPr>
            <w:tcW w:w="1559" w:type="dxa"/>
            <w:tcBorders>
              <w:left w:val="dotted" w:sz="4" w:space="0" w:color="auto"/>
            </w:tcBorders>
          </w:tcPr>
          <w:p w:rsidR="00490E27" w:rsidRPr="00621C69" w:rsidRDefault="00490E27" w:rsidP="004B55E1">
            <w:pPr>
              <w:jc w:val="center"/>
              <w:rPr>
                <w:sz w:val="20"/>
                <w:szCs w:val="20"/>
              </w:rPr>
            </w:pPr>
            <w:r w:rsidRPr="00621C69">
              <w:rPr>
                <w:sz w:val="20"/>
                <w:szCs w:val="20"/>
              </w:rPr>
              <w:t>0.13</w:t>
            </w:r>
          </w:p>
        </w:tc>
        <w:tc>
          <w:tcPr>
            <w:tcW w:w="1276" w:type="dxa"/>
          </w:tcPr>
          <w:p w:rsidR="00490E27" w:rsidRPr="00621C69" w:rsidRDefault="00490E27" w:rsidP="004B55E1">
            <w:pPr>
              <w:jc w:val="center"/>
              <w:rPr>
                <w:sz w:val="20"/>
                <w:szCs w:val="20"/>
              </w:rPr>
            </w:pPr>
            <w:r w:rsidRPr="00621C69">
              <w:rPr>
                <w:sz w:val="20"/>
                <w:szCs w:val="20"/>
              </w:rPr>
              <w:t>0.32</w:t>
            </w:r>
          </w:p>
        </w:tc>
        <w:tc>
          <w:tcPr>
            <w:tcW w:w="1418" w:type="dxa"/>
            <w:tcBorders>
              <w:right w:val="dotted" w:sz="4" w:space="0" w:color="auto"/>
            </w:tcBorders>
          </w:tcPr>
          <w:p w:rsidR="00490E27" w:rsidRPr="00621C69" w:rsidRDefault="00490E27" w:rsidP="004B55E1">
            <w:pPr>
              <w:jc w:val="center"/>
              <w:rPr>
                <w:b/>
                <w:sz w:val="20"/>
                <w:szCs w:val="20"/>
              </w:rPr>
            </w:pPr>
            <w:r w:rsidRPr="00621C69">
              <w:rPr>
                <w:b/>
                <w:sz w:val="20"/>
                <w:szCs w:val="20"/>
              </w:rPr>
              <w:t>1</w:t>
            </w:r>
          </w:p>
        </w:tc>
        <w:tc>
          <w:tcPr>
            <w:tcW w:w="708" w:type="dxa"/>
            <w:tcBorders>
              <w:left w:val="dotted" w:sz="4" w:space="0" w:color="auto"/>
            </w:tcBorders>
          </w:tcPr>
          <w:p w:rsidR="00490E27" w:rsidRPr="00621C69" w:rsidRDefault="00490E27" w:rsidP="004B55E1">
            <w:pPr>
              <w:jc w:val="center"/>
              <w:rPr>
                <w:b/>
                <w:sz w:val="20"/>
                <w:szCs w:val="20"/>
              </w:rPr>
            </w:pPr>
            <w:r w:rsidRPr="00621C69">
              <w:rPr>
                <w:b/>
                <w:sz w:val="20"/>
                <w:szCs w:val="20"/>
              </w:rPr>
              <w:t>0.40</w:t>
            </w:r>
          </w:p>
        </w:tc>
        <w:tc>
          <w:tcPr>
            <w:tcW w:w="993" w:type="dxa"/>
          </w:tcPr>
          <w:p w:rsidR="00490E27" w:rsidRPr="00621C69" w:rsidRDefault="00490E27" w:rsidP="004B55E1">
            <w:pPr>
              <w:jc w:val="center"/>
              <w:rPr>
                <w:b/>
                <w:sz w:val="20"/>
                <w:szCs w:val="20"/>
              </w:rPr>
            </w:pPr>
            <w:r w:rsidRPr="00621C69">
              <w:rPr>
                <w:b/>
                <w:sz w:val="20"/>
                <w:szCs w:val="20"/>
              </w:rPr>
              <w:t>0.83</w:t>
            </w:r>
          </w:p>
        </w:tc>
      </w:tr>
      <w:tr w:rsidR="00490E27" w:rsidRPr="00621C69" w:rsidTr="004B55E1">
        <w:tc>
          <w:tcPr>
            <w:tcW w:w="1242" w:type="dxa"/>
          </w:tcPr>
          <w:p w:rsidR="00490E27" w:rsidRPr="00621C69" w:rsidRDefault="00490E27" w:rsidP="004B55E1">
            <w:pPr>
              <w:jc w:val="both"/>
              <w:rPr>
                <w:sz w:val="20"/>
                <w:szCs w:val="20"/>
              </w:rPr>
            </w:pPr>
            <w:proofErr w:type="spellStart"/>
            <w:r w:rsidRPr="00621C69">
              <w:rPr>
                <w:sz w:val="20"/>
                <w:szCs w:val="20"/>
              </w:rPr>
              <w:t>Param</w:t>
            </w:r>
            <w:proofErr w:type="spellEnd"/>
            <w:r w:rsidRPr="00621C69">
              <w:rPr>
                <w:sz w:val="20"/>
                <w:szCs w:val="20"/>
              </w:rPr>
              <w:t>.  est.</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0.46</w:t>
            </w:r>
          </w:p>
        </w:tc>
        <w:tc>
          <w:tcPr>
            <w:tcW w:w="850" w:type="dxa"/>
            <w:gridSpan w:val="2"/>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0.11</w:t>
            </w:r>
          </w:p>
        </w:tc>
        <w:tc>
          <w:tcPr>
            <w:tcW w:w="851" w:type="dxa"/>
            <w:tcBorders>
              <w:left w:val="dotted" w:sz="4" w:space="0" w:color="auto"/>
            </w:tcBorders>
          </w:tcPr>
          <w:p w:rsidR="00490E27" w:rsidRPr="00621C69" w:rsidRDefault="00490E27" w:rsidP="004B55E1">
            <w:pPr>
              <w:jc w:val="center"/>
              <w:rPr>
                <w:b/>
                <w:sz w:val="20"/>
                <w:szCs w:val="20"/>
              </w:rPr>
            </w:pPr>
            <w:r w:rsidRPr="00621C69">
              <w:rPr>
                <w:b/>
                <w:sz w:val="20"/>
                <w:szCs w:val="20"/>
              </w:rPr>
              <w:t>0.11</w:t>
            </w:r>
          </w:p>
        </w:tc>
        <w:tc>
          <w:tcPr>
            <w:tcW w:w="1276" w:type="dxa"/>
            <w:tcBorders>
              <w:right w:val="dotted" w:sz="4" w:space="0" w:color="auto"/>
            </w:tcBorders>
          </w:tcPr>
          <w:p w:rsidR="00490E27" w:rsidRPr="00621C69" w:rsidRDefault="00490E27" w:rsidP="004B55E1">
            <w:pPr>
              <w:jc w:val="center"/>
              <w:rPr>
                <w:b/>
                <w:sz w:val="20"/>
                <w:szCs w:val="20"/>
              </w:rPr>
            </w:pPr>
            <w:r w:rsidRPr="00621C69">
              <w:rPr>
                <w:b/>
                <w:sz w:val="20"/>
                <w:szCs w:val="20"/>
              </w:rPr>
              <w:t>-0.06</w:t>
            </w:r>
          </w:p>
        </w:tc>
        <w:tc>
          <w:tcPr>
            <w:tcW w:w="850" w:type="dxa"/>
            <w:tcBorders>
              <w:left w:val="dotted" w:sz="4" w:space="0" w:color="auto"/>
            </w:tcBorders>
          </w:tcPr>
          <w:p w:rsidR="00490E27" w:rsidRPr="00621C69" w:rsidRDefault="00490E27" w:rsidP="004B55E1">
            <w:pPr>
              <w:jc w:val="center"/>
              <w:rPr>
                <w:b/>
                <w:sz w:val="20"/>
                <w:szCs w:val="20"/>
              </w:rPr>
            </w:pPr>
            <w:r w:rsidRPr="00621C69">
              <w:rPr>
                <w:b/>
                <w:sz w:val="20"/>
                <w:szCs w:val="20"/>
              </w:rPr>
              <w:t>-0.07</w:t>
            </w:r>
          </w:p>
        </w:tc>
        <w:tc>
          <w:tcPr>
            <w:tcW w:w="1134" w:type="dxa"/>
            <w:tcBorders>
              <w:right w:val="dotted" w:sz="4" w:space="0" w:color="auto"/>
            </w:tcBorders>
          </w:tcPr>
          <w:p w:rsidR="00490E27" w:rsidRPr="00621C69" w:rsidRDefault="00490E27" w:rsidP="004B55E1">
            <w:pPr>
              <w:jc w:val="center"/>
              <w:rPr>
                <w:b/>
                <w:sz w:val="20"/>
                <w:szCs w:val="20"/>
              </w:rPr>
            </w:pPr>
            <w:r w:rsidRPr="00621C69">
              <w:rPr>
                <w:b/>
                <w:sz w:val="20"/>
                <w:szCs w:val="20"/>
              </w:rPr>
              <w:t>0.28</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0.13</w:t>
            </w:r>
          </w:p>
        </w:tc>
        <w:tc>
          <w:tcPr>
            <w:tcW w:w="1559" w:type="dxa"/>
            <w:tcBorders>
              <w:left w:val="dotted" w:sz="4" w:space="0" w:color="auto"/>
            </w:tcBorders>
          </w:tcPr>
          <w:p w:rsidR="00490E27" w:rsidRPr="00621C69" w:rsidRDefault="00490E27" w:rsidP="004B55E1">
            <w:pPr>
              <w:jc w:val="center"/>
              <w:rPr>
                <w:sz w:val="20"/>
                <w:szCs w:val="20"/>
              </w:rPr>
            </w:pPr>
            <w:r w:rsidRPr="00621C69">
              <w:rPr>
                <w:sz w:val="20"/>
                <w:szCs w:val="20"/>
              </w:rPr>
              <w:t>0.06;0.32;0.46</w:t>
            </w:r>
          </w:p>
        </w:tc>
        <w:tc>
          <w:tcPr>
            <w:tcW w:w="1276" w:type="dxa"/>
          </w:tcPr>
          <w:p w:rsidR="00490E27" w:rsidRPr="00621C69" w:rsidRDefault="00490E27" w:rsidP="004B55E1">
            <w:pPr>
              <w:jc w:val="center"/>
              <w:rPr>
                <w:sz w:val="20"/>
                <w:szCs w:val="20"/>
              </w:rPr>
            </w:pPr>
            <w:r w:rsidRPr="00621C69">
              <w:rPr>
                <w:sz w:val="20"/>
                <w:szCs w:val="20"/>
              </w:rPr>
              <w:t>0.21</w:t>
            </w:r>
          </w:p>
        </w:tc>
        <w:tc>
          <w:tcPr>
            <w:tcW w:w="1418" w:type="dxa"/>
            <w:tcBorders>
              <w:right w:val="dotted" w:sz="4" w:space="0" w:color="auto"/>
            </w:tcBorders>
          </w:tcPr>
          <w:p w:rsidR="00490E27" w:rsidRPr="00621C69" w:rsidRDefault="00490E27" w:rsidP="004B55E1">
            <w:pPr>
              <w:jc w:val="center"/>
              <w:rPr>
                <w:b/>
                <w:sz w:val="20"/>
                <w:szCs w:val="20"/>
              </w:rPr>
            </w:pPr>
            <w:r w:rsidRPr="00621C69">
              <w:rPr>
                <w:b/>
                <w:sz w:val="20"/>
                <w:szCs w:val="20"/>
              </w:rPr>
              <w:t>0.17</w:t>
            </w:r>
          </w:p>
        </w:tc>
        <w:tc>
          <w:tcPr>
            <w:tcW w:w="708" w:type="dxa"/>
            <w:tcBorders>
              <w:left w:val="dotted" w:sz="4" w:space="0" w:color="auto"/>
            </w:tcBorders>
          </w:tcPr>
          <w:p w:rsidR="00490E27" w:rsidRPr="00621C69" w:rsidRDefault="00490E27" w:rsidP="004B55E1">
            <w:pPr>
              <w:jc w:val="center"/>
              <w:rPr>
                <w:b/>
                <w:sz w:val="20"/>
                <w:szCs w:val="20"/>
              </w:rPr>
            </w:pPr>
            <w:r w:rsidRPr="00621C69">
              <w:rPr>
                <w:b/>
                <w:sz w:val="20"/>
                <w:szCs w:val="20"/>
              </w:rPr>
              <w:t>-0.07</w:t>
            </w:r>
          </w:p>
        </w:tc>
        <w:tc>
          <w:tcPr>
            <w:tcW w:w="993" w:type="dxa"/>
          </w:tcPr>
          <w:p w:rsidR="00490E27" w:rsidRPr="00621C69" w:rsidRDefault="00490E27" w:rsidP="004B55E1">
            <w:pPr>
              <w:jc w:val="center"/>
              <w:rPr>
                <w:b/>
                <w:sz w:val="20"/>
                <w:szCs w:val="20"/>
              </w:rPr>
            </w:pPr>
            <w:r w:rsidRPr="00621C69">
              <w:rPr>
                <w:b/>
                <w:sz w:val="20"/>
                <w:szCs w:val="20"/>
              </w:rPr>
              <w:t>0.06;0.49</w:t>
            </w:r>
          </w:p>
        </w:tc>
      </w:tr>
      <w:tr w:rsidR="00490E27" w:rsidRPr="00621C69" w:rsidTr="004B55E1">
        <w:tc>
          <w:tcPr>
            <w:tcW w:w="14142" w:type="dxa"/>
            <w:gridSpan w:val="14"/>
          </w:tcPr>
          <w:p w:rsidR="00490E27" w:rsidRPr="00621C69" w:rsidRDefault="00490E27" w:rsidP="004B55E1">
            <w:pPr>
              <w:ind w:firstLine="284"/>
              <w:jc w:val="both"/>
              <w:rPr>
                <w:sz w:val="20"/>
                <w:szCs w:val="20"/>
              </w:rPr>
            </w:pPr>
            <w:r w:rsidRPr="00621C69">
              <w:rPr>
                <w:sz w:val="20"/>
                <w:szCs w:val="20"/>
              </w:rPr>
              <w:t>Response = Bumblebee species richness. Marginal R</w:t>
            </w:r>
            <w:r w:rsidRPr="00621C69">
              <w:rPr>
                <w:sz w:val="20"/>
                <w:szCs w:val="20"/>
                <w:vertAlign w:val="superscript"/>
              </w:rPr>
              <w:t>2</w:t>
            </w:r>
            <w:r w:rsidRPr="00621C69">
              <w:rPr>
                <w:sz w:val="20"/>
                <w:szCs w:val="20"/>
              </w:rPr>
              <w:t xml:space="preserve"> = 0.48. Models where </w:t>
            </w:r>
            <w:r w:rsidRPr="00621C69">
              <w:rPr>
                <w:rFonts w:ascii="Calibri" w:hAnsi="Calibri"/>
                <w:i/>
                <w:sz w:val="20"/>
                <w:szCs w:val="20"/>
              </w:rPr>
              <w:t>Δ</w:t>
            </w:r>
            <w:r w:rsidRPr="00621C69">
              <w:rPr>
                <w:rFonts w:ascii="Calibri" w:hAnsi="Calibri"/>
                <w:i/>
                <w:sz w:val="20"/>
                <w:szCs w:val="20"/>
                <w:vertAlign w:val="subscript"/>
              </w:rPr>
              <w:t xml:space="preserve">AIC </w:t>
            </w:r>
            <w:r w:rsidRPr="00621C69">
              <w:rPr>
                <w:rFonts w:ascii="Calibri" w:hAnsi="Calibri"/>
                <w:sz w:val="20"/>
                <w:szCs w:val="20"/>
              </w:rPr>
              <w:t>&lt; 4 = 144 of 4096</w:t>
            </w:r>
          </w:p>
        </w:tc>
      </w:tr>
      <w:tr w:rsidR="00490E27" w:rsidRPr="00621C69" w:rsidTr="004B55E1">
        <w:tc>
          <w:tcPr>
            <w:tcW w:w="1242" w:type="dxa"/>
          </w:tcPr>
          <w:p w:rsidR="00490E27" w:rsidRPr="00621C69" w:rsidRDefault="00490E27" w:rsidP="004B55E1">
            <w:pPr>
              <w:jc w:val="both"/>
              <w:rPr>
                <w:sz w:val="20"/>
                <w:szCs w:val="20"/>
              </w:rPr>
            </w:pPr>
            <w:r w:rsidRPr="00621C69">
              <w:rPr>
                <w:sz w:val="20"/>
                <w:szCs w:val="20"/>
              </w:rPr>
              <w:t>Importance</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1</w:t>
            </w:r>
          </w:p>
        </w:tc>
        <w:tc>
          <w:tcPr>
            <w:tcW w:w="850" w:type="dxa"/>
            <w:gridSpan w:val="2"/>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0.57</w:t>
            </w:r>
          </w:p>
        </w:tc>
        <w:tc>
          <w:tcPr>
            <w:tcW w:w="851" w:type="dxa"/>
            <w:tcBorders>
              <w:left w:val="dotted" w:sz="4" w:space="0" w:color="auto"/>
            </w:tcBorders>
          </w:tcPr>
          <w:p w:rsidR="00490E27" w:rsidRPr="00621C69" w:rsidRDefault="00490E27" w:rsidP="004B55E1">
            <w:pPr>
              <w:jc w:val="center"/>
              <w:rPr>
                <w:b/>
                <w:sz w:val="20"/>
                <w:szCs w:val="20"/>
              </w:rPr>
            </w:pPr>
            <w:r w:rsidRPr="00621C69">
              <w:rPr>
                <w:b/>
                <w:sz w:val="20"/>
                <w:szCs w:val="20"/>
              </w:rPr>
              <w:t>0.95</w:t>
            </w:r>
          </w:p>
        </w:tc>
        <w:tc>
          <w:tcPr>
            <w:tcW w:w="1276" w:type="dxa"/>
            <w:tcBorders>
              <w:right w:val="dotted" w:sz="4" w:space="0" w:color="auto"/>
            </w:tcBorders>
          </w:tcPr>
          <w:p w:rsidR="00490E27" w:rsidRPr="00621C69" w:rsidRDefault="00490E27" w:rsidP="004B55E1">
            <w:pPr>
              <w:jc w:val="center"/>
              <w:rPr>
                <w:sz w:val="20"/>
                <w:szCs w:val="20"/>
              </w:rPr>
            </w:pPr>
            <w:r w:rsidRPr="00621C69">
              <w:rPr>
                <w:sz w:val="20"/>
                <w:szCs w:val="20"/>
              </w:rPr>
              <w:t>0.31</w:t>
            </w:r>
          </w:p>
        </w:tc>
        <w:tc>
          <w:tcPr>
            <w:tcW w:w="850" w:type="dxa"/>
            <w:tcBorders>
              <w:left w:val="dotted" w:sz="4" w:space="0" w:color="auto"/>
            </w:tcBorders>
          </w:tcPr>
          <w:p w:rsidR="00490E27" w:rsidRPr="00621C69" w:rsidRDefault="00490E27" w:rsidP="004B55E1">
            <w:pPr>
              <w:jc w:val="center"/>
              <w:rPr>
                <w:b/>
                <w:sz w:val="20"/>
                <w:szCs w:val="20"/>
              </w:rPr>
            </w:pPr>
            <w:r w:rsidRPr="00621C69">
              <w:rPr>
                <w:b/>
                <w:sz w:val="20"/>
                <w:szCs w:val="20"/>
              </w:rPr>
              <w:t>0.53</w:t>
            </w:r>
          </w:p>
        </w:tc>
        <w:tc>
          <w:tcPr>
            <w:tcW w:w="1134" w:type="dxa"/>
            <w:tcBorders>
              <w:right w:val="dotted" w:sz="4" w:space="0" w:color="auto"/>
            </w:tcBorders>
          </w:tcPr>
          <w:p w:rsidR="00490E27" w:rsidRPr="00621C69" w:rsidRDefault="00490E27" w:rsidP="004B55E1">
            <w:pPr>
              <w:jc w:val="center"/>
              <w:rPr>
                <w:b/>
                <w:sz w:val="20"/>
                <w:szCs w:val="20"/>
              </w:rPr>
            </w:pPr>
            <w:r w:rsidRPr="00621C69">
              <w:rPr>
                <w:b/>
                <w:sz w:val="20"/>
                <w:szCs w:val="20"/>
              </w:rPr>
              <w:t>0.63</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0.12</w:t>
            </w:r>
          </w:p>
        </w:tc>
        <w:tc>
          <w:tcPr>
            <w:tcW w:w="1559" w:type="dxa"/>
            <w:tcBorders>
              <w:left w:val="dotted" w:sz="4" w:space="0" w:color="auto"/>
            </w:tcBorders>
          </w:tcPr>
          <w:p w:rsidR="00490E27" w:rsidRPr="00621C69" w:rsidRDefault="00490E27" w:rsidP="004B55E1">
            <w:pPr>
              <w:jc w:val="center"/>
              <w:rPr>
                <w:sz w:val="20"/>
                <w:szCs w:val="20"/>
              </w:rPr>
            </w:pPr>
            <w:r w:rsidRPr="00621C69">
              <w:rPr>
                <w:sz w:val="20"/>
                <w:szCs w:val="20"/>
              </w:rPr>
              <w:t>0.05</w:t>
            </w:r>
          </w:p>
        </w:tc>
        <w:tc>
          <w:tcPr>
            <w:tcW w:w="1276" w:type="dxa"/>
          </w:tcPr>
          <w:p w:rsidR="00490E27" w:rsidRPr="00621C69" w:rsidRDefault="00490E27" w:rsidP="004B55E1">
            <w:pPr>
              <w:jc w:val="center"/>
              <w:rPr>
                <w:sz w:val="20"/>
                <w:szCs w:val="20"/>
              </w:rPr>
            </w:pPr>
            <w:r w:rsidRPr="00621C69">
              <w:rPr>
                <w:sz w:val="20"/>
                <w:szCs w:val="20"/>
              </w:rPr>
              <w:t>0</w:t>
            </w:r>
          </w:p>
        </w:tc>
        <w:tc>
          <w:tcPr>
            <w:tcW w:w="1418" w:type="dxa"/>
            <w:tcBorders>
              <w:right w:val="dotted" w:sz="4" w:space="0" w:color="auto"/>
            </w:tcBorders>
          </w:tcPr>
          <w:p w:rsidR="00490E27" w:rsidRPr="00621C69" w:rsidRDefault="00490E27" w:rsidP="004B55E1">
            <w:pPr>
              <w:jc w:val="center"/>
              <w:rPr>
                <w:sz w:val="20"/>
                <w:szCs w:val="20"/>
              </w:rPr>
            </w:pPr>
            <w:r w:rsidRPr="00621C69">
              <w:rPr>
                <w:sz w:val="20"/>
                <w:szCs w:val="20"/>
              </w:rPr>
              <w:t>0</w:t>
            </w:r>
          </w:p>
        </w:tc>
        <w:tc>
          <w:tcPr>
            <w:tcW w:w="708" w:type="dxa"/>
            <w:tcBorders>
              <w:left w:val="dotted" w:sz="4" w:space="0" w:color="auto"/>
            </w:tcBorders>
          </w:tcPr>
          <w:p w:rsidR="00490E27" w:rsidRPr="00621C69" w:rsidRDefault="00490E27" w:rsidP="004B55E1">
            <w:pPr>
              <w:jc w:val="center"/>
              <w:rPr>
                <w:sz w:val="20"/>
                <w:szCs w:val="20"/>
              </w:rPr>
            </w:pPr>
            <w:r w:rsidRPr="00621C69">
              <w:rPr>
                <w:sz w:val="20"/>
                <w:szCs w:val="20"/>
              </w:rPr>
              <w:t>0.15</w:t>
            </w:r>
          </w:p>
        </w:tc>
        <w:tc>
          <w:tcPr>
            <w:tcW w:w="993" w:type="dxa"/>
          </w:tcPr>
          <w:p w:rsidR="00490E27" w:rsidRPr="00621C69" w:rsidRDefault="00490E27" w:rsidP="004B55E1">
            <w:pPr>
              <w:jc w:val="center"/>
              <w:rPr>
                <w:b/>
                <w:sz w:val="20"/>
                <w:szCs w:val="20"/>
              </w:rPr>
            </w:pPr>
            <w:r w:rsidRPr="00621C69">
              <w:rPr>
                <w:b/>
                <w:sz w:val="20"/>
                <w:szCs w:val="20"/>
              </w:rPr>
              <w:t>0.74</w:t>
            </w:r>
          </w:p>
        </w:tc>
      </w:tr>
      <w:tr w:rsidR="00490E27" w:rsidRPr="00621C69" w:rsidTr="004B55E1">
        <w:tc>
          <w:tcPr>
            <w:tcW w:w="1242" w:type="dxa"/>
          </w:tcPr>
          <w:p w:rsidR="00490E27" w:rsidRPr="00621C69" w:rsidRDefault="00490E27" w:rsidP="004B55E1">
            <w:pPr>
              <w:jc w:val="both"/>
              <w:rPr>
                <w:sz w:val="20"/>
                <w:szCs w:val="20"/>
              </w:rPr>
            </w:pPr>
            <w:proofErr w:type="spellStart"/>
            <w:r w:rsidRPr="00621C69">
              <w:rPr>
                <w:sz w:val="20"/>
                <w:szCs w:val="20"/>
              </w:rPr>
              <w:t>Param</w:t>
            </w:r>
            <w:proofErr w:type="spellEnd"/>
            <w:r w:rsidRPr="00621C69">
              <w:rPr>
                <w:sz w:val="20"/>
                <w:szCs w:val="20"/>
              </w:rPr>
              <w:t>.  est.</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0.25</w:t>
            </w:r>
          </w:p>
        </w:tc>
        <w:tc>
          <w:tcPr>
            <w:tcW w:w="850" w:type="dxa"/>
            <w:gridSpan w:val="2"/>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0.04</w:t>
            </w:r>
          </w:p>
        </w:tc>
        <w:tc>
          <w:tcPr>
            <w:tcW w:w="851" w:type="dxa"/>
            <w:tcBorders>
              <w:left w:val="dotted" w:sz="4" w:space="0" w:color="auto"/>
            </w:tcBorders>
          </w:tcPr>
          <w:p w:rsidR="00490E27" w:rsidRPr="00621C69" w:rsidRDefault="00490E27" w:rsidP="004B55E1">
            <w:pPr>
              <w:jc w:val="center"/>
              <w:rPr>
                <w:b/>
                <w:sz w:val="20"/>
                <w:szCs w:val="20"/>
              </w:rPr>
            </w:pPr>
            <w:r w:rsidRPr="00621C69">
              <w:rPr>
                <w:b/>
                <w:sz w:val="20"/>
                <w:szCs w:val="20"/>
              </w:rPr>
              <w:t>0.1</w:t>
            </w:r>
          </w:p>
        </w:tc>
        <w:tc>
          <w:tcPr>
            <w:tcW w:w="1276" w:type="dxa"/>
            <w:tcBorders>
              <w:right w:val="dotted" w:sz="4" w:space="0" w:color="auto"/>
            </w:tcBorders>
          </w:tcPr>
          <w:p w:rsidR="00490E27" w:rsidRPr="00621C69" w:rsidRDefault="00490E27" w:rsidP="004B55E1">
            <w:pPr>
              <w:jc w:val="center"/>
              <w:rPr>
                <w:sz w:val="20"/>
                <w:szCs w:val="20"/>
              </w:rPr>
            </w:pPr>
            <w:r w:rsidRPr="00621C69">
              <w:rPr>
                <w:sz w:val="20"/>
                <w:szCs w:val="20"/>
              </w:rPr>
              <w:t>-0.01</w:t>
            </w:r>
          </w:p>
        </w:tc>
        <w:tc>
          <w:tcPr>
            <w:tcW w:w="850" w:type="dxa"/>
            <w:tcBorders>
              <w:left w:val="dotted" w:sz="4" w:space="0" w:color="auto"/>
            </w:tcBorders>
          </w:tcPr>
          <w:p w:rsidR="00490E27" w:rsidRPr="00621C69" w:rsidRDefault="00490E27" w:rsidP="004B55E1">
            <w:pPr>
              <w:jc w:val="center"/>
              <w:rPr>
                <w:b/>
                <w:sz w:val="20"/>
                <w:szCs w:val="20"/>
              </w:rPr>
            </w:pPr>
            <w:r w:rsidRPr="00621C69">
              <w:rPr>
                <w:b/>
                <w:sz w:val="20"/>
                <w:szCs w:val="20"/>
              </w:rPr>
              <w:t>-0.03</w:t>
            </w:r>
          </w:p>
        </w:tc>
        <w:tc>
          <w:tcPr>
            <w:tcW w:w="1134" w:type="dxa"/>
            <w:tcBorders>
              <w:right w:val="dotted" w:sz="4" w:space="0" w:color="auto"/>
            </w:tcBorders>
          </w:tcPr>
          <w:p w:rsidR="00490E27" w:rsidRPr="00621C69" w:rsidRDefault="00490E27" w:rsidP="004B55E1">
            <w:pPr>
              <w:jc w:val="center"/>
              <w:rPr>
                <w:b/>
                <w:sz w:val="20"/>
                <w:szCs w:val="20"/>
              </w:rPr>
            </w:pPr>
            <w:r w:rsidRPr="00621C69">
              <w:rPr>
                <w:b/>
                <w:sz w:val="20"/>
                <w:szCs w:val="20"/>
              </w:rPr>
              <w:t>0.13</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-0.02</w:t>
            </w:r>
          </w:p>
        </w:tc>
        <w:tc>
          <w:tcPr>
            <w:tcW w:w="1559" w:type="dxa"/>
            <w:tcBorders>
              <w:left w:val="dotted" w:sz="4" w:space="0" w:color="auto"/>
            </w:tcBorders>
          </w:tcPr>
          <w:p w:rsidR="00490E27" w:rsidRPr="00621C69" w:rsidRDefault="00490E27" w:rsidP="004B55E1">
            <w:pPr>
              <w:jc w:val="center"/>
              <w:rPr>
                <w:sz w:val="20"/>
                <w:szCs w:val="20"/>
              </w:rPr>
            </w:pPr>
            <w:r w:rsidRPr="00621C69">
              <w:rPr>
                <w:sz w:val="20"/>
                <w:szCs w:val="20"/>
              </w:rPr>
              <w:t>0.38;0.41;0.15</w:t>
            </w:r>
          </w:p>
        </w:tc>
        <w:tc>
          <w:tcPr>
            <w:tcW w:w="1276" w:type="dxa"/>
          </w:tcPr>
          <w:p w:rsidR="00490E27" w:rsidRPr="00621C69" w:rsidRDefault="00490E27" w:rsidP="004B55E1">
            <w:pPr>
              <w:jc w:val="center"/>
              <w:rPr>
                <w:sz w:val="20"/>
                <w:szCs w:val="20"/>
              </w:rPr>
            </w:pPr>
            <w:r w:rsidRPr="00621C69">
              <w:rPr>
                <w:sz w:val="20"/>
                <w:szCs w:val="20"/>
              </w:rPr>
              <w:t>-</w:t>
            </w:r>
          </w:p>
        </w:tc>
        <w:tc>
          <w:tcPr>
            <w:tcW w:w="1418" w:type="dxa"/>
            <w:tcBorders>
              <w:right w:val="dotted" w:sz="4" w:space="0" w:color="auto"/>
            </w:tcBorders>
          </w:tcPr>
          <w:p w:rsidR="00490E27" w:rsidRPr="00621C69" w:rsidRDefault="00490E27" w:rsidP="004B55E1">
            <w:pPr>
              <w:jc w:val="center"/>
              <w:rPr>
                <w:sz w:val="20"/>
                <w:szCs w:val="20"/>
              </w:rPr>
            </w:pPr>
            <w:r w:rsidRPr="00621C69">
              <w:rPr>
                <w:sz w:val="20"/>
                <w:szCs w:val="20"/>
              </w:rPr>
              <w:t>-</w:t>
            </w:r>
          </w:p>
        </w:tc>
        <w:tc>
          <w:tcPr>
            <w:tcW w:w="708" w:type="dxa"/>
            <w:tcBorders>
              <w:left w:val="dotted" w:sz="4" w:space="0" w:color="auto"/>
            </w:tcBorders>
          </w:tcPr>
          <w:p w:rsidR="00490E27" w:rsidRPr="00621C69" w:rsidRDefault="00490E27" w:rsidP="004B55E1">
            <w:pPr>
              <w:jc w:val="center"/>
              <w:rPr>
                <w:sz w:val="20"/>
                <w:szCs w:val="20"/>
              </w:rPr>
            </w:pPr>
            <w:r w:rsidRPr="00621C69">
              <w:rPr>
                <w:sz w:val="20"/>
                <w:szCs w:val="20"/>
              </w:rPr>
              <w:t>-0.04</w:t>
            </w:r>
          </w:p>
        </w:tc>
        <w:tc>
          <w:tcPr>
            <w:tcW w:w="993" w:type="dxa"/>
          </w:tcPr>
          <w:p w:rsidR="00490E27" w:rsidRPr="00621C69" w:rsidRDefault="00490E27" w:rsidP="004B55E1">
            <w:pPr>
              <w:jc w:val="center"/>
              <w:rPr>
                <w:b/>
                <w:sz w:val="20"/>
                <w:szCs w:val="20"/>
              </w:rPr>
            </w:pPr>
            <w:r w:rsidRPr="00621C69">
              <w:rPr>
                <w:b/>
                <w:sz w:val="20"/>
                <w:szCs w:val="20"/>
              </w:rPr>
              <w:t>0.38;0.56</w:t>
            </w:r>
          </w:p>
        </w:tc>
      </w:tr>
      <w:tr w:rsidR="00490E27" w:rsidRPr="00621C69" w:rsidTr="004B55E1">
        <w:tc>
          <w:tcPr>
            <w:tcW w:w="14142" w:type="dxa"/>
            <w:gridSpan w:val="14"/>
          </w:tcPr>
          <w:p w:rsidR="00490E27" w:rsidRPr="00621C69" w:rsidRDefault="00490E27" w:rsidP="004B55E1">
            <w:pPr>
              <w:ind w:firstLine="284"/>
              <w:jc w:val="both"/>
              <w:rPr>
                <w:sz w:val="20"/>
                <w:szCs w:val="20"/>
              </w:rPr>
            </w:pPr>
            <w:r w:rsidRPr="00621C69">
              <w:rPr>
                <w:sz w:val="20"/>
                <w:szCs w:val="20"/>
              </w:rPr>
              <w:t>Response = Butterfly numbers. Marginal R</w:t>
            </w:r>
            <w:r w:rsidRPr="00621C69">
              <w:rPr>
                <w:sz w:val="20"/>
                <w:szCs w:val="20"/>
                <w:vertAlign w:val="superscript"/>
              </w:rPr>
              <w:t>2</w:t>
            </w:r>
            <w:r w:rsidRPr="00621C69">
              <w:rPr>
                <w:sz w:val="20"/>
                <w:szCs w:val="20"/>
              </w:rPr>
              <w:t xml:space="preserve"> = 0.28. Models where </w:t>
            </w:r>
            <w:r w:rsidRPr="00621C69">
              <w:rPr>
                <w:rFonts w:ascii="Calibri" w:hAnsi="Calibri"/>
                <w:i/>
                <w:sz w:val="20"/>
                <w:szCs w:val="20"/>
              </w:rPr>
              <w:t>Δ</w:t>
            </w:r>
            <w:r w:rsidRPr="00621C69">
              <w:rPr>
                <w:rFonts w:ascii="Calibri" w:hAnsi="Calibri"/>
                <w:i/>
                <w:sz w:val="20"/>
                <w:szCs w:val="20"/>
                <w:vertAlign w:val="subscript"/>
              </w:rPr>
              <w:t xml:space="preserve">AIC </w:t>
            </w:r>
            <w:r w:rsidRPr="00621C69">
              <w:rPr>
                <w:rFonts w:ascii="Calibri" w:hAnsi="Calibri"/>
                <w:sz w:val="20"/>
                <w:szCs w:val="20"/>
              </w:rPr>
              <w:t>&lt; 4 = 99 of 4096</w:t>
            </w:r>
          </w:p>
        </w:tc>
      </w:tr>
      <w:tr w:rsidR="00490E27" w:rsidRPr="00621C69" w:rsidTr="004B55E1">
        <w:tc>
          <w:tcPr>
            <w:tcW w:w="1242" w:type="dxa"/>
          </w:tcPr>
          <w:p w:rsidR="00490E27" w:rsidRPr="00621C69" w:rsidRDefault="00490E27" w:rsidP="004B55E1">
            <w:pPr>
              <w:jc w:val="both"/>
              <w:rPr>
                <w:sz w:val="20"/>
                <w:szCs w:val="20"/>
              </w:rPr>
            </w:pPr>
            <w:r w:rsidRPr="00621C69">
              <w:rPr>
                <w:sz w:val="20"/>
                <w:szCs w:val="20"/>
              </w:rPr>
              <w:t>Importance</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0.46</w:t>
            </w:r>
          </w:p>
        </w:tc>
        <w:tc>
          <w:tcPr>
            <w:tcW w:w="850" w:type="dxa"/>
            <w:gridSpan w:val="2"/>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1</w:t>
            </w:r>
          </w:p>
        </w:tc>
        <w:tc>
          <w:tcPr>
            <w:tcW w:w="851" w:type="dxa"/>
            <w:tcBorders>
              <w:left w:val="dotted" w:sz="4" w:space="0" w:color="auto"/>
            </w:tcBorders>
          </w:tcPr>
          <w:p w:rsidR="00490E27" w:rsidRPr="00621C69" w:rsidRDefault="00490E27" w:rsidP="004B55E1">
            <w:pPr>
              <w:jc w:val="center"/>
              <w:rPr>
                <w:b/>
                <w:sz w:val="20"/>
                <w:szCs w:val="20"/>
              </w:rPr>
            </w:pPr>
            <w:r w:rsidRPr="00621C69">
              <w:rPr>
                <w:b/>
                <w:sz w:val="20"/>
                <w:szCs w:val="20"/>
              </w:rPr>
              <w:t>0.73</w:t>
            </w:r>
          </w:p>
        </w:tc>
        <w:tc>
          <w:tcPr>
            <w:tcW w:w="1276" w:type="dxa"/>
            <w:tcBorders>
              <w:right w:val="dotted" w:sz="4" w:space="0" w:color="auto"/>
            </w:tcBorders>
          </w:tcPr>
          <w:p w:rsidR="00490E27" w:rsidRPr="00621C69" w:rsidRDefault="00490E27" w:rsidP="004B55E1">
            <w:pPr>
              <w:jc w:val="center"/>
              <w:rPr>
                <w:sz w:val="20"/>
                <w:szCs w:val="20"/>
              </w:rPr>
            </w:pPr>
            <w:r w:rsidRPr="00621C69">
              <w:rPr>
                <w:sz w:val="20"/>
                <w:szCs w:val="20"/>
              </w:rPr>
              <w:t>0.17</w:t>
            </w:r>
          </w:p>
        </w:tc>
        <w:tc>
          <w:tcPr>
            <w:tcW w:w="850" w:type="dxa"/>
            <w:tcBorders>
              <w:left w:val="dotted" w:sz="4" w:space="0" w:color="auto"/>
            </w:tcBorders>
          </w:tcPr>
          <w:p w:rsidR="00490E27" w:rsidRPr="00621C69" w:rsidRDefault="00490E27" w:rsidP="004B55E1">
            <w:pPr>
              <w:jc w:val="center"/>
              <w:rPr>
                <w:b/>
                <w:sz w:val="20"/>
                <w:szCs w:val="20"/>
              </w:rPr>
            </w:pPr>
            <w:r w:rsidRPr="00621C69">
              <w:rPr>
                <w:b/>
                <w:sz w:val="20"/>
                <w:szCs w:val="20"/>
              </w:rPr>
              <w:t>0.48</w:t>
            </w:r>
          </w:p>
        </w:tc>
        <w:tc>
          <w:tcPr>
            <w:tcW w:w="1134" w:type="dxa"/>
            <w:tcBorders>
              <w:right w:val="dotted" w:sz="4" w:space="0" w:color="auto"/>
            </w:tcBorders>
          </w:tcPr>
          <w:p w:rsidR="00490E27" w:rsidRPr="00621C69" w:rsidRDefault="00490E27" w:rsidP="004B55E1">
            <w:pPr>
              <w:jc w:val="center"/>
              <w:rPr>
                <w:sz w:val="20"/>
                <w:szCs w:val="20"/>
              </w:rPr>
            </w:pPr>
            <w:r w:rsidRPr="00621C69">
              <w:rPr>
                <w:sz w:val="20"/>
                <w:szCs w:val="20"/>
              </w:rPr>
              <w:t>0.12</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0.12</w:t>
            </w:r>
          </w:p>
        </w:tc>
        <w:tc>
          <w:tcPr>
            <w:tcW w:w="1559" w:type="dxa"/>
            <w:tcBorders>
              <w:left w:val="dotted" w:sz="4" w:space="0" w:color="auto"/>
            </w:tcBorders>
          </w:tcPr>
          <w:p w:rsidR="00490E27" w:rsidRPr="00621C69" w:rsidRDefault="00490E27" w:rsidP="004B55E1">
            <w:pPr>
              <w:jc w:val="center"/>
              <w:rPr>
                <w:sz w:val="20"/>
                <w:szCs w:val="20"/>
              </w:rPr>
            </w:pPr>
            <w:r w:rsidRPr="00621C69">
              <w:rPr>
                <w:sz w:val="20"/>
                <w:szCs w:val="20"/>
              </w:rPr>
              <w:t>0.12</w:t>
            </w:r>
          </w:p>
        </w:tc>
        <w:tc>
          <w:tcPr>
            <w:tcW w:w="1276" w:type="dxa"/>
          </w:tcPr>
          <w:p w:rsidR="00490E27" w:rsidRPr="00621C69" w:rsidRDefault="00490E27" w:rsidP="004B55E1">
            <w:pPr>
              <w:jc w:val="center"/>
              <w:rPr>
                <w:b/>
                <w:sz w:val="20"/>
                <w:szCs w:val="20"/>
              </w:rPr>
            </w:pPr>
            <w:r w:rsidRPr="00621C69">
              <w:rPr>
                <w:b/>
                <w:sz w:val="20"/>
                <w:szCs w:val="20"/>
              </w:rPr>
              <w:t>0.85</w:t>
            </w:r>
          </w:p>
        </w:tc>
        <w:tc>
          <w:tcPr>
            <w:tcW w:w="1418" w:type="dxa"/>
            <w:tcBorders>
              <w:right w:val="dotted" w:sz="4" w:space="0" w:color="auto"/>
            </w:tcBorders>
          </w:tcPr>
          <w:p w:rsidR="00490E27" w:rsidRPr="00621C69" w:rsidRDefault="00490E27" w:rsidP="004B55E1">
            <w:pPr>
              <w:jc w:val="center"/>
              <w:rPr>
                <w:sz w:val="20"/>
                <w:szCs w:val="20"/>
              </w:rPr>
            </w:pPr>
            <w:r w:rsidRPr="00621C69">
              <w:rPr>
                <w:sz w:val="20"/>
                <w:szCs w:val="20"/>
              </w:rPr>
              <w:t>0.09</w:t>
            </w:r>
          </w:p>
        </w:tc>
        <w:tc>
          <w:tcPr>
            <w:tcW w:w="708" w:type="dxa"/>
            <w:tcBorders>
              <w:left w:val="dotted" w:sz="4" w:space="0" w:color="auto"/>
            </w:tcBorders>
          </w:tcPr>
          <w:p w:rsidR="00490E27" w:rsidRPr="00621C69" w:rsidRDefault="00490E27" w:rsidP="004B55E1">
            <w:pPr>
              <w:jc w:val="center"/>
              <w:rPr>
                <w:sz w:val="20"/>
                <w:szCs w:val="20"/>
              </w:rPr>
            </w:pPr>
            <w:r w:rsidRPr="00621C69">
              <w:rPr>
                <w:sz w:val="20"/>
                <w:szCs w:val="20"/>
              </w:rPr>
              <w:t>0.1</w:t>
            </w:r>
          </w:p>
        </w:tc>
        <w:tc>
          <w:tcPr>
            <w:tcW w:w="993" w:type="dxa"/>
          </w:tcPr>
          <w:p w:rsidR="00490E27" w:rsidRPr="00621C69" w:rsidRDefault="00490E27" w:rsidP="004B55E1">
            <w:pPr>
              <w:jc w:val="center"/>
              <w:rPr>
                <w:b/>
                <w:sz w:val="20"/>
                <w:szCs w:val="20"/>
              </w:rPr>
            </w:pPr>
            <w:r w:rsidRPr="00621C69">
              <w:rPr>
                <w:b/>
                <w:sz w:val="20"/>
                <w:szCs w:val="20"/>
              </w:rPr>
              <w:t>0.62</w:t>
            </w:r>
          </w:p>
        </w:tc>
      </w:tr>
      <w:tr w:rsidR="00490E27" w:rsidRPr="00621C69" w:rsidTr="004B55E1">
        <w:tc>
          <w:tcPr>
            <w:tcW w:w="1242" w:type="dxa"/>
          </w:tcPr>
          <w:p w:rsidR="00490E27" w:rsidRPr="00621C69" w:rsidRDefault="00490E27" w:rsidP="004B55E1">
            <w:pPr>
              <w:jc w:val="both"/>
              <w:rPr>
                <w:sz w:val="20"/>
                <w:szCs w:val="20"/>
              </w:rPr>
            </w:pPr>
            <w:proofErr w:type="spellStart"/>
            <w:r w:rsidRPr="00621C69">
              <w:rPr>
                <w:sz w:val="20"/>
                <w:szCs w:val="20"/>
              </w:rPr>
              <w:t>Param</w:t>
            </w:r>
            <w:proofErr w:type="spellEnd"/>
            <w:r w:rsidRPr="00621C69">
              <w:rPr>
                <w:sz w:val="20"/>
                <w:szCs w:val="20"/>
              </w:rPr>
              <w:t>.  est.</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0.05</w:t>
            </w:r>
          </w:p>
        </w:tc>
        <w:tc>
          <w:tcPr>
            <w:tcW w:w="850" w:type="dxa"/>
            <w:gridSpan w:val="2"/>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0.07</w:t>
            </w:r>
          </w:p>
        </w:tc>
        <w:tc>
          <w:tcPr>
            <w:tcW w:w="851" w:type="dxa"/>
            <w:tcBorders>
              <w:left w:val="dotted" w:sz="4" w:space="0" w:color="auto"/>
            </w:tcBorders>
          </w:tcPr>
          <w:p w:rsidR="00490E27" w:rsidRPr="00621C69" w:rsidRDefault="00490E27" w:rsidP="004B55E1">
            <w:pPr>
              <w:jc w:val="center"/>
              <w:rPr>
                <w:b/>
                <w:sz w:val="20"/>
                <w:szCs w:val="20"/>
              </w:rPr>
            </w:pPr>
            <w:r w:rsidRPr="00621C69">
              <w:rPr>
                <w:b/>
                <w:sz w:val="20"/>
                <w:szCs w:val="20"/>
              </w:rPr>
              <w:t>0.14</w:t>
            </w:r>
          </w:p>
        </w:tc>
        <w:tc>
          <w:tcPr>
            <w:tcW w:w="1276" w:type="dxa"/>
            <w:tcBorders>
              <w:right w:val="dotted" w:sz="4" w:space="0" w:color="auto"/>
            </w:tcBorders>
          </w:tcPr>
          <w:p w:rsidR="00490E27" w:rsidRPr="00621C69" w:rsidRDefault="00490E27" w:rsidP="004B55E1">
            <w:pPr>
              <w:jc w:val="center"/>
              <w:rPr>
                <w:sz w:val="20"/>
                <w:szCs w:val="20"/>
              </w:rPr>
            </w:pPr>
            <w:r w:rsidRPr="00621C69">
              <w:rPr>
                <w:sz w:val="20"/>
                <w:szCs w:val="20"/>
              </w:rPr>
              <w:t>-0.02</w:t>
            </w:r>
          </w:p>
        </w:tc>
        <w:tc>
          <w:tcPr>
            <w:tcW w:w="850" w:type="dxa"/>
            <w:tcBorders>
              <w:left w:val="dotted" w:sz="4" w:space="0" w:color="auto"/>
            </w:tcBorders>
          </w:tcPr>
          <w:p w:rsidR="00490E27" w:rsidRPr="00621C69" w:rsidRDefault="00490E27" w:rsidP="004B55E1">
            <w:pPr>
              <w:jc w:val="center"/>
              <w:rPr>
                <w:b/>
                <w:sz w:val="20"/>
                <w:szCs w:val="20"/>
              </w:rPr>
            </w:pPr>
            <w:r w:rsidRPr="00621C69">
              <w:rPr>
                <w:b/>
                <w:sz w:val="20"/>
                <w:szCs w:val="20"/>
              </w:rPr>
              <w:t>-0.04</w:t>
            </w:r>
          </w:p>
        </w:tc>
        <w:tc>
          <w:tcPr>
            <w:tcW w:w="1134" w:type="dxa"/>
            <w:tcBorders>
              <w:right w:val="dotted" w:sz="4" w:space="0" w:color="auto"/>
            </w:tcBorders>
          </w:tcPr>
          <w:p w:rsidR="00490E27" w:rsidRPr="00621C69" w:rsidRDefault="00490E27" w:rsidP="004B55E1">
            <w:pPr>
              <w:jc w:val="center"/>
              <w:rPr>
                <w:sz w:val="20"/>
                <w:szCs w:val="20"/>
              </w:rPr>
            </w:pPr>
            <w:r w:rsidRPr="00621C69">
              <w:rPr>
                <w:sz w:val="20"/>
                <w:szCs w:val="20"/>
              </w:rPr>
              <w:t>-0.06</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0.09</w:t>
            </w:r>
          </w:p>
        </w:tc>
        <w:tc>
          <w:tcPr>
            <w:tcW w:w="1559" w:type="dxa"/>
            <w:tcBorders>
              <w:left w:val="dotted" w:sz="4" w:space="0" w:color="auto"/>
            </w:tcBorders>
          </w:tcPr>
          <w:p w:rsidR="00490E27" w:rsidRPr="00621C69" w:rsidRDefault="00490E27" w:rsidP="004B55E1">
            <w:pPr>
              <w:jc w:val="center"/>
              <w:rPr>
                <w:sz w:val="20"/>
                <w:szCs w:val="20"/>
              </w:rPr>
            </w:pPr>
            <w:r w:rsidRPr="00621C69">
              <w:rPr>
                <w:sz w:val="20"/>
                <w:szCs w:val="20"/>
              </w:rPr>
              <w:t>2.12;0.91;0.17</w:t>
            </w:r>
          </w:p>
        </w:tc>
        <w:tc>
          <w:tcPr>
            <w:tcW w:w="1276" w:type="dxa"/>
          </w:tcPr>
          <w:p w:rsidR="00490E27" w:rsidRPr="00621C69" w:rsidRDefault="00490E27" w:rsidP="004B55E1">
            <w:pPr>
              <w:jc w:val="center"/>
              <w:rPr>
                <w:b/>
                <w:sz w:val="20"/>
                <w:szCs w:val="20"/>
              </w:rPr>
            </w:pPr>
            <w:r w:rsidRPr="00621C69">
              <w:rPr>
                <w:b/>
                <w:sz w:val="20"/>
                <w:szCs w:val="20"/>
              </w:rPr>
              <w:t>0.43</w:t>
            </w:r>
          </w:p>
        </w:tc>
        <w:tc>
          <w:tcPr>
            <w:tcW w:w="1418" w:type="dxa"/>
            <w:tcBorders>
              <w:right w:val="dotted" w:sz="4" w:space="0" w:color="auto"/>
            </w:tcBorders>
          </w:tcPr>
          <w:p w:rsidR="00490E27" w:rsidRPr="00621C69" w:rsidRDefault="00490E27" w:rsidP="004B55E1">
            <w:pPr>
              <w:jc w:val="center"/>
              <w:rPr>
                <w:sz w:val="20"/>
                <w:szCs w:val="20"/>
              </w:rPr>
            </w:pPr>
            <w:r w:rsidRPr="00621C69">
              <w:rPr>
                <w:sz w:val="20"/>
                <w:szCs w:val="20"/>
              </w:rPr>
              <w:t>0.01</w:t>
            </w:r>
          </w:p>
        </w:tc>
        <w:tc>
          <w:tcPr>
            <w:tcW w:w="708" w:type="dxa"/>
            <w:tcBorders>
              <w:left w:val="dotted" w:sz="4" w:space="0" w:color="auto"/>
            </w:tcBorders>
          </w:tcPr>
          <w:p w:rsidR="00490E27" w:rsidRPr="00621C69" w:rsidRDefault="00490E27" w:rsidP="004B55E1">
            <w:pPr>
              <w:jc w:val="center"/>
              <w:rPr>
                <w:sz w:val="20"/>
                <w:szCs w:val="20"/>
              </w:rPr>
            </w:pPr>
            <w:r w:rsidRPr="00621C69">
              <w:rPr>
                <w:sz w:val="20"/>
                <w:szCs w:val="20"/>
              </w:rPr>
              <w:t>-0.02</w:t>
            </w:r>
          </w:p>
        </w:tc>
        <w:tc>
          <w:tcPr>
            <w:tcW w:w="993" w:type="dxa"/>
          </w:tcPr>
          <w:p w:rsidR="00490E27" w:rsidRPr="00621C69" w:rsidRDefault="00490E27" w:rsidP="004B55E1">
            <w:pPr>
              <w:jc w:val="center"/>
              <w:rPr>
                <w:b/>
                <w:sz w:val="20"/>
                <w:szCs w:val="20"/>
              </w:rPr>
            </w:pPr>
            <w:r w:rsidRPr="00621C69">
              <w:rPr>
                <w:b/>
                <w:sz w:val="20"/>
                <w:szCs w:val="20"/>
              </w:rPr>
              <w:t>2.14;0.55</w:t>
            </w:r>
          </w:p>
        </w:tc>
      </w:tr>
      <w:tr w:rsidR="00490E27" w:rsidRPr="00621C69" w:rsidTr="004B55E1">
        <w:tc>
          <w:tcPr>
            <w:tcW w:w="14142" w:type="dxa"/>
            <w:gridSpan w:val="14"/>
          </w:tcPr>
          <w:p w:rsidR="00490E27" w:rsidRPr="00621C69" w:rsidRDefault="00490E27" w:rsidP="004B55E1">
            <w:pPr>
              <w:ind w:firstLine="284"/>
              <w:jc w:val="both"/>
              <w:rPr>
                <w:sz w:val="20"/>
                <w:szCs w:val="20"/>
              </w:rPr>
            </w:pPr>
            <w:r w:rsidRPr="00621C69">
              <w:rPr>
                <w:sz w:val="20"/>
                <w:szCs w:val="20"/>
              </w:rPr>
              <w:t>Response = Butterfly species richness. Marginal R</w:t>
            </w:r>
            <w:r w:rsidRPr="00621C69">
              <w:rPr>
                <w:sz w:val="20"/>
                <w:szCs w:val="20"/>
                <w:vertAlign w:val="superscript"/>
              </w:rPr>
              <w:t>2</w:t>
            </w:r>
            <w:r w:rsidRPr="00621C69">
              <w:rPr>
                <w:sz w:val="20"/>
                <w:szCs w:val="20"/>
              </w:rPr>
              <w:t xml:space="preserve"> = 0.29. Models where </w:t>
            </w:r>
            <w:r w:rsidRPr="00621C69">
              <w:rPr>
                <w:rFonts w:ascii="Calibri" w:hAnsi="Calibri"/>
                <w:i/>
                <w:sz w:val="20"/>
                <w:szCs w:val="20"/>
              </w:rPr>
              <w:t>Δ</w:t>
            </w:r>
            <w:r w:rsidRPr="00621C69">
              <w:rPr>
                <w:rFonts w:ascii="Calibri" w:hAnsi="Calibri"/>
                <w:i/>
                <w:sz w:val="20"/>
                <w:szCs w:val="20"/>
                <w:vertAlign w:val="subscript"/>
              </w:rPr>
              <w:t xml:space="preserve">AIC </w:t>
            </w:r>
            <w:r w:rsidRPr="00621C69">
              <w:rPr>
                <w:rFonts w:ascii="Calibri" w:hAnsi="Calibri"/>
                <w:sz w:val="20"/>
                <w:szCs w:val="20"/>
              </w:rPr>
              <w:t>&lt; 4 = 72 of 4096</w:t>
            </w:r>
          </w:p>
        </w:tc>
      </w:tr>
      <w:tr w:rsidR="00490E27" w:rsidRPr="00621C69" w:rsidTr="004B55E1">
        <w:tc>
          <w:tcPr>
            <w:tcW w:w="1242" w:type="dxa"/>
          </w:tcPr>
          <w:p w:rsidR="00490E27" w:rsidRPr="00621C69" w:rsidRDefault="00490E27" w:rsidP="004B55E1">
            <w:pPr>
              <w:jc w:val="both"/>
              <w:rPr>
                <w:sz w:val="20"/>
                <w:szCs w:val="20"/>
              </w:rPr>
            </w:pPr>
            <w:r w:rsidRPr="00621C69">
              <w:rPr>
                <w:sz w:val="20"/>
                <w:szCs w:val="20"/>
              </w:rPr>
              <w:t>Importance</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0.71</w:t>
            </w:r>
          </w:p>
        </w:tc>
        <w:tc>
          <w:tcPr>
            <w:tcW w:w="850" w:type="dxa"/>
            <w:gridSpan w:val="2"/>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0.15</w:t>
            </w:r>
          </w:p>
        </w:tc>
        <w:tc>
          <w:tcPr>
            <w:tcW w:w="851" w:type="dxa"/>
            <w:tcBorders>
              <w:left w:val="dotted" w:sz="4" w:space="0" w:color="auto"/>
            </w:tcBorders>
          </w:tcPr>
          <w:p w:rsidR="00490E27" w:rsidRPr="00621C69" w:rsidRDefault="00490E27" w:rsidP="004B55E1">
            <w:pPr>
              <w:jc w:val="center"/>
              <w:rPr>
                <w:b/>
                <w:sz w:val="20"/>
                <w:szCs w:val="20"/>
              </w:rPr>
            </w:pPr>
            <w:r w:rsidRPr="00621C69">
              <w:rPr>
                <w:b/>
                <w:sz w:val="20"/>
                <w:szCs w:val="20"/>
              </w:rPr>
              <w:t>0.83</w:t>
            </w:r>
          </w:p>
        </w:tc>
        <w:tc>
          <w:tcPr>
            <w:tcW w:w="1276" w:type="dxa"/>
            <w:tcBorders>
              <w:right w:val="dotted" w:sz="4" w:space="0" w:color="auto"/>
            </w:tcBorders>
          </w:tcPr>
          <w:p w:rsidR="00490E27" w:rsidRPr="00621C69" w:rsidRDefault="00490E27" w:rsidP="004B55E1">
            <w:pPr>
              <w:jc w:val="center"/>
              <w:rPr>
                <w:sz w:val="20"/>
                <w:szCs w:val="20"/>
              </w:rPr>
            </w:pPr>
            <w:r w:rsidRPr="00621C69">
              <w:rPr>
                <w:sz w:val="20"/>
                <w:szCs w:val="20"/>
              </w:rPr>
              <w:t>0.27</w:t>
            </w:r>
          </w:p>
        </w:tc>
        <w:tc>
          <w:tcPr>
            <w:tcW w:w="850" w:type="dxa"/>
            <w:tcBorders>
              <w:left w:val="dotted" w:sz="4" w:space="0" w:color="auto"/>
            </w:tcBorders>
          </w:tcPr>
          <w:p w:rsidR="00490E27" w:rsidRPr="00621C69" w:rsidRDefault="00490E27" w:rsidP="004B55E1">
            <w:pPr>
              <w:jc w:val="center"/>
              <w:rPr>
                <w:sz w:val="20"/>
                <w:szCs w:val="20"/>
              </w:rPr>
            </w:pPr>
            <w:r w:rsidRPr="00621C69">
              <w:rPr>
                <w:sz w:val="20"/>
                <w:szCs w:val="20"/>
              </w:rPr>
              <w:t>0.18</w:t>
            </w:r>
          </w:p>
        </w:tc>
        <w:tc>
          <w:tcPr>
            <w:tcW w:w="1134" w:type="dxa"/>
            <w:tcBorders>
              <w:right w:val="dotted" w:sz="4" w:space="0" w:color="auto"/>
            </w:tcBorders>
          </w:tcPr>
          <w:p w:rsidR="00490E27" w:rsidRPr="00621C69" w:rsidRDefault="00490E27" w:rsidP="004B55E1">
            <w:pPr>
              <w:jc w:val="center"/>
              <w:rPr>
                <w:sz w:val="20"/>
                <w:szCs w:val="20"/>
              </w:rPr>
            </w:pPr>
            <w:r w:rsidRPr="00621C69">
              <w:rPr>
                <w:sz w:val="20"/>
                <w:szCs w:val="20"/>
              </w:rPr>
              <w:t>0.38</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0.08</w:t>
            </w:r>
          </w:p>
        </w:tc>
        <w:tc>
          <w:tcPr>
            <w:tcW w:w="1559" w:type="dxa"/>
            <w:tcBorders>
              <w:left w:val="dotted" w:sz="4" w:space="0" w:color="auto"/>
            </w:tcBorders>
          </w:tcPr>
          <w:p w:rsidR="00490E27" w:rsidRPr="00621C69" w:rsidRDefault="00490E27" w:rsidP="004B55E1">
            <w:pPr>
              <w:jc w:val="center"/>
              <w:rPr>
                <w:b/>
                <w:sz w:val="20"/>
                <w:szCs w:val="20"/>
              </w:rPr>
            </w:pPr>
            <w:r w:rsidRPr="00621C69">
              <w:rPr>
                <w:b/>
                <w:sz w:val="20"/>
                <w:szCs w:val="20"/>
              </w:rPr>
              <w:t>0.87</w:t>
            </w:r>
          </w:p>
        </w:tc>
        <w:tc>
          <w:tcPr>
            <w:tcW w:w="1276" w:type="dxa"/>
          </w:tcPr>
          <w:p w:rsidR="00490E27" w:rsidRPr="00621C69" w:rsidRDefault="00490E27" w:rsidP="004B55E1">
            <w:pPr>
              <w:jc w:val="center"/>
              <w:rPr>
                <w:sz w:val="20"/>
                <w:szCs w:val="20"/>
              </w:rPr>
            </w:pPr>
            <w:r w:rsidRPr="00621C69">
              <w:rPr>
                <w:sz w:val="20"/>
                <w:szCs w:val="20"/>
              </w:rPr>
              <w:t>0.12</w:t>
            </w:r>
          </w:p>
        </w:tc>
        <w:tc>
          <w:tcPr>
            <w:tcW w:w="1418" w:type="dxa"/>
            <w:tcBorders>
              <w:right w:val="dotted" w:sz="4" w:space="0" w:color="auto"/>
            </w:tcBorders>
          </w:tcPr>
          <w:p w:rsidR="00490E27" w:rsidRPr="00621C69" w:rsidRDefault="00490E27" w:rsidP="004B55E1">
            <w:pPr>
              <w:jc w:val="center"/>
              <w:rPr>
                <w:sz w:val="20"/>
                <w:szCs w:val="20"/>
              </w:rPr>
            </w:pPr>
            <w:r w:rsidRPr="00621C69">
              <w:rPr>
                <w:sz w:val="20"/>
                <w:szCs w:val="20"/>
              </w:rPr>
              <w:t>0.08</w:t>
            </w:r>
          </w:p>
        </w:tc>
        <w:tc>
          <w:tcPr>
            <w:tcW w:w="708" w:type="dxa"/>
            <w:tcBorders>
              <w:left w:val="dotted" w:sz="4" w:space="0" w:color="auto"/>
            </w:tcBorders>
          </w:tcPr>
          <w:p w:rsidR="00490E27" w:rsidRPr="00621C69" w:rsidRDefault="00490E27" w:rsidP="004B55E1">
            <w:pPr>
              <w:jc w:val="center"/>
              <w:rPr>
                <w:sz w:val="20"/>
                <w:szCs w:val="20"/>
              </w:rPr>
            </w:pPr>
            <w:r w:rsidRPr="00621C69">
              <w:rPr>
                <w:sz w:val="20"/>
                <w:szCs w:val="20"/>
              </w:rPr>
              <w:t>0.08</w:t>
            </w:r>
          </w:p>
        </w:tc>
        <w:tc>
          <w:tcPr>
            <w:tcW w:w="993" w:type="dxa"/>
          </w:tcPr>
          <w:p w:rsidR="00490E27" w:rsidRPr="00621C69" w:rsidRDefault="00490E27" w:rsidP="004B55E1">
            <w:pPr>
              <w:jc w:val="center"/>
              <w:rPr>
                <w:b/>
                <w:sz w:val="20"/>
                <w:szCs w:val="20"/>
              </w:rPr>
            </w:pPr>
            <w:r w:rsidRPr="00621C69">
              <w:rPr>
                <w:b/>
                <w:sz w:val="20"/>
                <w:szCs w:val="20"/>
              </w:rPr>
              <w:t>1</w:t>
            </w:r>
          </w:p>
        </w:tc>
      </w:tr>
      <w:tr w:rsidR="00490E27" w:rsidRPr="00621C69" w:rsidTr="004B55E1">
        <w:tc>
          <w:tcPr>
            <w:tcW w:w="1242" w:type="dxa"/>
          </w:tcPr>
          <w:p w:rsidR="00490E27" w:rsidRPr="00621C69" w:rsidRDefault="00490E27" w:rsidP="004B55E1">
            <w:pPr>
              <w:jc w:val="both"/>
              <w:rPr>
                <w:sz w:val="20"/>
                <w:szCs w:val="20"/>
              </w:rPr>
            </w:pPr>
            <w:proofErr w:type="spellStart"/>
            <w:r w:rsidRPr="00621C69">
              <w:rPr>
                <w:sz w:val="20"/>
                <w:szCs w:val="20"/>
              </w:rPr>
              <w:t>Param</w:t>
            </w:r>
            <w:proofErr w:type="spellEnd"/>
            <w:r w:rsidRPr="00621C69">
              <w:rPr>
                <w:sz w:val="20"/>
                <w:szCs w:val="20"/>
              </w:rPr>
              <w:t>.  est.</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0.07</w:t>
            </w:r>
          </w:p>
        </w:tc>
        <w:tc>
          <w:tcPr>
            <w:tcW w:w="850" w:type="dxa"/>
            <w:gridSpan w:val="2"/>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-0.02</w:t>
            </w:r>
          </w:p>
        </w:tc>
        <w:tc>
          <w:tcPr>
            <w:tcW w:w="851" w:type="dxa"/>
            <w:tcBorders>
              <w:left w:val="dotted" w:sz="4" w:space="0" w:color="auto"/>
            </w:tcBorders>
          </w:tcPr>
          <w:p w:rsidR="00490E27" w:rsidRPr="00621C69" w:rsidRDefault="00490E27" w:rsidP="004B55E1">
            <w:pPr>
              <w:jc w:val="center"/>
              <w:rPr>
                <w:b/>
                <w:sz w:val="20"/>
                <w:szCs w:val="20"/>
              </w:rPr>
            </w:pPr>
            <w:r w:rsidRPr="00621C69">
              <w:rPr>
                <w:b/>
                <w:sz w:val="20"/>
                <w:szCs w:val="20"/>
              </w:rPr>
              <w:t>0.09</w:t>
            </w:r>
          </w:p>
        </w:tc>
        <w:tc>
          <w:tcPr>
            <w:tcW w:w="1276" w:type="dxa"/>
            <w:tcBorders>
              <w:right w:val="dotted" w:sz="4" w:space="0" w:color="auto"/>
            </w:tcBorders>
          </w:tcPr>
          <w:p w:rsidR="00490E27" w:rsidRPr="00621C69" w:rsidRDefault="00490E27" w:rsidP="004B55E1">
            <w:pPr>
              <w:jc w:val="center"/>
              <w:rPr>
                <w:sz w:val="20"/>
                <w:szCs w:val="20"/>
              </w:rPr>
            </w:pPr>
            <w:r w:rsidRPr="00621C69">
              <w:rPr>
                <w:sz w:val="20"/>
                <w:szCs w:val="20"/>
              </w:rPr>
              <w:t>-0.01</w:t>
            </w:r>
          </w:p>
        </w:tc>
        <w:tc>
          <w:tcPr>
            <w:tcW w:w="850" w:type="dxa"/>
            <w:tcBorders>
              <w:left w:val="dotted" w:sz="4" w:space="0" w:color="auto"/>
            </w:tcBorders>
          </w:tcPr>
          <w:p w:rsidR="00490E27" w:rsidRPr="00621C69" w:rsidRDefault="00490E27" w:rsidP="004B55E1">
            <w:pPr>
              <w:jc w:val="center"/>
              <w:rPr>
                <w:sz w:val="20"/>
                <w:szCs w:val="20"/>
              </w:rPr>
            </w:pPr>
            <w:r w:rsidRPr="00621C69">
              <w:rPr>
                <w:sz w:val="20"/>
                <w:szCs w:val="20"/>
              </w:rPr>
              <w:t>-0.02</w:t>
            </w:r>
          </w:p>
        </w:tc>
        <w:tc>
          <w:tcPr>
            <w:tcW w:w="1134" w:type="dxa"/>
            <w:tcBorders>
              <w:right w:val="dotted" w:sz="4" w:space="0" w:color="auto"/>
            </w:tcBorders>
          </w:tcPr>
          <w:p w:rsidR="00490E27" w:rsidRPr="00621C69" w:rsidRDefault="00490E27" w:rsidP="004B55E1">
            <w:pPr>
              <w:jc w:val="center"/>
              <w:rPr>
                <w:sz w:val="20"/>
                <w:szCs w:val="20"/>
              </w:rPr>
            </w:pPr>
            <w:r w:rsidRPr="00621C69">
              <w:rPr>
                <w:sz w:val="20"/>
                <w:szCs w:val="20"/>
              </w:rPr>
              <w:t>-0.12</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-0.01</w:t>
            </w:r>
          </w:p>
        </w:tc>
        <w:tc>
          <w:tcPr>
            <w:tcW w:w="1559" w:type="dxa"/>
            <w:tcBorders>
              <w:left w:val="dotted" w:sz="4" w:space="0" w:color="auto"/>
            </w:tcBorders>
          </w:tcPr>
          <w:p w:rsidR="00490E27" w:rsidRPr="00621C69" w:rsidRDefault="00490E27" w:rsidP="004B55E1">
            <w:pPr>
              <w:jc w:val="center"/>
              <w:rPr>
                <w:b/>
                <w:sz w:val="20"/>
                <w:szCs w:val="20"/>
              </w:rPr>
            </w:pPr>
            <w:r w:rsidRPr="00621C69">
              <w:rPr>
                <w:b/>
                <w:sz w:val="20"/>
                <w:szCs w:val="20"/>
              </w:rPr>
              <w:t>1.44;0.53;0.69</w:t>
            </w:r>
          </w:p>
        </w:tc>
        <w:tc>
          <w:tcPr>
            <w:tcW w:w="1276" w:type="dxa"/>
          </w:tcPr>
          <w:p w:rsidR="00490E27" w:rsidRPr="00621C69" w:rsidRDefault="00490E27" w:rsidP="004B55E1">
            <w:pPr>
              <w:jc w:val="center"/>
              <w:rPr>
                <w:sz w:val="20"/>
                <w:szCs w:val="20"/>
              </w:rPr>
            </w:pPr>
            <w:r w:rsidRPr="00621C69">
              <w:rPr>
                <w:sz w:val="20"/>
                <w:szCs w:val="20"/>
              </w:rPr>
              <w:t>-0.09</w:t>
            </w:r>
          </w:p>
        </w:tc>
        <w:tc>
          <w:tcPr>
            <w:tcW w:w="1418" w:type="dxa"/>
            <w:tcBorders>
              <w:right w:val="dotted" w:sz="4" w:space="0" w:color="auto"/>
            </w:tcBorders>
          </w:tcPr>
          <w:p w:rsidR="00490E27" w:rsidRPr="00621C69" w:rsidRDefault="00490E27" w:rsidP="004B55E1">
            <w:pPr>
              <w:jc w:val="center"/>
              <w:rPr>
                <w:sz w:val="20"/>
                <w:szCs w:val="20"/>
              </w:rPr>
            </w:pPr>
            <w:r w:rsidRPr="00621C69">
              <w:rPr>
                <w:sz w:val="20"/>
                <w:szCs w:val="20"/>
              </w:rPr>
              <w:t>0.01</w:t>
            </w:r>
          </w:p>
        </w:tc>
        <w:tc>
          <w:tcPr>
            <w:tcW w:w="708" w:type="dxa"/>
            <w:tcBorders>
              <w:left w:val="dotted" w:sz="4" w:space="0" w:color="auto"/>
            </w:tcBorders>
          </w:tcPr>
          <w:p w:rsidR="00490E27" w:rsidRPr="00621C69" w:rsidRDefault="00490E27" w:rsidP="004B55E1">
            <w:pPr>
              <w:jc w:val="center"/>
              <w:rPr>
                <w:sz w:val="20"/>
                <w:szCs w:val="20"/>
              </w:rPr>
            </w:pPr>
            <w:r w:rsidRPr="00621C69">
              <w:rPr>
                <w:sz w:val="20"/>
                <w:szCs w:val="20"/>
              </w:rPr>
              <w:t>0.1</w:t>
            </w:r>
          </w:p>
        </w:tc>
        <w:tc>
          <w:tcPr>
            <w:tcW w:w="993" w:type="dxa"/>
          </w:tcPr>
          <w:p w:rsidR="00490E27" w:rsidRPr="00621C69" w:rsidRDefault="00490E27" w:rsidP="004B55E1">
            <w:pPr>
              <w:jc w:val="center"/>
              <w:rPr>
                <w:b/>
                <w:sz w:val="20"/>
                <w:szCs w:val="20"/>
              </w:rPr>
            </w:pPr>
            <w:r w:rsidRPr="00621C69">
              <w:rPr>
                <w:b/>
                <w:sz w:val="20"/>
                <w:szCs w:val="20"/>
              </w:rPr>
              <w:t>1.43;0.13</w:t>
            </w:r>
          </w:p>
        </w:tc>
      </w:tr>
      <w:tr w:rsidR="00490E27" w:rsidRPr="00621C69" w:rsidTr="004B55E1">
        <w:tc>
          <w:tcPr>
            <w:tcW w:w="14142" w:type="dxa"/>
            <w:gridSpan w:val="14"/>
          </w:tcPr>
          <w:p w:rsidR="00490E27" w:rsidRPr="00621C69" w:rsidRDefault="00490E27" w:rsidP="004B55E1">
            <w:pPr>
              <w:jc w:val="center"/>
              <w:rPr>
                <w:sz w:val="20"/>
                <w:szCs w:val="20"/>
              </w:rPr>
            </w:pPr>
          </w:p>
        </w:tc>
      </w:tr>
      <w:tr w:rsidR="00490E27" w:rsidRPr="00621C69" w:rsidTr="004B55E1">
        <w:tc>
          <w:tcPr>
            <w:tcW w:w="1242" w:type="dxa"/>
          </w:tcPr>
          <w:p w:rsidR="00490E27" w:rsidRPr="00621C69" w:rsidRDefault="00490E27" w:rsidP="004B55E1">
            <w:pPr>
              <w:jc w:val="center"/>
              <w:rPr>
                <w:b/>
                <w:sz w:val="20"/>
                <w:szCs w:val="20"/>
              </w:rPr>
            </w:pPr>
            <w:r w:rsidRPr="00621C69">
              <w:rPr>
                <w:b/>
                <w:sz w:val="20"/>
                <w:szCs w:val="20"/>
              </w:rPr>
              <w:t>Variable</w:t>
            </w:r>
          </w:p>
        </w:tc>
        <w:tc>
          <w:tcPr>
            <w:tcW w:w="1276" w:type="dxa"/>
            <w:gridSpan w:val="2"/>
            <w:tcBorders>
              <w:right w:val="dotted" w:sz="4" w:space="0" w:color="auto"/>
            </w:tcBorders>
          </w:tcPr>
          <w:p w:rsidR="00490E27" w:rsidRPr="00621C69" w:rsidRDefault="00490E27" w:rsidP="004B55E1">
            <w:pPr>
              <w:jc w:val="center"/>
              <w:rPr>
                <w:b/>
                <w:sz w:val="20"/>
                <w:szCs w:val="20"/>
              </w:rPr>
            </w:pPr>
            <w:r w:rsidRPr="00621C69">
              <w:rPr>
                <w:b/>
                <w:sz w:val="20"/>
                <w:szCs w:val="20"/>
              </w:rPr>
              <w:t>Seed weight</w:t>
            </w:r>
          </w:p>
          <w:p w:rsidR="00490E27" w:rsidRPr="00621C69" w:rsidRDefault="00490E27" w:rsidP="004B55E1">
            <w:pPr>
              <w:jc w:val="center"/>
              <w:rPr>
                <w:b/>
                <w:sz w:val="20"/>
                <w:szCs w:val="20"/>
              </w:rPr>
            </w:pPr>
          </w:p>
        </w:tc>
        <w:tc>
          <w:tcPr>
            <w:tcW w:w="1276" w:type="dxa"/>
            <w:gridSpan w:val="2"/>
            <w:tcBorders>
              <w:left w:val="dotted" w:sz="4" w:space="0" w:color="auto"/>
            </w:tcBorders>
          </w:tcPr>
          <w:p w:rsidR="00490E27" w:rsidRPr="00621C69" w:rsidRDefault="00490E27" w:rsidP="004B55E1">
            <w:pPr>
              <w:jc w:val="center"/>
              <w:rPr>
                <w:b/>
                <w:sz w:val="20"/>
                <w:szCs w:val="20"/>
              </w:rPr>
            </w:pPr>
            <w:r w:rsidRPr="00621C69">
              <w:rPr>
                <w:b/>
                <w:sz w:val="20"/>
                <w:szCs w:val="20"/>
              </w:rPr>
              <w:t>Shelter</w:t>
            </w:r>
          </w:p>
        </w:tc>
        <w:tc>
          <w:tcPr>
            <w:tcW w:w="1276" w:type="dxa"/>
            <w:tcBorders>
              <w:right w:val="dotted" w:sz="4" w:space="0" w:color="auto"/>
            </w:tcBorders>
          </w:tcPr>
          <w:p w:rsidR="00490E27" w:rsidRPr="00621C69" w:rsidRDefault="00490E27" w:rsidP="004B55E1">
            <w:pPr>
              <w:jc w:val="center"/>
              <w:rPr>
                <w:b/>
                <w:sz w:val="20"/>
                <w:szCs w:val="20"/>
              </w:rPr>
            </w:pPr>
            <w:r w:rsidRPr="00621C69">
              <w:rPr>
                <w:b/>
                <w:sz w:val="20"/>
                <w:szCs w:val="20"/>
              </w:rPr>
              <w:t>% Semi-nat. habitat</w:t>
            </w:r>
          </w:p>
        </w:tc>
        <w:tc>
          <w:tcPr>
            <w:tcW w:w="850" w:type="dxa"/>
            <w:tcBorders>
              <w:left w:val="dotted" w:sz="4" w:space="0" w:color="auto"/>
            </w:tcBorders>
          </w:tcPr>
          <w:p w:rsidR="00490E27" w:rsidRPr="00621C69" w:rsidRDefault="00490E27" w:rsidP="004B55E1">
            <w:pPr>
              <w:jc w:val="center"/>
              <w:rPr>
                <w:b/>
                <w:sz w:val="20"/>
                <w:szCs w:val="20"/>
              </w:rPr>
            </w:pPr>
            <w:r w:rsidRPr="00621C69">
              <w:rPr>
                <w:b/>
                <w:sz w:val="20"/>
                <w:szCs w:val="20"/>
              </w:rPr>
              <w:t>Species pool</w:t>
            </w:r>
          </w:p>
        </w:tc>
        <w:tc>
          <w:tcPr>
            <w:tcW w:w="1134" w:type="dxa"/>
            <w:tcBorders>
              <w:right w:val="dotted" w:sz="4" w:space="0" w:color="auto"/>
            </w:tcBorders>
          </w:tcPr>
          <w:p w:rsidR="00490E27" w:rsidRPr="00621C69" w:rsidRDefault="00490E27" w:rsidP="004B55E1">
            <w:pPr>
              <w:jc w:val="center"/>
              <w:rPr>
                <w:b/>
                <w:sz w:val="20"/>
                <w:szCs w:val="20"/>
              </w:rPr>
            </w:pPr>
            <w:r w:rsidRPr="00621C69">
              <w:rPr>
                <w:b/>
                <w:sz w:val="20"/>
                <w:szCs w:val="20"/>
              </w:rPr>
              <w:t>Experience</w:t>
            </w:r>
          </w:p>
        </w:tc>
        <w:tc>
          <w:tcPr>
            <w:tcW w:w="1134" w:type="dxa"/>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Concerns</w:t>
            </w:r>
          </w:p>
        </w:tc>
        <w:tc>
          <w:tcPr>
            <w:tcW w:w="1559" w:type="dxa"/>
            <w:tcBorders>
              <w:left w:val="dotted" w:sz="4" w:space="0" w:color="auto"/>
            </w:tcBorders>
          </w:tcPr>
          <w:p w:rsidR="00490E27" w:rsidRPr="00621C69" w:rsidRDefault="00490E27" w:rsidP="004B55E1">
            <w:pPr>
              <w:jc w:val="center"/>
              <w:rPr>
                <w:b/>
                <w:sz w:val="20"/>
                <w:szCs w:val="20"/>
              </w:rPr>
            </w:pPr>
            <w:r w:rsidRPr="00621C69">
              <w:rPr>
                <w:b/>
                <w:sz w:val="20"/>
                <w:szCs w:val="20"/>
              </w:rPr>
              <w:t>Motivation*</w:t>
            </w:r>
          </w:p>
          <w:p w:rsidR="00490E27" w:rsidRPr="00621C69" w:rsidRDefault="00490E27" w:rsidP="004B55E1">
            <w:pPr>
              <w:jc w:val="center"/>
              <w:rPr>
                <w:b/>
                <w:sz w:val="20"/>
                <w:szCs w:val="20"/>
              </w:rPr>
            </w:pPr>
            <w:r w:rsidRPr="00621C69">
              <w:rPr>
                <w:b/>
                <w:sz w:val="20"/>
                <w:szCs w:val="20"/>
              </w:rPr>
              <w:t>1;2;3</w:t>
            </w:r>
          </w:p>
        </w:tc>
        <w:tc>
          <w:tcPr>
            <w:tcW w:w="1276" w:type="dxa"/>
          </w:tcPr>
          <w:p w:rsidR="00490E27" w:rsidRPr="00621C69" w:rsidRDefault="00490E27" w:rsidP="004B55E1">
            <w:pPr>
              <w:jc w:val="center"/>
              <w:rPr>
                <w:b/>
                <w:sz w:val="20"/>
                <w:szCs w:val="20"/>
              </w:rPr>
            </w:pPr>
            <w:r w:rsidRPr="00621C69">
              <w:rPr>
                <w:b/>
                <w:sz w:val="20"/>
                <w:szCs w:val="20"/>
              </w:rPr>
              <w:t>Winter min. temperature</w:t>
            </w:r>
          </w:p>
        </w:tc>
        <w:tc>
          <w:tcPr>
            <w:tcW w:w="2126" w:type="dxa"/>
            <w:gridSpan w:val="2"/>
          </w:tcPr>
          <w:p w:rsidR="00490E27" w:rsidRPr="00621C69" w:rsidRDefault="00490E27" w:rsidP="004B55E1">
            <w:pPr>
              <w:jc w:val="center"/>
              <w:rPr>
                <w:b/>
                <w:sz w:val="20"/>
                <w:szCs w:val="20"/>
              </w:rPr>
            </w:pPr>
            <w:r w:rsidRPr="00621C69">
              <w:rPr>
                <w:b/>
                <w:sz w:val="20"/>
                <w:szCs w:val="20"/>
              </w:rPr>
              <w:t>N/A</w:t>
            </w:r>
          </w:p>
        </w:tc>
        <w:tc>
          <w:tcPr>
            <w:tcW w:w="993" w:type="dxa"/>
          </w:tcPr>
          <w:p w:rsidR="00490E27" w:rsidRPr="00621C69" w:rsidRDefault="00490E27" w:rsidP="004B55E1">
            <w:pPr>
              <w:jc w:val="center"/>
              <w:rPr>
                <w:b/>
                <w:sz w:val="20"/>
                <w:szCs w:val="20"/>
              </w:rPr>
            </w:pPr>
            <w:r w:rsidRPr="00621C69">
              <w:rPr>
                <w:b/>
                <w:sz w:val="20"/>
                <w:szCs w:val="20"/>
              </w:rPr>
              <w:t>Region*</w:t>
            </w:r>
          </w:p>
          <w:p w:rsidR="00490E27" w:rsidRPr="00621C69" w:rsidRDefault="00490E27" w:rsidP="004B55E1">
            <w:pPr>
              <w:jc w:val="center"/>
              <w:rPr>
                <w:b/>
                <w:sz w:val="20"/>
                <w:szCs w:val="20"/>
              </w:rPr>
            </w:pPr>
            <w:r w:rsidRPr="00621C69">
              <w:rPr>
                <w:b/>
                <w:sz w:val="20"/>
                <w:szCs w:val="20"/>
              </w:rPr>
              <w:t>E;SW</w:t>
            </w:r>
          </w:p>
        </w:tc>
      </w:tr>
      <w:tr w:rsidR="00490E27" w:rsidRPr="00621C69" w:rsidTr="004B55E1">
        <w:tc>
          <w:tcPr>
            <w:tcW w:w="14142" w:type="dxa"/>
            <w:gridSpan w:val="14"/>
          </w:tcPr>
          <w:p w:rsidR="00490E27" w:rsidRPr="00621C69" w:rsidRDefault="00490E27" w:rsidP="004B55E1">
            <w:pPr>
              <w:ind w:firstLine="284"/>
              <w:jc w:val="both"/>
              <w:rPr>
                <w:sz w:val="20"/>
                <w:szCs w:val="20"/>
              </w:rPr>
            </w:pPr>
            <w:r w:rsidRPr="00621C69">
              <w:rPr>
                <w:sz w:val="20"/>
                <w:szCs w:val="20"/>
              </w:rPr>
              <w:t>Response = Granivorous bird numbers. Marginal R</w:t>
            </w:r>
            <w:r w:rsidRPr="00621C69">
              <w:rPr>
                <w:sz w:val="20"/>
                <w:szCs w:val="20"/>
                <w:vertAlign w:val="superscript"/>
              </w:rPr>
              <w:t>2</w:t>
            </w:r>
            <w:r w:rsidRPr="00621C69">
              <w:rPr>
                <w:sz w:val="20"/>
                <w:szCs w:val="20"/>
              </w:rPr>
              <w:t xml:space="preserve"> = 0.36. Models where </w:t>
            </w:r>
            <w:r w:rsidRPr="00621C69">
              <w:rPr>
                <w:rFonts w:ascii="Calibri" w:hAnsi="Calibri"/>
                <w:i/>
                <w:sz w:val="20"/>
                <w:szCs w:val="20"/>
              </w:rPr>
              <w:t>Δ</w:t>
            </w:r>
            <w:r w:rsidRPr="00621C69">
              <w:rPr>
                <w:rFonts w:ascii="Calibri" w:hAnsi="Calibri"/>
                <w:i/>
                <w:sz w:val="20"/>
                <w:szCs w:val="20"/>
                <w:vertAlign w:val="subscript"/>
              </w:rPr>
              <w:t xml:space="preserve">AIC </w:t>
            </w:r>
            <w:r w:rsidRPr="00621C69">
              <w:rPr>
                <w:rFonts w:ascii="Calibri" w:hAnsi="Calibri"/>
                <w:sz w:val="20"/>
                <w:szCs w:val="20"/>
              </w:rPr>
              <w:t>&lt; 4 = 19 of 512</w:t>
            </w:r>
          </w:p>
        </w:tc>
      </w:tr>
      <w:tr w:rsidR="00490E27" w:rsidRPr="00621C69" w:rsidTr="004B55E1">
        <w:tc>
          <w:tcPr>
            <w:tcW w:w="1242" w:type="dxa"/>
          </w:tcPr>
          <w:p w:rsidR="00490E27" w:rsidRPr="00621C69" w:rsidRDefault="00490E27" w:rsidP="004B55E1">
            <w:pPr>
              <w:jc w:val="both"/>
              <w:rPr>
                <w:sz w:val="20"/>
                <w:szCs w:val="20"/>
              </w:rPr>
            </w:pPr>
            <w:r w:rsidRPr="00621C69">
              <w:rPr>
                <w:sz w:val="20"/>
                <w:szCs w:val="20"/>
              </w:rPr>
              <w:t>Importance</w:t>
            </w:r>
          </w:p>
        </w:tc>
        <w:tc>
          <w:tcPr>
            <w:tcW w:w="1276" w:type="dxa"/>
            <w:gridSpan w:val="2"/>
            <w:tcBorders>
              <w:right w:val="dotted" w:sz="4" w:space="0" w:color="auto"/>
            </w:tcBorders>
          </w:tcPr>
          <w:p w:rsidR="00490E27" w:rsidRPr="00621C69" w:rsidRDefault="00490E27" w:rsidP="004B55E1">
            <w:pPr>
              <w:jc w:val="center"/>
              <w:rPr>
                <w:b/>
                <w:sz w:val="20"/>
                <w:szCs w:val="20"/>
              </w:rPr>
            </w:pPr>
            <w:r w:rsidRPr="00621C69">
              <w:rPr>
                <w:b/>
                <w:sz w:val="20"/>
                <w:szCs w:val="20"/>
              </w:rPr>
              <w:t>1</w:t>
            </w:r>
          </w:p>
        </w:tc>
        <w:tc>
          <w:tcPr>
            <w:tcW w:w="1276" w:type="dxa"/>
            <w:gridSpan w:val="2"/>
            <w:tcBorders>
              <w:left w:val="dotted" w:sz="4" w:space="0" w:color="auto"/>
            </w:tcBorders>
          </w:tcPr>
          <w:p w:rsidR="00490E27" w:rsidRPr="00621C69" w:rsidRDefault="00490E27" w:rsidP="004B55E1">
            <w:pPr>
              <w:jc w:val="center"/>
              <w:rPr>
                <w:b/>
                <w:sz w:val="20"/>
                <w:szCs w:val="20"/>
              </w:rPr>
            </w:pPr>
            <w:r w:rsidRPr="00621C69">
              <w:rPr>
                <w:b/>
                <w:sz w:val="20"/>
                <w:szCs w:val="20"/>
              </w:rPr>
              <w:t>1</w:t>
            </w:r>
          </w:p>
        </w:tc>
        <w:tc>
          <w:tcPr>
            <w:tcW w:w="1276" w:type="dxa"/>
            <w:tcBorders>
              <w:right w:val="dotted" w:sz="4" w:space="0" w:color="auto"/>
            </w:tcBorders>
          </w:tcPr>
          <w:p w:rsidR="00490E27" w:rsidRPr="00621C69" w:rsidRDefault="00490E27" w:rsidP="004B55E1">
            <w:pPr>
              <w:jc w:val="center"/>
              <w:rPr>
                <w:sz w:val="20"/>
                <w:szCs w:val="20"/>
              </w:rPr>
            </w:pPr>
            <w:r w:rsidRPr="00621C69">
              <w:rPr>
                <w:sz w:val="20"/>
                <w:szCs w:val="20"/>
              </w:rPr>
              <w:t>0.17</w:t>
            </w:r>
          </w:p>
        </w:tc>
        <w:tc>
          <w:tcPr>
            <w:tcW w:w="850" w:type="dxa"/>
            <w:tcBorders>
              <w:left w:val="dotted" w:sz="4" w:space="0" w:color="auto"/>
            </w:tcBorders>
          </w:tcPr>
          <w:p w:rsidR="00490E27" w:rsidRPr="00621C69" w:rsidRDefault="00490E27" w:rsidP="004B55E1">
            <w:pPr>
              <w:jc w:val="center"/>
              <w:rPr>
                <w:b/>
                <w:sz w:val="20"/>
                <w:szCs w:val="20"/>
              </w:rPr>
            </w:pPr>
            <w:r w:rsidRPr="00621C69">
              <w:rPr>
                <w:b/>
                <w:sz w:val="20"/>
                <w:szCs w:val="20"/>
              </w:rPr>
              <w:t>0.45</w:t>
            </w:r>
          </w:p>
        </w:tc>
        <w:tc>
          <w:tcPr>
            <w:tcW w:w="1134" w:type="dxa"/>
            <w:tcBorders>
              <w:right w:val="dotted" w:sz="4" w:space="0" w:color="auto"/>
            </w:tcBorders>
          </w:tcPr>
          <w:p w:rsidR="00490E27" w:rsidRPr="00621C69" w:rsidRDefault="00490E27" w:rsidP="004B55E1">
            <w:pPr>
              <w:jc w:val="center"/>
              <w:rPr>
                <w:sz w:val="20"/>
                <w:szCs w:val="20"/>
              </w:rPr>
            </w:pPr>
            <w:r w:rsidRPr="00621C69">
              <w:rPr>
                <w:sz w:val="20"/>
                <w:szCs w:val="20"/>
              </w:rPr>
              <w:t>0.17</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0.38</w:t>
            </w:r>
          </w:p>
        </w:tc>
        <w:tc>
          <w:tcPr>
            <w:tcW w:w="1559" w:type="dxa"/>
            <w:tcBorders>
              <w:left w:val="dotted" w:sz="4" w:space="0" w:color="auto"/>
            </w:tcBorders>
          </w:tcPr>
          <w:p w:rsidR="00490E27" w:rsidRPr="00621C69" w:rsidRDefault="00490E27" w:rsidP="004B55E1">
            <w:pPr>
              <w:jc w:val="center"/>
              <w:rPr>
                <w:sz w:val="20"/>
                <w:szCs w:val="20"/>
              </w:rPr>
            </w:pPr>
            <w:r w:rsidRPr="00621C69">
              <w:rPr>
                <w:sz w:val="20"/>
                <w:szCs w:val="20"/>
              </w:rPr>
              <w:t>0.05</w:t>
            </w:r>
          </w:p>
        </w:tc>
        <w:tc>
          <w:tcPr>
            <w:tcW w:w="1276" w:type="dxa"/>
          </w:tcPr>
          <w:p w:rsidR="00490E27" w:rsidRPr="00621C69" w:rsidRDefault="00490E27" w:rsidP="004B55E1">
            <w:pPr>
              <w:jc w:val="center"/>
              <w:rPr>
                <w:b/>
                <w:sz w:val="20"/>
                <w:szCs w:val="20"/>
              </w:rPr>
            </w:pPr>
            <w:r w:rsidRPr="00621C69">
              <w:rPr>
                <w:b/>
                <w:sz w:val="20"/>
                <w:szCs w:val="20"/>
              </w:rPr>
              <w:t>1</w:t>
            </w:r>
          </w:p>
        </w:tc>
        <w:tc>
          <w:tcPr>
            <w:tcW w:w="2126" w:type="dxa"/>
            <w:gridSpan w:val="2"/>
          </w:tcPr>
          <w:p w:rsidR="00490E27" w:rsidRPr="00621C69" w:rsidRDefault="00490E27" w:rsidP="004B55E1">
            <w:pPr>
              <w:jc w:val="center"/>
              <w:rPr>
                <w:b/>
                <w:sz w:val="20"/>
                <w:szCs w:val="20"/>
              </w:rPr>
            </w:pPr>
          </w:p>
        </w:tc>
        <w:tc>
          <w:tcPr>
            <w:tcW w:w="993" w:type="dxa"/>
          </w:tcPr>
          <w:p w:rsidR="00490E27" w:rsidRPr="00621C69" w:rsidRDefault="00490E27" w:rsidP="004B55E1">
            <w:pPr>
              <w:jc w:val="center"/>
              <w:rPr>
                <w:sz w:val="20"/>
                <w:szCs w:val="20"/>
              </w:rPr>
            </w:pPr>
            <w:r w:rsidRPr="00621C69">
              <w:rPr>
                <w:sz w:val="20"/>
                <w:szCs w:val="20"/>
              </w:rPr>
              <w:t>0.18</w:t>
            </w:r>
          </w:p>
        </w:tc>
      </w:tr>
      <w:tr w:rsidR="00490E27" w:rsidRPr="00621C69" w:rsidTr="004B55E1">
        <w:tc>
          <w:tcPr>
            <w:tcW w:w="1242" w:type="dxa"/>
          </w:tcPr>
          <w:p w:rsidR="00490E27" w:rsidRPr="00621C69" w:rsidRDefault="00490E27" w:rsidP="004B55E1">
            <w:pPr>
              <w:jc w:val="both"/>
              <w:rPr>
                <w:sz w:val="20"/>
                <w:szCs w:val="20"/>
              </w:rPr>
            </w:pPr>
            <w:proofErr w:type="spellStart"/>
            <w:r w:rsidRPr="00621C69">
              <w:rPr>
                <w:sz w:val="20"/>
                <w:szCs w:val="20"/>
              </w:rPr>
              <w:t>Param</w:t>
            </w:r>
            <w:proofErr w:type="spellEnd"/>
            <w:r w:rsidRPr="00621C69">
              <w:rPr>
                <w:sz w:val="20"/>
                <w:szCs w:val="20"/>
              </w:rPr>
              <w:t>.  est.</w:t>
            </w:r>
          </w:p>
        </w:tc>
        <w:tc>
          <w:tcPr>
            <w:tcW w:w="1276" w:type="dxa"/>
            <w:gridSpan w:val="2"/>
            <w:tcBorders>
              <w:right w:val="dotted" w:sz="4" w:space="0" w:color="auto"/>
            </w:tcBorders>
          </w:tcPr>
          <w:p w:rsidR="00490E27" w:rsidRPr="00621C69" w:rsidRDefault="00490E27" w:rsidP="004B55E1">
            <w:pPr>
              <w:jc w:val="center"/>
              <w:rPr>
                <w:b/>
                <w:sz w:val="20"/>
                <w:szCs w:val="20"/>
              </w:rPr>
            </w:pPr>
            <w:r w:rsidRPr="00621C69">
              <w:rPr>
                <w:b/>
                <w:sz w:val="20"/>
                <w:szCs w:val="20"/>
              </w:rPr>
              <w:t>0.16</w:t>
            </w:r>
          </w:p>
        </w:tc>
        <w:tc>
          <w:tcPr>
            <w:tcW w:w="1276" w:type="dxa"/>
            <w:gridSpan w:val="2"/>
            <w:tcBorders>
              <w:left w:val="dotted" w:sz="4" w:space="0" w:color="auto"/>
            </w:tcBorders>
          </w:tcPr>
          <w:p w:rsidR="00490E27" w:rsidRPr="00621C69" w:rsidRDefault="00490E27" w:rsidP="004B55E1">
            <w:pPr>
              <w:jc w:val="center"/>
              <w:rPr>
                <w:b/>
                <w:sz w:val="20"/>
                <w:szCs w:val="20"/>
              </w:rPr>
            </w:pPr>
            <w:r w:rsidRPr="00621C69">
              <w:rPr>
                <w:b/>
                <w:sz w:val="20"/>
                <w:szCs w:val="20"/>
              </w:rPr>
              <w:t>0.27</w:t>
            </w:r>
          </w:p>
        </w:tc>
        <w:tc>
          <w:tcPr>
            <w:tcW w:w="1276" w:type="dxa"/>
            <w:tcBorders>
              <w:right w:val="dotted" w:sz="4" w:space="0" w:color="auto"/>
            </w:tcBorders>
          </w:tcPr>
          <w:p w:rsidR="00490E27" w:rsidRPr="00621C69" w:rsidRDefault="00490E27" w:rsidP="004B55E1">
            <w:pPr>
              <w:jc w:val="center"/>
              <w:rPr>
                <w:sz w:val="20"/>
                <w:szCs w:val="20"/>
              </w:rPr>
            </w:pPr>
            <w:r w:rsidRPr="00621C69">
              <w:rPr>
                <w:sz w:val="20"/>
                <w:szCs w:val="20"/>
              </w:rPr>
              <w:t>0.01</w:t>
            </w:r>
          </w:p>
        </w:tc>
        <w:tc>
          <w:tcPr>
            <w:tcW w:w="850" w:type="dxa"/>
            <w:tcBorders>
              <w:left w:val="dotted" w:sz="4" w:space="0" w:color="auto"/>
            </w:tcBorders>
          </w:tcPr>
          <w:p w:rsidR="00490E27" w:rsidRPr="00621C69" w:rsidRDefault="00490E27" w:rsidP="004B55E1">
            <w:pPr>
              <w:jc w:val="center"/>
              <w:rPr>
                <w:b/>
                <w:sz w:val="20"/>
                <w:szCs w:val="20"/>
              </w:rPr>
            </w:pPr>
            <w:r w:rsidRPr="00621C69">
              <w:rPr>
                <w:b/>
                <w:sz w:val="20"/>
                <w:szCs w:val="20"/>
              </w:rPr>
              <w:t>-0.14</w:t>
            </w:r>
          </w:p>
        </w:tc>
        <w:tc>
          <w:tcPr>
            <w:tcW w:w="1134" w:type="dxa"/>
            <w:tcBorders>
              <w:right w:val="dotted" w:sz="4" w:space="0" w:color="auto"/>
            </w:tcBorders>
          </w:tcPr>
          <w:p w:rsidR="00490E27" w:rsidRPr="00621C69" w:rsidRDefault="00490E27" w:rsidP="004B55E1">
            <w:pPr>
              <w:jc w:val="center"/>
              <w:rPr>
                <w:sz w:val="20"/>
                <w:szCs w:val="20"/>
              </w:rPr>
            </w:pPr>
            <w:r w:rsidRPr="00621C69">
              <w:rPr>
                <w:sz w:val="20"/>
                <w:szCs w:val="20"/>
              </w:rPr>
              <w:t>-0.09</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-0.23</w:t>
            </w:r>
          </w:p>
        </w:tc>
        <w:tc>
          <w:tcPr>
            <w:tcW w:w="1559" w:type="dxa"/>
            <w:tcBorders>
              <w:left w:val="dotted" w:sz="4" w:space="0" w:color="auto"/>
            </w:tcBorders>
          </w:tcPr>
          <w:p w:rsidR="00490E27" w:rsidRPr="00621C69" w:rsidRDefault="00490E27" w:rsidP="004B55E1">
            <w:pPr>
              <w:jc w:val="center"/>
              <w:rPr>
                <w:sz w:val="20"/>
                <w:szCs w:val="20"/>
              </w:rPr>
            </w:pPr>
            <w:r w:rsidRPr="00621C69">
              <w:rPr>
                <w:sz w:val="20"/>
                <w:szCs w:val="20"/>
              </w:rPr>
              <w:t>8.8;12.5;14.5</w:t>
            </w:r>
          </w:p>
        </w:tc>
        <w:tc>
          <w:tcPr>
            <w:tcW w:w="1276" w:type="dxa"/>
          </w:tcPr>
          <w:p w:rsidR="00490E27" w:rsidRPr="00621C69" w:rsidRDefault="00490E27" w:rsidP="004B55E1">
            <w:pPr>
              <w:jc w:val="center"/>
              <w:rPr>
                <w:b/>
                <w:sz w:val="20"/>
                <w:szCs w:val="20"/>
              </w:rPr>
            </w:pPr>
            <w:r w:rsidRPr="00621C69">
              <w:rPr>
                <w:b/>
                <w:sz w:val="20"/>
                <w:szCs w:val="20"/>
              </w:rPr>
              <w:t>0.46</w:t>
            </w:r>
          </w:p>
        </w:tc>
        <w:tc>
          <w:tcPr>
            <w:tcW w:w="2126" w:type="dxa"/>
            <w:gridSpan w:val="2"/>
          </w:tcPr>
          <w:p w:rsidR="00490E27" w:rsidRPr="00621C69" w:rsidRDefault="00490E27" w:rsidP="004B55E1">
            <w:pPr>
              <w:jc w:val="center"/>
              <w:rPr>
                <w:b/>
                <w:sz w:val="20"/>
                <w:szCs w:val="20"/>
              </w:rPr>
            </w:pPr>
          </w:p>
        </w:tc>
        <w:tc>
          <w:tcPr>
            <w:tcW w:w="993" w:type="dxa"/>
          </w:tcPr>
          <w:p w:rsidR="00490E27" w:rsidRPr="00621C69" w:rsidRDefault="00490E27" w:rsidP="004B55E1">
            <w:pPr>
              <w:jc w:val="center"/>
              <w:rPr>
                <w:sz w:val="20"/>
                <w:szCs w:val="20"/>
              </w:rPr>
            </w:pPr>
            <w:r w:rsidRPr="00621C69">
              <w:rPr>
                <w:sz w:val="20"/>
                <w:szCs w:val="20"/>
              </w:rPr>
              <w:t>8.8;7.5</w:t>
            </w:r>
          </w:p>
        </w:tc>
      </w:tr>
      <w:tr w:rsidR="00490E27" w:rsidRPr="00621C69" w:rsidTr="004B55E1">
        <w:tc>
          <w:tcPr>
            <w:tcW w:w="14142" w:type="dxa"/>
            <w:gridSpan w:val="14"/>
          </w:tcPr>
          <w:p w:rsidR="00490E27" w:rsidRPr="00621C69" w:rsidRDefault="00490E27" w:rsidP="004B55E1">
            <w:pPr>
              <w:ind w:firstLine="284"/>
              <w:jc w:val="both"/>
              <w:rPr>
                <w:sz w:val="20"/>
                <w:szCs w:val="20"/>
              </w:rPr>
            </w:pPr>
            <w:r w:rsidRPr="00621C69">
              <w:rPr>
                <w:sz w:val="20"/>
                <w:szCs w:val="20"/>
              </w:rPr>
              <w:t>Response = Granivorous bird species richness. Marginal R</w:t>
            </w:r>
            <w:r w:rsidRPr="00621C69">
              <w:rPr>
                <w:sz w:val="20"/>
                <w:szCs w:val="20"/>
                <w:vertAlign w:val="superscript"/>
              </w:rPr>
              <w:t>2</w:t>
            </w:r>
            <w:r w:rsidRPr="00621C69">
              <w:rPr>
                <w:sz w:val="20"/>
                <w:szCs w:val="20"/>
              </w:rPr>
              <w:t xml:space="preserve"> = 0.36. Models where </w:t>
            </w:r>
            <w:r w:rsidRPr="00621C69">
              <w:rPr>
                <w:rFonts w:ascii="Calibri" w:hAnsi="Calibri"/>
                <w:i/>
                <w:sz w:val="20"/>
                <w:szCs w:val="20"/>
              </w:rPr>
              <w:t>Δ</w:t>
            </w:r>
            <w:r w:rsidRPr="00621C69">
              <w:rPr>
                <w:rFonts w:ascii="Calibri" w:hAnsi="Calibri"/>
                <w:i/>
                <w:sz w:val="20"/>
                <w:szCs w:val="20"/>
                <w:vertAlign w:val="subscript"/>
              </w:rPr>
              <w:t xml:space="preserve">AIC </w:t>
            </w:r>
            <w:r w:rsidRPr="00621C69">
              <w:rPr>
                <w:rFonts w:ascii="Calibri" w:hAnsi="Calibri"/>
                <w:sz w:val="20"/>
                <w:szCs w:val="20"/>
              </w:rPr>
              <w:t>&lt; 4 = 41 of 512</w:t>
            </w:r>
          </w:p>
        </w:tc>
      </w:tr>
      <w:tr w:rsidR="00490E27" w:rsidRPr="00621C69" w:rsidTr="004B55E1">
        <w:tc>
          <w:tcPr>
            <w:tcW w:w="1242" w:type="dxa"/>
          </w:tcPr>
          <w:p w:rsidR="00490E27" w:rsidRPr="00621C69" w:rsidRDefault="00490E27" w:rsidP="004B55E1">
            <w:pPr>
              <w:jc w:val="both"/>
              <w:rPr>
                <w:sz w:val="20"/>
                <w:szCs w:val="20"/>
              </w:rPr>
            </w:pPr>
            <w:r w:rsidRPr="00621C69">
              <w:rPr>
                <w:sz w:val="20"/>
                <w:szCs w:val="20"/>
              </w:rPr>
              <w:t>Importance</w:t>
            </w:r>
          </w:p>
        </w:tc>
        <w:tc>
          <w:tcPr>
            <w:tcW w:w="1276" w:type="dxa"/>
            <w:gridSpan w:val="2"/>
            <w:tcBorders>
              <w:right w:val="dotted" w:sz="4" w:space="0" w:color="auto"/>
            </w:tcBorders>
          </w:tcPr>
          <w:p w:rsidR="00490E27" w:rsidRPr="00621C69" w:rsidRDefault="00490E27" w:rsidP="004B55E1">
            <w:pPr>
              <w:jc w:val="center"/>
              <w:rPr>
                <w:b/>
                <w:sz w:val="20"/>
                <w:szCs w:val="20"/>
              </w:rPr>
            </w:pPr>
            <w:r w:rsidRPr="00621C69">
              <w:rPr>
                <w:b/>
                <w:sz w:val="20"/>
                <w:szCs w:val="20"/>
              </w:rPr>
              <w:t>1</w:t>
            </w:r>
          </w:p>
        </w:tc>
        <w:tc>
          <w:tcPr>
            <w:tcW w:w="1276" w:type="dxa"/>
            <w:gridSpan w:val="2"/>
            <w:tcBorders>
              <w:left w:val="dotted" w:sz="4" w:space="0" w:color="auto"/>
            </w:tcBorders>
          </w:tcPr>
          <w:p w:rsidR="00490E27" w:rsidRPr="00621C69" w:rsidRDefault="00490E27" w:rsidP="004B55E1">
            <w:pPr>
              <w:jc w:val="center"/>
              <w:rPr>
                <w:sz w:val="20"/>
                <w:szCs w:val="20"/>
              </w:rPr>
            </w:pPr>
            <w:r w:rsidRPr="00621C69">
              <w:rPr>
                <w:sz w:val="20"/>
                <w:szCs w:val="20"/>
              </w:rPr>
              <w:t>0.38</w:t>
            </w:r>
          </w:p>
        </w:tc>
        <w:tc>
          <w:tcPr>
            <w:tcW w:w="1276" w:type="dxa"/>
            <w:tcBorders>
              <w:right w:val="dotted" w:sz="4" w:space="0" w:color="auto"/>
            </w:tcBorders>
          </w:tcPr>
          <w:p w:rsidR="00490E27" w:rsidRPr="00621C69" w:rsidRDefault="00490E27" w:rsidP="004B55E1">
            <w:pPr>
              <w:jc w:val="center"/>
              <w:rPr>
                <w:b/>
                <w:sz w:val="20"/>
                <w:szCs w:val="20"/>
              </w:rPr>
            </w:pPr>
            <w:r w:rsidRPr="00621C69">
              <w:rPr>
                <w:b/>
                <w:sz w:val="20"/>
                <w:szCs w:val="20"/>
              </w:rPr>
              <w:t>0.69</w:t>
            </w:r>
          </w:p>
        </w:tc>
        <w:tc>
          <w:tcPr>
            <w:tcW w:w="850" w:type="dxa"/>
            <w:tcBorders>
              <w:left w:val="dotted" w:sz="4" w:space="0" w:color="auto"/>
            </w:tcBorders>
          </w:tcPr>
          <w:p w:rsidR="00490E27" w:rsidRPr="00621C69" w:rsidRDefault="00490E27" w:rsidP="004B55E1">
            <w:pPr>
              <w:jc w:val="center"/>
              <w:rPr>
                <w:b/>
                <w:sz w:val="20"/>
                <w:szCs w:val="20"/>
              </w:rPr>
            </w:pPr>
            <w:r w:rsidRPr="00621C69">
              <w:rPr>
                <w:b/>
                <w:sz w:val="20"/>
                <w:szCs w:val="20"/>
              </w:rPr>
              <w:t>0.57</w:t>
            </w:r>
          </w:p>
        </w:tc>
        <w:tc>
          <w:tcPr>
            <w:tcW w:w="1134" w:type="dxa"/>
            <w:tcBorders>
              <w:right w:val="dotted" w:sz="4" w:space="0" w:color="auto"/>
            </w:tcBorders>
          </w:tcPr>
          <w:p w:rsidR="00490E27" w:rsidRPr="00621C69" w:rsidRDefault="00490E27" w:rsidP="004B55E1">
            <w:pPr>
              <w:jc w:val="center"/>
              <w:rPr>
                <w:sz w:val="20"/>
                <w:szCs w:val="20"/>
              </w:rPr>
            </w:pPr>
            <w:r w:rsidRPr="00621C69">
              <w:rPr>
                <w:sz w:val="20"/>
                <w:szCs w:val="20"/>
              </w:rPr>
              <w:t>0.37</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0.14</w:t>
            </w:r>
          </w:p>
        </w:tc>
        <w:tc>
          <w:tcPr>
            <w:tcW w:w="1559" w:type="dxa"/>
            <w:tcBorders>
              <w:left w:val="dotted" w:sz="4" w:space="0" w:color="auto"/>
            </w:tcBorders>
          </w:tcPr>
          <w:p w:rsidR="00490E27" w:rsidRPr="00621C69" w:rsidRDefault="00490E27" w:rsidP="004B55E1">
            <w:pPr>
              <w:jc w:val="center"/>
              <w:rPr>
                <w:sz w:val="20"/>
                <w:szCs w:val="20"/>
              </w:rPr>
            </w:pPr>
            <w:r w:rsidRPr="00621C69">
              <w:rPr>
                <w:sz w:val="20"/>
                <w:szCs w:val="20"/>
              </w:rPr>
              <w:t>0.12</w:t>
            </w:r>
          </w:p>
        </w:tc>
        <w:tc>
          <w:tcPr>
            <w:tcW w:w="1276" w:type="dxa"/>
          </w:tcPr>
          <w:p w:rsidR="00490E27" w:rsidRPr="00621C69" w:rsidRDefault="00490E27" w:rsidP="004B55E1">
            <w:pPr>
              <w:jc w:val="center"/>
              <w:rPr>
                <w:b/>
                <w:sz w:val="20"/>
                <w:szCs w:val="20"/>
              </w:rPr>
            </w:pPr>
            <w:r w:rsidRPr="00621C69">
              <w:rPr>
                <w:b/>
                <w:sz w:val="20"/>
                <w:szCs w:val="20"/>
              </w:rPr>
              <w:t>1</w:t>
            </w:r>
          </w:p>
        </w:tc>
        <w:tc>
          <w:tcPr>
            <w:tcW w:w="2126" w:type="dxa"/>
            <w:gridSpan w:val="2"/>
          </w:tcPr>
          <w:p w:rsidR="00490E27" w:rsidRPr="00621C69" w:rsidRDefault="00490E27" w:rsidP="004B55E1">
            <w:pPr>
              <w:jc w:val="center"/>
              <w:rPr>
                <w:sz w:val="20"/>
                <w:szCs w:val="20"/>
              </w:rPr>
            </w:pPr>
          </w:p>
        </w:tc>
        <w:tc>
          <w:tcPr>
            <w:tcW w:w="993" w:type="dxa"/>
          </w:tcPr>
          <w:p w:rsidR="00490E27" w:rsidRPr="00621C69" w:rsidRDefault="00490E27" w:rsidP="004B55E1">
            <w:pPr>
              <w:jc w:val="center"/>
              <w:rPr>
                <w:sz w:val="20"/>
                <w:szCs w:val="20"/>
              </w:rPr>
            </w:pPr>
            <w:r w:rsidRPr="00621C69">
              <w:rPr>
                <w:sz w:val="20"/>
                <w:szCs w:val="20"/>
              </w:rPr>
              <w:t>0.29</w:t>
            </w:r>
          </w:p>
        </w:tc>
      </w:tr>
      <w:tr w:rsidR="00490E27" w:rsidRPr="00621C69" w:rsidTr="004B55E1">
        <w:tc>
          <w:tcPr>
            <w:tcW w:w="1242" w:type="dxa"/>
          </w:tcPr>
          <w:p w:rsidR="00490E27" w:rsidRPr="00621C69" w:rsidRDefault="00490E27" w:rsidP="004B55E1">
            <w:pPr>
              <w:jc w:val="both"/>
              <w:rPr>
                <w:sz w:val="20"/>
                <w:szCs w:val="20"/>
              </w:rPr>
            </w:pPr>
            <w:proofErr w:type="spellStart"/>
            <w:r w:rsidRPr="00621C69">
              <w:rPr>
                <w:sz w:val="20"/>
                <w:szCs w:val="20"/>
              </w:rPr>
              <w:t>Param</w:t>
            </w:r>
            <w:proofErr w:type="spellEnd"/>
            <w:r w:rsidRPr="00621C69">
              <w:rPr>
                <w:sz w:val="20"/>
                <w:szCs w:val="20"/>
              </w:rPr>
              <w:t>.  est.</w:t>
            </w:r>
          </w:p>
        </w:tc>
        <w:tc>
          <w:tcPr>
            <w:tcW w:w="1276" w:type="dxa"/>
            <w:gridSpan w:val="2"/>
            <w:tcBorders>
              <w:right w:val="dotted" w:sz="4" w:space="0" w:color="auto"/>
            </w:tcBorders>
          </w:tcPr>
          <w:p w:rsidR="00490E27" w:rsidRPr="00621C69" w:rsidRDefault="00490E27" w:rsidP="004B55E1">
            <w:pPr>
              <w:jc w:val="center"/>
              <w:rPr>
                <w:b/>
                <w:sz w:val="20"/>
                <w:szCs w:val="20"/>
              </w:rPr>
            </w:pPr>
            <w:r w:rsidRPr="00621C69">
              <w:rPr>
                <w:b/>
                <w:sz w:val="20"/>
                <w:szCs w:val="20"/>
              </w:rPr>
              <w:t>0.1</w:t>
            </w:r>
          </w:p>
        </w:tc>
        <w:tc>
          <w:tcPr>
            <w:tcW w:w="1276" w:type="dxa"/>
            <w:gridSpan w:val="2"/>
            <w:tcBorders>
              <w:left w:val="dotted" w:sz="4" w:space="0" w:color="auto"/>
            </w:tcBorders>
          </w:tcPr>
          <w:p w:rsidR="00490E27" w:rsidRPr="00621C69" w:rsidRDefault="00490E27" w:rsidP="004B55E1">
            <w:pPr>
              <w:jc w:val="center"/>
              <w:rPr>
                <w:sz w:val="20"/>
                <w:szCs w:val="20"/>
              </w:rPr>
            </w:pPr>
            <w:r w:rsidRPr="00621C69">
              <w:rPr>
                <w:sz w:val="20"/>
                <w:szCs w:val="20"/>
              </w:rPr>
              <w:t>0.04</w:t>
            </w:r>
          </w:p>
        </w:tc>
        <w:tc>
          <w:tcPr>
            <w:tcW w:w="1276" w:type="dxa"/>
            <w:tcBorders>
              <w:right w:val="dotted" w:sz="4" w:space="0" w:color="auto"/>
            </w:tcBorders>
          </w:tcPr>
          <w:p w:rsidR="00490E27" w:rsidRPr="00621C69" w:rsidRDefault="00490E27" w:rsidP="004B55E1">
            <w:pPr>
              <w:jc w:val="center"/>
              <w:rPr>
                <w:b/>
                <w:sz w:val="20"/>
                <w:szCs w:val="20"/>
              </w:rPr>
            </w:pPr>
            <w:r w:rsidRPr="00621C69">
              <w:rPr>
                <w:b/>
                <w:sz w:val="20"/>
                <w:szCs w:val="20"/>
              </w:rPr>
              <w:t>-0.02</w:t>
            </w:r>
          </w:p>
        </w:tc>
        <w:tc>
          <w:tcPr>
            <w:tcW w:w="850" w:type="dxa"/>
            <w:tcBorders>
              <w:left w:val="dotted" w:sz="4" w:space="0" w:color="auto"/>
            </w:tcBorders>
          </w:tcPr>
          <w:p w:rsidR="00490E27" w:rsidRPr="00621C69" w:rsidRDefault="00490E27" w:rsidP="004B55E1">
            <w:pPr>
              <w:jc w:val="center"/>
              <w:rPr>
                <w:b/>
                <w:sz w:val="20"/>
                <w:szCs w:val="20"/>
              </w:rPr>
            </w:pPr>
            <w:r w:rsidRPr="00621C69">
              <w:rPr>
                <w:b/>
                <w:sz w:val="20"/>
                <w:szCs w:val="20"/>
              </w:rPr>
              <w:t>-0.06</w:t>
            </w:r>
          </w:p>
        </w:tc>
        <w:tc>
          <w:tcPr>
            <w:tcW w:w="1134" w:type="dxa"/>
            <w:tcBorders>
              <w:right w:val="dotted" w:sz="4" w:space="0" w:color="auto"/>
            </w:tcBorders>
          </w:tcPr>
          <w:p w:rsidR="00490E27" w:rsidRPr="00621C69" w:rsidRDefault="00490E27" w:rsidP="004B55E1">
            <w:pPr>
              <w:jc w:val="center"/>
              <w:rPr>
                <w:sz w:val="20"/>
                <w:szCs w:val="20"/>
              </w:rPr>
            </w:pPr>
            <w:r w:rsidRPr="00621C69">
              <w:rPr>
                <w:sz w:val="20"/>
                <w:szCs w:val="20"/>
              </w:rPr>
              <w:t>-0.08</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-0.04</w:t>
            </w:r>
          </w:p>
        </w:tc>
        <w:tc>
          <w:tcPr>
            <w:tcW w:w="1559" w:type="dxa"/>
            <w:tcBorders>
              <w:left w:val="dotted" w:sz="4" w:space="0" w:color="auto"/>
            </w:tcBorders>
          </w:tcPr>
          <w:p w:rsidR="00490E27" w:rsidRPr="00621C69" w:rsidRDefault="00490E27" w:rsidP="004B55E1">
            <w:pPr>
              <w:jc w:val="center"/>
              <w:rPr>
                <w:sz w:val="20"/>
                <w:szCs w:val="20"/>
              </w:rPr>
            </w:pPr>
            <w:r w:rsidRPr="00621C69">
              <w:rPr>
                <w:sz w:val="20"/>
                <w:szCs w:val="20"/>
              </w:rPr>
              <w:t>0.92;1.03;1.18</w:t>
            </w:r>
          </w:p>
        </w:tc>
        <w:tc>
          <w:tcPr>
            <w:tcW w:w="1276" w:type="dxa"/>
          </w:tcPr>
          <w:p w:rsidR="00490E27" w:rsidRPr="00621C69" w:rsidRDefault="00490E27" w:rsidP="004B55E1">
            <w:pPr>
              <w:jc w:val="center"/>
              <w:rPr>
                <w:b/>
                <w:sz w:val="20"/>
                <w:szCs w:val="20"/>
              </w:rPr>
            </w:pPr>
            <w:r w:rsidRPr="00621C69">
              <w:rPr>
                <w:b/>
                <w:sz w:val="20"/>
                <w:szCs w:val="20"/>
              </w:rPr>
              <w:t>0.21</w:t>
            </w:r>
          </w:p>
        </w:tc>
        <w:tc>
          <w:tcPr>
            <w:tcW w:w="2126" w:type="dxa"/>
            <w:gridSpan w:val="2"/>
          </w:tcPr>
          <w:p w:rsidR="00490E27" w:rsidRPr="00621C69" w:rsidRDefault="00490E27" w:rsidP="004B55E1">
            <w:pPr>
              <w:jc w:val="center"/>
              <w:rPr>
                <w:sz w:val="20"/>
                <w:szCs w:val="20"/>
              </w:rPr>
            </w:pPr>
          </w:p>
        </w:tc>
        <w:tc>
          <w:tcPr>
            <w:tcW w:w="993" w:type="dxa"/>
          </w:tcPr>
          <w:p w:rsidR="00490E27" w:rsidRPr="00621C69" w:rsidRDefault="00490E27" w:rsidP="004B55E1">
            <w:pPr>
              <w:jc w:val="center"/>
              <w:rPr>
                <w:sz w:val="20"/>
                <w:szCs w:val="20"/>
              </w:rPr>
            </w:pPr>
            <w:r w:rsidRPr="00621C69">
              <w:rPr>
                <w:sz w:val="20"/>
                <w:szCs w:val="20"/>
              </w:rPr>
              <w:t>0.92;0.79</w:t>
            </w:r>
          </w:p>
        </w:tc>
      </w:tr>
    </w:tbl>
    <w:p w:rsidR="00490E27" w:rsidRPr="00621C69" w:rsidRDefault="00490E27" w:rsidP="004B55E1">
      <w:pPr>
        <w:spacing w:after="0" w:line="480" w:lineRule="auto"/>
        <w:jc w:val="both"/>
        <w:rPr>
          <w:sz w:val="24"/>
          <w:szCs w:val="24"/>
        </w:rPr>
      </w:pPr>
      <w:proofErr w:type="gramStart"/>
      <w:r w:rsidRPr="00621C69">
        <w:rPr>
          <w:sz w:val="24"/>
          <w:szCs w:val="24"/>
        </w:rPr>
        <w:lastRenderedPageBreak/>
        <w:t>Table 2.</w:t>
      </w:r>
      <w:proofErr w:type="gramEnd"/>
      <w:r w:rsidRPr="00621C69">
        <w:rPr>
          <w:sz w:val="24"/>
          <w:szCs w:val="24"/>
        </w:rPr>
        <w:t xml:space="preserve"> The importance of social and ecological drivers of habitat quality across 24 farms with </w:t>
      </w:r>
      <w:proofErr w:type="spellStart"/>
      <w:r w:rsidRPr="00621C69">
        <w:rPr>
          <w:sz w:val="24"/>
          <w:szCs w:val="24"/>
        </w:rPr>
        <w:t>agri</w:t>
      </w:r>
      <w:proofErr w:type="spellEnd"/>
      <w:r w:rsidRPr="00621C69">
        <w:rPr>
          <w:sz w:val="24"/>
          <w:szCs w:val="24"/>
        </w:rPr>
        <w:t xml:space="preserve">-environment options targeted at pollen and nectar feeding insects (quality = flower numbers and species richness) and 24 with options targeted at seed-eating birds (quality = weight of seed). Importance </w:t>
      </w:r>
      <w:r w:rsidR="00C17340" w:rsidRPr="00621C69">
        <w:rPr>
          <w:sz w:val="24"/>
          <w:szCs w:val="24"/>
        </w:rPr>
        <w:t>w</w:t>
      </w:r>
      <w:r w:rsidR="00C17340">
        <w:rPr>
          <w:sz w:val="24"/>
          <w:szCs w:val="24"/>
        </w:rPr>
        <w:t>as</w:t>
      </w:r>
      <w:r w:rsidR="00C17340" w:rsidRPr="00621C69">
        <w:rPr>
          <w:sz w:val="24"/>
          <w:szCs w:val="24"/>
        </w:rPr>
        <w:t xml:space="preserve"> </w:t>
      </w:r>
      <w:r w:rsidRPr="00621C69">
        <w:rPr>
          <w:sz w:val="24"/>
          <w:szCs w:val="24"/>
        </w:rPr>
        <w:t xml:space="preserve">derived using </w:t>
      </w:r>
      <w:proofErr w:type="spellStart"/>
      <w:r w:rsidRPr="00621C69">
        <w:rPr>
          <w:sz w:val="24"/>
          <w:szCs w:val="24"/>
        </w:rPr>
        <w:t>Akaike</w:t>
      </w:r>
      <w:proofErr w:type="spellEnd"/>
      <w:r w:rsidRPr="00621C69">
        <w:rPr>
          <w:sz w:val="24"/>
          <w:szCs w:val="24"/>
        </w:rPr>
        <w:t xml:space="preserve"> weights (</w:t>
      </w:r>
      <w:proofErr w:type="spellStart"/>
      <w:proofErr w:type="gramStart"/>
      <w:r w:rsidRPr="00621C69">
        <w:rPr>
          <w:i/>
          <w:sz w:val="24"/>
          <w:szCs w:val="24"/>
        </w:rPr>
        <w:t>w</w:t>
      </w:r>
      <w:r w:rsidRPr="00621C69">
        <w:rPr>
          <w:i/>
          <w:sz w:val="24"/>
          <w:szCs w:val="24"/>
          <w:vertAlign w:val="subscript"/>
        </w:rPr>
        <w:t>i</w:t>
      </w:r>
      <w:proofErr w:type="spellEnd"/>
      <w:proofErr w:type="gramEnd"/>
      <w:r w:rsidRPr="00621C69">
        <w:rPr>
          <w:sz w:val="24"/>
          <w:szCs w:val="24"/>
        </w:rPr>
        <w:t xml:space="preserve">) following averaging of linear mixed models, and the parameter estimates </w:t>
      </w:r>
      <w:r w:rsidR="00C17340">
        <w:rPr>
          <w:sz w:val="24"/>
          <w:szCs w:val="24"/>
        </w:rPr>
        <w:t>(</w:t>
      </w:r>
      <w:proofErr w:type="spellStart"/>
      <w:r w:rsidR="00C17340">
        <w:rPr>
          <w:sz w:val="24"/>
          <w:szCs w:val="24"/>
        </w:rPr>
        <w:t>Param</w:t>
      </w:r>
      <w:proofErr w:type="spellEnd"/>
      <w:r w:rsidR="00C17340">
        <w:rPr>
          <w:sz w:val="24"/>
          <w:szCs w:val="24"/>
        </w:rPr>
        <w:t>. est.)</w:t>
      </w:r>
      <w:r w:rsidR="00C17340" w:rsidRPr="00621C69">
        <w:rPr>
          <w:sz w:val="24"/>
          <w:szCs w:val="24"/>
        </w:rPr>
        <w:t xml:space="preserve"> </w:t>
      </w:r>
      <w:r w:rsidRPr="00621C69">
        <w:rPr>
          <w:sz w:val="24"/>
          <w:szCs w:val="24"/>
        </w:rPr>
        <w:t xml:space="preserve">are weighted by </w:t>
      </w:r>
      <w:proofErr w:type="spellStart"/>
      <w:r w:rsidRPr="00621C69">
        <w:rPr>
          <w:i/>
          <w:sz w:val="24"/>
          <w:szCs w:val="24"/>
        </w:rPr>
        <w:t>w</w:t>
      </w:r>
      <w:r w:rsidRPr="00621C69">
        <w:rPr>
          <w:i/>
          <w:sz w:val="24"/>
          <w:szCs w:val="24"/>
          <w:vertAlign w:val="subscript"/>
        </w:rPr>
        <w:t>i</w:t>
      </w:r>
      <w:proofErr w:type="spellEnd"/>
      <w:r w:rsidRPr="00621C69">
        <w:rPr>
          <w:sz w:val="24"/>
          <w:szCs w:val="24"/>
        </w:rPr>
        <w:t xml:space="preserve"> and averaged across models. Categorical variables are marked with * and the parameter estimates are given. The most important variables – with importance ≥0.4 – are highlighted</w:t>
      </w:r>
      <w:r w:rsidR="00B446C3">
        <w:rPr>
          <w:sz w:val="24"/>
          <w:szCs w:val="24"/>
        </w:rPr>
        <w:t xml:space="preserve">. ALC = </w:t>
      </w:r>
      <w:r w:rsidR="00B446C3" w:rsidRPr="00621C69">
        <w:rPr>
          <w:sz w:val="24"/>
          <w:szCs w:val="24"/>
        </w:rPr>
        <w:t>Agricultural Land Classification</w:t>
      </w:r>
    </w:p>
    <w:tbl>
      <w:tblPr>
        <w:tblStyle w:val="TableGrid"/>
        <w:tblW w:w="14142" w:type="dxa"/>
        <w:tblLayout w:type="fixed"/>
        <w:tblLook w:val="04A0"/>
      </w:tblPr>
      <w:tblGrid>
        <w:gridCol w:w="1242"/>
        <w:gridCol w:w="851"/>
        <w:gridCol w:w="1701"/>
        <w:gridCol w:w="992"/>
        <w:gridCol w:w="1134"/>
        <w:gridCol w:w="1134"/>
        <w:gridCol w:w="1418"/>
        <w:gridCol w:w="1417"/>
        <w:gridCol w:w="709"/>
        <w:gridCol w:w="709"/>
        <w:gridCol w:w="1417"/>
        <w:gridCol w:w="1418"/>
      </w:tblGrid>
      <w:tr w:rsidR="00490E27" w:rsidRPr="00621C69" w:rsidTr="004B55E1">
        <w:tc>
          <w:tcPr>
            <w:tcW w:w="1242" w:type="dxa"/>
          </w:tcPr>
          <w:p w:rsidR="00490E27" w:rsidRPr="00621C69" w:rsidRDefault="00490E27" w:rsidP="004B55E1">
            <w:pPr>
              <w:jc w:val="center"/>
              <w:rPr>
                <w:b/>
                <w:sz w:val="20"/>
                <w:szCs w:val="20"/>
              </w:rPr>
            </w:pPr>
            <w:r w:rsidRPr="00621C69">
              <w:rPr>
                <w:b/>
                <w:sz w:val="20"/>
                <w:szCs w:val="20"/>
              </w:rPr>
              <w:t>Level</w:t>
            </w:r>
          </w:p>
        </w:tc>
        <w:tc>
          <w:tcPr>
            <w:tcW w:w="3544" w:type="dxa"/>
            <w:gridSpan w:val="3"/>
            <w:tcBorders>
              <w:bottom w:val="single" w:sz="4" w:space="0" w:color="auto"/>
            </w:tcBorders>
          </w:tcPr>
          <w:p w:rsidR="00490E27" w:rsidRPr="00621C69" w:rsidRDefault="00490E27" w:rsidP="004B55E1">
            <w:pPr>
              <w:jc w:val="center"/>
              <w:rPr>
                <w:b/>
                <w:sz w:val="20"/>
                <w:szCs w:val="20"/>
              </w:rPr>
            </w:pPr>
            <w:r w:rsidRPr="00621C69">
              <w:rPr>
                <w:b/>
                <w:sz w:val="20"/>
                <w:szCs w:val="20"/>
              </w:rPr>
              <w:t>Local (strip) environment</w:t>
            </w:r>
          </w:p>
        </w:tc>
        <w:tc>
          <w:tcPr>
            <w:tcW w:w="3686" w:type="dxa"/>
            <w:gridSpan w:val="3"/>
            <w:tcBorders>
              <w:bottom w:val="single" w:sz="4" w:space="0" w:color="auto"/>
            </w:tcBorders>
          </w:tcPr>
          <w:p w:rsidR="00490E27" w:rsidRPr="00621C69" w:rsidRDefault="00490E27" w:rsidP="004B55E1">
            <w:pPr>
              <w:jc w:val="center"/>
              <w:rPr>
                <w:b/>
                <w:sz w:val="20"/>
                <w:szCs w:val="20"/>
              </w:rPr>
            </w:pPr>
            <w:r w:rsidRPr="00621C69">
              <w:rPr>
                <w:b/>
                <w:sz w:val="20"/>
                <w:szCs w:val="20"/>
              </w:rPr>
              <w:t>Farmer social</w:t>
            </w:r>
          </w:p>
        </w:tc>
        <w:tc>
          <w:tcPr>
            <w:tcW w:w="4252" w:type="dxa"/>
            <w:gridSpan w:val="4"/>
            <w:tcBorders>
              <w:bottom w:val="single" w:sz="4" w:space="0" w:color="auto"/>
            </w:tcBorders>
          </w:tcPr>
          <w:p w:rsidR="00490E27" w:rsidRPr="00621C69" w:rsidRDefault="00490E27" w:rsidP="004B55E1">
            <w:pPr>
              <w:jc w:val="center"/>
              <w:rPr>
                <w:b/>
                <w:sz w:val="20"/>
                <w:szCs w:val="20"/>
              </w:rPr>
            </w:pPr>
            <w:r w:rsidRPr="00621C69">
              <w:rPr>
                <w:b/>
                <w:sz w:val="20"/>
                <w:szCs w:val="20"/>
              </w:rPr>
              <w:t>Seasonal weather</w:t>
            </w:r>
          </w:p>
          <w:p w:rsidR="00490E27" w:rsidRPr="00621C69" w:rsidRDefault="00490E27" w:rsidP="004B55E1">
            <w:pPr>
              <w:jc w:val="center"/>
              <w:rPr>
                <w:b/>
                <w:sz w:val="20"/>
                <w:szCs w:val="20"/>
              </w:rPr>
            </w:pPr>
          </w:p>
        </w:tc>
        <w:tc>
          <w:tcPr>
            <w:tcW w:w="1418" w:type="dxa"/>
            <w:vMerge w:val="restart"/>
          </w:tcPr>
          <w:p w:rsidR="00490E27" w:rsidRPr="00621C69" w:rsidRDefault="00490E27" w:rsidP="004B55E1">
            <w:pPr>
              <w:jc w:val="center"/>
              <w:rPr>
                <w:b/>
                <w:sz w:val="20"/>
                <w:szCs w:val="20"/>
              </w:rPr>
            </w:pPr>
            <w:r w:rsidRPr="00621C69">
              <w:rPr>
                <w:b/>
                <w:sz w:val="20"/>
                <w:szCs w:val="20"/>
              </w:rPr>
              <w:t>Region*</w:t>
            </w:r>
          </w:p>
          <w:p w:rsidR="00490E27" w:rsidRPr="00621C69" w:rsidRDefault="00490E27" w:rsidP="004B55E1">
            <w:pPr>
              <w:jc w:val="center"/>
              <w:rPr>
                <w:b/>
                <w:sz w:val="20"/>
                <w:szCs w:val="20"/>
              </w:rPr>
            </w:pPr>
            <w:r w:rsidRPr="00621C69">
              <w:rPr>
                <w:b/>
                <w:sz w:val="20"/>
                <w:szCs w:val="20"/>
              </w:rPr>
              <w:t>E;SW</w:t>
            </w:r>
          </w:p>
        </w:tc>
      </w:tr>
      <w:tr w:rsidR="00490E27" w:rsidRPr="00621C69" w:rsidTr="004B55E1">
        <w:tc>
          <w:tcPr>
            <w:tcW w:w="1242" w:type="dxa"/>
          </w:tcPr>
          <w:p w:rsidR="00490E27" w:rsidRPr="00621C69" w:rsidRDefault="00490E27" w:rsidP="004B55E1">
            <w:pPr>
              <w:jc w:val="center"/>
              <w:rPr>
                <w:b/>
                <w:sz w:val="20"/>
                <w:szCs w:val="20"/>
              </w:rPr>
            </w:pPr>
            <w:r w:rsidRPr="00621C69">
              <w:rPr>
                <w:b/>
                <w:sz w:val="20"/>
                <w:szCs w:val="20"/>
              </w:rPr>
              <w:t>Variable</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ALC</w:t>
            </w:r>
          </w:p>
        </w:tc>
        <w:tc>
          <w:tcPr>
            <w:tcW w:w="1701" w:type="dxa"/>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Soil*</w:t>
            </w:r>
          </w:p>
          <w:p w:rsidR="00490E27" w:rsidRPr="00621C69" w:rsidRDefault="00490E27" w:rsidP="004B55E1">
            <w:pPr>
              <w:jc w:val="center"/>
              <w:rPr>
                <w:b/>
                <w:sz w:val="20"/>
                <w:szCs w:val="20"/>
              </w:rPr>
            </w:pPr>
            <w:proofErr w:type="spellStart"/>
            <w:r w:rsidRPr="00621C69">
              <w:rPr>
                <w:b/>
                <w:sz w:val="20"/>
                <w:szCs w:val="20"/>
              </w:rPr>
              <w:t>Light;Med;Heavy</w:t>
            </w:r>
            <w:proofErr w:type="spellEnd"/>
          </w:p>
        </w:tc>
        <w:tc>
          <w:tcPr>
            <w:tcW w:w="992" w:type="dxa"/>
            <w:tcBorders>
              <w:left w:val="dotted" w:sz="4" w:space="0" w:color="auto"/>
            </w:tcBorders>
          </w:tcPr>
          <w:p w:rsidR="00490E27" w:rsidRPr="00621C69" w:rsidRDefault="00490E27" w:rsidP="004B55E1">
            <w:pPr>
              <w:jc w:val="center"/>
              <w:rPr>
                <w:b/>
                <w:sz w:val="20"/>
                <w:szCs w:val="20"/>
              </w:rPr>
            </w:pPr>
            <w:r w:rsidRPr="00621C69">
              <w:rPr>
                <w:b/>
                <w:sz w:val="20"/>
                <w:szCs w:val="20"/>
              </w:rPr>
              <w:t>Shelter</w:t>
            </w:r>
          </w:p>
        </w:tc>
        <w:tc>
          <w:tcPr>
            <w:tcW w:w="1134" w:type="dxa"/>
            <w:tcBorders>
              <w:right w:val="dotted" w:sz="4" w:space="0" w:color="auto"/>
            </w:tcBorders>
          </w:tcPr>
          <w:p w:rsidR="00490E27" w:rsidRPr="00621C69" w:rsidRDefault="00490E27" w:rsidP="004B55E1">
            <w:pPr>
              <w:jc w:val="center"/>
              <w:rPr>
                <w:b/>
                <w:sz w:val="20"/>
                <w:szCs w:val="20"/>
              </w:rPr>
            </w:pPr>
            <w:r w:rsidRPr="00621C69">
              <w:rPr>
                <w:b/>
                <w:sz w:val="20"/>
                <w:szCs w:val="20"/>
              </w:rPr>
              <w:t>Experience</w:t>
            </w:r>
          </w:p>
        </w:tc>
        <w:tc>
          <w:tcPr>
            <w:tcW w:w="1134" w:type="dxa"/>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Concerns</w:t>
            </w:r>
          </w:p>
        </w:tc>
        <w:tc>
          <w:tcPr>
            <w:tcW w:w="1418" w:type="dxa"/>
            <w:tcBorders>
              <w:left w:val="dotted" w:sz="4" w:space="0" w:color="auto"/>
            </w:tcBorders>
          </w:tcPr>
          <w:p w:rsidR="00490E27" w:rsidRPr="00621C69" w:rsidRDefault="00490E27" w:rsidP="004B55E1">
            <w:pPr>
              <w:jc w:val="center"/>
              <w:rPr>
                <w:b/>
                <w:sz w:val="20"/>
                <w:szCs w:val="20"/>
              </w:rPr>
            </w:pPr>
            <w:r w:rsidRPr="00621C69">
              <w:rPr>
                <w:b/>
                <w:sz w:val="20"/>
                <w:szCs w:val="20"/>
              </w:rPr>
              <w:t>Motivation*</w:t>
            </w:r>
          </w:p>
          <w:p w:rsidR="00490E27" w:rsidRPr="00621C69" w:rsidRDefault="00490E27" w:rsidP="004B55E1">
            <w:pPr>
              <w:jc w:val="center"/>
              <w:rPr>
                <w:b/>
                <w:sz w:val="20"/>
                <w:szCs w:val="20"/>
              </w:rPr>
            </w:pPr>
            <w:r w:rsidRPr="00621C69">
              <w:rPr>
                <w:b/>
                <w:sz w:val="20"/>
                <w:szCs w:val="20"/>
              </w:rPr>
              <w:t>1;2;3</w:t>
            </w:r>
          </w:p>
        </w:tc>
        <w:tc>
          <w:tcPr>
            <w:tcW w:w="2126" w:type="dxa"/>
            <w:gridSpan w:val="2"/>
            <w:tcBorders>
              <w:right w:val="dotted" w:sz="4" w:space="0" w:color="auto"/>
            </w:tcBorders>
          </w:tcPr>
          <w:p w:rsidR="00490E27" w:rsidRPr="00621C69" w:rsidRDefault="00490E27" w:rsidP="004B55E1">
            <w:pPr>
              <w:jc w:val="center"/>
              <w:rPr>
                <w:b/>
                <w:sz w:val="20"/>
                <w:szCs w:val="20"/>
              </w:rPr>
            </w:pPr>
            <w:r w:rsidRPr="00621C69">
              <w:rPr>
                <w:b/>
                <w:sz w:val="20"/>
                <w:szCs w:val="20"/>
              </w:rPr>
              <w:t>Spring max. temperature</w:t>
            </w:r>
          </w:p>
        </w:tc>
        <w:tc>
          <w:tcPr>
            <w:tcW w:w="2126" w:type="dxa"/>
            <w:gridSpan w:val="2"/>
            <w:tcBorders>
              <w:left w:val="dotted" w:sz="4" w:space="0" w:color="auto"/>
            </w:tcBorders>
          </w:tcPr>
          <w:p w:rsidR="00490E27" w:rsidRPr="00621C69" w:rsidRDefault="00490E27" w:rsidP="004B55E1">
            <w:pPr>
              <w:jc w:val="center"/>
              <w:rPr>
                <w:b/>
                <w:sz w:val="20"/>
                <w:szCs w:val="20"/>
              </w:rPr>
            </w:pPr>
            <w:r w:rsidRPr="00621C69">
              <w:rPr>
                <w:b/>
                <w:sz w:val="20"/>
                <w:szCs w:val="20"/>
              </w:rPr>
              <w:t>Summer max. temperature</w:t>
            </w:r>
          </w:p>
        </w:tc>
        <w:tc>
          <w:tcPr>
            <w:tcW w:w="1418" w:type="dxa"/>
            <w:vMerge/>
          </w:tcPr>
          <w:p w:rsidR="00490E27" w:rsidRPr="00621C69" w:rsidRDefault="00490E27" w:rsidP="004B55E1">
            <w:pPr>
              <w:jc w:val="both"/>
              <w:rPr>
                <w:sz w:val="20"/>
                <w:szCs w:val="20"/>
              </w:rPr>
            </w:pPr>
          </w:p>
        </w:tc>
      </w:tr>
      <w:tr w:rsidR="00490E27" w:rsidRPr="00621C69" w:rsidTr="004B55E1">
        <w:tc>
          <w:tcPr>
            <w:tcW w:w="14142" w:type="dxa"/>
            <w:gridSpan w:val="12"/>
          </w:tcPr>
          <w:p w:rsidR="00490E27" w:rsidRPr="00621C69" w:rsidRDefault="00490E27" w:rsidP="004B55E1">
            <w:pPr>
              <w:ind w:firstLine="284"/>
              <w:jc w:val="both"/>
              <w:rPr>
                <w:sz w:val="20"/>
                <w:szCs w:val="20"/>
              </w:rPr>
            </w:pPr>
            <w:r w:rsidRPr="00621C69">
              <w:rPr>
                <w:sz w:val="20"/>
                <w:szCs w:val="20"/>
              </w:rPr>
              <w:t>Response = Flower numbers. Marginal R</w:t>
            </w:r>
            <w:r w:rsidRPr="00621C69">
              <w:rPr>
                <w:sz w:val="20"/>
                <w:szCs w:val="20"/>
                <w:vertAlign w:val="superscript"/>
              </w:rPr>
              <w:t>2</w:t>
            </w:r>
            <w:r w:rsidRPr="00621C69">
              <w:rPr>
                <w:sz w:val="20"/>
                <w:szCs w:val="20"/>
              </w:rPr>
              <w:t xml:space="preserve"> = 0.42. Models where </w:t>
            </w:r>
            <w:r w:rsidRPr="00621C69">
              <w:rPr>
                <w:rFonts w:ascii="Calibri" w:hAnsi="Calibri"/>
                <w:i/>
                <w:sz w:val="20"/>
                <w:szCs w:val="20"/>
              </w:rPr>
              <w:t>Δ</w:t>
            </w:r>
            <w:r w:rsidRPr="00621C69">
              <w:rPr>
                <w:rFonts w:ascii="Calibri" w:hAnsi="Calibri"/>
                <w:i/>
                <w:sz w:val="20"/>
                <w:szCs w:val="20"/>
                <w:vertAlign w:val="subscript"/>
              </w:rPr>
              <w:t xml:space="preserve">AIC </w:t>
            </w:r>
            <w:r w:rsidRPr="00621C69">
              <w:rPr>
                <w:rFonts w:ascii="Calibri" w:hAnsi="Calibri"/>
                <w:sz w:val="20"/>
                <w:szCs w:val="20"/>
              </w:rPr>
              <w:t>&lt; 4 = 14 of 512</w:t>
            </w:r>
          </w:p>
        </w:tc>
      </w:tr>
      <w:tr w:rsidR="00490E27" w:rsidRPr="00621C69" w:rsidTr="004B55E1">
        <w:tc>
          <w:tcPr>
            <w:tcW w:w="1242" w:type="dxa"/>
          </w:tcPr>
          <w:p w:rsidR="00490E27" w:rsidRPr="00621C69" w:rsidRDefault="00490E27" w:rsidP="004B55E1">
            <w:pPr>
              <w:jc w:val="both"/>
              <w:rPr>
                <w:sz w:val="20"/>
                <w:szCs w:val="20"/>
              </w:rPr>
            </w:pPr>
            <w:r w:rsidRPr="00621C69">
              <w:rPr>
                <w:sz w:val="20"/>
                <w:szCs w:val="20"/>
              </w:rPr>
              <w:t>Importance</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1</w:t>
            </w:r>
          </w:p>
        </w:tc>
        <w:tc>
          <w:tcPr>
            <w:tcW w:w="1701"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0.24</w:t>
            </w:r>
          </w:p>
        </w:tc>
        <w:tc>
          <w:tcPr>
            <w:tcW w:w="992" w:type="dxa"/>
            <w:tcBorders>
              <w:left w:val="dotted" w:sz="4" w:space="0" w:color="auto"/>
            </w:tcBorders>
          </w:tcPr>
          <w:p w:rsidR="00490E27" w:rsidRPr="00621C69" w:rsidRDefault="00490E27" w:rsidP="004B55E1">
            <w:pPr>
              <w:jc w:val="center"/>
              <w:rPr>
                <w:b/>
                <w:sz w:val="20"/>
                <w:szCs w:val="20"/>
              </w:rPr>
            </w:pPr>
            <w:r w:rsidRPr="00621C69">
              <w:rPr>
                <w:b/>
                <w:sz w:val="20"/>
                <w:szCs w:val="20"/>
              </w:rPr>
              <w:t>1</w:t>
            </w:r>
          </w:p>
        </w:tc>
        <w:tc>
          <w:tcPr>
            <w:tcW w:w="1134" w:type="dxa"/>
            <w:tcBorders>
              <w:right w:val="dotted" w:sz="4" w:space="0" w:color="auto"/>
            </w:tcBorders>
          </w:tcPr>
          <w:p w:rsidR="00490E27" w:rsidRPr="00621C69" w:rsidRDefault="00490E27" w:rsidP="004B55E1">
            <w:pPr>
              <w:jc w:val="center"/>
              <w:rPr>
                <w:b/>
                <w:sz w:val="20"/>
                <w:szCs w:val="20"/>
              </w:rPr>
            </w:pPr>
            <w:r w:rsidRPr="00621C69">
              <w:rPr>
                <w:b/>
                <w:sz w:val="20"/>
                <w:szCs w:val="20"/>
              </w:rPr>
              <w:t>0.97</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0.23</w:t>
            </w:r>
          </w:p>
        </w:tc>
        <w:tc>
          <w:tcPr>
            <w:tcW w:w="1418" w:type="dxa"/>
            <w:tcBorders>
              <w:left w:val="dotted" w:sz="4" w:space="0" w:color="auto"/>
            </w:tcBorders>
          </w:tcPr>
          <w:p w:rsidR="00490E27" w:rsidRPr="00621C69" w:rsidRDefault="00490E27" w:rsidP="004B55E1">
            <w:pPr>
              <w:jc w:val="center"/>
              <w:rPr>
                <w:b/>
                <w:sz w:val="20"/>
                <w:szCs w:val="20"/>
              </w:rPr>
            </w:pPr>
            <w:r w:rsidRPr="00621C69">
              <w:rPr>
                <w:b/>
                <w:sz w:val="20"/>
                <w:szCs w:val="20"/>
              </w:rPr>
              <w:t>0.43</w:t>
            </w:r>
          </w:p>
        </w:tc>
        <w:tc>
          <w:tcPr>
            <w:tcW w:w="2126" w:type="dxa"/>
            <w:gridSpan w:val="2"/>
            <w:tcBorders>
              <w:right w:val="dotted" w:sz="4" w:space="0" w:color="auto"/>
            </w:tcBorders>
          </w:tcPr>
          <w:p w:rsidR="00490E27" w:rsidRPr="00621C69" w:rsidRDefault="00490E27" w:rsidP="004B55E1">
            <w:pPr>
              <w:jc w:val="center"/>
              <w:rPr>
                <w:b/>
                <w:sz w:val="20"/>
                <w:szCs w:val="20"/>
              </w:rPr>
            </w:pPr>
            <w:r w:rsidRPr="00621C69">
              <w:rPr>
                <w:b/>
                <w:sz w:val="20"/>
                <w:szCs w:val="20"/>
              </w:rPr>
              <w:t>1</w:t>
            </w:r>
          </w:p>
        </w:tc>
        <w:tc>
          <w:tcPr>
            <w:tcW w:w="2126" w:type="dxa"/>
            <w:gridSpan w:val="2"/>
            <w:tcBorders>
              <w:left w:val="dotted" w:sz="4" w:space="0" w:color="auto"/>
            </w:tcBorders>
          </w:tcPr>
          <w:p w:rsidR="00490E27" w:rsidRPr="00621C69" w:rsidRDefault="00490E27" w:rsidP="004B55E1">
            <w:pPr>
              <w:jc w:val="center"/>
              <w:rPr>
                <w:b/>
                <w:sz w:val="20"/>
                <w:szCs w:val="20"/>
              </w:rPr>
            </w:pPr>
            <w:r w:rsidRPr="00621C69">
              <w:rPr>
                <w:b/>
                <w:sz w:val="20"/>
                <w:szCs w:val="20"/>
              </w:rPr>
              <w:t>1</w:t>
            </w:r>
          </w:p>
        </w:tc>
        <w:tc>
          <w:tcPr>
            <w:tcW w:w="1418" w:type="dxa"/>
          </w:tcPr>
          <w:p w:rsidR="00490E27" w:rsidRPr="00621C69" w:rsidRDefault="00490E27" w:rsidP="004B55E1">
            <w:pPr>
              <w:jc w:val="center"/>
              <w:rPr>
                <w:sz w:val="20"/>
                <w:szCs w:val="20"/>
              </w:rPr>
            </w:pPr>
            <w:r w:rsidRPr="00621C69">
              <w:rPr>
                <w:sz w:val="20"/>
                <w:szCs w:val="20"/>
              </w:rPr>
              <w:t>0.34</w:t>
            </w:r>
          </w:p>
        </w:tc>
      </w:tr>
      <w:tr w:rsidR="00490E27" w:rsidRPr="00621C69" w:rsidTr="004B55E1">
        <w:tc>
          <w:tcPr>
            <w:tcW w:w="1242" w:type="dxa"/>
          </w:tcPr>
          <w:p w:rsidR="00490E27" w:rsidRPr="00621C69" w:rsidRDefault="00490E27" w:rsidP="004B55E1">
            <w:pPr>
              <w:jc w:val="both"/>
              <w:rPr>
                <w:sz w:val="20"/>
                <w:szCs w:val="20"/>
              </w:rPr>
            </w:pPr>
            <w:proofErr w:type="spellStart"/>
            <w:r w:rsidRPr="00621C69">
              <w:rPr>
                <w:sz w:val="20"/>
                <w:szCs w:val="20"/>
              </w:rPr>
              <w:t>Param</w:t>
            </w:r>
            <w:proofErr w:type="spellEnd"/>
            <w:r w:rsidRPr="00621C69">
              <w:rPr>
                <w:sz w:val="20"/>
                <w:szCs w:val="20"/>
              </w:rPr>
              <w:t>.  est.</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-0.72</w:t>
            </w:r>
          </w:p>
        </w:tc>
        <w:tc>
          <w:tcPr>
            <w:tcW w:w="1701"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963;720;1478</w:t>
            </w:r>
          </w:p>
        </w:tc>
        <w:tc>
          <w:tcPr>
            <w:tcW w:w="992" w:type="dxa"/>
            <w:tcBorders>
              <w:left w:val="dotted" w:sz="4" w:space="0" w:color="auto"/>
            </w:tcBorders>
          </w:tcPr>
          <w:p w:rsidR="00490E27" w:rsidRPr="00621C69" w:rsidRDefault="00490E27" w:rsidP="004B55E1">
            <w:pPr>
              <w:jc w:val="center"/>
              <w:rPr>
                <w:b/>
                <w:sz w:val="20"/>
                <w:szCs w:val="20"/>
              </w:rPr>
            </w:pPr>
            <w:r w:rsidRPr="00621C69">
              <w:rPr>
                <w:b/>
                <w:sz w:val="20"/>
                <w:szCs w:val="20"/>
              </w:rPr>
              <w:t>1.45</w:t>
            </w:r>
          </w:p>
        </w:tc>
        <w:tc>
          <w:tcPr>
            <w:tcW w:w="1134" w:type="dxa"/>
            <w:tcBorders>
              <w:right w:val="dotted" w:sz="4" w:space="0" w:color="auto"/>
            </w:tcBorders>
          </w:tcPr>
          <w:p w:rsidR="00490E27" w:rsidRPr="00621C69" w:rsidRDefault="00490E27" w:rsidP="004B55E1">
            <w:pPr>
              <w:jc w:val="center"/>
              <w:rPr>
                <w:b/>
                <w:sz w:val="20"/>
                <w:szCs w:val="20"/>
              </w:rPr>
            </w:pPr>
            <w:r w:rsidRPr="00621C69">
              <w:rPr>
                <w:b/>
                <w:sz w:val="20"/>
                <w:szCs w:val="20"/>
              </w:rPr>
              <w:t>0.46</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0.27</w:t>
            </w:r>
          </w:p>
        </w:tc>
        <w:tc>
          <w:tcPr>
            <w:tcW w:w="1418" w:type="dxa"/>
            <w:tcBorders>
              <w:left w:val="dotted" w:sz="4" w:space="0" w:color="auto"/>
            </w:tcBorders>
          </w:tcPr>
          <w:p w:rsidR="00490E27" w:rsidRPr="00621C69" w:rsidRDefault="00490E27" w:rsidP="004B55E1">
            <w:pPr>
              <w:jc w:val="center"/>
              <w:rPr>
                <w:b/>
                <w:sz w:val="20"/>
                <w:szCs w:val="20"/>
              </w:rPr>
            </w:pPr>
            <w:r w:rsidRPr="00621C69">
              <w:rPr>
                <w:b/>
                <w:sz w:val="20"/>
                <w:szCs w:val="20"/>
              </w:rPr>
              <w:t>1477;720;166</w:t>
            </w:r>
          </w:p>
        </w:tc>
        <w:tc>
          <w:tcPr>
            <w:tcW w:w="2126" w:type="dxa"/>
            <w:gridSpan w:val="2"/>
            <w:tcBorders>
              <w:right w:val="dotted" w:sz="4" w:space="0" w:color="auto"/>
            </w:tcBorders>
          </w:tcPr>
          <w:p w:rsidR="00490E27" w:rsidRPr="00621C69" w:rsidRDefault="00490E27" w:rsidP="004B55E1">
            <w:pPr>
              <w:jc w:val="center"/>
              <w:rPr>
                <w:b/>
                <w:sz w:val="20"/>
                <w:szCs w:val="20"/>
              </w:rPr>
            </w:pPr>
            <w:r w:rsidRPr="00621C69">
              <w:rPr>
                <w:b/>
                <w:sz w:val="20"/>
                <w:szCs w:val="20"/>
              </w:rPr>
              <w:t>4.5</w:t>
            </w:r>
          </w:p>
        </w:tc>
        <w:tc>
          <w:tcPr>
            <w:tcW w:w="2126" w:type="dxa"/>
            <w:gridSpan w:val="2"/>
            <w:tcBorders>
              <w:left w:val="dotted" w:sz="4" w:space="0" w:color="auto"/>
            </w:tcBorders>
          </w:tcPr>
          <w:p w:rsidR="00490E27" w:rsidRPr="00621C69" w:rsidRDefault="00490E27" w:rsidP="004B55E1">
            <w:pPr>
              <w:jc w:val="center"/>
              <w:rPr>
                <w:b/>
                <w:sz w:val="20"/>
                <w:szCs w:val="20"/>
              </w:rPr>
            </w:pPr>
            <w:r w:rsidRPr="00621C69">
              <w:rPr>
                <w:b/>
                <w:sz w:val="20"/>
                <w:szCs w:val="20"/>
              </w:rPr>
              <w:t>-0.31</w:t>
            </w:r>
          </w:p>
        </w:tc>
        <w:tc>
          <w:tcPr>
            <w:tcW w:w="1418" w:type="dxa"/>
          </w:tcPr>
          <w:p w:rsidR="00490E27" w:rsidRPr="00621C69" w:rsidRDefault="00490E27" w:rsidP="004B55E1">
            <w:pPr>
              <w:jc w:val="center"/>
              <w:rPr>
                <w:sz w:val="20"/>
                <w:szCs w:val="20"/>
              </w:rPr>
            </w:pPr>
            <w:r w:rsidRPr="00621C69">
              <w:rPr>
                <w:sz w:val="20"/>
                <w:szCs w:val="20"/>
              </w:rPr>
              <w:t>1477;741</w:t>
            </w:r>
          </w:p>
        </w:tc>
      </w:tr>
      <w:tr w:rsidR="00490E27" w:rsidRPr="00621C69" w:rsidTr="004B55E1">
        <w:tc>
          <w:tcPr>
            <w:tcW w:w="14142" w:type="dxa"/>
            <w:gridSpan w:val="12"/>
          </w:tcPr>
          <w:p w:rsidR="00490E27" w:rsidRPr="00621C69" w:rsidRDefault="00490E27" w:rsidP="004B55E1">
            <w:pPr>
              <w:ind w:firstLine="284"/>
              <w:jc w:val="both"/>
              <w:rPr>
                <w:sz w:val="20"/>
                <w:szCs w:val="20"/>
              </w:rPr>
            </w:pPr>
            <w:r w:rsidRPr="00621C69">
              <w:rPr>
                <w:sz w:val="20"/>
                <w:szCs w:val="20"/>
              </w:rPr>
              <w:t>Response = Flower species richness. Marginal R</w:t>
            </w:r>
            <w:r w:rsidRPr="00621C69">
              <w:rPr>
                <w:sz w:val="20"/>
                <w:szCs w:val="20"/>
                <w:vertAlign w:val="superscript"/>
              </w:rPr>
              <w:t>2</w:t>
            </w:r>
            <w:r w:rsidRPr="00621C69">
              <w:rPr>
                <w:sz w:val="20"/>
                <w:szCs w:val="20"/>
              </w:rPr>
              <w:t xml:space="preserve"> = 0.06. Models where </w:t>
            </w:r>
            <w:r w:rsidRPr="00621C69">
              <w:rPr>
                <w:rFonts w:ascii="Calibri" w:hAnsi="Calibri"/>
                <w:i/>
                <w:sz w:val="20"/>
                <w:szCs w:val="20"/>
              </w:rPr>
              <w:t>Δ</w:t>
            </w:r>
            <w:r w:rsidRPr="00621C69">
              <w:rPr>
                <w:rFonts w:ascii="Calibri" w:hAnsi="Calibri"/>
                <w:i/>
                <w:sz w:val="20"/>
                <w:szCs w:val="20"/>
                <w:vertAlign w:val="subscript"/>
              </w:rPr>
              <w:t xml:space="preserve">AIC </w:t>
            </w:r>
            <w:r w:rsidRPr="00621C69">
              <w:rPr>
                <w:rFonts w:ascii="Calibri" w:hAnsi="Calibri"/>
                <w:sz w:val="20"/>
                <w:szCs w:val="20"/>
              </w:rPr>
              <w:t>&lt; 4 = 49 of 512</w:t>
            </w:r>
          </w:p>
        </w:tc>
      </w:tr>
      <w:tr w:rsidR="00490E27" w:rsidRPr="00621C69" w:rsidTr="004B55E1">
        <w:tc>
          <w:tcPr>
            <w:tcW w:w="1242" w:type="dxa"/>
          </w:tcPr>
          <w:p w:rsidR="00490E27" w:rsidRPr="00621C69" w:rsidRDefault="00490E27" w:rsidP="004B55E1">
            <w:pPr>
              <w:jc w:val="both"/>
              <w:rPr>
                <w:sz w:val="20"/>
                <w:szCs w:val="20"/>
              </w:rPr>
            </w:pPr>
            <w:r w:rsidRPr="00621C69">
              <w:rPr>
                <w:sz w:val="20"/>
                <w:szCs w:val="20"/>
              </w:rPr>
              <w:t>Importance</w:t>
            </w:r>
          </w:p>
        </w:tc>
        <w:tc>
          <w:tcPr>
            <w:tcW w:w="851" w:type="dxa"/>
            <w:tcBorders>
              <w:right w:val="dotted" w:sz="4" w:space="0" w:color="auto"/>
            </w:tcBorders>
          </w:tcPr>
          <w:p w:rsidR="00490E27" w:rsidRPr="00621C69" w:rsidRDefault="00490E27" w:rsidP="004B55E1">
            <w:pPr>
              <w:jc w:val="center"/>
              <w:rPr>
                <w:sz w:val="20"/>
                <w:szCs w:val="20"/>
              </w:rPr>
            </w:pPr>
            <w:r w:rsidRPr="00621C69">
              <w:rPr>
                <w:sz w:val="20"/>
                <w:szCs w:val="20"/>
              </w:rPr>
              <w:t>0.35</w:t>
            </w:r>
          </w:p>
        </w:tc>
        <w:tc>
          <w:tcPr>
            <w:tcW w:w="1701"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0.04</w:t>
            </w:r>
          </w:p>
        </w:tc>
        <w:tc>
          <w:tcPr>
            <w:tcW w:w="992" w:type="dxa"/>
            <w:tcBorders>
              <w:left w:val="dotted" w:sz="4" w:space="0" w:color="auto"/>
            </w:tcBorders>
          </w:tcPr>
          <w:p w:rsidR="00490E27" w:rsidRPr="00621C69" w:rsidRDefault="00490E27" w:rsidP="004B55E1">
            <w:pPr>
              <w:jc w:val="center"/>
              <w:rPr>
                <w:sz w:val="20"/>
                <w:szCs w:val="20"/>
              </w:rPr>
            </w:pPr>
            <w:r w:rsidRPr="00621C69">
              <w:rPr>
                <w:sz w:val="20"/>
                <w:szCs w:val="20"/>
              </w:rPr>
              <w:t>0.22</w:t>
            </w:r>
          </w:p>
        </w:tc>
        <w:tc>
          <w:tcPr>
            <w:tcW w:w="1134" w:type="dxa"/>
            <w:tcBorders>
              <w:right w:val="dotted" w:sz="4" w:space="0" w:color="auto"/>
            </w:tcBorders>
          </w:tcPr>
          <w:p w:rsidR="00490E27" w:rsidRPr="00621C69" w:rsidRDefault="00490E27" w:rsidP="004B55E1">
            <w:pPr>
              <w:jc w:val="center"/>
              <w:rPr>
                <w:sz w:val="20"/>
                <w:szCs w:val="20"/>
              </w:rPr>
            </w:pPr>
            <w:r w:rsidRPr="00621C69">
              <w:rPr>
                <w:sz w:val="20"/>
                <w:szCs w:val="20"/>
              </w:rPr>
              <w:t>0.36</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0.21</w:t>
            </w:r>
          </w:p>
        </w:tc>
        <w:tc>
          <w:tcPr>
            <w:tcW w:w="1418" w:type="dxa"/>
            <w:tcBorders>
              <w:left w:val="dotted" w:sz="4" w:space="0" w:color="auto"/>
            </w:tcBorders>
          </w:tcPr>
          <w:p w:rsidR="00490E27" w:rsidRPr="00621C69" w:rsidRDefault="00490E27" w:rsidP="004B55E1">
            <w:pPr>
              <w:jc w:val="center"/>
              <w:rPr>
                <w:sz w:val="20"/>
                <w:szCs w:val="20"/>
              </w:rPr>
            </w:pPr>
            <w:r w:rsidRPr="00621C69">
              <w:rPr>
                <w:sz w:val="20"/>
                <w:szCs w:val="20"/>
              </w:rPr>
              <w:t>0.01</w:t>
            </w:r>
          </w:p>
        </w:tc>
        <w:tc>
          <w:tcPr>
            <w:tcW w:w="2126" w:type="dxa"/>
            <w:gridSpan w:val="2"/>
            <w:tcBorders>
              <w:right w:val="dotted" w:sz="4" w:space="0" w:color="auto"/>
            </w:tcBorders>
          </w:tcPr>
          <w:p w:rsidR="00490E27" w:rsidRPr="00621C69" w:rsidRDefault="00490E27" w:rsidP="004B55E1">
            <w:pPr>
              <w:jc w:val="center"/>
              <w:rPr>
                <w:sz w:val="20"/>
                <w:szCs w:val="20"/>
              </w:rPr>
            </w:pPr>
            <w:r w:rsidRPr="00621C69">
              <w:rPr>
                <w:sz w:val="20"/>
                <w:szCs w:val="20"/>
              </w:rPr>
              <w:t>0.21</w:t>
            </w:r>
          </w:p>
        </w:tc>
        <w:tc>
          <w:tcPr>
            <w:tcW w:w="2126" w:type="dxa"/>
            <w:gridSpan w:val="2"/>
            <w:tcBorders>
              <w:left w:val="dotted" w:sz="4" w:space="0" w:color="auto"/>
            </w:tcBorders>
          </w:tcPr>
          <w:p w:rsidR="00490E27" w:rsidRPr="00621C69" w:rsidRDefault="00490E27" w:rsidP="004B55E1">
            <w:pPr>
              <w:jc w:val="center"/>
              <w:rPr>
                <w:sz w:val="20"/>
                <w:szCs w:val="20"/>
              </w:rPr>
            </w:pPr>
            <w:r w:rsidRPr="00621C69">
              <w:rPr>
                <w:sz w:val="20"/>
                <w:szCs w:val="20"/>
              </w:rPr>
              <w:t>0.21</w:t>
            </w:r>
          </w:p>
        </w:tc>
        <w:tc>
          <w:tcPr>
            <w:tcW w:w="1418" w:type="dxa"/>
          </w:tcPr>
          <w:p w:rsidR="00490E27" w:rsidRPr="00621C69" w:rsidRDefault="00490E27" w:rsidP="004B55E1">
            <w:pPr>
              <w:jc w:val="center"/>
              <w:rPr>
                <w:sz w:val="20"/>
                <w:szCs w:val="20"/>
              </w:rPr>
            </w:pPr>
            <w:r w:rsidRPr="00621C69">
              <w:rPr>
                <w:sz w:val="20"/>
                <w:szCs w:val="20"/>
              </w:rPr>
              <w:t>0.17</w:t>
            </w:r>
          </w:p>
        </w:tc>
      </w:tr>
      <w:tr w:rsidR="00490E27" w:rsidRPr="00621C69" w:rsidTr="004B55E1">
        <w:tc>
          <w:tcPr>
            <w:tcW w:w="1242" w:type="dxa"/>
          </w:tcPr>
          <w:p w:rsidR="00490E27" w:rsidRPr="00621C69" w:rsidRDefault="00490E27" w:rsidP="004B55E1">
            <w:pPr>
              <w:jc w:val="both"/>
              <w:rPr>
                <w:sz w:val="20"/>
                <w:szCs w:val="20"/>
              </w:rPr>
            </w:pPr>
            <w:proofErr w:type="spellStart"/>
            <w:r w:rsidRPr="00621C69">
              <w:rPr>
                <w:sz w:val="20"/>
                <w:szCs w:val="20"/>
              </w:rPr>
              <w:t>Param</w:t>
            </w:r>
            <w:proofErr w:type="spellEnd"/>
            <w:r w:rsidRPr="00621C69">
              <w:rPr>
                <w:sz w:val="20"/>
                <w:szCs w:val="20"/>
              </w:rPr>
              <w:t>.  est.</w:t>
            </w:r>
          </w:p>
        </w:tc>
        <w:tc>
          <w:tcPr>
            <w:tcW w:w="851" w:type="dxa"/>
            <w:tcBorders>
              <w:right w:val="dotted" w:sz="4" w:space="0" w:color="auto"/>
            </w:tcBorders>
          </w:tcPr>
          <w:p w:rsidR="00490E27" w:rsidRPr="00621C69" w:rsidRDefault="00490E27" w:rsidP="004B55E1">
            <w:pPr>
              <w:jc w:val="center"/>
              <w:rPr>
                <w:sz w:val="20"/>
                <w:szCs w:val="20"/>
              </w:rPr>
            </w:pPr>
            <w:r w:rsidRPr="00621C69">
              <w:rPr>
                <w:sz w:val="20"/>
                <w:szCs w:val="20"/>
              </w:rPr>
              <w:t>0.07</w:t>
            </w:r>
          </w:p>
        </w:tc>
        <w:tc>
          <w:tcPr>
            <w:tcW w:w="1701"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4.96;4.07;4.64</w:t>
            </w:r>
          </w:p>
        </w:tc>
        <w:tc>
          <w:tcPr>
            <w:tcW w:w="992" w:type="dxa"/>
            <w:tcBorders>
              <w:left w:val="dotted" w:sz="4" w:space="0" w:color="auto"/>
            </w:tcBorders>
          </w:tcPr>
          <w:p w:rsidR="00490E27" w:rsidRPr="00621C69" w:rsidRDefault="00490E27" w:rsidP="004B55E1">
            <w:pPr>
              <w:jc w:val="center"/>
              <w:rPr>
                <w:sz w:val="20"/>
                <w:szCs w:val="20"/>
              </w:rPr>
            </w:pPr>
            <w:r w:rsidRPr="00621C69">
              <w:rPr>
                <w:sz w:val="20"/>
                <w:szCs w:val="20"/>
              </w:rPr>
              <w:t>-0.05</w:t>
            </w:r>
          </w:p>
        </w:tc>
        <w:tc>
          <w:tcPr>
            <w:tcW w:w="1134" w:type="dxa"/>
            <w:tcBorders>
              <w:right w:val="dotted" w:sz="4" w:space="0" w:color="auto"/>
            </w:tcBorders>
          </w:tcPr>
          <w:p w:rsidR="00490E27" w:rsidRPr="00621C69" w:rsidRDefault="00490E27" w:rsidP="004B55E1">
            <w:pPr>
              <w:jc w:val="center"/>
              <w:rPr>
                <w:sz w:val="20"/>
                <w:szCs w:val="20"/>
              </w:rPr>
            </w:pPr>
            <w:r w:rsidRPr="00621C69">
              <w:rPr>
                <w:sz w:val="20"/>
                <w:szCs w:val="20"/>
              </w:rPr>
              <w:t>0.06</w:t>
            </w:r>
          </w:p>
        </w:tc>
        <w:tc>
          <w:tcPr>
            <w:tcW w:w="1134"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0.05</w:t>
            </w:r>
          </w:p>
        </w:tc>
        <w:tc>
          <w:tcPr>
            <w:tcW w:w="1418" w:type="dxa"/>
            <w:tcBorders>
              <w:left w:val="dotted" w:sz="4" w:space="0" w:color="auto"/>
            </w:tcBorders>
          </w:tcPr>
          <w:p w:rsidR="00490E27" w:rsidRPr="00621C69" w:rsidRDefault="00490E27" w:rsidP="004B55E1">
            <w:pPr>
              <w:jc w:val="center"/>
              <w:rPr>
                <w:sz w:val="20"/>
                <w:szCs w:val="20"/>
              </w:rPr>
            </w:pPr>
            <w:r w:rsidRPr="00621C69">
              <w:rPr>
                <w:sz w:val="20"/>
                <w:szCs w:val="20"/>
              </w:rPr>
              <w:t>4.64;5.12;4.53</w:t>
            </w:r>
          </w:p>
        </w:tc>
        <w:tc>
          <w:tcPr>
            <w:tcW w:w="2126" w:type="dxa"/>
            <w:gridSpan w:val="2"/>
            <w:tcBorders>
              <w:right w:val="dotted" w:sz="4" w:space="0" w:color="auto"/>
            </w:tcBorders>
          </w:tcPr>
          <w:p w:rsidR="00490E27" w:rsidRPr="00621C69" w:rsidRDefault="00490E27" w:rsidP="004B55E1">
            <w:pPr>
              <w:jc w:val="center"/>
              <w:rPr>
                <w:sz w:val="20"/>
                <w:szCs w:val="20"/>
              </w:rPr>
            </w:pPr>
            <w:r w:rsidRPr="00621C69">
              <w:rPr>
                <w:sz w:val="20"/>
                <w:szCs w:val="20"/>
              </w:rPr>
              <w:t>0.07</w:t>
            </w:r>
          </w:p>
        </w:tc>
        <w:tc>
          <w:tcPr>
            <w:tcW w:w="2126" w:type="dxa"/>
            <w:gridSpan w:val="2"/>
            <w:tcBorders>
              <w:left w:val="dotted" w:sz="4" w:space="0" w:color="auto"/>
            </w:tcBorders>
          </w:tcPr>
          <w:p w:rsidR="00490E27" w:rsidRPr="00621C69" w:rsidRDefault="00490E27" w:rsidP="004B55E1">
            <w:pPr>
              <w:jc w:val="center"/>
              <w:rPr>
                <w:sz w:val="20"/>
                <w:szCs w:val="20"/>
              </w:rPr>
            </w:pPr>
            <w:r w:rsidRPr="00621C69">
              <w:rPr>
                <w:sz w:val="20"/>
                <w:szCs w:val="20"/>
              </w:rPr>
              <w:t>0.06</w:t>
            </w:r>
          </w:p>
        </w:tc>
        <w:tc>
          <w:tcPr>
            <w:tcW w:w="1418" w:type="dxa"/>
          </w:tcPr>
          <w:p w:rsidR="00490E27" w:rsidRPr="00621C69" w:rsidRDefault="00490E27" w:rsidP="004B55E1">
            <w:pPr>
              <w:jc w:val="center"/>
              <w:rPr>
                <w:sz w:val="20"/>
                <w:szCs w:val="20"/>
              </w:rPr>
            </w:pPr>
            <w:r w:rsidRPr="00621C69">
              <w:rPr>
                <w:sz w:val="20"/>
                <w:szCs w:val="20"/>
              </w:rPr>
              <w:t>4.64;4.81</w:t>
            </w:r>
          </w:p>
        </w:tc>
      </w:tr>
      <w:tr w:rsidR="00490E27" w:rsidRPr="00621C69" w:rsidTr="004B55E1">
        <w:tc>
          <w:tcPr>
            <w:tcW w:w="14142" w:type="dxa"/>
            <w:gridSpan w:val="12"/>
          </w:tcPr>
          <w:p w:rsidR="00490E27" w:rsidRPr="00621C69" w:rsidRDefault="00490E27" w:rsidP="004B55E1">
            <w:pPr>
              <w:jc w:val="both"/>
              <w:rPr>
                <w:sz w:val="20"/>
                <w:szCs w:val="20"/>
              </w:rPr>
            </w:pPr>
          </w:p>
        </w:tc>
      </w:tr>
      <w:tr w:rsidR="00490E27" w:rsidRPr="00621C69" w:rsidTr="004B55E1">
        <w:tc>
          <w:tcPr>
            <w:tcW w:w="1242" w:type="dxa"/>
          </w:tcPr>
          <w:p w:rsidR="00490E27" w:rsidRPr="00621C69" w:rsidRDefault="00490E27" w:rsidP="004B55E1">
            <w:pPr>
              <w:jc w:val="center"/>
              <w:rPr>
                <w:b/>
                <w:sz w:val="20"/>
                <w:szCs w:val="20"/>
              </w:rPr>
            </w:pPr>
            <w:r w:rsidRPr="00621C69">
              <w:rPr>
                <w:b/>
                <w:sz w:val="20"/>
                <w:szCs w:val="20"/>
              </w:rPr>
              <w:t>Variable</w:t>
            </w:r>
          </w:p>
        </w:tc>
        <w:tc>
          <w:tcPr>
            <w:tcW w:w="851" w:type="dxa"/>
            <w:tcBorders>
              <w:right w:val="dotted" w:sz="4" w:space="0" w:color="auto"/>
            </w:tcBorders>
          </w:tcPr>
          <w:p w:rsidR="00490E27" w:rsidRPr="00621C69" w:rsidRDefault="00490E27" w:rsidP="004B55E1">
            <w:pPr>
              <w:jc w:val="center"/>
              <w:rPr>
                <w:b/>
                <w:sz w:val="20"/>
                <w:szCs w:val="20"/>
              </w:rPr>
            </w:pPr>
            <w:r w:rsidRPr="00621C69">
              <w:rPr>
                <w:b/>
                <w:sz w:val="20"/>
                <w:szCs w:val="20"/>
              </w:rPr>
              <w:t>ALC</w:t>
            </w:r>
          </w:p>
        </w:tc>
        <w:tc>
          <w:tcPr>
            <w:tcW w:w="1701" w:type="dxa"/>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Soil*</w:t>
            </w:r>
          </w:p>
          <w:p w:rsidR="00490E27" w:rsidRPr="00621C69" w:rsidRDefault="00490E27" w:rsidP="004B55E1">
            <w:pPr>
              <w:jc w:val="center"/>
              <w:rPr>
                <w:b/>
                <w:sz w:val="20"/>
                <w:szCs w:val="20"/>
              </w:rPr>
            </w:pPr>
            <w:proofErr w:type="spellStart"/>
            <w:r w:rsidRPr="00621C69">
              <w:rPr>
                <w:b/>
                <w:sz w:val="20"/>
                <w:szCs w:val="20"/>
              </w:rPr>
              <w:t>Light;Med;Heavy</w:t>
            </w:r>
            <w:proofErr w:type="spellEnd"/>
          </w:p>
        </w:tc>
        <w:tc>
          <w:tcPr>
            <w:tcW w:w="992" w:type="dxa"/>
            <w:tcBorders>
              <w:left w:val="dotted" w:sz="4" w:space="0" w:color="auto"/>
            </w:tcBorders>
          </w:tcPr>
          <w:p w:rsidR="00490E27" w:rsidRPr="00621C69" w:rsidRDefault="00490E27" w:rsidP="004B55E1">
            <w:pPr>
              <w:jc w:val="center"/>
              <w:rPr>
                <w:b/>
                <w:sz w:val="20"/>
                <w:szCs w:val="20"/>
              </w:rPr>
            </w:pPr>
            <w:r w:rsidRPr="00621C69">
              <w:rPr>
                <w:b/>
                <w:sz w:val="20"/>
                <w:szCs w:val="20"/>
              </w:rPr>
              <w:t>Shelter</w:t>
            </w:r>
          </w:p>
        </w:tc>
        <w:tc>
          <w:tcPr>
            <w:tcW w:w="1134" w:type="dxa"/>
            <w:tcBorders>
              <w:right w:val="dotted" w:sz="4" w:space="0" w:color="auto"/>
            </w:tcBorders>
          </w:tcPr>
          <w:p w:rsidR="00490E27" w:rsidRPr="00621C69" w:rsidRDefault="00490E27" w:rsidP="004B55E1">
            <w:pPr>
              <w:jc w:val="center"/>
              <w:rPr>
                <w:b/>
                <w:sz w:val="20"/>
                <w:szCs w:val="20"/>
              </w:rPr>
            </w:pPr>
            <w:r w:rsidRPr="00621C69">
              <w:rPr>
                <w:b/>
                <w:sz w:val="20"/>
                <w:szCs w:val="20"/>
              </w:rPr>
              <w:t>Experience</w:t>
            </w:r>
          </w:p>
        </w:tc>
        <w:tc>
          <w:tcPr>
            <w:tcW w:w="1134" w:type="dxa"/>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Concerns</w:t>
            </w:r>
          </w:p>
        </w:tc>
        <w:tc>
          <w:tcPr>
            <w:tcW w:w="1418" w:type="dxa"/>
            <w:tcBorders>
              <w:left w:val="dotted" w:sz="4" w:space="0" w:color="auto"/>
            </w:tcBorders>
          </w:tcPr>
          <w:p w:rsidR="00490E27" w:rsidRPr="00621C69" w:rsidRDefault="00490E27" w:rsidP="004B55E1">
            <w:pPr>
              <w:jc w:val="center"/>
              <w:rPr>
                <w:b/>
                <w:sz w:val="20"/>
                <w:szCs w:val="20"/>
              </w:rPr>
            </w:pPr>
            <w:r w:rsidRPr="00621C69">
              <w:rPr>
                <w:b/>
                <w:sz w:val="20"/>
                <w:szCs w:val="20"/>
              </w:rPr>
              <w:t>Motivation*</w:t>
            </w:r>
          </w:p>
          <w:p w:rsidR="00490E27" w:rsidRPr="00621C69" w:rsidRDefault="00490E27" w:rsidP="004B55E1">
            <w:pPr>
              <w:jc w:val="center"/>
              <w:rPr>
                <w:b/>
                <w:sz w:val="20"/>
                <w:szCs w:val="20"/>
              </w:rPr>
            </w:pPr>
            <w:r w:rsidRPr="00621C69">
              <w:rPr>
                <w:b/>
                <w:sz w:val="20"/>
                <w:szCs w:val="20"/>
              </w:rPr>
              <w:t>1;2;3</w:t>
            </w:r>
          </w:p>
        </w:tc>
        <w:tc>
          <w:tcPr>
            <w:tcW w:w="1417" w:type="dxa"/>
            <w:tcBorders>
              <w:right w:val="dotted" w:sz="4" w:space="0" w:color="auto"/>
            </w:tcBorders>
          </w:tcPr>
          <w:p w:rsidR="00490E27" w:rsidRPr="00621C69" w:rsidRDefault="00490E27" w:rsidP="004B55E1">
            <w:pPr>
              <w:jc w:val="center"/>
              <w:rPr>
                <w:b/>
                <w:sz w:val="20"/>
                <w:szCs w:val="20"/>
              </w:rPr>
            </w:pPr>
            <w:r w:rsidRPr="00621C69">
              <w:rPr>
                <w:b/>
                <w:sz w:val="20"/>
                <w:szCs w:val="20"/>
              </w:rPr>
              <w:t>Spring max. temperature</w:t>
            </w:r>
          </w:p>
        </w:tc>
        <w:tc>
          <w:tcPr>
            <w:tcW w:w="1418" w:type="dxa"/>
            <w:gridSpan w:val="2"/>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Summer max. temperature</w:t>
            </w:r>
          </w:p>
        </w:tc>
        <w:tc>
          <w:tcPr>
            <w:tcW w:w="1417" w:type="dxa"/>
            <w:tcBorders>
              <w:left w:val="dotted" w:sz="4" w:space="0" w:color="auto"/>
            </w:tcBorders>
          </w:tcPr>
          <w:p w:rsidR="00490E27" w:rsidRPr="00621C69" w:rsidRDefault="00490E27" w:rsidP="004B55E1">
            <w:pPr>
              <w:jc w:val="center"/>
              <w:rPr>
                <w:b/>
                <w:sz w:val="20"/>
                <w:szCs w:val="20"/>
              </w:rPr>
            </w:pPr>
            <w:r w:rsidRPr="00621C69">
              <w:rPr>
                <w:b/>
                <w:sz w:val="20"/>
                <w:szCs w:val="20"/>
              </w:rPr>
              <w:t>Autumn max. temperature</w:t>
            </w:r>
          </w:p>
        </w:tc>
        <w:tc>
          <w:tcPr>
            <w:tcW w:w="1418" w:type="dxa"/>
          </w:tcPr>
          <w:p w:rsidR="00490E27" w:rsidRPr="00621C69" w:rsidRDefault="00490E27" w:rsidP="004B55E1">
            <w:pPr>
              <w:jc w:val="center"/>
              <w:rPr>
                <w:b/>
                <w:sz w:val="20"/>
                <w:szCs w:val="20"/>
              </w:rPr>
            </w:pPr>
            <w:r w:rsidRPr="00621C69">
              <w:rPr>
                <w:b/>
                <w:sz w:val="20"/>
                <w:szCs w:val="20"/>
              </w:rPr>
              <w:t>Region*</w:t>
            </w:r>
          </w:p>
          <w:p w:rsidR="00490E27" w:rsidRPr="00621C69" w:rsidRDefault="00490E27" w:rsidP="004B55E1">
            <w:pPr>
              <w:jc w:val="center"/>
              <w:rPr>
                <w:sz w:val="20"/>
                <w:szCs w:val="20"/>
              </w:rPr>
            </w:pPr>
            <w:r w:rsidRPr="00621C69">
              <w:rPr>
                <w:b/>
                <w:sz w:val="20"/>
                <w:szCs w:val="20"/>
              </w:rPr>
              <w:t>E;SW</w:t>
            </w:r>
          </w:p>
        </w:tc>
      </w:tr>
      <w:tr w:rsidR="00490E27" w:rsidRPr="00621C69" w:rsidTr="004B55E1">
        <w:tc>
          <w:tcPr>
            <w:tcW w:w="14142" w:type="dxa"/>
            <w:gridSpan w:val="12"/>
          </w:tcPr>
          <w:p w:rsidR="00490E27" w:rsidRPr="00621C69" w:rsidRDefault="00490E27" w:rsidP="004B55E1">
            <w:pPr>
              <w:ind w:firstLine="284"/>
              <w:jc w:val="both"/>
              <w:rPr>
                <w:sz w:val="20"/>
                <w:szCs w:val="20"/>
              </w:rPr>
            </w:pPr>
            <w:r w:rsidRPr="00621C69">
              <w:rPr>
                <w:sz w:val="20"/>
                <w:szCs w:val="20"/>
              </w:rPr>
              <w:t>Response = Seed weight. Marginal R</w:t>
            </w:r>
            <w:r w:rsidRPr="00621C69">
              <w:rPr>
                <w:sz w:val="20"/>
                <w:szCs w:val="20"/>
                <w:vertAlign w:val="superscript"/>
              </w:rPr>
              <w:t>2</w:t>
            </w:r>
            <w:r w:rsidRPr="00621C69">
              <w:rPr>
                <w:sz w:val="20"/>
                <w:szCs w:val="20"/>
              </w:rPr>
              <w:t xml:space="preserve"> = 0.21. Models where </w:t>
            </w:r>
            <w:r w:rsidRPr="00621C69">
              <w:rPr>
                <w:rFonts w:ascii="Calibri" w:hAnsi="Calibri"/>
                <w:i/>
                <w:sz w:val="20"/>
                <w:szCs w:val="20"/>
              </w:rPr>
              <w:t>Δ</w:t>
            </w:r>
            <w:r w:rsidRPr="00621C69">
              <w:rPr>
                <w:rFonts w:ascii="Calibri" w:hAnsi="Calibri"/>
                <w:i/>
                <w:sz w:val="20"/>
                <w:szCs w:val="20"/>
                <w:vertAlign w:val="subscript"/>
              </w:rPr>
              <w:t xml:space="preserve">AIC </w:t>
            </w:r>
            <w:r w:rsidRPr="00621C69">
              <w:rPr>
                <w:rFonts w:ascii="Calibri" w:hAnsi="Calibri"/>
                <w:sz w:val="20"/>
                <w:szCs w:val="20"/>
              </w:rPr>
              <w:t>&lt; 4 = 55 of 512</w:t>
            </w:r>
          </w:p>
        </w:tc>
      </w:tr>
      <w:tr w:rsidR="00490E27" w:rsidRPr="00621C69" w:rsidTr="004B55E1">
        <w:tc>
          <w:tcPr>
            <w:tcW w:w="1242" w:type="dxa"/>
          </w:tcPr>
          <w:p w:rsidR="00490E27" w:rsidRPr="00621C69" w:rsidRDefault="00490E27" w:rsidP="004B55E1">
            <w:pPr>
              <w:jc w:val="both"/>
              <w:rPr>
                <w:sz w:val="20"/>
                <w:szCs w:val="20"/>
              </w:rPr>
            </w:pPr>
            <w:r w:rsidRPr="00621C69">
              <w:rPr>
                <w:sz w:val="20"/>
                <w:szCs w:val="20"/>
              </w:rPr>
              <w:t>Importance</w:t>
            </w:r>
          </w:p>
        </w:tc>
        <w:tc>
          <w:tcPr>
            <w:tcW w:w="851" w:type="dxa"/>
            <w:tcBorders>
              <w:right w:val="dotted" w:sz="4" w:space="0" w:color="auto"/>
            </w:tcBorders>
          </w:tcPr>
          <w:p w:rsidR="00490E27" w:rsidRPr="00621C69" w:rsidRDefault="00490E27" w:rsidP="004B55E1">
            <w:pPr>
              <w:jc w:val="center"/>
              <w:rPr>
                <w:sz w:val="20"/>
                <w:szCs w:val="20"/>
              </w:rPr>
            </w:pPr>
            <w:r w:rsidRPr="00621C69">
              <w:rPr>
                <w:sz w:val="20"/>
                <w:szCs w:val="20"/>
              </w:rPr>
              <w:t>-</w:t>
            </w:r>
          </w:p>
        </w:tc>
        <w:tc>
          <w:tcPr>
            <w:tcW w:w="1701" w:type="dxa"/>
            <w:tcBorders>
              <w:left w:val="dotted" w:sz="4" w:space="0" w:color="auto"/>
              <w:right w:val="dotted" w:sz="4" w:space="0" w:color="auto"/>
            </w:tcBorders>
          </w:tcPr>
          <w:p w:rsidR="00490E27" w:rsidRPr="00621C69" w:rsidRDefault="00490E27" w:rsidP="004B55E1">
            <w:pPr>
              <w:tabs>
                <w:tab w:val="left" w:pos="530"/>
                <w:tab w:val="center" w:pos="742"/>
              </w:tabs>
              <w:rPr>
                <w:sz w:val="20"/>
                <w:szCs w:val="20"/>
              </w:rPr>
            </w:pPr>
            <w:r w:rsidRPr="00621C69">
              <w:rPr>
                <w:sz w:val="20"/>
                <w:szCs w:val="20"/>
              </w:rPr>
              <w:tab/>
            </w:r>
            <w:r w:rsidRPr="00621C69">
              <w:rPr>
                <w:sz w:val="20"/>
                <w:szCs w:val="20"/>
              </w:rPr>
              <w:tab/>
              <w:t>0.01</w:t>
            </w:r>
          </w:p>
        </w:tc>
        <w:tc>
          <w:tcPr>
            <w:tcW w:w="992" w:type="dxa"/>
            <w:tcBorders>
              <w:left w:val="dotted" w:sz="4" w:space="0" w:color="auto"/>
            </w:tcBorders>
          </w:tcPr>
          <w:p w:rsidR="00490E27" w:rsidRPr="00621C69" w:rsidRDefault="00490E27" w:rsidP="004B55E1">
            <w:pPr>
              <w:jc w:val="center"/>
              <w:rPr>
                <w:b/>
                <w:sz w:val="20"/>
                <w:szCs w:val="20"/>
              </w:rPr>
            </w:pPr>
            <w:r w:rsidRPr="00621C69">
              <w:rPr>
                <w:b/>
                <w:sz w:val="20"/>
                <w:szCs w:val="20"/>
              </w:rPr>
              <w:t>0.43</w:t>
            </w:r>
          </w:p>
        </w:tc>
        <w:tc>
          <w:tcPr>
            <w:tcW w:w="1134" w:type="dxa"/>
            <w:tcBorders>
              <w:right w:val="dotted" w:sz="4" w:space="0" w:color="auto"/>
            </w:tcBorders>
          </w:tcPr>
          <w:p w:rsidR="00490E27" w:rsidRPr="00621C69" w:rsidRDefault="00490E27" w:rsidP="004B55E1">
            <w:pPr>
              <w:jc w:val="center"/>
              <w:rPr>
                <w:b/>
                <w:sz w:val="20"/>
                <w:szCs w:val="20"/>
              </w:rPr>
            </w:pPr>
            <w:r w:rsidRPr="00621C69">
              <w:rPr>
                <w:b/>
                <w:sz w:val="20"/>
                <w:szCs w:val="20"/>
              </w:rPr>
              <w:t>0.7</w:t>
            </w:r>
          </w:p>
        </w:tc>
        <w:tc>
          <w:tcPr>
            <w:tcW w:w="1134" w:type="dxa"/>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0.74</w:t>
            </w:r>
          </w:p>
        </w:tc>
        <w:tc>
          <w:tcPr>
            <w:tcW w:w="1418" w:type="dxa"/>
            <w:tcBorders>
              <w:left w:val="dotted" w:sz="4" w:space="0" w:color="auto"/>
            </w:tcBorders>
          </w:tcPr>
          <w:p w:rsidR="00490E27" w:rsidRPr="00621C69" w:rsidRDefault="00490E27" w:rsidP="004B55E1">
            <w:pPr>
              <w:jc w:val="center"/>
              <w:rPr>
                <w:b/>
                <w:sz w:val="20"/>
                <w:szCs w:val="20"/>
              </w:rPr>
            </w:pPr>
            <w:r w:rsidRPr="00621C69">
              <w:rPr>
                <w:b/>
                <w:sz w:val="20"/>
                <w:szCs w:val="20"/>
              </w:rPr>
              <w:t>0.64</w:t>
            </w:r>
          </w:p>
        </w:tc>
        <w:tc>
          <w:tcPr>
            <w:tcW w:w="1417" w:type="dxa"/>
            <w:tcBorders>
              <w:right w:val="dotted" w:sz="4" w:space="0" w:color="auto"/>
            </w:tcBorders>
          </w:tcPr>
          <w:p w:rsidR="00490E27" w:rsidRPr="00621C69" w:rsidRDefault="00490E27" w:rsidP="004B55E1">
            <w:pPr>
              <w:jc w:val="center"/>
              <w:rPr>
                <w:sz w:val="20"/>
                <w:szCs w:val="20"/>
              </w:rPr>
            </w:pPr>
            <w:r w:rsidRPr="00621C69">
              <w:rPr>
                <w:sz w:val="20"/>
                <w:szCs w:val="20"/>
              </w:rPr>
              <w:t>0.15</w:t>
            </w:r>
          </w:p>
        </w:tc>
        <w:tc>
          <w:tcPr>
            <w:tcW w:w="1418" w:type="dxa"/>
            <w:gridSpan w:val="2"/>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0.71</w:t>
            </w:r>
          </w:p>
        </w:tc>
        <w:tc>
          <w:tcPr>
            <w:tcW w:w="1417" w:type="dxa"/>
            <w:tcBorders>
              <w:left w:val="dotted" w:sz="4" w:space="0" w:color="auto"/>
            </w:tcBorders>
          </w:tcPr>
          <w:p w:rsidR="00490E27" w:rsidRPr="00621C69" w:rsidRDefault="00490E27" w:rsidP="004B55E1">
            <w:pPr>
              <w:jc w:val="center"/>
              <w:rPr>
                <w:sz w:val="20"/>
                <w:szCs w:val="20"/>
              </w:rPr>
            </w:pPr>
            <w:r w:rsidRPr="00621C69">
              <w:rPr>
                <w:sz w:val="20"/>
                <w:szCs w:val="20"/>
              </w:rPr>
              <w:t>0.31</w:t>
            </w:r>
          </w:p>
        </w:tc>
        <w:tc>
          <w:tcPr>
            <w:tcW w:w="1418" w:type="dxa"/>
          </w:tcPr>
          <w:p w:rsidR="00490E27" w:rsidRPr="00621C69" w:rsidRDefault="00490E27" w:rsidP="004B55E1">
            <w:pPr>
              <w:jc w:val="center"/>
              <w:rPr>
                <w:sz w:val="20"/>
                <w:szCs w:val="20"/>
              </w:rPr>
            </w:pPr>
            <w:r w:rsidRPr="00621C69">
              <w:rPr>
                <w:sz w:val="20"/>
                <w:szCs w:val="20"/>
              </w:rPr>
              <w:t>0.19</w:t>
            </w:r>
          </w:p>
        </w:tc>
      </w:tr>
      <w:tr w:rsidR="00490E27" w:rsidRPr="00621C69" w:rsidTr="004B55E1">
        <w:tc>
          <w:tcPr>
            <w:tcW w:w="1242" w:type="dxa"/>
          </w:tcPr>
          <w:p w:rsidR="00490E27" w:rsidRPr="00621C69" w:rsidRDefault="00490E27" w:rsidP="004B55E1">
            <w:pPr>
              <w:jc w:val="both"/>
              <w:rPr>
                <w:sz w:val="20"/>
                <w:szCs w:val="20"/>
              </w:rPr>
            </w:pPr>
            <w:proofErr w:type="spellStart"/>
            <w:r w:rsidRPr="00621C69">
              <w:rPr>
                <w:sz w:val="20"/>
                <w:szCs w:val="20"/>
              </w:rPr>
              <w:t>Param</w:t>
            </w:r>
            <w:proofErr w:type="spellEnd"/>
            <w:r w:rsidRPr="00621C69">
              <w:rPr>
                <w:sz w:val="20"/>
                <w:szCs w:val="20"/>
              </w:rPr>
              <w:t>.  est.</w:t>
            </w:r>
          </w:p>
        </w:tc>
        <w:tc>
          <w:tcPr>
            <w:tcW w:w="851" w:type="dxa"/>
            <w:tcBorders>
              <w:right w:val="dotted" w:sz="4" w:space="0" w:color="auto"/>
            </w:tcBorders>
          </w:tcPr>
          <w:p w:rsidR="00490E27" w:rsidRPr="00621C69" w:rsidRDefault="00490E27" w:rsidP="004B55E1">
            <w:pPr>
              <w:jc w:val="center"/>
              <w:rPr>
                <w:sz w:val="20"/>
                <w:szCs w:val="20"/>
              </w:rPr>
            </w:pPr>
            <w:r w:rsidRPr="00621C69">
              <w:rPr>
                <w:sz w:val="20"/>
                <w:szCs w:val="20"/>
              </w:rPr>
              <w:t>-</w:t>
            </w:r>
          </w:p>
        </w:tc>
        <w:tc>
          <w:tcPr>
            <w:tcW w:w="1701" w:type="dxa"/>
            <w:tcBorders>
              <w:left w:val="dotted" w:sz="4" w:space="0" w:color="auto"/>
              <w:right w:val="dotted" w:sz="4" w:space="0" w:color="auto"/>
            </w:tcBorders>
          </w:tcPr>
          <w:p w:rsidR="00490E27" w:rsidRPr="00621C69" w:rsidRDefault="00490E27" w:rsidP="004B55E1">
            <w:pPr>
              <w:jc w:val="center"/>
              <w:rPr>
                <w:sz w:val="20"/>
                <w:szCs w:val="20"/>
              </w:rPr>
            </w:pPr>
            <w:r w:rsidRPr="00621C69">
              <w:rPr>
                <w:sz w:val="20"/>
                <w:szCs w:val="20"/>
              </w:rPr>
              <w:t>167;166;191</w:t>
            </w:r>
          </w:p>
        </w:tc>
        <w:tc>
          <w:tcPr>
            <w:tcW w:w="992" w:type="dxa"/>
            <w:tcBorders>
              <w:left w:val="dotted" w:sz="4" w:space="0" w:color="auto"/>
            </w:tcBorders>
          </w:tcPr>
          <w:p w:rsidR="00490E27" w:rsidRPr="00621C69" w:rsidRDefault="00490E27" w:rsidP="004B55E1">
            <w:pPr>
              <w:jc w:val="center"/>
              <w:rPr>
                <w:b/>
                <w:sz w:val="20"/>
                <w:szCs w:val="20"/>
              </w:rPr>
            </w:pPr>
            <w:r w:rsidRPr="00621C69">
              <w:rPr>
                <w:b/>
                <w:sz w:val="20"/>
                <w:szCs w:val="20"/>
              </w:rPr>
              <w:t>-11.5</w:t>
            </w:r>
          </w:p>
        </w:tc>
        <w:tc>
          <w:tcPr>
            <w:tcW w:w="1134" w:type="dxa"/>
            <w:tcBorders>
              <w:right w:val="dotted" w:sz="4" w:space="0" w:color="auto"/>
            </w:tcBorders>
          </w:tcPr>
          <w:p w:rsidR="00490E27" w:rsidRPr="00621C69" w:rsidRDefault="00490E27" w:rsidP="004B55E1">
            <w:pPr>
              <w:jc w:val="center"/>
              <w:rPr>
                <w:b/>
                <w:sz w:val="20"/>
                <w:szCs w:val="20"/>
              </w:rPr>
            </w:pPr>
            <w:r w:rsidRPr="00621C69">
              <w:rPr>
                <w:b/>
                <w:sz w:val="20"/>
                <w:szCs w:val="20"/>
              </w:rPr>
              <w:t>36.4</w:t>
            </w:r>
          </w:p>
        </w:tc>
        <w:tc>
          <w:tcPr>
            <w:tcW w:w="1134" w:type="dxa"/>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-35.1</w:t>
            </w:r>
          </w:p>
        </w:tc>
        <w:tc>
          <w:tcPr>
            <w:tcW w:w="1418" w:type="dxa"/>
            <w:tcBorders>
              <w:left w:val="dotted" w:sz="4" w:space="0" w:color="auto"/>
            </w:tcBorders>
          </w:tcPr>
          <w:p w:rsidR="00490E27" w:rsidRPr="00621C69" w:rsidRDefault="00490E27" w:rsidP="004B55E1">
            <w:pPr>
              <w:jc w:val="center"/>
              <w:rPr>
                <w:b/>
                <w:sz w:val="20"/>
                <w:szCs w:val="20"/>
              </w:rPr>
            </w:pPr>
            <w:r w:rsidRPr="00621C69">
              <w:rPr>
                <w:b/>
                <w:sz w:val="20"/>
                <w:szCs w:val="20"/>
              </w:rPr>
              <w:t>191;200;299</w:t>
            </w:r>
          </w:p>
        </w:tc>
        <w:tc>
          <w:tcPr>
            <w:tcW w:w="1417" w:type="dxa"/>
            <w:tcBorders>
              <w:right w:val="dotted" w:sz="4" w:space="0" w:color="auto"/>
            </w:tcBorders>
          </w:tcPr>
          <w:p w:rsidR="00490E27" w:rsidRPr="00621C69" w:rsidRDefault="00490E27" w:rsidP="004B55E1">
            <w:pPr>
              <w:jc w:val="center"/>
              <w:rPr>
                <w:sz w:val="20"/>
                <w:szCs w:val="20"/>
              </w:rPr>
            </w:pPr>
            <w:r w:rsidRPr="00621C69">
              <w:rPr>
                <w:sz w:val="20"/>
                <w:szCs w:val="20"/>
              </w:rPr>
              <w:t>-6.45</w:t>
            </w:r>
          </w:p>
        </w:tc>
        <w:tc>
          <w:tcPr>
            <w:tcW w:w="1418" w:type="dxa"/>
            <w:gridSpan w:val="2"/>
            <w:tcBorders>
              <w:left w:val="dotted" w:sz="4" w:space="0" w:color="auto"/>
              <w:right w:val="dotted" w:sz="4" w:space="0" w:color="auto"/>
            </w:tcBorders>
          </w:tcPr>
          <w:p w:rsidR="00490E27" w:rsidRPr="00621C69" w:rsidRDefault="00490E27" w:rsidP="004B55E1">
            <w:pPr>
              <w:jc w:val="center"/>
              <w:rPr>
                <w:b/>
                <w:sz w:val="20"/>
                <w:szCs w:val="20"/>
              </w:rPr>
            </w:pPr>
            <w:r w:rsidRPr="00621C69">
              <w:rPr>
                <w:b/>
                <w:sz w:val="20"/>
                <w:szCs w:val="20"/>
              </w:rPr>
              <w:t>46</w:t>
            </w:r>
          </w:p>
        </w:tc>
        <w:tc>
          <w:tcPr>
            <w:tcW w:w="1417" w:type="dxa"/>
            <w:tcBorders>
              <w:left w:val="dotted" w:sz="4" w:space="0" w:color="auto"/>
            </w:tcBorders>
          </w:tcPr>
          <w:p w:rsidR="00490E27" w:rsidRPr="00621C69" w:rsidRDefault="00490E27" w:rsidP="004B55E1">
            <w:pPr>
              <w:jc w:val="center"/>
              <w:rPr>
                <w:sz w:val="20"/>
                <w:szCs w:val="20"/>
              </w:rPr>
            </w:pPr>
            <w:r w:rsidRPr="00621C69">
              <w:rPr>
                <w:sz w:val="20"/>
                <w:szCs w:val="20"/>
              </w:rPr>
              <w:t>-35</w:t>
            </w:r>
          </w:p>
        </w:tc>
        <w:tc>
          <w:tcPr>
            <w:tcW w:w="1418" w:type="dxa"/>
          </w:tcPr>
          <w:p w:rsidR="00490E27" w:rsidRPr="00621C69" w:rsidRDefault="00490E27" w:rsidP="004B55E1">
            <w:pPr>
              <w:jc w:val="center"/>
              <w:rPr>
                <w:sz w:val="20"/>
                <w:szCs w:val="20"/>
              </w:rPr>
            </w:pPr>
            <w:r w:rsidRPr="00621C69">
              <w:rPr>
                <w:sz w:val="20"/>
                <w:szCs w:val="20"/>
              </w:rPr>
              <w:t>191;184</w:t>
            </w:r>
          </w:p>
        </w:tc>
      </w:tr>
    </w:tbl>
    <w:p w:rsidR="00490E27" w:rsidRPr="00621C69" w:rsidRDefault="00490E27" w:rsidP="004B55E1">
      <w:pPr>
        <w:spacing w:after="0" w:line="480" w:lineRule="auto"/>
        <w:jc w:val="both"/>
        <w:rPr>
          <w:sz w:val="24"/>
          <w:szCs w:val="24"/>
        </w:rPr>
      </w:pPr>
    </w:p>
    <w:p w:rsidR="00490E27" w:rsidRPr="00621C69" w:rsidRDefault="00490E27">
      <w:pPr>
        <w:rPr>
          <w:sz w:val="24"/>
          <w:szCs w:val="24"/>
        </w:rPr>
        <w:sectPr w:rsidR="00490E27" w:rsidRPr="00621C69" w:rsidSect="004B55E1">
          <w:pgSz w:w="16838" w:h="11906" w:orient="landscape"/>
          <w:pgMar w:top="1077" w:right="1440" w:bottom="1077" w:left="1440" w:header="709" w:footer="709" w:gutter="0"/>
          <w:lnNumType w:countBy="1" w:restart="continuous"/>
          <w:cols w:space="708"/>
          <w:docGrid w:linePitch="360"/>
        </w:sectPr>
      </w:pPr>
    </w:p>
    <w:p w:rsidR="00490E27" w:rsidRPr="00621C69" w:rsidRDefault="00490E27" w:rsidP="004B55E1">
      <w:pPr>
        <w:spacing w:after="0" w:line="480" w:lineRule="auto"/>
        <w:rPr>
          <w:b/>
          <w:sz w:val="24"/>
          <w:szCs w:val="24"/>
        </w:rPr>
      </w:pPr>
      <w:r w:rsidRPr="00621C69">
        <w:rPr>
          <w:b/>
          <w:sz w:val="24"/>
          <w:szCs w:val="24"/>
        </w:rPr>
        <w:lastRenderedPageBreak/>
        <w:t>Figure legends</w:t>
      </w:r>
    </w:p>
    <w:p w:rsidR="00490E27" w:rsidRPr="00621C69" w:rsidRDefault="00490E27" w:rsidP="004B55E1">
      <w:pPr>
        <w:spacing w:after="0" w:line="480" w:lineRule="auto"/>
        <w:rPr>
          <w:sz w:val="24"/>
          <w:szCs w:val="24"/>
        </w:rPr>
      </w:pPr>
    </w:p>
    <w:p w:rsidR="00490E27" w:rsidRPr="00621C69" w:rsidRDefault="00490E27" w:rsidP="004B55E1">
      <w:pPr>
        <w:spacing w:after="0" w:line="480" w:lineRule="auto"/>
        <w:rPr>
          <w:sz w:val="24"/>
          <w:szCs w:val="24"/>
        </w:rPr>
      </w:pPr>
      <w:proofErr w:type="gramStart"/>
      <w:r w:rsidRPr="00621C69">
        <w:rPr>
          <w:sz w:val="24"/>
          <w:szCs w:val="24"/>
        </w:rPr>
        <w:t>Fig. 1.</w:t>
      </w:r>
      <w:proofErr w:type="gramEnd"/>
      <w:r w:rsidRPr="00621C69">
        <w:rPr>
          <w:sz w:val="24"/>
          <w:szCs w:val="24"/>
        </w:rPr>
        <w:t xml:space="preserve"> Examples of relationships between the major habitat quality drivers and biodiversity outcomes (</w:t>
      </w:r>
      <w:r w:rsidR="00E219DA" w:rsidRPr="00621C69">
        <w:rPr>
          <w:sz w:val="24"/>
          <w:szCs w:val="24"/>
        </w:rPr>
        <w:t>see</w:t>
      </w:r>
      <w:r w:rsidRPr="00621C69">
        <w:rPr>
          <w:sz w:val="24"/>
          <w:szCs w:val="24"/>
        </w:rPr>
        <w:t xml:space="preserve"> all drivers in Table 1). Circles show raw data, solid lines the fitted relationship (from linear mixed models, so accounting for other drivers) and dotted lines ±1 standard error. </w:t>
      </w:r>
      <w:proofErr w:type="gramStart"/>
      <w:r w:rsidRPr="00621C69">
        <w:rPr>
          <w:sz w:val="24"/>
          <w:szCs w:val="24"/>
        </w:rPr>
        <w:t>a) Numbers of bumblebees, and b) Butterfly species richness as affected by the number of flowers.</w:t>
      </w:r>
      <w:proofErr w:type="gramEnd"/>
      <w:r w:rsidRPr="00621C69">
        <w:rPr>
          <w:sz w:val="24"/>
          <w:szCs w:val="24"/>
        </w:rPr>
        <w:t xml:space="preserve"> c) Numbers of seed-eating birds as affected by the weight of seeds. </w:t>
      </w:r>
      <w:r w:rsidR="00E219DA" w:rsidRPr="00621C69">
        <w:rPr>
          <w:sz w:val="24"/>
          <w:szCs w:val="24"/>
        </w:rPr>
        <w:t>T</w:t>
      </w:r>
      <w:r w:rsidRPr="00621C69">
        <w:rPr>
          <w:sz w:val="24"/>
          <w:szCs w:val="24"/>
        </w:rPr>
        <w:t>he unfilled circles in c) show large abundance values, which are, in order from left to right: 422, 485, 362, 223, 314 and 224.</w:t>
      </w:r>
    </w:p>
    <w:p w:rsidR="00490E27" w:rsidRPr="00621C69" w:rsidRDefault="00490E27" w:rsidP="004B55E1">
      <w:pPr>
        <w:spacing w:after="0" w:line="480" w:lineRule="auto"/>
        <w:rPr>
          <w:sz w:val="24"/>
          <w:szCs w:val="24"/>
        </w:rPr>
      </w:pPr>
    </w:p>
    <w:p w:rsidR="00490E27" w:rsidRPr="00621C69" w:rsidRDefault="00490E27" w:rsidP="004B55E1">
      <w:pPr>
        <w:spacing w:after="0" w:line="480" w:lineRule="auto"/>
        <w:rPr>
          <w:sz w:val="24"/>
          <w:szCs w:val="24"/>
        </w:rPr>
        <w:sectPr w:rsidR="00490E27" w:rsidRPr="00621C69" w:rsidSect="004B55E1">
          <w:pgSz w:w="11906" w:h="16838"/>
          <w:pgMar w:top="1440" w:right="1440" w:bottom="1440" w:left="1440" w:header="709" w:footer="709" w:gutter="0"/>
          <w:lnNumType w:countBy="1" w:restart="continuous"/>
          <w:cols w:space="708"/>
          <w:docGrid w:linePitch="360"/>
        </w:sectPr>
      </w:pPr>
      <w:proofErr w:type="gramStart"/>
      <w:r w:rsidRPr="00621C69">
        <w:rPr>
          <w:sz w:val="24"/>
          <w:szCs w:val="24"/>
        </w:rPr>
        <w:t>Fig. 2.</w:t>
      </w:r>
      <w:proofErr w:type="gramEnd"/>
      <w:r w:rsidRPr="00621C69">
        <w:rPr>
          <w:sz w:val="24"/>
          <w:szCs w:val="24"/>
        </w:rPr>
        <w:t xml:space="preserve"> Examples of relationships between the length and intensity of the farmer’</w:t>
      </w:r>
      <w:r w:rsidR="00C17340">
        <w:rPr>
          <w:sz w:val="24"/>
          <w:szCs w:val="24"/>
        </w:rPr>
        <w:t>s</w:t>
      </w:r>
      <w:r w:rsidRPr="00621C69">
        <w:rPr>
          <w:sz w:val="24"/>
          <w:szCs w:val="24"/>
        </w:rPr>
        <w:t xml:space="preserve"> previous experience of environmental management (from 1 none to 4 high) and habitat quality </w:t>
      </w:r>
      <w:r w:rsidR="00A76953" w:rsidRPr="00621C69">
        <w:rPr>
          <w:sz w:val="24"/>
          <w:szCs w:val="24"/>
        </w:rPr>
        <w:t xml:space="preserve">measures </w:t>
      </w:r>
      <w:r w:rsidRPr="00621C69">
        <w:rPr>
          <w:sz w:val="24"/>
          <w:szCs w:val="24"/>
        </w:rPr>
        <w:t xml:space="preserve">in </w:t>
      </w:r>
      <w:proofErr w:type="spellStart"/>
      <w:r w:rsidRPr="00621C69">
        <w:rPr>
          <w:sz w:val="24"/>
          <w:szCs w:val="24"/>
        </w:rPr>
        <w:t>agri</w:t>
      </w:r>
      <w:proofErr w:type="spellEnd"/>
      <w:r w:rsidRPr="00621C69">
        <w:rPr>
          <w:sz w:val="24"/>
          <w:szCs w:val="24"/>
        </w:rPr>
        <w:t>-environment strips (</w:t>
      </w:r>
      <w:r w:rsidR="00A76953" w:rsidRPr="00621C69">
        <w:rPr>
          <w:sz w:val="24"/>
          <w:szCs w:val="24"/>
        </w:rPr>
        <w:t>see</w:t>
      </w:r>
      <w:r w:rsidRPr="00621C69">
        <w:rPr>
          <w:sz w:val="24"/>
          <w:szCs w:val="24"/>
        </w:rPr>
        <w:t xml:space="preserve"> all drivers in Table 2). Circles show raw data, solid lines the fitted relationship (from linear mixed models, so accounting for other drivers) and dotted lines ±1 standard error of this fit. a) Number of flowers in a nectar flower strip. b) Weight of seeds in a wild bird seed strip. </w:t>
      </w:r>
      <w:r w:rsidR="00A76953" w:rsidRPr="00621C69">
        <w:rPr>
          <w:sz w:val="24"/>
          <w:szCs w:val="24"/>
        </w:rPr>
        <w:t>T</w:t>
      </w:r>
      <w:r w:rsidRPr="00621C69">
        <w:rPr>
          <w:sz w:val="24"/>
          <w:szCs w:val="24"/>
        </w:rPr>
        <w:t>he unfilled circles show large values, which are: in a) 9329 and 5218; and in b) 597 mg.</w:t>
      </w:r>
    </w:p>
    <w:p w:rsidR="00490E27" w:rsidRPr="00621C69" w:rsidRDefault="00490E27" w:rsidP="004B55E1">
      <w:pPr>
        <w:rPr>
          <w:sz w:val="24"/>
          <w:szCs w:val="24"/>
        </w:rPr>
      </w:pPr>
      <w:r w:rsidRPr="00621C69">
        <w:rPr>
          <w:sz w:val="24"/>
          <w:szCs w:val="24"/>
        </w:rPr>
        <w:lastRenderedPageBreak/>
        <w:t>Fig. 1</w:t>
      </w:r>
    </w:p>
    <w:p w:rsidR="00490E27" w:rsidRPr="00621C69" w:rsidRDefault="00490E27" w:rsidP="004B55E1">
      <w:pPr>
        <w:tabs>
          <w:tab w:val="left" w:pos="709"/>
          <w:tab w:val="left" w:pos="5103"/>
          <w:tab w:val="left" w:pos="9781"/>
        </w:tabs>
        <w:spacing w:after="0" w:line="480" w:lineRule="auto"/>
        <w:rPr>
          <w:sz w:val="24"/>
          <w:szCs w:val="24"/>
        </w:rPr>
      </w:pPr>
      <w:r w:rsidRPr="00621C69">
        <w:rPr>
          <w:noProof/>
          <w:sz w:val="24"/>
          <w:szCs w:val="24"/>
        </w:rPr>
        <w:drawing>
          <wp:anchor distT="0" distB="0" distL="114300" distR="114300" simplePos="0" relativeHeight="251659264" behindDoc="1" locked="0" layoutInCell="1" allowOverlap="1">
            <wp:simplePos x="0" y="0"/>
            <wp:positionH relativeFrom="column">
              <wp:posOffset>19050</wp:posOffset>
            </wp:positionH>
            <wp:positionV relativeFrom="paragraph">
              <wp:posOffset>251460</wp:posOffset>
            </wp:positionV>
            <wp:extent cx="2956560" cy="2371725"/>
            <wp:effectExtent l="19050" t="0" r="0" b="0"/>
            <wp:wrapTight wrapText="bothSides">
              <wp:wrapPolygon edited="0">
                <wp:start x="-139" y="0"/>
                <wp:lineTo x="-139" y="21513"/>
                <wp:lineTo x="21572" y="21513"/>
                <wp:lineTo x="21572" y="0"/>
                <wp:lineTo x="-139"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956560" cy="2371725"/>
                    </a:xfrm>
                    <a:prstGeom prst="rect">
                      <a:avLst/>
                    </a:prstGeom>
                    <a:noFill/>
                    <a:ln w="9525">
                      <a:noFill/>
                      <a:miter lim="800000"/>
                      <a:headEnd/>
                      <a:tailEnd/>
                    </a:ln>
                  </pic:spPr>
                </pic:pic>
              </a:graphicData>
            </a:graphic>
          </wp:anchor>
        </w:drawing>
      </w:r>
      <w:r w:rsidRPr="00621C69">
        <w:rPr>
          <w:noProof/>
          <w:sz w:val="24"/>
          <w:szCs w:val="24"/>
        </w:rPr>
        <w:drawing>
          <wp:anchor distT="0" distB="0" distL="114300" distR="114300" simplePos="0" relativeHeight="251660288" behindDoc="1" locked="0" layoutInCell="1" allowOverlap="1">
            <wp:simplePos x="0" y="0"/>
            <wp:positionH relativeFrom="column">
              <wp:posOffset>2882900</wp:posOffset>
            </wp:positionH>
            <wp:positionV relativeFrom="paragraph">
              <wp:posOffset>251460</wp:posOffset>
            </wp:positionV>
            <wp:extent cx="2956560" cy="2371725"/>
            <wp:effectExtent l="19050" t="0" r="0" b="0"/>
            <wp:wrapTight wrapText="bothSides">
              <wp:wrapPolygon edited="0">
                <wp:start x="-139" y="0"/>
                <wp:lineTo x="-139" y="21513"/>
                <wp:lineTo x="21572" y="21513"/>
                <wp:lineTo x="21572" y="0"/>
                <wp:lineTo x="-139" y="0"/>
              </wp:wrapPolygon>
            </wp:wrapTight>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2956560" cy="2371725"/>
                    </a:xfrm>
                    <a:prstGeom prst="rect">
                      <a:avLst/>
                    </a:prstGeom>
                    <a:noFill/>
                    <a:ln w="9525">
                      <a:noFill/>
                      <a:miter lim="800000"/>
                      <a:headEnd/>
                      <a:tailEnd/>
                    </a:ln>
                  </pic:spPr>
                </pic:pic>
              </a:graphicData>
            </a:graphic>
          </wp:anchor>
        </w:drawing>
      </w:r>
      <w:r w:rsidRPr="00621C69">
        <w:rPr>
          <w:noProof/>
          <w:sz w:val="24"/>
          <w:szCs w:val="24"/>
        </w:rPr>
        <w:drawing>
          <wp:anchor distT="0" distB="0" distL="114300" distR="114300" simplePos="0" relativeHeight="251661312" behindDoc="1" locked="0" layoutInCell="1" allowOverlap="1">
            <wp:simplePos x="0" y="0"/>
            <wp:positionH relativeFrom="column">
              <wp:posOffset>5755005</wp:posOffset>
            </wp:positionH>
            <wp:positionV relativeFrom="paragraph">
              <wp:posOffset>251460</wp:posOffset>
            </wp:positionV>
            <wp:extent cx="2922270" cy="2371725"/>
            <wp:effectExtent l="19050" t="0" r="0" b="0"/>
            <wp:wrapTight wrapText="bothSides">
              <wp:wrapPolygon edited="0">
                <wp:start x="-141" y="0"/>
                <wp:lineTo x="-141" y="21513"/>
                <wp:lineTo x="21544" y="21513"/>
                <wp:lineTo x="21544" y="0"/>
                <wp:lineTo x="-141" y="0"/>
              </wp:wrapPolygon>
            </wp:wrapTight>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2922270" cy="2371725"/>
                    </a:xfrm>
                    <a:prstGeom prst="rect">
                      <a:avLst/>
                    </a:prstGeom>
                    <a:noFill/>
                    <a:ln w="9525">
                      <a:noFill/>
                      <a:miter lim="800000"/>
                      <a:headEnd/>
                      <a:tailEnd/>
                    </a:ln>
                  </pic:spPr>
                </pic:pic>
              </a:graphicData>
            </a:graphic>
          </wp:anchor>
        </w:drawing>
      </w:r>
      <w:r w:rsidRPr="00621C69">
        <w:rPr>
          <w:sz w:val="24"/>
          <w:szCs w:val="24"/>
        </w:rPr>
        <w:tab/>
      </w:r>
      <w:proofErr w:type="gramStart"/>
      <w:r w:rsidRPr="00621C69">
        <w:rPr>
          <w:sz w:val="24"/>
          <w:szCs w:val="24"/>
        </w:rPr>
        <w:t>a)</w:t>
      </w:r>
      <w:r w:rsidRPr="00621C69">
        <w:rPr>
          <w:sz w:val="24"/>
          <w:szCs w:val="24"/>
        </w:rPr>
        <w:tab/>
        <w:t>b)</w:t>
      </w:r>
      <w:r w:rsidRPr="00621C69">
        <w:rPr>
          <w:sz w:val="24"/>
          <w:szCs w:val="24"/>
        </w:rPr>
        <w:tab/>
        <w:t>c)</w:t>
      </w:r>
      <w:proofErr w:type="gramEnd"/>
      <w:r w:rsidRPr="00621C69">
        <w:rPr>
          <w:sz w:val="24"/>
          <w:szCs w:val="24"/>
        </w:rPr>
        <w:br w:type="page"/>
      </w:r>
    </w:p>
    <w:p w:rsidR="00490E27" w:rsidRPr="00621C69" w:rsidRDefault="00490E27" w:rsidP="004B55E1">
      <w:pPr>
        <w:rPr>
          <w:sz w:val="24"/>
          <w:szCs w:val="24"/>
        </w:rPr>
      </w:pPr>
      <w:r w:rsidRPr="00621C69">
        <w:rPr>
          <w:sz w:val="24"/>
          <w:szCs w:val="24"/>
        </w:rPr>
        <w:lastRenderedPageBreak/>
        <w:t xml:space="preserve">Fig. 2 </w:t>
      </w:r>
    </w:p>
    <w:p w:rsidR="00490E27" w:rsidRPr="00621C69" w:rsidRDefault="00490E27" w:rsidP="004B55E1">
      <w:pPr>
        <w:pStyle w:val="ListParagraph"/>
        <w:numPr>
          <w:ilvl w:val="0"/>
          <w:numId w:val="10"/>
        </w:numPr>
        <w:tabs>
          <w:tab w:val="left" w:pos="993"/>
          <w:tab w:val="left" w:pos="7655"/>
        </w:tabs>
        <w:rPr>
          <w:sz w:val="24"/>
          <w:szCs w:val="24"/>
        </w:rPr>
      </w:pPr>
      <w:r w:rsidRPr="00621C69">
        <w:rPr>
          <w:noProof/>
        </w:rPr>
        <w:drawing>
          <wp:anchor distT="0" distB="0" distL="114300" distR="114300" simplePos="0" relativeHeight="251662336" behindDoc="1" locked="0" layoutInCell="1" allowOverlap="1">
            <wp:simplePos x="0" y="0"/>
            <wp:positionH relativeFrom="column">
              <wp:posOffset>4288790</wp:posOffset>
            </wp:positionH>
            <wp:positionV relativeFrom="paragraph">
              <wp:posOffset>337820</wp:posOffset>
            </wp:positionV>
            <wp:extent cx="4233545" cy="3415665"/>
            <wp:effectExtent l="19050" t="0" r="0" b="0"/>
            <wp:wrapTight wrapText="bothSides">
              <wp:wrapPolygon edited="0">
                <wp:start x="-97" y="0"/>
                <wp:lineTo x="-97" y="21443"/>
                <wp:lineTo x="21577" y="21443"/>
                <wp:lineTo x="21577" y="0"/>
                <wp:lineTo x="-97" y="0"/>
              </wp:wrapPolygon>
            </wp:wrapTight>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4233545" cy="3415665"/>
                    </a:xfrm>
                    <a:prstGeom prst="rect">
                      <a:avLst/>
                    </a:prstGeom>
                    <a:noFill/>
                    <a:ln w="9525">
                      <a:noFill/>
                      <a:miter lim="800000"/>
                      <a:headEnd/>
                      <a:tailEnd/>
                    </a:ln>
                  </pic:spPr>
                </pic:pic>
              </a:graphicData>
            </a:graphic>
          </wp:anchor>
        </w:drawing>
      </w:r>
      <w:r w:rsidRPr="00621C69">
        <w:rPr>
          <w:sz w:val="24"/>
          <w:szCs w:val="24"/>
        </w:rPr>
        <w:t>b)</w:t>
      </w:r>
    </w:p>
    <w:p w:rsidR="00490E27" w:rsidRPr="00621C69" w:rsidRDefault="00490E27" w:rsidP="004B55E1">
      <w:pPr>
        <w:tabs>
          <w:tab w:val="left" w:pos="993"/>
          <w:tab w:val="left" w:pos="7655"/>
        </w:tabs>
        <w:rPr>
          <w:sz w:val="24"/>
          <w:szCs w:val="24"/>
        </w:rPr>
      </w:pPr>
      <w:r w:rsidRPr="00621C69">
        <w:rPr>
          <w:noProof/>
          <w:sz w:val="24"/>
          <w:szCs w:val="24"/>
        </w:rPr>
        <w:drawing>
          <wp:inline distT="0" distB="0" distL="0" distR="0">
            <wp:extent cx="4237831" cy="3420000"/>
            <wp:effectExtent l="1905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4237831" cy="3420000"/>
                    </a:xfrm>
                    <a:prstGeom prst="rect">
                      <a:avLst/>
                    </a:prstGeom>
                    <a:noFill/>
                    <a:ln w="9525">
                      <a:noFill/>
                      <a:miter lim="800000"/>
                      <a:headEnd/>
                      <a:tailEnd/>
                    </a:ln>
                  </pic:spPr>
                </pic:pic>
              </a:graphicData>
            </a:graphic>
          </wp:inline>
        </w:drawing>
      </w:r>
    </w:p>
    <w:p w:rsidR="00877223" w:rsidRPr="00621C69" w:rsidRDefault="00877223"/>
    <w:sectPr w:rsidR="00877223" w:rsidRPr="00621C69" w:rsidSect="004B55E1">
      <w:pgSz w:w="16838" w:h="11906" w:orient="landscape"/>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1E1" w:rsidRDefault="002F21E1" w:rsidP="008C6C0D">
      <w:pPr>
        <w:spacing w:after="0" w:line="240" w:lineRule="auto"/>
      </w:pPr>
      <w:r>
        <w:separator/>
      </w:r>
    </w:p>
  </w:endnote>
  <w:endnote w:type="continuationSeparator" w:id="0">
    <w:p w:rsidR="002F21E1" w:rsidRDefault="002F21E1" w:rsidP="008C6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altName w:val="Times New Roman"/>
    <w:panose1 w:val="020B0609020204030204"/>
    <w:charset w:val="00"/>
    <w:family w:val="modern"/>
    <w:pitch w:val="fixed"/>
    <w:sig w:usb0="E10002FF" w:usb1="4000FCFF" w:usb2="00000009" w:usb3="00000000" w:csb0="0000019F" w:csb1="00000000"/>
  </w:font>
  <w:font w:name="AdvP3549">
    <w:panose1 w:val="00000000000000000000"/>
    <w:charset w:val="00"/>
    <w:family w:val="swiss"/>
    <w:notTrueType/>
    <w:pitch w:val="default"/>
    <w:sig w:usb0="00000003" w:usb1="00000000" w:usb2="00000000" w:usb3="00000000" w:csb0="00000001" w:csb1="00000000"/>
  </w:font>
  <w:font w:name="TimesNR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9489"/>
      <w:docPartObj>
        <w:docPartGallery w:val="Page Numbers (Bottom of Page)"/>
        <w:docPartUnique/>
      </w:docPartObj>
    </w:sdtPr>
    <w:sdtContent>
      <w:p w:rsidR="00324DBE" w:rsidRDefault="00324DBE">
        <w:pPr>
          <w:pStyle w:val="Footer"/>
          <w:jc w:val="right"/>
        </w:pPr>
        <w:fldSimple w:instr=" PAGE   \* MERGEFORMAT ">
          <w:r w:rsidR="003A580F">
            <w:rPr>
              <w:noProof/>
            </w:rPr>
            <w:t>24</w:t>
          </w:r>
        </w:fldSimple>
      </w:p>
    </w:sdtContent>
  </w:sdt>
  <w:p w:rsidR="00324DBE" w:rsidRDefault="00324D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1E1" w:rsidRDefault="002F21E1" w:rsidP="008C6C0D">
      <w:pPr>
        <w:spacing w:after="0" w:line="240" w:lineRule="auto"/>
      </w:pPr>
      <w:r>
        <w:separator/>
      </w:r>
    </w:p>
  </w:footnote>
  <w:footnote w:type="continuationSeparator" w:id="0">
    <w:p w:rsidR="002F21E1" w:rsidRDefault="002F21E1" w:rsidP="008C6C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145D"/>
    <w:multiLevelType w:val="hybridMultilevel"/>
    <w:tmpl w:val="076AB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85467F"/>
    <w:multiLevelType w:val="hybridMultilevel"/>
    <w:tmpl w:val="896EEB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0C72A7"/>
    <w:multiLevelType w:val="hybridMultilevel"/>
    <w:tmpl w:val="ADBA3AC4"/>
    <w:lvl w:ilvl="0" w:tplc="BAC814AE">
      <w:start w:val="1"/>
      <w:numFmt w:val="lowerLetter"/>
      <w:lvlText w:val="%1)"/>
      <w:lvlJc w:val="left"/>
      <w:pPr>
        <w:ind w:left="7650" w:hanging="66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3">
    <w:nsid w:val="35472844"/>
    <w:multiLevelType w:val="hybridMultilevel"/>
    <w:tmpl w:val="79A08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62236E"/>
    <w:multiLevelType w:val="hybridMultilevel"/>
    <w:tmpl w:val="B532E9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CD12685"/>
    <w:multiLevelType w:val="hybridMultilevel"/>
    <w:tmpl w:val="7CD21BF4"/>
    <w:lvl w:ilvl="0" w:tplc="B3565EE2">
      <w:start w:val="1"/>
      <w:numFmt w:val="lowerLetter"/>
      <w:lvlText w:val="%1)"/>
      <w:lvlJc w:val="left"/>
      <w:pPr>
        <w:ind w:left="10440" w:hanging="360"/>
      </w:pPr>
      <w:rPr>
        <w:rFonts w:hint="default"/>
      </w:rPr>
    </w:lvl>
    <w:lvl w:ilvl="1" w:tplc="08090019" w:tentative="1">
      <w:start w:val="1"/>
      <w:numFmt w:val="lowerLetter"/>
      <w:lvlText w:val="%2."/>
      <w:lvlJc w:val="left"/>
      <w:pPr>
        <w:ind w:left="11160" w:hanging="360"/>
      </w:pPr>
    </w:lvl>
    <w:lvl w:ilvl="2" w:tplc="0809001B" w:tentative="1">
      <w:start w:val="1"/>
      <w:numFmt w:val="lowerRoman"/>
      <w:lvlText w:val="%3."/>
      <w:lvlJc w:val="right"/>
      <w:pPr>
        <w:ind w:left="11880" w:hanging="180"/>
      </w:pPr>
    </w:lvl>
    <w:lvl w:ilvl="3" w:tplc="0809000F" w:tentative="1">
      <w:start w:val="1"/>
      <w:numFmt w:val="decimal"/>
      <w:lvlText w:val="%4."/>
      <w:lvlJc w:val="left"/>
      <w:pPr>
        <w:ind w:left="12600" w:hanging="360"/>
      </w:pPr>
    </w:lvl>
    <w:lvl w:ilvl="4" w:tplc="08090019" w:tentative="1">
      <w:start w:val="1"/>
      <w:numFmt w:val="lowerLetter"/>
      <w:lvlText w:val="%5."/>
      <w:lvlJc w:val="left"/>
      <w:pPr>
        <w:ind w:left="13320" w:hanging="360"/>
      </w:pPr>
    </w:lvl>
    <w:lvl w:ilvl="5" w:tplc="0809001B" w:tentative="1">
      <w:start w:val="1"/>
      <w:numFmt w:val="lowerRoman"/>
      <w:lvlText w:val="%6."/>
      <w:lvlJc w:val="right"/>
      <w:pPr>
        <w:ind w:left="14040" w:hanging="180"/>
      </w:pPr>
    </w:lvl>
    <w:lvl w:ilvl="6" w:tplc="0809000F" w:tentative="1">
      <w:start w:val="1"/>
      <w:numFmt w:val="decimal"/>
      <w:lvlText w:val="%7."/>
      <w:lvlJc w:val="left"/>
      <w:pPr>
        <w:ind w:left="14760" w:hanging="360"/>
      </w:pPr>
    </w:lvl>
    <w:lvl w:ilvl="7" w:tplc="08090019" w:tentative="1">
      <w:start w:val="1"/>
      <w:numFmt w:val="lowerLetter"/>
      <w:lvlText w:val="%8."/>
      <w:lvlJc w:val="left"/>
      <w:pPr>
        <w:ind w:left="15480" w:hanging="360"/>
      </w:pPr>
    </w:lvl>
    <w:lvl w:ilvl="8" w:tplc="0809001B" w:tentative="1">
      <w:start w:val="1"/>
      <w:numFmt w:val="lowerRoman"/>
      <w:lvlText w:val="%9."/>
      <w:lvlJc w:val="right"/>
      <w:pPr>
        <w:ind w:left="16200" w:hanging="180"/>
      </w:pPr>
    </w:lvl>
  </w:abstractNum>
  <w:abstractNum w:abstractNumId="6">
    <w:nsid w:val="5B6D2F60"/>
    <w:multiLevelType w:val="hybridMultilevel"/>
    <w:tmpl w:val="AFFE5348"/>
    <w:lvl w:ilvl="0" w:tplc="AD448778">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nsid w:val="5E873C19"/>
    <w:multiLevelType w:val="hybridMultilevel"/>
    <w:tmpl w:val="51E8C652"/>
    <w:lvl w:ilvl="0" w:tplc="BF444B62">
      <w:numFmt w:val="bullet"/>
      <w:lvlText w:val="-"/>
      <w:lvlJc w:val="left"/>
      <w:pPr>
        <w:ind w:left="405" w:hanging="360"/>
      </w:pPr>
      <w:rPr>
        <w:rFonts w:ascii="Calibri" w:eastAsiaTheme="minorEastAsia"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nsid w:val="611A5E39"/>
    <w:multiLevelType w:val="hybridMultilevel"/>
    <w:tmpl w:val="D82244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221D82"/>
    <w:multiLevelType w:val="hybridMultilevel"/>
    <w:tmpl w:val="4BC8BC3E"/>
    <w:lvl w:ilvl="0" w:tplc="425405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6420904"/>
    <w:multiLevelType w:val="multilevel"/>
    <w:tmpl w:val="F8C0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CC2ED0"/>
    <w:multiLevelType w:val="hybridMultilevel"/>
    <w:tmpl w:val="BBC894EA"/>
    <w:lvl w:ilvl="0" w:tplc="24C882E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79133273"/>
    <w:multiLevelType w:val="hybridMultilevel"/>
    <w:tmpl w:val="703E6A90"/>
    <w:lvl w:ilvl="0" w:tplc="663ECDDE">
      <w:start w:val="1"/>
      <w:numFmt w:val="lowerLetter"/>
      <w:lvlText w:val="%1)"/>
      <w:lvlJc w:val="left"/>
      <w:pPr>
        <w:ind w:left="5574" w:hanging="360"/>
      </w:pPr>
      <w:rPr>
        <w:rFonts w:hint="default"/>
      </w:rPr>
    </w:lvl>
    <w:lvl w:ilvl="1" w:tplc="08090019" w:tentative="1">
      <w:start w:val="1"/>
      <w:numFmt w:val="lowerLetter"/>
      <w:lvlText w:val="%2."/>
      <w:lvlJc w:val="left"/>
      <w:pPr>
        <w:ind w:left="6294" w:hanging="360"/>
      </w:pPr>
    </w:lvl>
    <w:lvl w:ilvl="2" w:tplc="0809001B" w:tentative="1">
      <w:start w:val="1"/>
      <w:numFmt w:val="lowerRoman"/>
      <w:lvlText w:val="%3."/>
      <w:lvlJc w:val="right"/>
      <w:pPr>
        <w:ind w:left="7014" w:hanging="180"/>
      </w:pPr>
    </w:lvl>
    <w:lvl w:ilvl="3" w:tplc="0809000F" w:tentative="1">
      <w:start w:val="1"/>
      <w:numFmt w:val="decimal"/>
      <w:lvlText w:val="%4."/>
      <w:lvlJc w:val="left"/>
      <w:pPr>
        <w:ind w:left="7734" w:hanging="360"/>
      </w:pPr>
    </w:lvl>
    <w:lvl w:ilvl="4" w:tplc="08090019" w:tentative="1">
      <w:start w:val="1"/>
      <w:numFmt w:val="lowerLetter"/>
      <w:lvlText w:val="%5."/>
      <w:lvlJc w:val="left"/>
      <w:pPr>
        <w:ind w:left="8454" w:hanging="360"/>
      </w:pPr>
    </w:lvl>
    <w:lvl w:ilvl="5" w:tplc="0809001B" w:tentative="1">
      <w:start w:val="1"/>
      <w:numFmt w:val="lowerRoman"/>
      <w:lvlText w:val="%6."/>
      <w:lvlJc w:val="right"/>
      <w:pPr>
        <w:ind w:left="9174" w:hanging="180"/>
      </w:pPr>
    </w:lvl>
    <w:lvl w:ilvl="6" w:tplc="0809000F" w:tentative="1">
      <w:start w:val="1"/>
      <w:numFmt w:val="decimal"/>
      <w:lvlText w:val="%7."/>
      <w:lvlJc w:val="left"/>
      <w:pPr>
        <w:ind w:left="9894" w:hanging="360"/>
      </w:pPr>
    </w:lvl>
    <w:lvl w:ilvl="7" w:tplc="08090019" w:tentative="1">
      <w:start w:val="1"/>
      <w:numFmt w:val="lowerLetter"/>
      <w:lvlText w:val="%8."/>
      <w:lvlJc w:val="left"/>
      <w:pPr>
        <w:ind w:left="10614" w:hanging="360"/>
      </w:pPr>
    </w:lvl>
    <w:lvl w:ilvl="8" w:tplc="0809001B" w:tentative="1">
      <w:start w:val="1"/>
      <w:numFmt w:val="lowerRoman"/>
      <w:lvlText w:val="%9."/>
      <w:lvlJc w:val="right"/>
      <w:pPr>
        <w:ind w:left="11334" w:hanging="180"/>
      </w:pPr>
    </w:lvl>
  </w:abstractNum>
  <w:num w:numId="1">
    <w:abstractNumId w:val="3"/>
  </w:num>
  <w:num w:numId="2">
    <w:abstractNumId w:val="10"/>
  </w:num>
  <w:num w:numId="3">
    <w:abstractNumId w:val="11"/>
  </w:num>
  <w:num w:numId="4">
    <w:abstractNumId w:val="12"/>
  </w:num>
  <w:num w:numId="5">
    <w:abstractNumId w:val="4"/>
  </w:num>
  <w:num w:numId="6">
    <w:abstractNumId w:val="5"/>
  </w:num>
  <w:num w:numId="7">
    <w:abstractNumId w:val="9"/>
  </w:num>
  <w:num w:numId="8">
    <w:abstractNumId w:val="6"/>
  </w:num>
  <w:num w:numId="9">
    <w:abstractNumId w:val="0"/>
  </w:num>
  <w:num w:numId="10">
    <w:abstractNumId w:val="2"/>
  </w:num>
  <w:num w:numId="11">
    <w:abstractNumId w:val="8"/>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1&lt;/Suspended&gt;&lt;/ENInstantFormat&gt;"/>
  </w:docVars>
  <w:rsids>
    <w:rsidRoot w:val="00490E27"/>
    <w:rsid w:val="00012AC7"/>
    <w:rsid w:val="000730DA"/>
    <w:rsid w:val="00086C6E"/>
    <w:rsid w:val="000A565D"/>
    <w:rsid w:val="0010010E"/>
    <w:rsid w:val="00116B26"/>
    <w:rsid w:val="00164917"/>
    <w:rsid w:val="001C0645"/>
    <w:rsid w:val="001D2734"/>
    <w:rsid w:val="001F3456"/>
    <w:rsid w:val="00216E85"/>
    <w:rsid w:val="0025538F"/>
    <w:rsid w:val="0026072E"/>
    <w:rsid w:val="002A5A03"/>
    <w:rsid w:val="002F21E1"/>
    <w:rsid w:val="00311836"/>
    <w:rsid w:val="00316100"/>
    <w:rsid w:val="00324DBE"/>
    <w:rsid w:val="00341520"/>
    <w:rsid w:val="0036135D"/>
    <w:rsid w:val="003724B3"/>
    <w:rsid w:val="003A580F"/>
    <w:rsid w:val="003A730A"/>
    <w:rsid w:val="00455D2E"/>
    <w:rsid w:val="00482AB9"/>
    <w:rsid w:val="00490E27"/>
    <w:rsid w:val="004B55E1"/>
    <w:rsid w:val="004D27EE"/>
    <w:rsid w:val="004E08DB"/>
    <w:rsid w:val="005351C9"/>
    <w:rsid w:val="005451A2"/>
    <w:rsid w:val="005B76D3"/>
    <w:rsid w:val="005F4250"/>
    <w:rsid w:val="005F4DD9"/>
    <w:rsid w:val="00621C69"/>
    <w:rsid w:val="007070FA"/>
    <w:rsid w:val="00741DEB"/>
    <w:rsid w:val="007728AE"/>
    <w:rsid w:val="007A1190"/>
    <w:rsid w:val="007B4946"/>
    <w:rsid w:val="007E7D2B"/>
    <w:rsid w:val="008557B7"/>
    <w:rsid w:val="00877223"/>
    <w:rsid w:val="008C4EC2"/>
    <w:rsid w:val="008C6327"/>
    <w:rsid w:val="008C6C0D"/>
    <w:rsid w:val="00902ACE"/>
    <w:rsid w:val="009E04E4"/>
    <w:rsid w:val="009F2E48"/>
    <w:rsid w:val="00A45B42"/>
    <w:rsid w:val="00A76953"/>
    <w:rsid w:val="00AA192A"/>
    <w:rsid w:val="00B446C3"/>
    <w:rsid w:val="00B47FFC"/>
    <w:rsid w:val="00B66FAB"/>
    <w:rsid w:val="00B92EBA"/>
    <w:rsid w:val="00C17340"/>
    <w:rsid w:val="00C32C06"/>
    <w:rsid w:val="00C50628"/>
    <w:rsid w:val="00C645FD"/>
    <w:rsid w:val="00CB76E1"/>
    <w:rsid w:val="00CC4B1B"/>
    <w:rsid w:val="00D35E9D"/>
    <w:rsid w:val="00D90B28"/>
    <w:rsid w:val="00D9367E"/>
    <w:rsid w:val="00DD20D6"/>
    <w:rsid w:val="00DF2626"/>
    <w:rsid w:val="00E219DA"/>
    <w:rsid w:val="00E52609"/>
    <w:rsid w:val="00E61E90"/>
    <w:rsid w:val="00E801DB"/>
    <w:rsid w:val="00EC0BC2"/>
    <w:rsid w:val="00F14022"/>
    <w:rsid w:val="00F2169E"/>
    <w:rsid w:val="00F666E0"/>
    <w:rsid w:val="00F67239"/>
    <w:rsid w:val="00F974F0"/>
    <w:rsid w:val="00FA61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1A2"/>
  </w:style>
  <w:style w:type="paragraph" w:styleId="Heading1">
    <w:name w:val="heading 1"/>
    <w:basedOn w:val="Normal"/>
    <w:next w:val="Normal"/>
    <w:link w:val="Heading1Char"/>
    <w:uiPriority w:val="9"/>
    <w:qFormat/>
    <w:rsid w:val="00490E2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90E2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90E2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90E2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90E2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90E2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90E2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0E2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90E2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27"/>
    <w:rPr>
      <w:rFonts w:asciiTheme="majorHAnsi" w:eastAsiaTheme="majorEastAsia" w:hAnsiTheme="majorHAnsi" w:cstheme="majorBidi"/>
      <w:b/>
      <w:bCs/>
      <w:sz w:val="28"/>
      <w:szCs w:val="28"/>
      <w:lang w:val="en-US" w:bidi="en-US"/>
    </w:rPr>
  </w:style>
  <w:style w:type="character" w:customStyle="1" w:styleId="Heading2Char">
    <w:name w:val="Heading 2 Char"/>
    <w:basedOn w:val="DefaultParagraphFont"/>
    <w:link w:val="Heading2"/>
    <w:uiPriority w:val="9"/>
    <w:rsid w:val="00490E27"/>
    <w:rPr>
      <w:rFonts w:asciiTheme="majorHAnsi" w:eastAsiaTheme="majorEastAsia" w:hAnsiTheme="majorHAnsi" w:cstheme="majorBidi"/>
      <w:b/>
      <w:bCs/>
      <w:sz w:val="26"/>
      <w:szCs w:val="26"/>
      <w:lang w:val="en-US" w:bidi="en-US"/>
    </w:rPr>
  </w:style>
  <w:style w:type="character" w:customStyle="1" w:styleId="Heading3Char">
    <w:name w:val="Heading 3 Char"/>
    <w:basedOn w:val="DefaultParagraphFont"/>
    <w:link w:val="Heading3"/>
    <w:uiPriority w:val="9"/>
    <w:rsid w:val="00490E27"/>
    <w:rPr>
      <w:rFonts w:asciiTheme="majorHAnsi" w:eastAsiaTheme="majorEastAsia" w:hAnsiTheme="majorHAnsi" w:cstheme="majorBidi"/>
      <w:b/>
      <w:bCs/>
      <w:lang w:val="en-US" w:bidi="en-US"/>
    </w:rPr>
  </w:style>
  <w:style w:type="character" w:customStyle="1" w:styleId="Heading4Char">
    <w:name w:val="Heading 4 Char"/>
    <w:basedOn w:val="DefaultParagraphFont"/>
    <w:link w:val="Heading4"/>
    <w:uiPriority w:val="9"/>
    <w:semiHidden/>
    <w:rsid w:val="00490E27"/>
    <w:rPr>
      <w:rFonts w:asciiTheme="majorHAnsi" w:eastAsiaTheme="majorEastAsia" w:hAnsiTheme="majorHAnsi" w:cstheme="majorBidi"/>
      <w:b/>
      <w:bCs/>
      <w:i/>
      <w:iCs/>
      <w:lang w:val="en-US" w:bidi="en-US"/>
    </w:rPr>
  </w:style>
  <w:style w:type="character" w:customStyle="1" w:styleId="Heading5Char">
    <w:name w:val="Heading 5 Char"/>
    <w:basedOn w:val="DefaultParagraphFont"/>
    <w:link w:val="Heading5"/>
    <w:uiPriority w:val="9"/>
    <w:semiHidden/>
    <w:rsid w:val="00490E27"/>
    <w:rPr>
      <w:rFonts w:asciiTheme="majorHAnsi" w:eastAsiaTheme="majorEastAsia" w:hAnsiTheme="majorHAnsi" w:cstheme="majorBidi"/>
      <w:b/>
      <w:bCs/>
      <w:color w:val="7F7F7F" w:themeColor="text1" w:themeTint="80"/>
      <w:lang w:val="en-US" w:bidi="en-US"/>
    </w:rPr>
  </w:style>
  <w:style w:type="character" w:customStyle="1" w:styleId="Heading6Char">
    <w:name w:val="Heading 6 Char"/>
    <w:basedOn w:val="DefaultParagraphFont"/>
    <w:link w:val="Heading6"/>
    <w:uiPriority w:val="9"/>
    <w:semiHidden/>
    <w:rsid w:val="00490E27"/>
    <w:rPr>
      <w:rFonts w:asciiTheme="majorHAnsi" w:eastAsiaTheme="majorEastAsia" w:hAnsiTheme="majorHAnsi" w:cstheme="majorBidi"/>
      <w:b/>
      <w:bCs/>
      <w:i/>
      <w:iCs/>
      <w:color w:val="7F7F7F" w:themeColor="text1" w:themeTint="80"/>
      <w:lang w:val="en-US" w:bidi="en-US"/>
    </w:rPr>
  </w:style>
  <w:style w:type="character" w:customStyle="1" w:styleId="Heading7Char">
    <w:name w:val="Heading 7 Char"/>
    <w:basedOn w:val="DefaultParagraphFont"/>
    <w:link w:val="Heading7"/>
    <w:uiPriority w:val="9"/>
    <w:semiHidden/>
    <w:rsid w:val="00490E27"/>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490E27"/>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490E27"/>
    <w:rPr>
      <w:rFonts w:asciiTheme="majorHAnsi" w:eastAsiaTheme="majorEastAsia" w:hAnsiTheme="majorHAnsi" w:cstheme="majorBidi"/>
      <w:i/>
      <w:iCs/>
      <w:spacing w:val="5"/>
      <w:sz w:val="20"/>
      <w:szCs w:val="20"/>
      <w:lang w:val="en-US" w:bidi="en-US"/>
    </w:rPr>
  </w:style>
  <w:style w:type="paragraph" w:styleId="BalloonText">
    <w:name w:val="Balloon Text"/>
    <w:basedOn w:val="Normal"/>
    <w:link w:val="BalloonTextChar"/>
    <w:uiPriority w:val="99"/>
    <w:semiHidden/>
    <w:unhideWhenUsed/>
    <w:rsid w:val="00490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E27"/>
    <w:rPr>
      <w:rFonts w:ascii="Tahoma" w:eastAsiaTheme="minorEastAsia" w:hAnsi="Tahoma" w:cs="Tahoma"/>
      <w:sz w:val="16"/>
      <w:szCs w:val="16"/>
      <w:lang w:val="en-US" w:bidi="en-US"/>
    </w:rPr>
  </w:style>
  <w:style w:type="character" w:styleId="CommentReference">
    <w:name w:val="annotation reference"/>
    <w:basedOn w:val="DefaultParagraphFont"/>
    <w:uiPriority w:val="99"/>
    <w:semiHidden/>
    <w:unhideWhenUsed/>
    <w:rsid w:val="00490E27"/>
    <w:rPr>
      <w:sz w:val="16"/>
      <w:szCs w:val="16"/>
    </w:rPr>
  </w:style>
  <w:style w:type="paragraph" w:styleId="CommentText">
    <w:name w:val="annotation text"/>
    <w:basedOn w:val="Normal"/>
    <w:link w:val="CommentTextChar"/>
    <w:uiPriority w:val="99"/>
    <w:unhideWhenUsed/>
    <w:rsid w:val="00490E27"/>
    <w:pPr>
      <w:spacing w:line="240" w:lineRule="auto"/>
    </w:pPr>
    <w:rPr>
      <w:sz w:val="20"/>
      <w:szCs w:val="20"/>
    </w:rPr>
  </w:style>
  <w:style w:type="character" w:customStyle="1" w:styleId="CommentTextChar">
    <w:name w:val="Comment Text Char"/>
    <w:basedOn w:val="DefaultParagraphFont"/>
    <w:link w:val="CommentText"/>
    <w:uiPriority w:val="99"/>
    <w:rsid w:val="00490E27"/>
    <w:rPr>
      <w:rFonts w:eastAsiaTheme="minorEastAsia"/>
      <w:sz w:val="20"/>
      <w:szCs w:val="20"/>
      <w:lang w:val="en-US" w:bidi="en-US"/>
    </w:rPr>
  </w:style>
  <w:style w:type="paragraph" w:styleId="CommentSubject">
    <w:name w:val="annotation subject"/>
    <w:basedOn w:val="CommentText"/>
    <w:next w:val="CommentText"/>
    <w:link w:val="CommentSubjectChar"/>
    <w:uiPriority w:val="99"/>
    <w:semiHidden/>
    <w:unhideWhenUsed/>
    <w:rsid w:val="00490E27"/>
    <w:rPr>
      <w:b/>
      <w:bCs/>
    </w:rPr>
  </w:style>
  <w:style w:type="character" w:customStyle="1" w:styleId="CommentSubjectChar">
    <w:name w:val="Comment Subject Char"/>
    <w:basedOn w:val="CommentTextChar"/>
    <w:link w:val="CommentSubject"/>
    <w:uiPriority w:val="99"/>
    <w:semiHidden/>
    <w:rsid w:val="00490E27"/>
    <w:rPr>
      <w:rFonts w:eastAsiaTheme="minorEastAsia"/>
      <w:b/>
      <w:bCs/>
      <w:sz w:val="20"/>
      <w:szCs w:val="20"/>
      <w:lang w:val="en-US" w:bidi="en-US"/>
    </w:rPr>
  </w:style>
  <w:style w:type="character" w:styleId="Hyperlink">
    <w:name w:val="Hyperlink"/>
    <w:basedOn w:val="DefaultParagraphFont"/>
    <w:uiPriority w:val="99"/>
    <w:unhideWhenUsed/>
    <w:rsid w:val="00490E27"/>
    <w:rPr>
      <w:color w:val="0000FF" w:themeColor="hyperlink"/>
      <w:u w:val="single"/>
    </w:rPr>
  </w:style>
  <w:style w:type="character" w:styleId="LineNumber">
    <w:name w:val="line number"/>
    <w:basedOn w:val="DefaultParagraphFont"/>
    <w:uiPriority w:val="99"/>
    <w:semiHidden/>
    <w:unhideWhenUsed/>
    <w:rsid w:val="00490E27"/>
  </w:style>
  <w:style w:type="character" w:styleId="FollowedHyperlink">
    <w:name w:val="FollowedHyperlink"/>
    <w:basedOn w:val="DefaultParagraphFont"/>
    <w:uiPriority w:val="99"/>
    <w:semiHidden/>
    <w:unhideWhenUsed/>
    <w:rsid w:val="00490E27"/>
    <w:rPr>
      <w:color w:val="800080" w:themeColor="followedHyperlink"/>
      <w:u w:val="single"/>
    </w:rPr>
  </w:style>
  <w:style w:type="paragraph" w:styleId="Title">
    <w:name w:val="Title"/>
    <w:basedOn w:val="Normal"/>
    <w:next w:val="Normal"/>
    <w:link w:val="TitleChar"/>
    <w:uiPriority w:val="10"/>
    <w:qFormat/>
    <w:rsid w:val="00490E2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90E27"/>
    <w:rPr>
      <w:rFonts w:asciiTheme="majorHAnsi" w:eastAsiaTheme="majorEastAsia" w:hAnsiTheme="majorHAnsi" w:cstheme="majorBidi"/>
      <w:spacing w:val="5"/>
      <w:sz w:val="52"/>
      <w:szCs w:val="52"/>
      <w:lang w:val="en-US" w:bidi="en-US"/>
    </w:rPr>
  </w:style>
  <w:style w:type="paragraph" w:styleId="Subtitle">
    <w:name w:val="Subtitle"/>
    <w:basedOn w:val="Normal"/>
    <w:next w:val="Normal"/>
    <w:link w:val="SubtitleChar"/>
    <w:uiPriority w:val="11"/>
    <w:qFormat/>
    <w:rsid w:val="00490E2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90E27"/>
    <w:rPr>
      <w:rFonts w:asciiTheme="majorHAnsi" w:eastAsiaTheme="majorEastAsia" w:hAnsiTheme="majorHAnsi" w:cstheme="majorBidi"/>
      <w:i/>
      <w:iCs/>
      <w:spacing w:val="13"/>
      <w:sz w:val="24"/>
      <w:szCs w:val="24"/>
      <w:lang w:val="en-US" w:bidi="en-US"/>
    </w:rPr>
  </w:style>
  <w:style w:type="character" w:styleId="Strong">
    <w:name w:val="Strong"/>
    <w:uiPriority w:val="22"/>
    <w:qFormat/>
    <w:rsid w:val="00490E27"/>
    <w:rPr>
      <w:b/>
      <w:bCs/>
    </w:rPr>
  </w:style>
  <w:style w:type="character" w:styleId="Emphasis">
    <w:name w:val="Emphasis"/>
    <w:uiPriority w:val="20"/>
    <w:qFormat/>
    <w:rsid w:val="00490E27"/>
    <w:rPr>
      <w:b/>
      <w:bCs/>
      <w:i/>
      <w:iCs/>
      <w:spacing w:val="10"/>
      <w:bdr w:val="none" w:sz="0" w:space="0" w:color="auto"/>
      <w:shd w:val="clear" w:color="auto" w:fill="auto"/>
    </w:rPr>
  </w:style>
  <w:style w:type="paragraph" w:styleId="NoSpacing">
    <w:name w:val="No Spacing"/>
    <w:basedOn w:val="Normal"/>
    <w:uiPriority w:val="1"/>
    <w:qFormat/>
    <w:rsid w:val="00490E27"/>
    <w:pPr>
      <w:spacing w:after="0" w:line="240" w:lineRule="auto"/>
    </w:pPr>
  </w:style>
  <w:style w:type="paragraph" w:styleId="ListParagraph">
    <w:name w:val="List Paragraph"/>
    <w:basedOn w:val="Normal"/>
    <w:uiPriority w:val="34"/>
    <w:qFormat/>
    <w:rsid w:val="00490E27"/>
    <w:pPr>
      <w:ind w:left="720"/>
      <w:contextualSpacing/>
    </w:pPr>
  </w:style>
  <w:style w:type="paragraph" w:styleId="Quote">
    <w:name w:val="Quote"/>
    <w:basedOn w:val="Normal"/>
    <w:next w:val="Normal"/>
    <w:link w:val="QuoteChar"/>
    <w:uiPriority w:val="29"/>
    <w:qFormat/>
    <w:rsid w:val="00490E27"/>
    <w:pPr>
      <w:spacing w:before="200" w:after="0"/>
      <w:ind w:left="360" w:right="360"/>
    </w:pPr>
    <w:rPr>
      <w:i/>
      <w:iCs/>
    </w:rPr>
  </w:style>
  <w:style w:type="character" w:customStyle="1" w:styleId="QuoteChar">
    <w:name w:val="Quote Char"/>
    <w:basedOn w:val="DefaultParagraphFont"/>
    <w:link w:val="Quote"/>
    <w:uiPriority w:val="29"/>
    <w:rsid w:val="00490E27"/>
    <w:rPr>
      <w:rFonts w:eastAsiaTheme="minorEastAsia"/>
      <w:i/>
      <w:iCs/>
      <w:lang w:val="en-US" w:bidi="en-US"/>
    </w:rPr>
  </w:style>
  <w:style w:type="paragraph" w:styleId="IntenseQuote">
    <w:name w:val="Intense Quote"/>
    <w:basedOn w:val="Normal"/>
    <w:next w:val="Normal"/>
    <w:link w:val="IntenseQuoteChar"/>
    <w:uiPriority w:val="30"/>
    <w:qFormat/>
    <w:rsid w:val="00490E2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90E27"/>
    <w:rPr>
      <w:rFonts w:eastAsiaTheme="minorEastAsia"/>
      <w:b/>
      <w:bCs/>
      <w:i/>
      <w:iCs/>
      <w:lang w:val="en-US" w:bidi="en-US"/>
    </w:rPr>
  </w:style>
  <w:style w:type="character" w:styleId="SubtleEmphasis">
    <w:name w:val="Subtle Emphasis"/>
    <w:uiPriority w:val="19"/>
    <w:qFormat/>
    <w:rsid w:val="00490E27"/>
    <w:rPr>
      <w:i/>
      <w:iCs/>
    </w:rPr>
  </w:style>
  <w:style w:type="character" w:styleId="IntenseEmphasis">
    <w:name w:val="Intense Emphasis"/>
    <w:uiPriority w:val="21"/>
    <w:qFormat/>
    <w:rsid w:val="00490E27"/>
    <w:rPr>
      <w:b/>
      <w:bCs/>
    </w:rPr>
  </w:style>
  <w:style w:type="character" w:styleId="SubtleReference">
    <w:name w:val="Subtle Reference"/>
    <w:uiPriority w:val="31"/>
    <w:qFormat/>
    <w:rsid w:val="00490E27"/>
    <w:rPr>
      <w:smallCaps/>
    </w:rPr>
  </w:style>
  <w:style w:type="character" w:styleId="IntenseReference">
    <w:name w:val="Intense Reference"/>
    <w:uiPriority w:val="32"/>
    <w:qFormat/>
    <w:rsid w:val="00490E27"/>
    <w:rPr>
      <w:smallCaps/>
      <w:spacing w:val="5"/>
      <w:u w:val="single"/>
    </w:rPr>
  </w:style>
  <w:style w:type="character" w:styleId="BookTitle">
    <w:name w:val="Book Title"/>
    <w:uiPriority w:val="33"/>
    <w:qFormat/>
    <w:rsid w:val="00490E27"/>
    <w:rPr>
      <w:i/>
      <w:iCs/>
      <w:smallCaps/>
      <w:spacing w:val="5"/>
    </w:rPr>
  </w:style>
  <w:style w:type="paragraph" w:styleId="TOCHeading">
    <w:name w:val="TOC Heading"/>
    <w:basedOn w:val="Heading1"/>
    <w:next w:val="Normal"/>
    <w:uiPriority w:val="39"/>
    <w:semiHidden/>
    <w:unhideWhenUsed/>
    <w:qFormat/>
    <w:rsid w:val="00490E27"/>
    <w:pPr>
      <w:outlineLvl w:val="9"/>
    </w:pPr>
  </w:style>
  <w:style w:type="paragraph" w:styleId="NormalWeb">
    <w:name w:val="Normal (Web)"/>
    <w:basedOn w:val="Normal"/>
    <w:uiPriority w:val="99"/>
    <w:semiHidden/>
    <w:unhideWhenUsed/>
    <w:rsid w:val="00490E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1">
    <w:name w:val="normal_text1"/>
    <w:basedOn w:val="DefaultParagraphFont"/>
    <w:rsid w:val="00490E27"/>
    <w:rPr>
      <w:rFonts w:ascii="Arial" w:hAnsi="Arial" w:cs="Arial" w:hint="default"/>
      <w:i w:val="0"/>
      <w:iCs w:val="0"/>
      <w:color w:val="000000"/>
      <w:sz w:val="16"/>
      <w:szCs w:val="16"/>
    </w:rPr>
  </w:style>
  <w:style w:type="paragraph" w:customStyle="1" w:styleId="EndNoteBibliographyTitle">
    <w:name w:val="EndNote Bibliography Title"/>
    <w:basedOn w:val="Normal"/>
    <w:link w:val="EndNoteBibliographyTitleChar"/>
    <w:rsid w:val="00490E2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90E27"/>
    <w:rPr>
      <w:rFonts w:ascii="Calibri" w:eastAsiaTheme="minorEastAsia" w:hAnsi="Calibri"/>
      <w:noProof/>
      <w:lang w:val="en-US" w:bidi="en-US"/>
    </w:rPr>
  </w:style>
  <w:style w:type="paragraph" w:customStyle="1" w:styleId="EndNoteBibliography">
    <w:name w:val="EndNote Bibliography"/>
    <w:basedOn w:val="Normal"/>
    <w:link w:val="EndNoteBibliographyChar"/>
    <w:rsid w:val="00490E27"/>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490E27"/>
    <w:rPr>
      <w:rFonts w:ascii="Calibri" w:eastAsiaTheme="minorEastAsia" w:hAnsi="Calibri"/>
      <w:noProof/>
      <w:lang w:val="en-US" w:bidi="en-US"/>
    </w:rPr>
  </w:style>
  <w:style w:type="table" w:styleId="TableGrid">
    <w:name w:val="Table Grid"/>
    <w:basedOn w:val="TableNormal"/>
    <w:uiPriority w:val="59"/>
    <w:rsid w:val="00490E27"/>
    <w:pPr>
      <w:spacing w:after="0" w:line="240" w:lineRule="auto"/>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490E27"/>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490E27"/>
    <w:rPr>
      <w:rFonts w:ascii="Consolas" w:hAnsi="Consolas" w:cs="Consolas"/>
      <w:sz w:val="21"/>
      <w:szCs w:val="21"/>
    </w:rPr>
  </w:style>
  <w:style w:type="paragraph" w:styleId="Header">
    <w:name w:val="header"/>
    <w:basedOn w:val="Normal"/>
    <w:link w:val="HeaderChar"/>
    <w:uiPriority w:val="99"/>
    <w:semiHidden/>
    <w:unhideWhenUsed/>
    <w:rsid w:val="00490E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0E27"/>
    <w:rPr>
      <w:rFonts w:eastAsiaTheme="minorEastAsia"/>
      <w:lang w:val="en-US" w:bidi="en-US"/>
    </w:rPr>
  </w:style>
  <w:style w:type="paragraph" w:styleId="Footer">
    <w:name w:val="footer"/>
    <w:basedOn w:val="Normal"/>
    <w:link w:val="FooterChar"/>
    <w:uiPriority w:val="99"/>
    <w:unhideWhenUsed/>
    <w:rsid w:val="00490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E27"/>
    <w:rPr>
      <w:rFonts w:eastAsiaTheme="minorEastAsia"/>
      <w:lang w:val="en-US" w:bidi="en-US"/>
    </w:rPr>
  </w:style>
  <w:style w:type="paragraph" w:styleId="Caption">
    <w:name w:val="caption"/>
    <w:basedOn w:val="Normal"/>
    <w:next w:val="Normal"/>
    <w:uiPriority w:val="35"/>
    <w:unhideWhenUsed/>
    <w:rsid w:val="00490E27"/>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0E2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90E2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90E2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90E2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90E2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90E2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90E2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0E2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90E2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27"/>
    <w:rPr>
      <w:rFonts w:asciiTheme="majorHAnsi" w:eastAsiaTheme="majorEastAsia" w:hAnsiTheme="majorHAnsi" w:cstheme="majorBidi"/>
      <w:b/>
      <w:bCs/>
      <w:sz w:val="28"/>
      <w:szCs w:val="28"/>
      <w:lang w:val="en-US" w:bidi="en-US"/>
    </w:rPr>
  </w:style>
  <w:style w:type="character" w:customStyle="1" w:styleId="Heading2Char">
    <w:name w:val="Heading 2 Char"/>
    <w:basedOn w:val="DefaultParagraphFont"/>
    <w:link w:val="Heading2"/>
    <w:uiPriority w:val="9"/>
    <w:rsid w:val="00490E27"/>
    <w:rPr>
      <w:rFonts w:asciiTheme="majorHAnsi" w:eastAsiaTheme="majorEastAsia" w:hAnsiTheme="majorHAnsi" w:cstheme="majorBidi"/>
      <w:b/>
      <w:bCs/>
      <w:sz w:val="26"/>
      <w:szCs w:val="26"/>
      <w:lang w:val="en-US" w:bidi="en-US"/>
    </w:rPr>
  </w:style>
  <w:style w:type="character" w:customStyle="1" w:styleId="Heading3Char">
    <w:name w:val="Heading 3 Char"/>
    <w:basedOn w:val="DefaultParagraphFont"/>
    <w:link w:val="Heading3"/>
    <w:uiPriority w:val="9"/>
    <w:rsid w:val="00490E27"/>
    <w:rPr>
      <w:rFonts w:asciiTheme="majorHAnsi" w:eastAsiaTheme="majorEastAsia" w:hAnsiTheme="majorHAnsi" w:cstheme="majorBidi"/>
      <w:b/>
      <w:bCs/>
      <w:lang w:val="en-US" w:bidi="en-US"/>
    </w:rPr>
  </w:style>
  <w:style w:type="character" w:customStyle="1" w:styleId="Heading4Char">
    <w:name w:val="Heading 4 Char"/>
    <w:basedOn w:val="DefaultParagraphFont"/>
    <w:link w:val="Heading4"/>
    <w:uiPriority w:val="9"/>
    <w:semiHidden/>
    <w:rsid w:val="00490E27"/>
    <w:rPr>
      <w:rFonts w:asciiTheme="majorHAnsi" w:eastAsiaTheme="majorEastAsia" w:hAnsiTheme="majorHAnsi" w:cstheme="majorBidi"/>
      <w:b/>
      <w:bCs/>
      <w:i/>
      <w:iCs/>
      <w:lang w:val="en-US" w:bidi="en-US"/>
    </w:rPr>
  </w:style>
  <w:style w:type="character" w:customStyle="1" w:styleId="Heading5Char">
    <w:name w:val="Heading 5 Char"/>
    <w:basedOn w:val="DefaultParagraphFont"/>
    <w:link w:val="Heading5"/>
    <w:uiPriority w:val="9"/>
    <w:semiHidden/>
    <w:rsid w:val="00490E27"/>
    <w:rPr>
      <w:rFonts w:asciiTheme="majorHAnsi" w:eastAsiaTheme="majorEastAsia" w:hAnsiTheme="majorHAnsi" w:cstheme="majorBidi"/>
      <w:b/>
      <w:bCs/>
      <w:color w:val="7F7F7F" w:themeColor="text1" w:themeTint="80"/>
      <w:lang w:val="en-US" w:bidi="en-US"/>
    </w:rPr>
  </w:style>
  <w:style w:type="character" w:customStyle="1" w:styleId="Heading6Char">
    <w:name w:val="Heading 6 Char"/>
    <w:basedOn w:val="DefaultParagraphFont"/>
    <w:link w:val="Heading6"/>
    <w:uiPriority w:val="9"/>
    <w:semiHidden/>
    <w:rsid w:val="00490E27"/>
    <w:rPr>
      <w:rFonts w:asciiTheme="majorHAnsi" w:eastAsiaTheme="majorEastAsia" w:hAnsiTheme="majorHAnsi" w:cstheme="majorBidi"/>
      <w:b/>
      <w:bCs/>
      <w:i/>
      <w:iCs/>
      <w:color w:val="7F7F7F" w:themeColor="text1" w:themeTint="80"/>
      <w:lang w:val="en-US" w:bidi="en-US"/>
    </w:rPr>
  </w:style>
  <w:style w:type="character" w:customStyle="1" w:styleId="Heading7Char">
    <w:name w:val="Heading 7 Char"/>
    <w:basedOn w:val="DefaultParagraphFont"/>
    <w:link w:val="Heading7"/>
    <w:uiPriority w:val="9"/>
    <w:semiHidden/>
    <w:rsid w:val="00490E27"/>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490E27"/>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490E27"/>
    <w:rPr>
      <w:rFonts w:asciiTheme="majorHAnsi" w:eastAsiaTheme="majorEastAsia" w:hAnsiTheme="majorHAnsi" w:cstheme="majorBidi"/>
      <w:i/>
      <w:iCs/>
      <w:spacing w:val="5"/>
      <w:sz w:val="20"/>
      <w:szCs w:val="20"/>
      <w:lang w:val="en-US" w:bidi="en-US"/>
    </w:rPr>
  </w:style>
  <w:style w:type="paragraph" w:styleId="BalloonText">
    <w:name w:val="Balloon Text"/>
    <w:basedOn w:val="Normal"/>
    <w:link w:val="BalloonTextChar"/>
    <w:uiPriority w:val="99"/>
    <w:semiHidden/>
    <w:unhideWhenUsed/>
    <w:rsid w:val="00490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E27"/>
    <w:rPr>
      <w:rFonts w:ascii="Tahoma" w:eastAsiaTheme="minorEastAsia" w:hAnsi="Tahoma" w:cs="Tahoma"/>
      <w:sz w:val="16"/>
      <w:szCs w:val="16"/>
      <w:lang w:val="en-US" w:bidi="en-US"/>
    </w:rPr>
  </w:style>
  <w:style w:type="character" w:styleId="CommentReference">
    <w:name w:val="annotation reference"/>
    <w:basedOn w:val="DefaultParagraphFont"/>
    <w:uiPriority w:val="99"/>
    <w:semiHidden/>
    <w:unhideWhenUsed/>
    <w:rsid w:val="00490E27"/>
    <w:rPr>
      <w:sz w:val="16"/>
      <w:szCs w:val="16"/>
    </w:rPr>
  </w:style>
  <w:style w:type="paragraph" w:styleId="CommentText">
    <w:name w:val="annotation text"/>
    <w:basedOn w:val="Normal"/>
    <w:link w:val="CommentTextChar"/>
    <w:uiPriority w:val="99"/>
    <w:unhideWhenUsed/>
    <w:rsid w:val="00490E27"/>
    <w:pPr>
      <w:spacing w:line="240" w:lineRule="auto"/>
    </w:pPr>
    <w:rPr>
      <w:sz w:val="20"/>
      <w:szCs w:val="20"/>
    </w:rPr>
  </w:style>
  <w:style w:type="character" w:customStyle="1" w:styleId="CommentTextChar">
    <w:name w:val="Comment Text Char"/>
    <w:basedOn w:val="DefaultParagraphFont"/>
    <w:link w:val="CommentText"/>
    <w:uiPriority w:val="99"/>
    <w:rsid w:val="00490E27"/>
    <w:rPr>
      <w:rFonts w:eastAsiaTheme="minorEastAsia"/>
      <w:sz w:val="20"/>
      <w:szCs w:val="20"/>
      <w:lang w:val="en-US" w:bidi="en-US"/>
    </w:rPr>
  </w:style>
  <w:style w:type="paragraph" w:styleId="CommentSubject">
    <w:name w:val="annotation subject"/>
    <w:basedOn w:val="CommentText"/>
    <w:next w:val="CommentText"/>
    <w:link w:val="CommentSubjectChar"/>
    <w:uiPriority w:val="99"/>
    <w:semiHidden/>
    <w:unhideWhenUsed/>
    <w:rsid w:val="00490E27"/>
    <w:rPr>
      <w:b/>
      <w:bCs/>
    </w:rPr>
  </w:style>
  <w:style w:type="character" w:customStyle="1" w:styleId="CommentSubjectChar">
    <w:name w:val="Comment Subject Char"/>
    <w:basedOn w:val="CommentTextChar"/>
    <w:link w:val="CommentSubject"/>
    <w:uiPriority w:val="99"/>
    <w:semiHidden/>
    <w:rsid w:val="00490E27"/>
    <w:rPr>
      <w:rFonts w:eastAsiaTheme="minorEastAsia"/>
      <w:b/>
      <w:bCs/>
      <w:sz w:val="20"/>
      <w:szCs w:val="20"/>
      <w:lang w:val="en-US" w:bidi="en-US"/>
    </w:rPr>
  </w:style>
  <w:style w:type="character" w:styleId="Hyperlink">
    <w:name w:val="Hyperlink"/>
    <w:basedOn w:val="DefaultParagraphFont"/>
    <w:uiPriority w:val="99"/>
    <w:unhideWhenUsed/>
    <w:rsid w:val="00490E27"/>
    <w:rPr>
      <w:color w:val="0000FF" w:themeColor="hyperlink"/>
      <w:u w:val="single"/>
    </w:rPr>
  </w:style>
  <w:style w:type="character" w:styleId="LineNumber">
    <w:name w:val="line number"/>
    <w:basedOn w:val="DefaultParagraphFont"/>
    <w:uiPriority w:val="99"/>
    <w:semiHidden/>
    <w:unhideWhenUsed/>
    <w:rsid w:val="00490E27"/>
  </w:style>
  <w:style w:type="character" w:styleId="FollowedHyperlink">
    <w:name w:val="FollowedHyperlink"/>
    <w:basedOn w:val="DefaultParagraphFont"/>
    <w:uiPriority w:val="99"/>
    <w:semiHidden/>
    <w:unhideWhenUsed/>
    <w:rsid w:val="00490E27"/>
    <w:rPr>
      <w:color w:val="800080" w:themeColor="followedHyperlink"/>
      <w:u w:val="single"/>
    </w:rPr>
  </w:style>
  <w:style w:type="paragraph" w:styleId="Title">
    <w:name w:val="Title"/>
    <w:basedOn w:val="Normal"/>
    <w:next w:val="Normal"/>
    <w:link w:val="TitleChar"/>
    <w:uiPriority w:val="10"/>
    <w:qFormat/>
    <w:rsid w:val="00490E2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90E27"/>
    <w:rPr>
      <w:rFonts w:asciiTheme="majorHAnsi" w:eastAsiaTheme="majorEastAsia" w:hAnsiTheme="majorHAnsi" w:cstheme="majorBidi"/>
      <w:spacing w:val="5"/>
      <w:sz w:val="52"/>
      <w:szCs w:val="52"/>
      <w:lang w:val="en-US" w:bidi="en-US"/>
    </w:rPr>
  </w:style>
  <w:style w:type="paragraph" w:styleId="Subtitle">
    <w:name w:val="Subtitle"/>
    <w:basedOn w:val="Normal"/>
    <w:next w:val="Normal"/>
    <w:link w:val="SubtitleChar"/>
    <w:uiPriority w:val="11"/>
    <w:qFormat/>
    <w:rsid w:val="00490E2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90E27"/>
    <w:rPr>
      <w:rFonts w:asciiTheme="majorHAnsi" w:eastAsiaTheme="majorEastAsia" w:hAnsiTheme="majorHAnsi" w:cstheme="majorBidi"/>
      <w:i/>
      <w:iCs/>
      <w:spacing w:val="13"/>
      <w:sz w:val="24"/>
      <w:szCs w:val="24"/>
      <w:lang w:val="en-US" w:bidi="en-US"/>
    </w:rPr>
  </w:style>
  <w:style w:type="character" w:styleId="Strong">
    <w:name w:val="Strong"/>
    <w:uiPriority w:val="22"/>
    <w:qFormat/>
    <w:rsid w:val="00490E27"/>
    <w:rPr>
      <w:b/>
      <w:bCs/>
    </w:rPr>
  </w:style>
  <w:style w:type="character" w:styleId="Emphasis">
    <w:name w:val="Emphasis"/>
    <w:uiPriority w:val="20"/>
    <w:qFormat/>
    <w:rsid w:val="00490E27"/>
    <w:rPr>
      <w:b/>
      <w:bCs/>
      <w:i/>
      <w:iCs/>
      <w:spacing w:val="10"/>
      <w:bdr w:val="none" w:sz="0" w:space="0" w:color="auto"/>
      <w:shd w:val="clear" w:color="auto" w:fill="auto"/>
    </w:rPr>
  </w:style>
  <w:style w:type="paragraph" w:styleId="NoSpacing">
    <w:name w:val="No Spacing"/>
    <w:basedOn w:val="Normal"/>
    <w:uiPriority w:val="1"/>
    <w:qFormat/>
    <w:rsid w:val="00490E27"/>
    <w:pPr>
      <w:spacing w:after="0" w:line="240" w:lineRule="auto"/>
    </w:pPr>
  </w:style>
  <w:style w:type="paragraph" w:styleId="ListParagraph">
    <w:name w:val="List Paragraph"/>
    <w:basedOn w:val="Normal"/>
    <w:uiPriority w:val="34"/>
    <w:qFormat/>
    <w:rsid w:val="00490E27"/>
    <w:pPr>
      <w:ind w:left="720"/>
      <w:contextualSpacing/>
    </w:pPr>
  </w:style>
  <w:style w:type="paragraph" w:styleId="Quote">
    <w:name w:val="Quote"/>
    <w:basedOn w:val="Normal"/>
    <w:next w:val="Normal"/>
    <w:link w:val="QuoteChar"/>
    <w:uiPriority w:val="29"/>
    <w:qFormat/>
    <w:rsid w:val="00490E27"/>
    <w:pPr>
      <w:spacing w:before="200" w:after="0"/>
      <w:ind w:left="360" w:right="360"/>
    </w:pPr>
    <w:rPr>
      <w:i/>
      <w:iCs/>
    </w:rPr>
  </w:style>
  <w:style w:type="character" w:customStyle="1" w:styleId="QuoteChar">
    <w:name w:val="Quote Char"/>
    <w:basedOn w:val="DefaultParagraphFont"/>
    <w:link w:val="Quote"/>
    <w:uiPriority w:val="29"/>
    <w:rsid w:val="00490E27"/>
    <w:rPr>
      <w:rFonts w:eastAsiaTheme="minorEastAsia"/>
      <w:i/>
      <w:iCs/>
      <w:lang w:val="en-US" w:bidi="en-US"/>
    </w:rPr>
  </w:style>
  <w:style w:type="paragraph" w:styleId="IntenseQuote">
    <w:name w:val="Intense Quote"/>
    <w:basedOn w:val="Normal"/>
    <w:next w:val="Normal"/>
    <w:link w:val="IntenseQuoteChar"/>
    <w:uiPriority w:val="30"/>
    <w:qFormat/>
    <w:rsid w:val="00490E2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90E27"/>
    <w:rPr>
      <w:rFonts w:eastAsiaTheme="minorEastAsia"/>
      <w:b/>
      <w:bCs/>
      <w:i/>
      <w:iCs/>
      <w:lang w:val="en-US" w:bidi="en-US"/>
    </w:rPr>
  </w:style>
  <w:style w:type="character" w:styleId="SubtleEmphasis">
    <w:name w:val="Subtle Emphasis"/>
    <w:uiPriority w:val="19"/>
    <w:qFormat/>
    <w:rsid w:val="00490E27"/>
    <w:rPr>
      <w:i/>
      <w:iCs/>
    </w:rPr>
  </w:style>
  <w:style w:type="character" w:styleId="IntenseEmphasis">
    <w:name w:val="Intense Emphasis"/>
    <w:uiPriority w:val="21"/>
    <w:qFormat/>
    <w:rsid w:val="00490E27"/>
    <w:rPr>
      <w:b/>
      <w:bCs/>
    </w:rPr>
  </w:style>
  <w:style w:type="character" w:styleId="SubtleReference">
    <w:name w:val="Subtle Reference"/>
    <w:uiPriority w:val="31"/>
    <w:qFormat/>
    <w:rsid w:val="00490E27"/>
    <w:rPr>
      <w:smallCaps/>
    </w:rPr>
  </w:style>
  <w:style w:type="character" w:styleId="IntenseReference">
    <w:name w:val="Intense Reference"/>
    <w:uiPriority w:val="32"/>
    <w:qFormat/>
    <w:rsid w:val="00490E27"/>
    <w:rPr>
      <w:smallCaps/>
      <w:spacing w:val="5"/>
      <w:u w:val="single"/>
    </w:rPr>
  </w:style>
  <w:style w:type="character" w:styleId="BookTitle">
    <w:name w:val="Book Title"/>
    <w:uiPriority w:val="33"/>
    <w:qFormat/>
    <w:rsid w:val="00490E27"/>
    <w:rPr>
      <w:i/>
      <w:iCs/>
      <w:smallCaps/>
      <w:spacing w:val="5"/>
    </w:rPr>
  </w:style>
  <w:style w:type="paragraph" w:styleId="TOCHeading">
    <w:name w:val="TOC Heading"/>
    <w:basedOn w:val="Heading1"/>
    <w:next w:val="Normal"/>
    <w:uiPriority w:val="39"/>
    <w:semiHidden/>
    <w:unhideWhenUsed/>
    <w:qFormat/>
    <w:rsid w:val="00490E27"/>
    <w:pPr>
      <w:outlineLvl w:val="9"/>
    </w:pPr>
  </w:style>
  <w:style w:type="paragraph" w:styleId="NormalWeb">
    <w:name w:val="Normal (Web)"/>
    <w:basedOn w:val="Normal"/>
    <w:uiPriority w:val="99"/>
    <w:semiHidden/>
    <w:unhideWhenUsed/>
    <w:rsid w:val="00490E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1">
    <w:name w:val="normal_text1"/>
    <w:basedOn w:val="DefaultParagraphFont"/>
    <w:rsid w:val="00490E27"/>
    <w:rPr>
      <w:rFonts w:ascii="Arial" w:hAnsi="Arial" w:cs="Arial" w:hint="default"/>
      <w:i w:val="0"/>
      <w:iCs w:val="0"/>
      <w:color w:val="000000"/>
      <w:sz w:val="16"/>
      <w:szCs w:val="16"/>
    </w:rPr>
  </w:style>
  <w:style w:type="paragraph" w:customStyle="1" w:styleId="EndNoteBibliographyTitle">
    <w:name w:val="EndNote Bibliography Title"/>
    <w:basedOn w:val="Normal"/>
    <w:link w:val="EndNoteBibliographyTitleChar"/>
    <w:rsid w:val="00490E2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90E27"/>
    <w:rPr>
      <w:rFonts w:ascii="Calibri" w:eastAsiaTheme="minorEastAsia" w:hAnsi="Calibri"/>
      <w:noProof/>
      <w:lang w:val="en-US" w:bidi="en-US"/>
    </w:rPr>
  </w:style>
  <w:style w:type="paragraph" w:customStyle="1" w:styleId="EndNoteBibliography">
    <w:name w:val="EndNote Bibliography"/>
    <w:basedOn w:val="Normal"/>
    <w:link w:val="EndNoteBibliographyChar"/>
    <w:rsid w:val="00490E27"/>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490E27"/>
    <w:rPr>
      <w:rFonts w:ascii="Calibri" w:eastAsiaTheme="minorEastAsia" w:hAnsi="Calibri"/>
      <w:noProof/>
      <w:lang w:val="en-US" w:bidi="en-US"/>
    </w:rPr>
  </w:style>
  <w:style w:type="table" w:styleId="TableGrid">
    <w:name w:val="Table Grid"/>
    <w:basedOn w:val="TableNormal"/>
    <w:uiPriority w:val="59"/>
    <w:rsid w:val="00490E27"/>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90E27"/>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490E27"/>
    <w:rPr>
      <w:rFonts w:ascii="Consolas" w:hAnsi="Consolas" w:cs="Consolas"/>
      <w:sz w:val="21"/>
      <w:szCs w:val="21"/>
    </w:rPr>
  </w:style>
  <w:style w:type="paragraph" w:styleId="Header">
    <w:name w:val="header"/>
    <w:basedOn w:val="Normal"/>
    <w:link w:val="HeaderChar"/>
    <w:uiPriority w:val="99"/>
    <w:semiHidden/>
    <w:unhideWhenUsed/>
    <w:rsid w:val="00490E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0E27"/>
    <w:rPr>
      <w:rFonts w:eastAsiaTheme="minorEastAsia"/>
      <w:lang w:val="en-US" w:bidi="en-US"/>
    </w:rPr>
  </w:style>
  <w:style w:type="paragraph" w:styleId="Footer">
    <w:name w:val="footer"/>
    <w:basedOn w:val="Normal"/>
    <w:link w:val="FooterChar"/>
    <w:uiPriority w:val="99"/>
    <w:unhideWhenUsed/>
    <w:rsid w:val="00490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E27"/>
    <w:rPr>
      <w:rFonts w:eastAsiaTheme="minorEastAsia"/>
      <w:lang w:val="en-US" w:bidi="en-US"/>
    </w:rPr>
  </w:style>
  <w:style w:type="paragraph" w:styleId="Caption">
    <w:name w:val="caption"/>
    <w:basedOn w:val="Normal"/>
    <w:next w:val="Normal"/>
    <w:uiPriority w:val="35"/>
    <w:unhideWhenUsed/>
    <w:rsid w:val="00490E27"/>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2.wmf"/><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19189-0033-440E-A63F-FC6CCB858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31</Pages>
  <Words>7079</Words>
  <Characters>40355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NERC</Company>
  <LinksUpToDate>false</LinksUpToDate>
  <CharactersWithSpaces>47340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6</cp:revision>
  <dcterms:created xsi:type="dcterms:W3CDTF">2015-02-12T12:47:00Z</dcterms:created>
  <dcterms:modified xsi:type="dcterms:W3CDTF">2015-02-12T14:11:00Z</dcterms:modified>
</cp:coreProperties>
</file>