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3672" w14:textId="612BC544" w:rsidR="00B91FDE" w:rsidRDefault="00657D7C" w:rsidP="00F83E75">
      <w:pPr>
        <w:rPr>
          <w:b/>
          <w:iCs/>
          <w:lang w:val="en-GB"/>
        </w:rPr>
      </w:pPr>
      <w:r>
        <w:rPr>
          <w:b/>
          <w:iCs/>
          <w:lang w:val="en-GB"/>
        </w:rPr>
        <w:t xml:space="preserve">Normative </w:t>
      </w:r>
      <w:r w:rsidR="00583CE0">
        <w:rPr>
          <w:b/>
          <w:iCs/>
          <w:lang w:val="en-GB"/>
        </w:rPr>
        <w:t>mis</w:t>
      </w:r>
      <w:r>
        <w:rPr>
          <w:b/>
          <w:iCs/>
          <w:lang w:val="en-GB"/>
        </w:rPr>
        <w:t>perceptions</w:t>
      </w:r>
      <w:r w:rsidR="00583CE0">
        <w:rPr>
          <w:b/>
          <w:iCs/>
          <w:lang w:val="en-GB"/>
        </w:rPr>
        <w:t xml:space="preserve"> </w:t>
      </w:r>
      <w:r w:rsidR="0045624C">
        <w:rPr>
          <w:b/>
          <w:iCs/>
          <w:lang w:val="en-GB"/>
        </w:rPr>
        <w:t>of</w:t>
      </w:r>
      <w:r w:rsidR="00583CE0">
        <w:rPr>
          <w:b/>
          <w:iCs/>
          <w:lang w:val="en-GB"/>
        </w:rPr>
        <w:t xml:space="preserve"> tobacco use</w:t>
      </w:r>
      <w:r>
        <w:rPr>
          <w:b/>
          <w:iCs/>
          <w:lang w:val="en-GB"/>
        </w:rPr>
        <w:t xml:space="preserve"> </w:t>
      </w:r>
      <w:r w:rsidR="00F4516C" w:rsidRPr="000E65B7">
        <w:rPr>
          <w:b/>
          <w:iCs/>
          <w:lang w:val="en-GB"/>
        </w:rPr>
        <w:t xml:space="preserve">among university students in seven European countries: </w:t>
      </w:r>
      <w:r>
        <w:rPr>
          <w:b/>
          <w:iCs/>
          <w:lang w:val="en-GB"/>
        </w:rPr>
        <w:t>B</w:t>
      </w:r>
      <w:r w:rsidR="00DE7ECE" w:rsidRPr="000E65B7">
        <w:rPr>
          <w:b/>
          <w:iCs/>
          <w:lang w:val="en-GB"/>
        </w:rPr>
        <w:t xml:space="preserve">aseline </w:t>
      </w:r>
      <w:r w:rsidR="00583CE0">
        <w:rPr>
          <w:b/>
          <w:iCs/>
          <w:lang w:val="en-GB"/>
        </w:rPr>
        <w:t>findings</w:t>
      </w:r>
      <w:r w:rsidR="00583CE0" w:rsidRPr="000E65B7">
        <w:rPr>
          <w:b/>
          <w:iCs/>
          <w:lang w:val="en-GB"/>
        </w:rPr>
        <w:t xml:space="preserve"> </w:t>
      </w:r>
      <w:r w:rsidR="004C52DA" w:rsidRPr="000E65B7">
        <w:rPr>
          <w:b/>
          <w:iCs/>
          <w:lang w:val="en-GB"/>
        </w:rPr>
        <w:t xml:space="preserve">of </w:t>
      </w:r>
      <w:r>
        <w:rPr>
          <w:b/>
          <w:iCs/>
          <w:lang w:val="en-GB"/>
        </w:rPr>
        <w:t xml:space="preserve">the </w:t>
      </w:r>
      <w:r w:rsidRPr="00657D7C">
        <w:rPr>
          <w:b/>
          <w:iCs/>
          <w:lang w:val="en-GB"/>
        </w:rPr>
        <w:t xml:space="preserve">‘Social Norms Intervention for the prevention of </w:t>
      </w:r>
      <w:proofErr w:type="spellStart"/>
      <w:r w:rsidRPr="00657D7C">
        <w:rPr>
          <w:b/>
          <w:iCs/>
          <w:lang w:val="en-GB"/>
        </w:rPr>
        <w:t>Polydrug</w:t>
      </w:r>
      <w:proofErr w:type="spellEnd"/>
      <w:r w:rsidRPr="00B729BC">
        <w:rPr>
          <w:lang w:val="en-US"/>
        </w:rPr>
        <w:t xml:space="preserve"> </w:t>
      </w:r>
      <w:proofErr w:type="spellStart"/>
      <w:r w:rsidRPr="001F2207">
        <w:rPr>
          <w:b/>
          <w:iCs/>
          <w:lang w:val="en-GB"/>
        </w:rPr>
        <w:t>usE’</w:t>
      </w:r>
      <w:r>
        <w:rPr>
          <w:b/>
          <w:iCs/>
          <w:lang w:val="en-GB"/>
        </w:rPr>
        <w:t>study</w:t>
      </w:r>
      <w:proofErr w:type="spellEnd"/>
      <w:r>
        <w:rPr>
          <w:b/>
          <w:iCs/>
          <w:lang w:val="en-GB"/>
        </w:rPr>
        <w:t xml:space="preserve"> </w:t>
      </w:r>
      <w:r w:rsidR="007A7521">
        <w:rPr>
          <w:rStyle w:val="FootnoteReference"/>
          <w:b/>
          <w:iCs/>
          <w:lang w:val="en-GB"/>
        </w:rPr>
        <w:footnoteReference w:id="1"/>
      </w:r>
    </w:p>
    <w:p w14:paraId="7CB56949" w14:textId="77777777" w:rsidR="00044B58" w:rsidRPr="0031002D" w:rsidRDefault="00044B58" w:rsidP="001A625B">
      <w:pPr>
        <w:rPr>
          <w:iCs/>
          <w:lang w:val="en-GB"/>
        </w:rPr>
      </w:pPr>
    </w:p>
    <w:p w14:paraId="5695065C" w14:textId="77777777" w:rsidR="00044B58" w:rsidRPr="0031002D" w:rsidRDefault="00044B58" w:rsidP="001A625B">
      <w:pPr>
        <w:rPr>
          <w:iCs/>
          <w:lang w:val="en-GB"/>
        </w:rPr>
      </w:pPr>
    </w:p>
    <w:p w14:paraId="2E21E68B" w14:textId="77777777" w:rsidR="00044B58" w:rsidRPr="006604F6" w:rsidRDefault="006604F6" w:rsidP="001A625B">
      <w:pPr>
        <w:rPr>
          <w:iCs/>
          <w:lang w:val="en-GB"/>
        </w:rPr>
      </w:pPr>
      <w:r w:rsidRPr="00A007AA">
        <w:rPr>
          <w:b/>
          <w:iCs/>
          <w:lang w:val="en-GB"/>
        </w:rPr>
        <w:t>Corresponding author:</w:t>
      </w:r>
      <w:r>
        <w:rPr>
          <w:iCs/>
          <w:lang w:val="en-GB"/>
        </w:rPr>
        <w:t xml:space="preserve"> </w:t>
      </w:r>
      <w:proofErr w:type="spellStart"/>
      <w:r>
        <w:rPr>
          <w:iCs/>
          <w:lang w:val="en-GB"/>
        </w:rPr>
        <w:t>Dr.</w:t>
      </w:r>
      <w:proofErr w:type="spellEnd"/>
      <w:r>
        <w:rPr>
          <w:iCs/>
          <w:lang w:val="en-GB"/>
        </w:rPr>
        <w:t xml:space="preserve"> Claudia R. </w:t>
      </w:r>
      <w:proofErr w:type="spellStart"/>
      <w:r>
        <w:rPr>
          <w:iCs/>
          <w:lang w:val="en-GB"/>
        </w:rPr>
        <w:t>Pischke</w:t>
      </w:r>
      <w:proofErr w:type="spellEnd"/>
      <w:r>
        <w:rPr>
          <w:iCs/>
          <w:lang w:val="en-GB"/>
        </w:rPr>
        <w:t xml:space="preserve">, </w:t>
      </w:r>
      <w:proofErr w:type="spellStart"/>
      <w:r>
        <w:rPr>
          <w:iCs/>
          <w:lang w:val="en-GB"/>
        </w:rPr>
        <w:t>Achterstr</w:t>
      </w:r>
      <w:proofErr w:type="spellEnd"/>
      <w:r>
        <w:rPr>
          <w:iCs/>
          <w:lang w:val="en-GB"/>
        </w:rPr>
        <w:t xml:space="preserve">. 30, 28359 Bremen, Germany, email: </w:t>
      </w:r>
      <w:hyperlink r:id="rId8" w:history="1">
        <w:r w:rsidRPr="004502AE">
          <w:rPr>
            <w:rStyle w:val="Hyperlink"/>
            <w:iCs/>
            <w:lang w:val="en-GB"/>
          </w:rPr>
          <w:t>pischke@bips.uni-bremen.de</w:t>
        </w:r>
      </w:hyperlink>
      <w:r>
        <w:rPr>
          <w:iCs/>
          <w:lang w:val="en-GB"/>
        </w:rPr>
        <w:t>, phone: +1-49-421-218-5912</w:t>
      </w:r>
    </w:p>
    <w:p w14:paraId="65962448" w14:textId="77777777" w:rsidR="00044B58" w:rsidRPr="0031002D" w:rsidRDefault="00044B58" w:rsidP="001A625B">
      <w:pPr>
        <w:rPr>
          <w:iCs/>
          <w:lang w:val="en-GB"/>
        </w:rPr>
      </w:pPr>
    </w:p>
    <w:p w14:paraId="4BFACA6D" w14:textId="1BC0B1CE" w:rsidR="001A625B" w:rsidRPr="00AA2EBE" w:rsidRDefault="001A625B" w:rsidP="001A625B">
      <w:pPr>
        <w:rPr>
          <w:iCs/>
          <w:lang w:val="en-GB"/>
        </w:rPr>
      </w:pPr>
      <w:r w:rsidRPr="009D6381">
        <w:rPr>
          <w:i/>
          <w:iCs/>
          <w:lang w:val="en-GB"/>
        </w:rPr>
        <w:br/>
      </w:r>
      <w:r w:rsidR="009C24D5" w:rsidRPr="0019107B">
        <w:rPr>
          <w:iCs/>
          <w:lang w:val="en-GB"/>
        </w:rPr>
        <w:t>C</w:t>
      </w:r>
      <w:r w:rsidR="00671163">
        <w:rPr>
          <w:iCs/>
          <w:lang w:val="en-GB"/>
        </w:rPr>
        <w:t xml:space="preserve">laudia </w:t>
      </w:r>
      <w:r w:rsidR="009C24D5" w:rsidRPr="0019107B">
        <w:rPr>
          <w:iCs/>
          <w:lang w:val="en-GB"/>
        </w:rPr>
        <w:t xml:space="preserve">R </w:t>
      </w:r>
      <w:proofErr w:type="spellStart"/>
      <w:r w:rsidR="009C24D5" w:rsidRPr="0019107B">
        <w:rPr>
          <w:iCs/>
          <w:lang w:val="en-GB"/>
        </w:rPr>
        <w:t>Pischke</w:t>
      </w:r>
      <w:proofErr w:type="spellEnd"/>
      <w:r w:rsidR="00962E5E">
        <w:rPr>
          <w:iCs/>
          <w:lang w:val="en-GB"/>
        </w:rPr>
        <w:t>, Ph.D</w:t>
      </w:r>
      <w:r w:rsidR="009C24D5" w:rsidRPr="0019107B">
        <w:rPr>
          <w:iCs/>
          <w:vertAlign w:val="superscript"/>
          <w:lang w:val="en-GB"/>
        </w:rPr>
        <w:t>1</w:t>
      </w:r>
      <w:r w:rsidR="009C24D5" w:rsidRPr="0019107B">
        <w:rPr>
          <w:iCs/>
          <w:lang w:val="en-GB"/>
        </w:rPr>
        <w:t>, S</w:t>
      </w:r>
      <w:r w:rsidR="00671163">
        <w:rPr>
          <w:iCs/>
          <w:lang w:val="en-GB"/>
        </w:rPr>
        <w:t xml:space="preserve">tefanie </w:t>
      </w:r>
      <w:r w:rsidR="004D65C3" w:rsidRPr="0019107B">
        <w:rPr>
          <w:iCs/>
          <w:lang w:val="en-GB"/>
        </w:rPr>
        <w:t>M</w:t>
      </w:r>
      <w:r w:rsidR="009C24D5" w:rsidRPr="0019107B">
        <w:rPr>
          <w:iCs/>
          <w:lang w:val="en-GB"/>
        </w:rPr>
        <w:t xml:space="preserve"> </w:t>
      </w:r>
      <w:r w:rsidRPr="0019107B">
        <w:rPr>
          <w:iCs/>
          <w:lang w:val="en-GB"/>
        </w:rPr>
        <w:t>Helmer</w:t>
      </w:r>
      <w:r w:rsidR="00BA34E0">
        <w:rPr>
          <w:iCs/>
          <w:lang w:val="en-GB"/>
        </w:rPr>
        <w:t>, MSc</w:t>
      </w:r>
      <w:r w:rsidRPr="0019107B">
        <w:rPr>
          <w:iCs/>
          <w:vertAlign w:val="superscript"/>
          <w:lang w:val="en-GB"/>
        </w:rPr>
        <w:t>1</w:t>
      </w:r>
      <w:r w:rsidRPr="0019107B">
        <w:rPr>
          <w:iCs/>
          <w:lang w:val="en-GB"/>
        </w:rPr>
        <w:t>, J</w:t>
      </w:r>
      <w:r w:rsidR="00671163">
        <w:rPr>
          <w:iCs/>
          <w:lang w:val="en-GB"/>
        </w:rPr>
        <w:t>ohn</w:t>
      </w:r>
      <w:r w:rsidRPr="0019107B">
        <w:rPr>
          <w:iCs/>
          <w:lang w:val="en-GB"/>
        </w:rPr>
        <w:t xml:space="preserve"> McAlaney</w:t>
      </w:r>
      <w:r w:rsidR="00962E5E">
        <w:rPr>
          <w:iCs/>
          <w:lang w:val="en-GB"/>
        </w:rPr>
        <w:t>, Ph.D.</w:t>
      </w:r>
      <w:r w:rsidRPr="0019107B">
        <w:rPr>
          <w:iCs/>
          <w:vertAlign w:val="superscript"/>
          <w:lang w:val="en-GB"/>
        </w:rPr>
        <w:t>2</w:t>
      </w:r>
      <w:r w:rsidR="00B300A2" w:rsidRPr="0019107B">
        <w:rPr>
          <w:iCs/>
          <w:vertAlign w:val="superscript"/>
          <w:lang w:val="en-GB"/>
        </w:rPr>
        <w:t>,</w:t>
      </w:r>
      <w:r w:rsidR="00711402" w:rsidRPr="0019107B">
        <w:rPr>
          <w:iCs/>
          <w:vertAlign w:val="superscript"/>
          <w:lang w:val="en-GB"/>
        </w:rPr>
        <w:t>3</w:t>
      </w:r>
      <w:r w:rsidRPr="0019107B">
        <w:rPr>
          <w:iCs/>
          <w:lang w:val="en-GB"/>
        </w:rPr>
        <w:t xml:space="preserve">, </w:t>
      </w:r>
      <w:r w:rsidR="002C1D93" w:rsidRPr="0019107B">
        <w:rPr>
          <w:iCs/>
          <w:lang w:val="en-GB"/>
        </w:rPr>
        <w:t>B</w:t>
      </w:r>
      <w:r w:rsidR="00671163">
        <w:rPr>
          <w:iCs/>
          <w:lang w:val="en-GB"/>
        </w:rPr>
        <w:t xml:space="preserve">ridgette </w:t>
      </w:r>
      <w:r w:rsidR="002C1D93" w:rsidRPr="0019107B">
        <w:rPr>
          <w:iCs/>
          <w:lang w:val="en-GB"/>
        </w:rPr>
        <w:t xml:space="preserve">M </w:t>
      </w:r>
      <w:proofErr w:type="spellStart"/>
      <w:r w:rsidR="002C1D93" w:rsidRPr="0019107B">
        <w:rPr>
          <w:iCs/>
          <w:lang w:val="en-GB"/>
        </w:rPr>
        <w:t>Bewick</w:t>
      </w:r>
      <w:proofErr w:type="spellEnd"/>
      <w:r w:rsidR="00962E5E">
        <w:rPr>
          <w:iCs/>
          <w:lang w:val="en-GB"/>
        </w:rPr>
        <w:t>, Ph.D.</w:t>
      </w:r>
      <w:r w:rsidR="00B300A2" w:rsidRPr="0019107B">
        <w:rPr>
          <w:iCs/>
          <w:vertAlign w:val="superscript"/>
          <w:lang w:val="en-GB"/>
        </w:rPr>
        <w:t>4</w:t>
      </w:r>
      <w:r w:rsidR="002C1D93" w:rsidRPr="0019107B">
        <w:rPr>
          <w:iCs/>
          <w:lang w:val="en-GB"/>
        </w:rPr>
        <w:t>,</w:t>
      </w:r>
      <w:r w:rsidR="002C1D93" w:rsidRPr="002C1D93">
        <w:rPr>
          <w:iCs/>
          <w:lang w:val="en-GB"/>
        </w:rPr>
        <w:t xml:space="preserve"> </w:t>
      </w:r>
      <w:r w:rsidRPr="00AA2EBE">
        <w:rPr>
          <w:iCs/>
          <w:lang w:val="en-GB"/>
        </w:rPr>
        <w:t>B</w:t>
      </w:r>
      <w:r w:rsidR="00671163">
        <w:rPr>
          <w:iCs/>
          <w:lang w:val="en-GB"/>
        </w:rPr>
        <w:t>art</w:t>
      </w:r>
      <w:r w:rsidRPr="00AA2EBE">
        <w:rPr>
          <w:iCs/>
          <w:lang w:val="en-GB"/>
        </w:rPr>
        <w:t xml:space="preserve"> </w:t>
      </w:r>
      <w:proofErr w:type="spellStart"/>
      <w:r w:rsidRPr="00AA2EBE">
        <w:rPr>
          <w:iCs/>
          <w:lang w:val="en-GB"/>
        </w:rPr>
        <w:t>Vriesacker</w:t>
      </w:r>
      <w:proofErr w:type="spellEnd"/>
      <w:r w:rsidR="00F3289C">
        <w:rPr>
          <w:iCs/>
          <w:lang w:val="en-GB"/>
        </w:rPr>
        <w:t xml:space="preserve">, </w:t>
      </w:r>
      <w:r w:rsidR="009172CB">
        <w:rPr>
          <w:iCs/>
          <w:lang w:val="en-GB"/>
        </w:rPr>
        <w:t>MSc</w:t>
      </w:r>
      <w:r w:rsidR="00B2319D">
        <w:rPr>
          <w:iCs/>
          <w:vertAlign w:val="superscript"/>
          <w:lang w:val="en-GB"/>
        </w:rPr>
        <w:t>5</w:t>
      </w:r>
      <w:r w:rsidR="00767BD7">
        <w:rPr>
          <w:iCs/>
          <w:vertAlign w:val="superscript"/>
          <w:lang w:val="en-GB"/>
        </w:rPr>
        <w:t>,</w:t>
      </w:r>
      <w:r w:rsidR="00B2319D">
        <w:rPr>
          <w:iCs/>
          <w:vertAlign w:val="superscript"/>
          <w:lang w:val="en-GB"/>
        </w:rPr>
        <w:t>6</w:t>
      </w:r>
      <w:r w:rsidRPr="00AA2EBE">
        <w:rPr>
          <w:iCs/>
          <w:lang w:val="en-GB"/>
        </w:rPr>
        <w:t xml:space="preserve">, </w:t>
      </w:r>
      <w:r w:rsidRPr="0019107B">
        <w:rPr>
          <w:iCs/>
          <w:lang w:val="en-GB"/>
        </w:rPr>
        <w:t>G</w:t>
      </w:r>
      <w:r w:rsidR="00671163">
        <w:rPr>
          <w:iCs/>
          <w:lang w:val="en-GB"/>
        </w:rPr>
        <w:t>uido</w:t>
      </w:r>
      <w:r w:rsidRPr="0019107B">
        <w:rPr>
          <w:iCs/>
          <w:lang w:val="en-GB"/>
        </w:rPr>
        <w:t xml:space="preserve"> Van Hal</w:t>
      </w:r>
      <w:r w:rsidR="00E02EE8">
        <w:rPr>
          <w:iCs/>
          <w:lang w:val="en-GB"/>
        </w:rPr>
        <w:t>, Ph.D.</w:t>
      </w:r>
      <w:r w:rsidR="00B300A2" w:rsidRPr="0019107B">
        <w:rPr>
          <w:iCs/>
          <w:vertAlign w:val="superscript"/>
          <w:lang w:val="en-GB"/>
        </w:rPr>
        <w:t>6</w:t>
      </w:r>
      <w:r w:rsidRPr="0019107B">
        <w:rPr>
          <w:iCs/>
          <w:lang w:val="en-GB"/>
        </w:rPr>
        <w:t>, R</w:t>
      </w:r>
      <w:r w:rsidR="00671163">
        <w:rPr>
          <w:iCs/>
          <w:lang w:val="en-GB"/>
        </w:rPr>
        <w:t xml:space="preserve">afael </w:t>
      </w:r>
      <w:r w:rsidRPr="0019107B">
        <w:rPr>
          <w:iCs/>
          <w:lang w:val="en-GB"/>
        </w:rPr>
        <w:t xml:space="preserve">T </w:t>
      </w:r>
      <w:proofErr w:type="spellStart"/>
      <w:r w:rsidRPr="0019107B">
        <w:rPr>
          <w:iCs/>
          <w:lang w:val="en-GB"/>
        </w:rPr>
        <w:t>Mikolajczyk</w:t>
      </w:r>
      <w:proofErr w:type="spellEnd"/>
      <w:r w:rsidR="00E02EE8">
        <w:rPr>
          <w:iCs/>
          <w:lang w:val="en-GB"/>
        </w:rPr>
        <w:t>, Ph.D.</w:t>
      </w:r>
      <w:r w:rsidR="00B300A2" w:rsidRPr="0019107B">
        <w:rPr>
          <w:iCs/>
          <w:vertAlign w:val="superscript"/>
          <w:lang w:val="en-GB"/>
        </w:rPr>
        <w:t>7</w:t>
      </w:r>
      <w:r w:rsidRPr="0019107B">
        <w:rPr>
          <w:iCs/>
          <w:lang w:val="en-GB"/>
        </w:rPr>
        <w:t xml:space="preserve">, </w:t>
      </w:r>
      <w:proofErr w:type="spellStart"/>
      <w:r w:rsidRPr="0019107B">
        <w:rPr>
          <w:iCs/>
          <w:lang w:val="en-GB"/>
        </w:rPr>
        <w:t>Y</w:t>
      </w:r>
      <w:r w:rsidR="00671163">
        <w:rPr>
          <w:iCs/>
          <w:lang w:val="en-GB"/>
        </w:rPr>
        <w:t>ildiz</w:t>
      </w:r>
      <w:proofErr w:type="spellEnd"/>
      <w:r w:rsidRPr="0019107B">
        <w:rPr>
          <w:iCs/>
          <w:lang w:val="en-GB"/>
        </w:rPr>
        <w:t xml:space="preserve"> </w:t>
      </w:r>
      <w:proofErr w:type="spellStart"/>
      <w:r w:rsidRPr="0019107B">
        <w:rPr>
          <w:iCs/>
          <w:lang w:val="en-GB"/>
        </w:rPr>
        <w:t>Akvardar</w:t>
      </w:r>
      <w:proofErr w:type="spellEnd"/>
      <w:r w:rsidR="007C15B7">
        <w:rPr>
          <w:iCs/>
          <w:lang w:val="en-GB"/>
        </w:rPr>
        <w:t>, Ph.D.</w:t>
      </w:r>
      <w:r w:rsidR="00B300A2" w:rsidRPr="0019107B">
        <w:rPr>
          <w:iCs/>
          <w:vertAlign w:val="superscript"/>
          <w:lang w:val="en-GB"/>
        </w:rPr>
        <w:t>8</w:t>
      </w:r>
      <w:r w:rsidRPr="0019107B">
        <w:rPr>
          <w:iCs/>
          <w:lang w:val="en-GB"/>
        </w:rPr>
        <w:t>,</w:t>
      </w:r>
      <w:r w:rsidRPr="00AA2EBE">
        <w:rPr>
          <w:iCs/>
          <w:lang w:val="en-GB"/>
        </w:rPr>
        <w:t xml:space="preserve"> F</w:t>
      </w:r>
      <w:r w:rsidR="00671163">
        <w:rPr>
          <w:iCs/>
          <w:lang w:val="en-GB"/>
        </w:rPr>
        <w:t>rancisco</w:t>
      </w:r>
      <w:r w:rsidRPr="00AA2EBE">
        <w:rPr>
          <w:iCs/>
          <w:lang w:val="en-GB"/>
        </w:rPr>
        <w:t xml:space="preserve"> Guillen-</w:t>
      </w:r>
      <w:proofErr w:type="spellStart"/>
      <w:r w:rsidRPr="00AA2EBE">
        <w:rPr>
          <w:iCs/>
          <w:lang w:val="en-GB"/>
        </w:rPr>
        <w:t>Grima</w:t>
      </w:r>
      <w:proofErr w:type="spellEnd"/>
      <w:r w:rsidR="007C15B7">
        <w:rPr>
          <w:iCs/>
          <w:lang w:val="en-GB"/>
        </w:rPr>
        <w:t>, Ph.D.</w:t>
      </w:r>
      <w:r w:rsidR="00B300A2">
        <w:rPr>
          <w:iCs/>
          <w:vertAlign w:val="superscript"/>
          <w:lang w:val="en-GB"/>
        </w:rPr>
        <w:t>9</w:t>
      </w:r>
      <w:r w:rsidRPr="00AA2EBE">
        <w:rPr>
          <w:iCs/>
          <w:lang w:val="en-GB"/>
        </w:rPr>
        <w:t xml:space="preserve"> , </w:t>
      </w:r>
      <w:r w:rsidRPr="0019107B">
        <w:rPr>
          <w:iCs/>
          <w:lang w:val="en-GB"/>
        </w:rPr>
        <w:t>F</w:t>
      </w:r>
      <w:r w:rsidR="00671163">
        <w:rPr>
          <w:iCs/>
          <w:lang w:val="en-GB"/>
        </w:rPr>
        <w:t>erdinand</w:t>
      </w:r>
      <w:r w:rsidRPr="0019107B">
        <w:rPr>
          <w:iCs/>
          <w:lang w:val="en-GB"/>
        </w:rPr>
        <w:t xml:space="preserve"> </w:t>
      </w:r>
      <w:proofErr w:type="spellStart"/>
      <w:r w:rsidRPr="0019107B">
        <w:rPr>
          <w:iCs/>
          <w:lang w:val="en-GB"/>
        </w:rPr>
        <w:t>Salonna</w:t>
      </w:r>
      <w:proofErr w:type="spellEnd"/>
      <w:r w:rsidR="007C15B7">
        <w:rPr>
          <w:iCs/>
          <w:lang w:val="en-GB"/>
        </w:rPr>
        <w:t>, Ph.D.</w:t>
      </w:r>
      <w:r w:rsidR="00B300A2">
        <w:rPr>
          <w:iCs/>
          <w:vertAlign w:val="superscript"/>
          <w:lang w:val="en-GB"/>
        </w:rPr>
        <w:t>10</w:t>
      </w:r>
      <w:r w:rsidRPr="00AA2EBE">
        <w:rPr>
          <w:iCs/>
          <w:lang w:val="en-GB"/>
        </w:rPr>
        <w:t xml:space="preserve">, </w:t>
      </w:r>
      <w:r w:rsidR="0073741A" w:rsidRPr="0073741A">
        <w:rPr>
          <w:iCs/>
          <w:lang w:val="en-GB"/>
        </w:rPr>
        <w:t>O</w:t>
      </w:r>
      <w:r w:rsidR="00671163">
        <w:rPr>
          <w:iCs/>
          <w:lang w:val="en-GB"/>
        </w:rPr>
        <w:t>lga</w:t>
      </w:r>
      <w:r w:rsidR="0073741A" w:rsidRPr="0073741A">
        <w:rPr>
          <w:iCs/>
          <w:lang w:val="en-GB"/>
        </w:rPr>
        <w:t xml:space="preserve"> </w:t>
      </w:r>
      <w:proofErr w:type="spellStart"/>
      <w:r w:rsidR="0073741A" w:rsidRPr="0073741A">
        <w:rPr>
          <w:iCs/>
          <w:lang w:val="en-GB"/>
        </w:rPr>
        <w:t>Orosova</w:t>
      </w:r>
      <w:proofErr w:type="spellEnd"/>
      <w:r w:rsidR="007C15B7">
        <w:rPr>
          <w:iCs/>
          <w:lang w:val="en-GB"/>
        </w:rPr>
        <w:t>, Ph.D.</w:t>
      </w:r>
      <w:r w:rsidR="00B300A2">
        <w:rPr>
          <w:iCs/>
          <w:vertAlign w:val="superscript"/>
          <w:lang w:val="en-GB"/>
        </w:rPr>
        <w:t>11</w:t>
      </w:r>
      <w:r w:rsidR="00271F05">
        <w:rPr>
          <w:iCs/>
          <w:lang w:val="en-GB"/>
        </w:rPr>
        <w:t xml:space="preserve">, </w:t>
      </w:r>
      <w:proofErr w:type="spellStart"/>
      <w:r w:rsidR="00690EEF">
        <w:rPr>
          <w:iCs/>
          <w:lang w:val="en-GB"/>
        </w:rPr>
        <w:t>S</w:t>
      </w:r>
      <w:r w:rsidR="00671163">
        <w:rPr>
          <w:iCs/>
          <w:lang w:val="en-GB"/>
        </w:rPr>
        <w:t>olveig</w:t>
      </w:r>
      <w:proofErr w:type="spellEnd"/>
      <w:r w:rsidR="00690EEF">
        <w:rPr>
          <w:iCs/>
          <w:lang w:val="en-GB"/>
        </w:rPr>
        <w:t xml:space="preserve"> </w:t>
      </w:r>
      <w:proofErr w:type="spellStart"/>
      <w:r w:rsidR="00DE2AE0" w:rsidRPr="0019107B">
        <w:rPr>
          <w:iCs/>
          <w:lang w:val="en-GB"/>
        </w:rPr>
        <w:t>Dohrmann</w:t>
      </w:r>
      <w:proofErr w:type="spellEnd"/>
      <w:r w:rsidR="00BA34E0">
        <w:rPr>
          <w:iCs/>
          <w:lang w:val="en-GB"/>
        </w:rPr>
        <w:t>, MSc</w:t>
      </w:r>
      <w:r w:rsidR="00DE2AE0" w:rsidRPr="0019107B">
        <w:rPr>
          <w:iCs/>
          <w:lang w:val="en-GB"/>
        </w:rPr>
        <w:t xml:space="preserve"> </w:t>
      </w:r>
      <w:r w:rsidR="00B300A2" w:rsidRPr="0019107B">
        <w:rPr>
          <w:iCs/>
          <w:vertAlign w:val="superscript"/>
          <w:lang w:val="en-GB"/>
        </w:rPr>
        <w:t>12</w:t>
      </w:r>
      <w:r w:rsidRPr="0019107B">
        <w:rPr>
          <w:iCs/>
          <w:lang w:val="en-GB"/>
        </w:rPr>
        <w:t>, R</w:t>
      </w:r>
      <w:r w:rsidR="00671163">
        <w:rPr>
          <w:iCs/>
          <w:lang w:val="en-GB"/>
        </w:rPr>
        <w:t xml:space="preserve">obert </w:t>
      </w:r>
      <w:r w:rsidRPr="0019107B">
        <w:rPr>
          <w:iCs/>
          <w:lang w:val="en-GB"/>
        </w:rPr>
        <w:t>C Dempsey</w:t>
      </w:r>
      <w:r w:rsidR="007C15B7">
        <w:rPr>
          <w:iCs/>
          <w:lang w:val="en-GB"/>
        </w:rPr>
        <w:t>, Ph.D.</w:t>
      </w:r>
      <w:r w:rsidR="00271F05" w:rsidRPr="0019107B">
        <w:rPr>
          <w:iCs/>
          <w:vertAlign w:val="superscript"/>
          <w:lang w:val="en-GB"/>
        </w:rPr>
        <w:t>2</w:t>
      </w:r>
      <w:r w:rsidR="0066311A">
        <w:rPr>
          <w:iCs/>
          <w:vertAlign w:val="superscript"/>
          <w:lang w:val="en-GB"/>
        </w:rPr>
        <w:t>,</w:t>
      </w:r>
      <w:r w:rsidR="00271F05" w:rsidRPr="0019107B">
        <w:rPr>
          <w:iCs/>
          <w:vertAlign w:val="superscript"/>
          <w:lang w:val="en-GB"/>
        </w:rPr>
        <w:t>12</w:t>
      </w:r>
      <w:r w:rsidRPr="0019107B">
        <w:rPr>
          <w:iCs/>
          <w:lang w:val="en-GB"/>
        </w:rPr>
        <w:t xml:space="preserve">, </w:t>
      </w:r>
      <w:proofErr w:type="spellStart"/>
      <w:r w:rsidRPr="0019107B">
        <w:rPr>
          <w:iCs/>
          <w:lang w:val="en-GB"/>
        </w:rPr>
        <w:t>H</w:t>
      </w:r>
      <w:r w:rsidR="00671163">
        <w:rPr>
          <w:iCs/>
          <w:lang w:val="en-GB"/>
        </w:rPr>
        <w:t>ajo</w:t>
      </w:r>
      <w:proofErr w:type="spellEnd"/>
      <w:r w:rsidRPr="0019107B">
        <w:rPr>
          <w:iCs/>
          <w:lang w:val="en-GB"/>
        </w:rPr>
        <w:t xml:space="preserve"> </w:t>
      </w:r>
      <w:proofErr w:type="spellStart"/>
      <w:r w:rsidRPr="0019107B">
        <w:rPr>
          <w:iCs/>
          <w:lang w:val="en-GB"/>
        </w:rPr>
        <w:t>Zeeb</w:t>
      </w:r>
      <w:proofErr w:type="spellEnd"/>
      <w:r w:rsidR="007C15B7">
        <w:rPr>
          <w:iCs/>
          <w:lang w:val="en-GB"/>
        </w:rPr>
        <w:t>, Ph.D.</w:t>
      </w:r>
      <w:r w:rsidRPr="0019107B">
        <w:rPr>
          <w:iCs/>
          <w:vertAlign w:val="superscript"/>
          <w:lang w:val="en-GB"/>
        </w:rPr>
        <w:t>1</w:t>
      </w:r>
    </w:p>
    <w:p w14:paraId="6F34A37E" w14:textId="7142F6E6" w:rsidR="001A625B" w:rsidRPr="00AA2EBE" w:rsidRDefault="001A625B" w:rsidP="001A625B">
      <w:pPr>
        <w:rPr>
          <w:rFonts w:cs="Arial"/>
          <w:lang w:val="en-GB"/>
        </w:rPr>
      </w:pPr>
      <w:r w:rsidRPr="00AA2EBE">
        <w:rPr>
          <w:iCs/>
          <w:vertAlign w:val="superscript"/>
          <w:lang w:val="en-GB"/>
        </w:rPr>
        <w:t>1</w:t>
      </w:r>
      <w:r w:rsidRPr="00AA2EBE">
        <w:rPr>
          <w:rFonts w:cs="Arial"/>
          <w:lang w:val="en-GB"/>
        </w:rPr>
        <w:t>Leibniz Institute for Preven</w:t>
      </w:r>
      <w:r w:rsidR="007D2D20">
        <w:rPr>
          <w:rFonts w:cs="Arial"/>
          <w:lang w:val="en-GB"/>
        </w:rPr>
        <w:t xml:space="preserve">tion Research and Epidemiology - </w:t>
      </w:r>
      <w:r w:rsidRPr="00AA2EBE">
        <w:rPr>
          <w:rFonts w:cs="Arial"/>
          <w:lang w:val="en-GB"/>
        </w:rPr>
        <w:t xml:space="preserve">BIPS, </w:t>
      </w:r>
      <w:proofErr w:type="spellStart"/>
      <w:r w:rsidR="00A24534">
        <w:rPr>
          <w:rFonts w:cs="Arial"/>
          <w:lang w:val="en-GB"/>
        </w:rPr>
        <w:t>Achterstr</w:t>
      </w:r>
      <w:proofErr w:type="spellEnd"/>
      <w:r w:rsidR="00A24534">
        <w:rPr>
          <w:rFonts w:cs="Arial"/>
          <w:lang w:val="en-GB"/>
        </w:rPr>
        <w:t xml:space="preserve">. 30, </w:t>
      </w:r>
      <w:r w:rsidRPr="00AA2EBE">
        <w:rPr>
          <w:rFonts w:cs="Arial"/>
          <w:lang w:val="en-GB"/>
        </w:rPr>
        <w:t>28359 Bremen, Germany</w:t>
      </w:r>
      <w:r w:rsidR="007A2C76">
        <w:rPr>
          <w:rFonts w:cs="Arial"/>
          <w:lang w:val="en-GB"/>
        </w:rPr>
        <w:t xml:space="preserve">, email SMH: </w:t>
      </w:r>
      <w:hyperlink r:id="rId9" w:history="1">
        <w:r w:rsidR="00683DB6" w:rsidRPr="002C397B">
          <w:rPr>
            <w:rStyle w:val="Hyperlink"/>
            <w:rFonts w:cs="Arial"/>
            <w:lang w:val="en-GB"/>
          </w:rPr>
          <w:t>helmer@bips.uni-bremen.de</w:t>
        </w:r>
      </w:hyperlink>
      <w:r w:rsidR="00683DB6">
        <w:rPr>
          <w:rFonts w:cs="Arial"/>
          <w:lang w:val="en-GB"/>
        </w:rPr>
        <w:t>, email HZ: zeeb@bips.uni-bremen.de</w:t>
      </w:r>
    </w:p>
    <w:p w14:paraId="51710831" w14:textId="0A8D4F49" w:rsidR="00B300A2" w:rsidRPr="00C40D1C" w:rsidRDefault="001A625B" w:rsidP="001A625B">
      <w:pPr>
        <w:rPr>
          <w:rFonts w:cs="Arial"/>
          <w:lang w:val="en-GB"/>
        </w:rPr>
      </w:pPr>
      <w:r w:rsidRPr="00C40D1C">
        <w:rPr>
          <w:rFonts w:cs="Arial"/>
          <w:vertAlign w:val="superscript"/>
          <w:lang w:val="en-GB"/>
        </w:rPr>
        <w:t>2</w:t>
      </w:r>
      <w:r w:rsidRPr="00C40D1C">
        <w:rPr>
          <w:rFonts w:cs="Arial"/>
          <w:lang w:val="en-GB"/>
        </w:rPr>
        <w:t>Division of Psychology, University of Bradford, Bradford, BD7 1DP, United Kingdom</w:t>
      </w:r>
      <w:r w:rsidR="00683DB6">
        <w:rPr>
          <w:rFonts w:cs="Arial"/>
          <w:lang w:val="en-GB"/>
        </w:rPr>
        <w:t>, email</w:t>
      </w:r>
      <w:r w:rsidR="004215DD">
        <w:rPr>
          <w:rFonts w:cs="Arial"/>
          <w:lang w:val="en-GB"/>
        </w:rPr>
        <w:t xml:space="preserve"> JM: </w:t>
      </w:r>
      <w:r w:rsidR="004215DD" w:rsidRPr="004215DD">
        <w:rPr>
          <w:rFonts w:cs="Arial"/>
          <w:lang w:val="en-GB"/>
        </w:rPr>
        <w:t>jmcalaney@bournemouth.ac.uk</w:t>
      </w:r>
    </w:p>
    <w:p w14:paraId="78541D88" w14:textId="22F9BB39" w:rsidR="00B300A2" w:rsidRDefault="00B300A2" w:rsidP="001A625B">
      <w:pPr>
        <w:rPr>
          <w:rFonts w:cs="Arial"/>
          <w:lang w:val="en-GB"/>
        </w:rPr>
      </w:pPr>
      <w:r w:rsidRPr="00C40D1C">
        <w:rPr>
          <w:rFonts w:cs="Arial"/>
          <w:vertAlign w:val="superscript"/>
          <w:lang w:val="en-GB"/>
        </w:rPr>
        <w:t>3</w:t>
      </w:r>
      <w:r w:rsidR="00245D5A">
        <w:rPr>
          <w:rFonts w:cs="Arial"/>
          <w:vertAlign w:val="superscript"/>
          <w:lang w:val="en-GB"/>
        </w:rPr>
        <w:t xml:space="preserve"> </w:t>
      </w:r>
      <w:r w:rsidR="000A2DC3">
        <w:rPr>
          <w:rFonts w:cs="Arial"/>
          <w:lang w:val="en-GB"/>
        </w:rPr>
        <w:t>Present add</w:t>
      </w:r>
      <w:r w:rsidR="00245D5A">
        <w:rPr>
          <w:rFonts w:cs="Arial"/>
          <w:lang w:val="en-GB"/>
        </w:rPr>
        <w:t xml:space="preserve">ress: </w:t>
      </w:r>
      <w:r w:rsidRPr="00C40D1C">
        <w:rPr>
          <w:rFonts w:cs="Arial"/>
          <w:lang w:val="en-GB"/>
        </w:rPr>
        <w:t>Department of Psychology, Faculty of Science and Technology, Bournemouth University, Bournemouth, BH12 5BB, United Kingdom</w:t>
      </w:r>
    </w:p>
    <w:p w14:paraId="089EE570" w14:textId="5EAC1907" w:rsidR="007E1E07" w:rsidRPr="007E1E07" w:rsidRDefault="00B300A2" w:rsidP="007E1E07">
      <w:pPr>
        <w:rPr>
          <w:rFonts w:cs="Arial"/>
          <w:lang w:val="en-GB"/>
        </w:rPr>
      </w:pPr>
      <w:r>
        <w:rPr>
          <w:iCs/>
          <w:vertAlign w:val="superscript"/>
          <w:lang w:val="en-GB"/>
        </w:rPr>
        <w:t>4</w:t>
      </w:r>
      <w:r w:rsidR="0073741A" w:rsidRPr="0073741A">
        <w:rPr>
          <w:rFonts w:cs="Arial"/>
          <w:lang w:val="en-GB"/>
        </w:rPr>
        <w:t xml:space="preserve">Leeds Institute of Health Sciences, </w:t>
      </w:r>
      <w:r w:rsidR="000C2A20">
        <w:rPr>
          <w:rFonts w:cs="Arial"/>
          <w:lang w:val="en-GB"/>
        </w:rPr>
        <w:t xml:space="preserve">School of Medicine, </w:t>
      </w:r>
      <w:r w:rsidR="0073741A" w:rsidRPr="0073741A">
        <w:rPr>
          <w:rFonts w:cs="Arial"/>
          <w:lang w:val="en-GB"/>
        </w:rPr>
        <w:t>University of Leeds,</w:t>
      </w:r>
      <w:r w:rsidR="00F55B6E" w:rsidRPr="00F55B6E">
        <w:rPr>
          <w:lang w:val="en-US"/>
        </w:rPr>
        <w:t xml:space="preserve"> </w:t>
      </w:r>
      <w:r w:rsidR="007E1E07" w:rsidRPr="007E1E07">
        <w:rPr>
          <w:lang w:val="en-US"/>
        </w:rPr>
        <w:t>101 Clarendon Road</w:t>
      </w:r>
      <w:r w:rsidR="007E1E07">
        <w:rPr>
          <w:lang w:val="en-US"/>
        </w:rPr>
        <w:t xml:space="preserve">, West Yorkshire, </w:t>
      </w:r>
      <w:r w:rsidR="00F55B6E" w:rsidRPr="00F55B6E">
        <w:rPr>
          <w:rFonts w:cs="Arial"/>
          <w:lang w:val="en-GB"/>
        </w:rPr>
        <w:t>LS2 9LJ</w:t>
      </w:r>
      <w:r w:rsidR="0073741A" w:rsidRPr="0073741A">
        <w:rPr>
          <w:rFonts w:cs="Arial"/>
          <w:lang w:val="en-GB"/>
        </w:rPr>
        <w:t xml:space="preserve"> </w:t>
      </w:r>
      <w:r w:rsidR="0073741A">
        <w:rPr>
          <w:rFonts w:cs="Arial"/>
          <w:lang w:val="en-GB"/>
        </w:rPr>
        <w:t xml:space="preserve">Leeds, </w:t>
      </w:r>
      <w:r w:rsidR="0073741A" w:rsidRPr="0073741A">
        <w:rPr>
          <w:rFonts w:cs="Arial"/>
          <w:lang w:val="en-GB"/>
        </w:rPr>
        <w:t>United Kingdom</w:t>
      </w:r>
      <w:r w:rsidR="0093656B">
        <w:rPr>
          <w:lang w:val="en-US"/>
        </w:rPr>
        <w:t xml:space="preserve">, email BMB: </w:t>
      </w:r>
      <w:r w:rsidR="00B42DC0" w:rsidRPr="00B42DC0">
        <w:rPr>
          <w:lang w:val="en-US"/>
        </w:rPr>
        <w:t>b.m.bewick@LEEDS.AC.UK</w:t>
      </w:r>
    </w:p>
    <w:p w14:paraId="2274451B" w14:textId="71D1F8BA" w:rsidR="001A625B" w:rsidRPr="00AA2EBE" w:rsidRDefault="00B300A2" w:rsidP="00EC36E2">
      <w:pPr>
        <w:rPr>
          <w:rFonts w:cs="Arial"/>
          <w:lang w:val="en-GB"/>
        </w:rPr>
      </w:pPr>
      <w:r w:rsidRPr="00B300A2">
        <w:rPr>
          <w:rFonts w:cs="Arial"/>
          <w:vertAlign w:val="superscript"/>
          <w:lang w:val="en-GB"/>
        </w:rPr>
        <w:lastRenderedPageBreak/>
        <w:t>5</w:t>
      </w:r>
      <w:r w:rsidR="001A625B" w:rsidRPr="00AA2EBE">
        <w:rPr>
          <w:rFonts w:cs="Arial"/>
          <w:lang w:val="en-GB"/>
        </w:rPr>
        <w:t xml:space="preserve">Research &amp; Development, </w:t>
      </w:r>
      <w:r w:rsidR="001A625B" w:rsidRPr="00EC36E2">
        <w:rPr>
          <w:rFonts w:cs="Arial"/>
          <w:lang w:val="en-GB"/>
        </w:rPr>
        <w:t xml:space="preserve">Occupational Health Services </w:t>
      </w:r>
      <w:proofErr w:type="spellStart"/>
      <w:r w:rsidR="001A625B" w:rsidRPr="00EC36E2">
        <w:rPr>
          <w:rFonts w:cs="Arial"/>
          <w:lang w:val="en-GB"/>
        </w:rPr>
        <w:t>Mensura</w:t>
      </w:r>
      <w:proofErr w:type="spellEnd"/>
      <w:r w:rsidR="001A625B" w:rsidRPr="00AA2EBE">
        <w:rPr>
          <w:rFonts w:cs="Arial"/>
          <w:lang w:val="en-GB"/>
        </w:rPr>
        <w:t xml:space="preserve">, </w:t>
      </w:r>
      <w:proofErr w:type="spellStart"/>
      <w:r w:rsidR="00EC36E2">
        <w:rPr>
          <w:rFonts w:cs="Arial"/>
          <w:lang w:val="en-GB"/>
        </w:rPr>
        <w:t>Italiëlei</w:t>
      </w:r>
      <w:proofErr w:type="spellEnd"/>
      <w:r w:rsidR="00EC36E2">
        <w:rPr>
          <w:rFonts w:cs="Arial"/>
          <w:lang w:val="en-GB"/>
        </w:rPr>
        <w:t xml:space="preserve"> 2, </w:t>
      </w:r>
      <w:r w:rsidR="001A625B" w:rsidRPr="00AA2EBE">
        <w:rPr>
          <w:rFonts w:cs="Arial"/>
          <w:lang w:val="en-GB"/>
        </w:rPr>
        <w:t>2000 Antwerp, Belgium</w:t>
      </w:r>
      <w:r w:rsidR="00B93AFD">
        <w:rPr>
          <w:rFonts w:cs="Arial"/>
          <w:lang w:val="en-GB"/>
        </w:rPr>
        <w:t xml:space="preserve">, email BV: </w:t>
      </w:r>
      <w:r w:rsidR="00B93AFD" w:rsidRPr="00B93AFD">
        <w:rPr>
          <w:rFonts w:cs="Arial"/>
          <w:lang w:val="en-GB"/>
        </w:rPr>
        <w:t>Bart.Vriesacker@mensura.be</w:t>
      </w:r>
    </w:p>
    <w:p w14:paraId="618BE616" w14:textId="0405FCB0" w:rsidR="001A625B" w:rsidRDefault="00B300A2" w:rsidP="001A625B">
      <w:pPr>
        <w:rPr>
          <w:rFonts w:cs="Arial"/>
          <w:lang w:val="en-GB"/>
        </w:rPr>
      </w:pPr>
      <w:r>
        <w:rPr>
          <w:rFonts w:cs="Arial"/>
          <w:vertAlign w:val="superscript"/>
          <w:lang w:val="en-GB"/>
        </w:rPr>
        <w:t>6</w:t>
      </w:r>
      <w:r w:rsidR="00983C58" w:rsidRPr="00983C58">
        <w:rPr>
          <w:rFonts w:cs="Arial"/>
          <w:lang w:val="en-GB"/>
        </w:rPr>
        <w:t>Epidemiology and Social Medicine</w:t>
      </w:r>
      <w:r w:rsidR="001A625B" w:rsidRPr="00983C58">
        <w:rPr>
          <w:rFonts w:cs="Arial"/>
          <w:lang w:val="en-GB"/>
        </w:rPr>
        <w:t>, University of Antwerp</w:t>
      </w:r>
      <w:r w:rsidR="001A625B" w:rsidRPr="00AA2EBE">
        <w:rPr>
          <w:rFonts w:cs="Arial"/>
          <w:lang w:val="en-GB"/>
        </w:rPr>
        <w:t xml:space="preserve">, </w:t>
      </w:r>
      <w:r w:rsidR="00983C58">
        <w:rPr>
          <w:rFonts w:cs="Arial"/>
          <w:lang w:val="en-GB"/>
        </w:rPr>
        <w:t xml:space="preserve">Campus </w:t>
      </w:r>
      <w:proofErr w:type="spellStart"/>
      <w:r w:rsidR="00983C58">
        <w:rPr>
          <w:rFonts w:cs="Arial"/>
          <w:lang w:val="en-GB"/>
        </w:rPr>
        <w:t>Drie</w:t>
      </w:r>
      <w:proofErr w:type="spellEnd"/>
      <w:r w:rsidR="00983C58">
        <w:rPr>
          <w:rFonts w:cs="Arial"/>
          <w:lang w:val="en-GB"/>
        </w:rPr>
        <w:t xml:space="preserve"> </w:t>
      </w:r>
      <w:proofErr w:type="spellStart"/>
      <w:r w:rsidR="00983C58">
        <w:rPr>
          <w:rFonts w:cs="Arial"/>
          <w:lang w:val="en-GB"/>
        </w:rPr>
        <w:t>Eiken</w:t>
      </w:r>
      <w:proofErr w:type="spellEnd"/>
      <w:r w:rsidR="00983C58">
        <w:rPr>
          <w:rFonts w:cs="Arial"/>
          <w:lang w:val="en-GB"/>
        </w:rPr>
        <w:t xml:space="preserve">, </w:t>
      </w:r>
      <w:proofErr w:type="spellStart"/>
      <w:r w:rsidR="00983C58" w:rsidRPr="00983C58">
        <w:rPr>
          <w:rFonts w:cs="Arial"/>
          <w:lang w:val="en-GB"/>
        </w:rPr>
        <w:t>Universiteitsplein</w:t>
      </w:r>
      <w:proofErr w:type="spellEnd"/>
      <w:r w:rsidR="00983C58" w:rsidRPr="00983C58">
        <w:rPr>
          <w:rFonts w:cs="Arial"/>
          <w:lang w:val="en-GB"/>
        </w:rPr>
        <w:t xml:space="preserve"> 1</w:t>
      </w:r>
      <w:r w:rsidR="00983C58">
        <w:rPr>
          <w:rFonts w:cs="Arial"/>
          <w:lang w:val="en-GB"/>
        </w:rPr>
        <w:t xml:space="preserve">, </w:t>
      </w:r>
      <w:r w:rsidR="001A625B" w:rsidRPr="00AA2EBE">
        <w:rPr>
          <w:rFonts w:cs="Arial"/>
          <w:lang w:val="en-GB"/>
        </w:rPr>
        <w:t xml:space="preserve">2610 </w:t>
      </w:r>
      <w:proofErr w:type="spellStart"/>
      <w:r w:rsidR="00983C58" w:rsidRPr="00983C58">
        <w:rPr>
          <w:rFonts w:cs="Arial"/>
          <w:lang w:val="en-GB"/>
        </w:rPr>
        <w:t>Wilrijk</w:t>
      </w:r>
      <w:proofErr w:type="spellEnd"/>
      <w:r w:rsidR="00983C58" w:rsidRPr="00983C58">
        <w:rPr>
          <w:rFonts w:cs="Arial"/>
          <w:lang w:val="en-GB"/>
        </w:rPr>
        <w:t xml:space="preserve"> </w:t>
      </w:r>
      <w:r w:rsidR="00983C58">
        <w:rPr>
          <w:rFonts w:cs="Arial"/>
          <w:lang w:val="en-GB"/>
        </w:rPr>
        <w:t>(</w:t>
      </w:r>
      <w:r w:rsidR="001A625B" w:rsidRPr="00AA2EBE">
        <w:rPr>
          <w:rFonts w:cs="Arial"/>
          <w:lang w:val="en-GB"/>
        </w:rPr>
        <w:t>Antwerp</w:t>
      </w:r>
      <w:r w:rsidR="00983C58">
        <w:rPr>
          <w:rFonts w:cs="Arial"/>
          <w:lang w:val="en-GB"/>
        </w:rPr>
        <w:t>)</w:t>
      </w:r>
      <w:r w:rsidR="001A625B" w:rsidRPr="00AA2EBE">
        <w:rPr>
          <w:rFonts w:cs="Arial"/>
          <w:lang w:val="en-GB"/>
        </w:rPr>
        <w:t>, Belgium</w:t>
      </w:r>
      <w:r w:rsidR="001A73C4">
        <w:rPr>
          <w:rFonts w:cs="Arial"/>
          <w:lang w:val="en-GB"/>
        </w:rPr>
        <w:t xml:space="preserve">, Email </w:t>
      </w:r>
      <w:proofErr w:type="spellStart"/>
      <w:r w:rsidR="001A73C4">
        <w:rPr>
          <w:rFonts w:cs="Arial"/>
          <w:lang w:val="en-GB"/>
        </w:rPr>
        <w:t>GvH</w:t>
      </w:r>
      <w:proofErr w:type="spellEnd"/>
      <w:r w:rsidR="001A73C4">
        <w:rPr>
          <w:rFonts w:cs="Arial"/>
          <w:lang w:val="en-GB"/>
        </w:rPr>
        <w:t xml:space="preserve">: </w:t>
      </w:r>
      <w:r w:rsidR="00674258" w:rsidRPr="00674258">
        <w:rPr>
          <w:rFonts w:cs="Arial"/>
          <w:lang w:val="en-GB"/>
        </w:rPr>
        <w:t>guido.vanhal@ua.ac.b</w:t>
      </w:r>
      <w:r w:rsidR="002C294A">
        <w:rPr>
          <w:rFonts w:cs="Arial"/>
          <w:lang w:val="en-GB"/>
        </w:rPr>
        <w:t>e</w:t>
      </w:r>
    </w:p>
    <w:p w14:paraId="4F06CC8F" w14:textId="0E07E3BA" w:rsidR="001A625B" w:rsidRPr="00AA2EBE" w:rsidRDefault="00B300A2" w:rsidP="001A625B">
      <w:pPr>
        <w:rPr>
          <w:rFonts w:cs="Arial"/>
          <w:lang w:val="en-GB"/>
        </w:rPr>
      </w:pPr>
      <w:r>
        <w:rPr>
          <w:rFonts w:cs="Arial"/>
          <w:vertAlign w:val="superscript"/>
          <w:lang w:val="en-GB"/>
        </w:rPr>
        <w:t>7</w:t>
      </w:r>
      <w:r w:rsidR="001A625B" w:rsidRPr="00AA2EBE">
        <w:rPr>
          <w:rFonts w:cs="Arial"/>
          <w:lang w:val="en-GB"/>
        </w:rPr>
        <w:t xml:space="preserve">Department of Epidemiology, Helmholtz Centre for Infection Research, </w:t>
      </w:r>
      <w:proofErr w:type="spellStart"/>
      <w:r w:rsidR="00F35D2A" w:rsidRPr="00F35D2A">
        <w:rPr>
          <w:rFonts w:cs="Arial"/>
          <w:lang w:val="en-GB"/>
        </w:rPr>
        <w:t>Inhoffenstr</w:t>
      </w:r>
      <w:proofErr w:type="spellEnd"/>
      <w:r w:rsidR="00F35D2A" w:rsidRPr="00F35D2A">
        <w:rPr>
          <w:rFonts w:cs="Arial"/>
          <w:lang w:val="en-GB"/>
        </w:rPr>
        <w:t>. 7, 33824</w:t>
      </w:r>
      <w:r w:rsidR="001A625B" w:rsidRPr="00AA2EBE">
        <w:rPr>
          <w:rFonts w:cs="Arial"/>
          <w:lang w:val="en-GB"/>
        </w:rPr>
        <w:t xml:space="preserve"> </w:t>
      </w:r>
      <w:proofErr w:type="spellStart"/>
      <w:r w:rsidR="001A625B" w:rsidRPr="00AA2EBE">
        <w:rPr>
          <w:rFonts w:cs="Arial"/>
          <w:lang w:val="en-GB"/>
        </w:rPr>
        <w:t>Braunschweig</w:t>
      </w:r>
      <w:proofErr w:type="spellEnd"/>
      <w:r w:rsidR="001A625B" w:rsidRPr="00AA2EBE">
        <w:rPr>
          <w:rFonts w:cs="Arial"/>
          <w:lang w:val="en-GB"/>
        </w:rPr>
        <w:t>, Germany</w:t>
      </w:r>
      <w:r w:rsidR="00674258">
        <w:rPr>
          <w:rFonts w:cs="Arial"/>
          <w:lang w:val="en-GB"/>
        </w:rPr>
        <w:t>, R</w:t>
      </w:r>
      <w:r w:rsidR="00C02D61">
        <w:rPr>
          <w:rFonts w:cs="Arial"/>
          <w:lang w:val="en-GB"/>
        </w:rPr>
        <w:t>T</w:t>
      </w:r>
      <w:r w:rsidR="00674258">
        <w:rPr>
          <w:rFonts w:cs="Arial"/>
          <w:lang w:val="en-GB"/>
        </w:rPr>
        <w:t xml:space="preserve">M: </w:t>
      </w:r>
      <w:r w:rsidR="00674258" w:rsidRPr="00674258">
        <w:rPr>
          <w:rFonts w:cs="Arial"/>
          <w:lang w:val="en-GB"/>
        </w:rPr>
        <w:t>rafael.mikolajczyk@helmholtz-hzi.de</w:t>
      </w:r>
    </w:p>
    <w:p w14:paraId="52E2595F" w14:textId="3F2353E2" w:rsidR="001A625B" w:rsidRPr="005A7A11" w:rsidRDefault="00B300A2" w:rsidP="001A625B">
      <w:pPr>
        <w:rPr>
          <w:rFonts w:cs="Arial"/>
          <w:lang w:val="en-GB"/>
        </w:rPr>
      </w:pPr>
      <w:r w:rsidRPr="005A7A11">
        <w:rPr>
          <w:rFonts w:cs="Arial"/>
          <w:vertAlign w:val="superscript"/>
          <w:lang w:val="en-GB"/>
        </w:rPr>
        <w:t>8</w:t>
      </w:r>
      <w:r w:rsidR="001A625B" w:rsidRPr="005A7A11">
        <w:rPr>
          <w:rFonts w:cs="Arial"/>
          <w:lang w:val="en-GB"/>
        </w:rPr>
        <w:t>Department of Psychiatry, Marmara Unive</w:t>
      </w:r>
      <w:r w:rsidR="00F0369F" w:rsidRPr="005A7A11">
        <w:rPr>
          <w:rFonts w:cs="Arial"/>
          <w:lang w:val="en-GB"/>
        </w:rPr>
        <w:t xml:space="preserve">rsity </w:t>
      </w:r>
      <w:r w:rsidR="00201149" w:rsidRPr="005A7A11">
        <w:rPr>
          <w:rFonts w:cs="Arial"/>
          <w:lang w:val="en-GB"/>
        </w:rPr>
        <w:t xml:space="preserve">School of Medicine, 34899, </w:t>
      </w:r>
      <w:r w:rsidR="001A625B" w:rsidRPr="005A7A11">
        <w:rPr>
          <w:rFonts w:cs="Arial"/>
          <w:lang w:val="en-GB"/>
        </w:rPr>
        <w:t>Istanbul, Turkey</w:t>
      </w:r>
      <w:r w:rsidR="00B45C5B">
        <w:rPr>
          <w:rFonts w:cs="Arial"/>
          <w:lang w:val="en-GB"/>
        </w:rPr>
        <w:t xml:space="preserve">, email: YA: </w:t>
      </w:r>
      <w:r w:rsidR="00E51034" w:rsidRPr="00E51034">
        <w:rPr>
          <w:rFonts w:cs="Arial"/>
          <w:lang w:val="en-GB"/>
        </w:rPr>
        <w:t>yildiz.akvardar@marmara.edu.tr</w:t>
      </w:r>
    </w:p>
    <w:p w14:paraId="508B8008" w14:textId="7E80D608" w:rsidR="001A625B" w:rsidRDefault="00B300A2" w:rsidP="001A625B">
      <w:pPr>
        <w:rPr>
          <w:rFonts w:cs="Arial"/>
          <w:highlight w:val="yellow"/>
          <w:lang w:val="en-GB"/>
        </w:rPr>
      </w:pPr>
      <w:r w:rsidRPr="005A7A11">
        <w:rPr>
          <w:rFonts w:cs="Arial"/>
          <w:vertAlign w:val="superscript"/>
          <w:lang w:val="en-GB"/>
        </w:rPr>
        <w:t>9</w:t>
      </w:r>
      <w:r w:rsidR="001A625B" w:rsidRPr="005A7A11">
        <w:rPr>
          <w:rFonts w:cs="Arial"/>
          <w:lang w:val="en-GB"/>
        </w:rPr>
        <w:t xml:space="preserve">Department of Health Sciences, </w:t>
      </w:r>
      <w:r w:rsidR="005A7A11" w:rsidRPr="005A7A11">
        <w:rPr>
          <w:rFonts w:cs="Arial"/>
          <w:lang w:val="en-GB"/>
        </w:rPr>
        <w:t xml:space="preserve">Faculty of Health Sciences, </w:t>
      </w:r>
      <w:r w:rsidR="001A625B" w:rsidRPr="005A7A11">
        <w:rPr>
          <w:rFonts w:cs="Arial"/>
          <w:lang w:val="en-GB"/>
        </w:rPr>
        <w:t xml:space="preserve">Public University of Navarra, </w:t>
      </w:r>
      <w:proofErr w:type="spellStart"/>
      <w:r w:rsidR="005A7A11" w:rsidRPr="005A7A11">
        <w:rPr>
          <w:rFonts w:cs="Arial"/>
          <w:lang w:val="en-GB"/>
        </w:rPr>
        <w:t>Avda</w:t>
      </w:r>
      <w:proofErr w:type="spellEnd"/>
      <w:r w:rsidR="005A7A11" w:rsidRPr="005A7A11">
        <w:rPr>
          <w:rFonts w:cs="Arial"/>
          <w:lang w:val="en-GB"/>
        </w:rPr>
        <w:t xml:space="preserve"> de </w:t>
      </w:r>
      <w:proofErr w:type="spellStart"/>
      <w:r w:rsidR="005A7A11" w:rsidRPr="005A7A11">
        <w:rPr>
          <w:rFonts w:cs="Arial"/>
          <w:lang w:val="en-GB"/>
        </w:rPr>
        <w:t>Baranain</w:t>
      </w:r>
      <w:proofErr w:type="spellEnd"/>
      <w:r w:rsidR="005A7A11" w:rsidRPr="005A7A11">
        <w:rPr>
          <w:rFonts w:cs="Arial"/>
          <w:lang w:val="en-GB"/>
        </w:rPr>
        <w:t xml:space="preserve"> s/n, </w:t>
      </w:r>
      <w:r w:rsidR="001A625B" w:rsidRPr="005A7A11">
        <w:rPr>
          <w:rFonts w:cs="Arial"/>
          <w:lang w:val="en-GB"/>
        </w:rPr>
        <w:t>3100</w:t>
      </w:r>
      <w:r w:rsidR="005A7A11" w:rsidRPr="005A7A11">
        <w:rPr>
          <w:rFonts w:cs="Arial"/>
          <w:lang w:val="en-GB"/>
        </w:rPr>
        <w:t>8</w:t>
      </w:r>
      <w:r w:rsidR="001A625B" w:rsidRPr="005A7A11">
        <w:rPr>
          <w:rFonts w:cs="Arial"/>
          <w:lang w:val="en-GB"/>
        </w:rPr>
        <w:t xml:space="preserve"> Pamplona, Navarra, Spain</w:t>
      </w:r>
      <w:r w:rsidR="00377AFD">
        <w:rPr>
          <w:rFonts w:cs="Arial"/>
          <w:lang w:val="en-GB"/>
        </w:rPr>
        <w:t xml:space="preserve">, </w:t>
      </w:r>
      <w:r w:rsidR="006F2580">
        <w:rPr>
          <w:rFonts w:cs="Arial"/>
          <w:lang w:val="en-GB"/>
        </w:rPr>
        <w:t xml:space="preserve">email FGG: </w:t>
      </w:r>
      <w:r w:rsidR="006F2580" w:rsidRPr="006F2580">
        <w:rPr>
          <w:rFonts w:cs="Arial"/>
          <w:lang w:val="en-GB"/>
        </w:rPr>
        <w:t>frguillen@unav.es</w:t>
      </w:r>
    </w:p>
    <w:p w14:paraId="12BB89AD" w14:textId="5424785F" w:rsidR="001A625B" w:rsidRPr="00C40D1C" w:rsidRDefault="00B300A2" w:rsidP="001A625B">
      <w:pPr>
        <w:rPr>
          <w:rFonts w:cs="Arial"/>
          <w:lang w:val="en-GB"/>
        </w:rPr>
      </w:pPr>
      <w:r w:rsidRPr="00C40D1C">
        <w:rPr>
          <w:rFonts w:cs="Arial"/>
          <w:vertAlign w:val="superscript"/>
          <w:lang w:val="en-GB"/>
        </w:rPr>
        <w:t>10</w:t>
      </w:r>
      <w:r w:rsidR="001A625B" w:rsidRPr="00C40D1C">
        <w:rPr>
          <w:rFonts w:cs="Arial"/>
          <w:lang w:val="en-GB"/>
        </w:rPr>
        <w:t xml:space="preserve">Institute of Active Lifestyle, </w:t>
      </w:r>
      <w:proofErr w:type="spellStart"/>
      <w:r w:rsidR="001A625B" w:rsidRPr="00C40D1C">
        <w:rPr>
          <w:rFonts w:cs="Arial"/>
          <w:lang w:val="en-GB"/>
        </w:rPr>
        <w:t>Palacky</w:t>
      </w:r>
      <w:proofErr w:type="spellEnd"/>
      <w:r w:rsidR="001A625B" w:rsidRPr="00C40D1C">
        <w:rPr>
          <w:rFonts w:cs="Arial"/>
          <w:lang w:val="en-GB"/>
        </w:rPr>
        <w:t xml:space="preserve"> University of Olomouc,</w:t>
      </w:r>
      <w:r w:rsidR="002724CB" w:rsidRPr="00C40D1C">
        <w:rPr>
          <w:rFonts w:cs="Arial"/>
          <w:lang w:val="en-GB"/>
        </w:rPr>
        <w:t xml:space="preserve"> </w:t>
      </w:r>
      <w:r w:rsidR="001A625B" w:rsidRPr="00C40D1C">
        <w:rPr>
          <w:rFonts w:cs="Arial"/>
          <w:lang w:val="en-GB"/>
        </w:rPr>
        <w:t>771 47 Olomouc, the Czech Republic</w:t>
      </w:r>
      <w:r w:rsidR="00DA03A1">
        <w:rPr>
          <w:rFonts w:cs="Arial"/>
          <w:lang w:val="en-GB"/>
        </w:rPr>
        <w:t>,</w:t>
      </w:r>
      <w:r w:rsidR="00DA03A1" w:rsidRPr="00DA03A1">
        <w:rPr>
          <w:lang w:val="en-US"/>
        </w:rPr>
        <w:t xml:space="preserve"> </w:t>
      </w:r>
      <w:r w:rsidR="00DA03A1" w:rsidRPr="00DA03A1">
        <w:rPr>
          <w:rFonts w:cs="Arial"/>
          <w:lang w:val="en-GB"/>
        </w:rPr>
        <w:t>email FS: ferdinand.salonna@upjs.sk</w:t>
      </w:r>
    </w:p>
    <w:p w14:paraId="3F9D725C" w14:textId="59B23666" w:rsidR="0073741A" w:rsidRPr="00C40D1C" w:rsidRDefault="00B300A2" w:rsidP="001A625B">
      <w:pPr>
        <w:rPr>
          <w:rFonts w:cs="Arial"/>
          <w:lang w:val="en-GB"/>
        </w:rPr>
      </w:pPr>
      <w:r w:rsidRPr="00C40D1C">
        <w:rPr>
          <w:rFonts w:cs="Arial"/>
          <w:vertAlign w:val="superscript"/>
          <w:lang w:val="en-GB"/>
        </w:rPr>
        <w:t>11</w:t>
      </w:r>
      <w:r w:rsidR="0073741A" w:rsidRPr="00C40D1C">
        <w:rPr>
          <w:rFonts w:cs="Arial"/>
          <w:lang w:val="en-US"/>
        </w:rPr>
        <w:t xml:space="preserve">Department of Educational Psychology and Health Psychology, </w:t>
      </w:r>
      <w:r w:rsidR="00917B64" w:rsidRPr="00C40D1C">
        <w:rPr>
          <w:rFonts w:cs="Arial"/>
          <w:lang w:val="en-US"/>
        </w:rPr>
        <w:t xml:space="preserve">PJ </w:t>
      </w:r>
      <w:proofErr w:type="spellStart"/>
      <w:r w:rsidR="00917B64" w:rsidRPr="00C40D1C">
        <w:rPr>
          <w:rFonts w:cs="Arial"/>
          <w:lang w:val="en-US"/>
        </w:rPr>
        <w:t>Safarik</w:t>
      </w:r>
      <w:proofErr w:type="spellEnd"/>
      <w:r w:rsidR="00917B64" w:rsidRPr="00C40D1C">
        <w:rPr>
          <w:rFonts w:cs="Arial"/>
          <w:lang w:val="en-US"/>
        </w:rPr>
        <w:t xml:space="preserve"> University, </w:t>
      </w:r>
      <w:r w:rsidR="00D074AC" w:rsidRPr="00C40D1C">
        <w:rPr>
          <w:rFonts w:cs="Arial"/>
          <w:lang w:val="en-US"/>
        </w:rPr>
        <w:t xml:space="preserve">Kosice, </w:t>
      </w:r>
      <w:r w:rsidR="0085572C">
        <w:rPr>
          <w:rFonts w:cs="Arial"/>
          <w:lang w:val="en-US"/>
        </w:rPr>
        <w:t xml:space="preserve">Slovakia, email OO: </w:t>
      </w:r>
      <w:r w:rsidR="00195D5F" w:rsidRPr="00195D5F">
        <w:rPr>
          <w:rFonts w:cs="Arial"/>
          <w:lang w:val="en-US"/>
        </w:rPr>
        <w:t>olga.orosova@upjs.sk</w:t>
      </w:r>
    </w:p>
    <w:p w14:paraId="16391C53" w14:textId="54EDD50D" w:rsidR="001A625B" w:rsidRPr="00B90F6C" w:rsidRDefault="00B300A2" w:rsidP="00B90F6C">
      <w:pPr>
        <w:rPr>
          <w:rFonts w:cs="Arial"/>
          <w:lang w:val="en-GB"/>
        </w:rPr>
      </w:pPr>
      <w:r w:rsidRPr="00B90F6C">
        <w:rPr>
          <w:rFonts w:cs="Arial"/>
          <w:vertAlign w:val="superscript"/>
          <w:lang w:val="en-GB"/>
        </w:rPr>
        <w:t>12</w:t>
      </w:r>
      <w:r w:rsidR="001A625B" w:rsidRPr="00B90F6C">
        <w:rPr>
          <w:rFonts w:cs="Arial"/>
          <w:lang w:val="en-GB"/>
        </w:rPr>
        <w:t xml:space="preserve">Unit for Health Promotion Research, University of Southern Denmark, </w:t>
      </w:r>
      <w:r w:rsidR="00B90F6C">
        <w:rPr>
          <w:rFonts w:cs="Arial"/>
          <w:lang w:val="en-GB"/>
        </w:rPr>
        <w:t xml:space="preserve">Niels </w:t>
      </w:r>
      <w:proofErr w:type="spellStart"/>
      <w:r w:rsidR="00B90F6C">
        <w:rPr>
          <w:rFonts w:cs="Arial"/>
          <w:lang w:val="en-GB"/>
        </w:rPr>
        <w:t>Bohrs</w:t>
      </w:r>
      <w:proofErr w:type="spellEnd"/>
      <w:r w:rsidR="00B90F6C">
        <w:rPr>
          <w:rFonts w:cs="Arial"/>
          <w:lang w:val="en-GB"/>
        </w:rPr>
        <w:t xml:space="preserve"> </w:t>
      </w:r>
      <w:proofErr w:type="spellStart"/>
      <w:r w:rsidR="00B90F6C">
        <w:rPr>
          <w:rFonts w:cs="Arial"/>
          <w:lang w:val="en-GB"/>
        </w:rPr>
        <w:t>Vej</w:t>
      </w:r>
      <w:proofErr w:type="spellEnd"/>
      <w:r w:rsidR="00B90F6C">
        <w:rPr>
          <w:rFonts w:cs="Arial"/>
          <w:lang w:val="en-GB"/>
        </w:rPr>
        <w:t xml:space="preserve"> 9, </w:t>
      </w:r>
      <w:r w:rsidR="001A625B" w:rsidRPr="00B90F6C">
        <w:rPr>
          <w:rFonts w:cs="Arial"/>
          <w:lang w:val="en-GB"/>
        </w:rPr>
        <w:t>6700 Esbjerg, Denmark</w:t>
      </w:r>
      <w:r w:rsidR="00195D5F">
        <w:rPr>
          <w:rFonts w:cs="Arial"/>
          <w:lang w:val="en-GB"/>
        </w:rPr>
        <w:t xml:space="preserve">, email SD: </w:t>
      </w:r>
      <w:r w:rsidR="00320DC4" w:rsidRPr="00320DC4">
        <w:rPr>
          <w:rFonts w:cs="Arial"/>
          <w:lang w:val="en-GB"/>
        </w:rPr>
        <w:t>sbdohrmann@sdu.dk</w:t>
      </w:r>
    </w:p>
    <w:p w14:paraId="28005B05" w14:textId="321588A5" w:rsidR="001A625B" w:rsidRPr="00AA2EBE" w:rsidRDefault="00271F05" w:rsidP="001A625B">
      <w:pPr>
        <w:rPr>
          <w:rFonts w:cs="Arial"/>
          <w:lang w:val="en-GB"/>
        </w:rPr>
      </w:pPr>
      <w:r w:rsidRPr="009A7403">
        <w:rPr>
          <w:vertAlign w:val="superscript"/>
          <w:lang w:val="en-US"/>
        </w:rPr>
        <w:t>12</w:t>
      </w:r>
      <w:r w:rsidR="001A625B" w:rsidRPr="009A7403">
        <w:rPr>
          <w:vertAlign w:val="superscript"/>
          <w:lang w:val="en-US"/>
        </w:rPr>
        <w:t xml:space="preserve"> </w:t>
      </w:r>
      <w:r w:rsidR="001A625B" w:rsidRPr="009A7403">
        <w:rPr>
          <w:lang w:val="en-US"/>
        </w:rPr>
        <w:t xml:space="preserve">School of Psychology, Sport and Exercise, Staffordshire University, </w:t>
      </w:r>
      <w:r w:rsidR="009A7403" w:rsidRPr="009A7403">
        <w:rPr>
          <w:lang w:val="en-US"/>
        </w:rPr>
        <w:t xml:space="preserve">Science Center, Leek Road, </w:t>
      </w:r>
      <w:r w:rsidR="001A625B" w:rsidRPr="009A7403">
        <w:rPr>
          <w:lang w:val="en-US"/>
        </w:rPr>
        <w:t>Stoke-On</w:t>
      </w:r>
      <w:r w:rsidR="00917B64" w:rsidRPr="009A7403">
        <w:rPr>
          <w:lang w:val="en-US"/>
        </w:rPr>
        <w:t>-Trent, ST4 2DF, United Kingdom</w:t>
      </w:r>
      <w:r w:rsidR="00986A1C">
        <w:rPr>
          <w:lang w:val="en-US"/>
        </w:rPr>
        <w:t xml:space="preserve">, RCD: </w:t>
      </w:r>
      <w:r w:rsidR="00B17CF2" w:rsidRPr="00B17CF2">
        <w:rPr>
          <w:lang w:val="en-US"/>
        </w:rPr>
        <w:t>Robert.dempsey@staffs.ac.uk</w:t>
      </w:r>
    </w:p>
    <w:p w14:paraId="7F673090" w14:textId="77777777" w:rsidR="0031002D" w:rsidRDefault="0031002D" w:rsidP="0031002D">
      <w:pPr>
        <w:rPr>
          <w:b/>
          <w:lang w:val="en-GB"/>
        </w:rPr>
      </w:pPr>
    </w:p>
    <w:p w14:paraId="34BEF83B" w14:textId="1B9F3B69" w:rsidR="0031002D" w:rsidRDefault="0031002D" w:rsidP="0031002D">
      <w:pPr>
        <w:rPr>
          <w:lang w:val="en-GB"/>
        </w:rPr>
      </w:pPr>
      <w:r w:rsidRPr="004B7D3E">
        <w:rPr>
          <w:b/>
          <w:lang w:val="en-GB"/>
        </w:rPr>
        <w:t>Current Word Count:</w:t>
      </w:r>
      <w:r w:rsidRPr="004B7D3E">
        <w:rPr>
          <w:lang w:val="en-GB"/>
        </w:rPr>
        <w:t xml:space="preserve"> </w:t>
      </w:r>
      <w:r w:rsidR="007C5FED">
        <w:rPr>
          <w:lang w:val="en-GB"/>
        </w:rPr>
        <w:t>3,5</w:t>
      </w:r>
      <w:r w:rsidR="00FA3247">
        <w:rPr>
          <w:lang w:val="en-GB"/>
        </w:rPr>
        <w:t>11</w:t>
      </w:r>
    </w:p>
    <w:p w14:paraId="5AA11A86" w14:textId="77777777" w:rsidR="00BA234C" w:rsidRDefault="00BA234C" w:rsidP="0031002D">
      <w:pPr>
        <w:rPr>
          <w:lang w:val="en-GB"/>
        </w:rPr>
      </w:pPr>
    </w:p>
    <w:p w14:paraId="3B080B7A" w14:textId="77777777" w:rsidR="001F223D" w:rsidRDefault="001F223D" w:rsidP="0031002D">
      <w:pPr>
        <w:rPr>
          <w:lang w:val="en-GB"/>
        </w:rPr>
      </w:pPr>
    </w:p>
    <w:p w14:paraId="5C6A6E53" w14:textId="77777777" w:rsidR="00BA234C" w:rsidRDefault="00BA234C" w:rsidP="0031002D">
      <w:pPr>
        <w:rPr>
          <w:lang w:val="en-GB"/>
        </w:rPr>
      </w:pPr>
    </w:p>
    <w:p w14:paraId="6D499FE3" w14:textId="77777777" w:rsidR="003340B6" w:rsidRDefault="003340B6" w:rsidP="0031002D">
      <w:pPr>
        <w:rPr>
          <w:lang w:val="en-GB"/>
        </w:rPr>
      </w:pPr>
    </w:p>
    <w:p w14:paraId="1D45AE73" w14:textId="77777777" w:rsidR="00EF03B4" w:rsidRDefault="00A007AA" w:rsidP="008F3134">
      <w:pPr>
        <w:rPr>
          <w:rFonts w:asciiTheme="minorHAnsi" w:eastAsiaTheme="minorHAnsi" w:hAnsiTheme="minorHAnsi" w:cstheme="minorBidi"/>
          <w:b/>
          <w:lang w:val="en-US"/>
        </w:rPr>
      </w:pPr>
      <w:r>
        <w:rPr>
          <w:rFonts w:asciiTheme="minorHAnsi" w:eastAsiaTheme="minorHAnsi" w:hAnsiTheme="minorHAnsi" w:cstheme="minorBidi"/>
          <w:b/>
          <w:lang w:val="en-US"/>
        </w:rPr>
        <w:t>ABSTRACT</w:t>
      </w:r>
    </w:p>
    <w:p w14:paraId="7DC2B160" w14:textId="2F8084F0" w:rsidR="00367277" w:rsidRDefault="001C59D2" w:rsidP="008F3134">
      <w:pPr>
        <w:rPr>
          <w:rFonts w:asciiTheme="minorHAnsi" w:eastAsiaTheme="minorHAnsi" w:hAnsiTheme="minorHAnsi" w:cstheme="minorBidi"/>
          <w:lang w:val="en-US"/>
        </w:rPr>
      </w:pPr>
      <w:r>
        <w:rPr>
          <w:rFonts w:asciiTheme="minorHAnsi" w:eastAsiaTheme="minorHAnsi" w:hAnsiTheme="minorHAnsi" w:cstheme="minorBidi"/>
          <w:b/>
          <w:lang w:val="en-US"/>
        </w:rPr>
        <w:t>Introduction</w:t>
      </w:r>
      <w:r w:rsidR="008F3134" w:rsidRPr="008F3134">
        <w:rPr>
          <w:rFonts w:asciiTheme="minorHAnsi" w:eastAsiaTheme="minorHAnsi" w:hAnsiTheme="minorHAnsi" w:cstheme="minorBidi"/>
          <w:b/>
          <w:lang w:val="en-US"/>
        </w:rPr>
        <w:t>:</w:t>
      </w:r>
      <w:r w:rsidR="008F3134" w:rsidRPr="008F3134">
        <w:rPr>
          <w:rFonts w:asciiTheme="minorHAnsi" w:eastAsiaTheme="minorHAnsi" w:hAnsiTheme="minorHAnsi" w:cstheme="minorBidi"/>
          <w:lang w:val="en-US"/>
        </w:rPr>
        <w:t xml:space="preserve"> </w:t>
      </w:r>
      <w:r w:rsidR="00DB6E5A">
        <w:rPr>
          <w:rFonts w:asciiTheme="minorHAnsi" w:eastAsiaTheme="minorHAnsi" w:hAnsiTheme="minorHAnsi" w:cstheme="minorBidi"/>
          <w:lang w:val="en-US"/>
        </w:rPr>
        <w:t>R</w:t>
      </w:r>
      <w:r w:rsidR="008F3134" w:rsidRPr="008F3134">
        <w:rPr>
          <w:rFonts w:asciiTheme="minorHAnsi" w:eastAsiaTheme="minorHAnsi" w:hAnsiTheme="minorHAnsi" w:cstheme="minorBidi"/>
          <w:lang w:val="en-US"/>
        </w:rPr>
        <w:t xml:space="preserve">esearch </w:t>
      </w:r>
      <w:r w:rsidR="00515F7C">
        <w:rPr>
          <w:rFonts w:asciiTheme="minorHAnsi" w:eastAsiaTheme="minorHAnsi" w:hAnsiTheme="minorHAnsi" w:cstheme="minorBidi"/>
          <w:lang w:val="en-US"/>
        </w:rPr>
        <w:t xml:space="preserve">conducted in North America </w:t>
      </w:r>
      <w:r w:rsidR="008F3134" w:rsidRPr="008F3134">
        <w:rPr>
          <w:rFonts w:asciiTheme="minorHAnsi" w:eastAsiaTheme="minorHAnsi" w:hAnsiTheme="minorHAnsi" w:cstheme="minorBidi"/>
          <w:lang w:val="en-US"/>
        </w:rPr>
        <w:t>suggests students tend to overestimate tobacco use</w:t>
      </w:r>
      <w:r w:rsidR="00515F7C">
        <w:rPr>
          <w:rFonts w:asciiTheme="minorHAnsi" w:eastAsiaTheme="minorHAnsi" w:hAnsiTheme="minorHAnsi" w:cstheme="minorBidi"/>
          <w:lang w:val="en-US"/>
        </w:rPr>
        <w:t xml:space="preserve"> </w:t>
      </w:r>
      <w:r w:rsidR="00B14782">
        <w:rPr>
          <w:rFonts w:asciiTheme="minorHAnsi" w:eastAsiaTheme="minorHAnsi" w:hAnsiTheme="minorHAnsi" w:cstheme="minorBidi"/>
          <w:lang w:val="en-US"/>
        </w:rPr>
        <w:t>among</w:t>
      </w:r>
      <w:r w:rsidR="00515F7C">
        <w:rPr>
          <w:rFonts w:asciiTheme="minorHAnsi" w:eastAsiaTheme="minorHAnsi" w:hAnsiTheme="minorHAnsi" w:cstheme="minorBidi"/>
          <w:lang w:val="en-US"/>
        </w:rPr>
        <w:t xml:space="preserve"> the</w:t>
      </w:r>
      <w:r w:rsidR="00A424BE">
        <w:rPr>
          <w:rFonts w:asciiTheme="minorHAnsi" w:eastAsiaTheme="minorHAnsi" w:hAnsiTheme="minorHAnsi" w:cstheme="minorBidi"/>
          <w:lang w:val="en-US"/>
        </w:rPr>
        <w:t>ir</w:t>
      </w:r>
      <w:r w:rsidR="00515F7C">
        <w:rPr>
          <w:rFonts w:asciiTheme="minorHAnsi" w:eastAsiaTheme="minorHAnsi" w:hAnsiTheme="minorHAnsi" w:cstheme="minorBidi"/>
          <w:lang w:val="en-US"/>
        </w:rPr>
        <w:t xml:space="preserve"> peer</w:t>
      </w:r>
      <w:r w:rsidR="00A424BE">
        <w:rPr>
          <w:rFonts w:asciiTheme="minorHAnsi" w:eastAsiaTheme="minorHAnsi" w:hAnsiTheme="minorHAnsi" w:cstheme="minorBidi"/>
          <w:lang w:val="en-US"/>
        </w:rPr>
        <w:t>s</w:t>
      </w:r>
      <w:r w:rsidR="008F3134" w:rsidRPr="008F3134">
        <w:rPr>
          <w:rFonts w:asciiTheme="minorHAnsi" w:eastAsiaTheme="minorHAnsi" w:hAnsiTheme="minorHAnsi" w:cstheme="minorBidi"/>
          <w:lang w:val="en-US"/>
        </w:rPr>
        <w:t xml:space="preserve">. </w:t>
      </w:r>
      <w:r w:rsidR="006259A7">
        <w:rPr>
          <w:rFonts w:asciiTheme="minorHAnsi" w:eastAsiaTheme="minorHAnsi" w:hAnsiTheme="minorHAnsi" w:cstheme="minorBidi"/>
          <w:lang w:val="en-US"/>
        </w:rPr>
        <w:t>This</w:t>
      </w:r>
      <w:r w:rsidR="00A808C5">
        <w:rPr>
          <w:rFonts w:asciiTheme="minorHAnsi" w:eastAsiaTheme="minorHAnsi" w:hAnsiTheme="minorHAnsi" w:cstheme="minorBidi"/>
          <w:lang w:val="en-US"/>
        </w:rPr>
        <w:t xml:space="preserve"> perceived norm </w:t>
      </w:r>
      <w:r w:rsidR="005F29C1">
        <w:rPr>
          <w:rFonts w:asciiTheme="minorHAnsi" w:eastAsiaTheme="minorHAnsi" w:hAnsiTheme="minorHAnsi" w:cstheme="minorBidi"/>
          <w:lang w:val="en-US"/>
        </w:rPr>
        <w:t>may impact personal tobacco use.</w:t>
      </w:r>
      <w:r w:rsidR="006259A7">
        <w:rPr>
          <w:rFonts w:asciiTheme="minorHAnsi" w:eastAsiaTheme="minorHAnsi" w:hAnsiTheme="minorHAnsi" w:cstheme="minorBidi"/>
          <w:lang w:val="en-US"/>
        </w:rPr>
        <w:t xml:space="preserve"> </w:t>
      </w:r>
      <w:r w:rsidR="00963C36" w:rsidRPr="00963C36">
        <w:rPr>
          <w:rFonts w:asciiTheme="minorHAnsi" w:eastAsiaTheme="minorHAnsi" w:hAnsiTheme="minorHAnsi" w:cstheme="minorBidi"/>
          <w:lang w:val="en-US"/>
        </w:rPr>
        <w:t>It remains unclear how these perceptions influence tobacco use among European students.</w:t>
      </w:r>
      <w:r>
        <w:rPr>
          <w:rFonts w:asciiTheme="minorHAnsi" w:eastAsiaTheme="minorHAnsi" w:hAnsiTheme="minorHAnsi" w:cstheme="minorBidi"/>
          <w:lang w:val="en-US"/>
        </w:rPr>
        <w:t xml:space="preserve"> The two aims were t</w:t>
      </w:r>
      <w:r w:rsidR="004A3739">
        <w:rPr>
          <w:rFonts w:asciiTheme="minorHAnsi" w:eastAsiaTheme="minorHAnsi" w:hAnsiTheme="minorHAnsi" w:cstheme="minorBidi"/>
          <w:lang w:val="en-US"/>
        </w:rPr>
        <w:t xml:space="preserve">o </w:t>
      </w:r>
      <w:r w:rsidR="005D58CE">
        <w:rPr>
          <w:rFonts w:asciiTheme="minorHAnsi" w:eastAsiaTheme="minorHAnsi" w:hAnsiTheme="minorHAnsi" w:cstheme="minorBidi"/>
          <w:lang w:val="en-US"/>
        </w:rPr>
        <w:t>investigate possible</w:t>
      </w:r>
      <w:r w:rsidR="008F3134" w:rsidRPr="008F3134">
        <w:rPr>
          <w:rFonts w:asciiTheme="minorHAnsi" w:eastAsiaTheme="minorHAnsi" w:hAnsiTheme="minorHAnsi" w:cstheme="minorBidi"/>
          <w:lang w:val="en-US"/>
        </w:rPr>
        <w:t xml:space="preserve"> </w:t>
      </w:r>
      <w:r w:rsidR="00932D63">
        <w:rPr>
          <w:rFonts w:asciiTheme="minorHAnsi" w:eastAsiaTheme="minorHAnsi" w:hAnsiTheme="minorHAnsi" w:cstheme="minorBidi"/>
          <w:lang w:val="en-US"/>
        </w:rPr>
        <w:t>self</w:t>
      </w:r>
      <w:r w:rsidR="00BB3B71">
        <w:rPr>
          <w:rFonts w:asciiTheme="minorHAnsi" w:eastAsiaTheme="minorHAnsi" w:hAnsiTheme="minorHAnsi" w:cstheme="minorBidi"/>
          <w:lang w:val="en-US"/>
        </w:rPr>
        <w:t>-</w:t>
      </w:r>
      <w:r w:rsidR="00932D63">
        <w:rPr>
          <w:rFonts w:asciiTheme="minorHAnsi" w:eastAsiaTheme="minorHAnsi" w:hAnsiTheme="minorHAnsi" w:cstheme="minorBidi"/>
          <w:lang w:val="en-US"/>
        </w:rPr>
        <w:t xml:space="preserve">other discrepancies </w:t>
      </w:r>
      <w:r w:rsidR="00D26F66">
        <w:rPr>
          <w:rFonts w:asciiTheme="minorHAnsi" w:eastAsiaTheme="minorHAnsi" w:hAnsiTheme="minorHAnsi" w:cstheme="minorBidi"/>
          <w:lang w:val="en-US"/>
        </w:rPr>
        <w:t>regarding</w:t>
      </w:r>
      <w:r w:rsidR="00C97969">
        <w:rPr>
          <w:rFonts w:asciiTheme="minorHAnsi" w:eastAsiaTheme="minorHAnsi" w:hAnsiTheme="minorHAnsi" w:cstheme="minorBidi"/>
          <w:lang w:val="en-US"/>
        </w:rPr>
        <w:t xml:space="preserve"> </w:t>
      </w:r>
      <w:r w:rsidR="00932D63" w:rsidRPr="009D6381">
        <w:rPr>
          <w:lang w:val="en-GB"/>
        </w:rPr>
        <w:t>personal</w:t>
      </w:r>
      <w:r w:rsidR="00932D63">
        <w:rPr>
          <w:lang w:val="en-GB"/>
        </w:rPr>
        <w:t xml:space="preserve"> </w:t>
      </w:r>
      <w:r w:rsidR="00B80E50">
        <w:rPr>
          <w:lang w:val="en-GB"/>
        </w:rPr>
        <w:t xml:space="preserve">use and </w:t>
      </w:r>
      <w:r w:rsidR="008D09EF">
        <w:rPr>
          <w:lang w:val="en-GB"/>
        </w:rPr>
        <w:t>attitudes toward</w:t>
      </w:r>
      <w:r w:rsidR="004A3739">
        <w:rPr>
          <w:lang w:val="en-GB"/>
        </w:rPr>
        <w:t>s</w:t>
      </w:r>
      <w:r w:rsidR="00B80E50">
        <w:rPr>
          <w:lang w:val="en-GB"/>
        </w:rPr>
        <w:t xml:space="preserve"> use</w:t>
      </w:r>
      <w:r>
        <w:rPr>
          <w:lang w:val="en-GB"/>
        </w:rPr>
        <w:t xml:space="preserve"> and</w:t>
      </w:r>
      <w:r w:rsidR="00703F6C">
        <w:rPr>
          <w:lang w:val="en-GB"/>
        </w:rPr>
        <w:t xml:space="preserve"> </w:t>
      </w:r>
      <w:r>
        <w:rPr>
          <w:lang w:val="en-GB"/>
        </w:rPr>
        <w:t>t</w:t>
      </w:r>
      <w:r w:rsidR="00703F6C">
        <w:rPr>
          <w:lang w:val="en-GB"/>
        </w:rPr>
        <w:t>o</w:t>
      </w:r>
      <w:r w:rsidR="004717A5">
        <w:rPr>
          <w:rFonts w:asciiTheme="minorHAnsi" w:eastAsiaTheme="minorHAnsi" w:hAnsiTheme="minorHAnsi" w:cstheme="minorBidi"/>
          <w:lang w:val="en-US"/>
        </w:rPr>
        <w:t xml:space="preserve"> evaluate </w:t>
      </w:r>
      <w:r w:rsidR="00A808C5">
        <w:rPr>
          <w:rFonts w:asciiTheme="minorHAnsi" w:eastAsiaTheme="minorHAnsi" w:hAnsiTheme="minorHAnsi" w:cstheme="minorBidi"/>
          <w:lang w:val="en-US"/>
        </w:rPr>
        <w:t xml:space="preserve">if </w:t>
      </w:r>
      <w:r w:rsidR="004717A5">
        <w:rPr>
          <w:rFonts w:asciiTheme="minorHAnsi" w:eastAsiaTheme="minorHAnsi" w:hAnsiTheme="minorHAnsi" w:cstheme="minorBidi"/>
          <w:lang w:val="en-US"/>
        </w:rPr>
        <w:t xml:space="preserve">perceptions of </w:t>
      </w:r>
      <w:r w:rsidR="008D09EF">
        <w:rPr>
          <w:rFonts w:asciiTheme="minorHAnsi" w:eastAsiaTheme="minorHAnsi" w:hAnsiTheme="minorHAnsi" w:cstheme="minorBidi"/>
          <w:lang w:val="en-US"/>
        </w:rPr>
        <w:t>peer use and peer approval of</w:t>
      </w:r>
      <w:r w:rsidR="00E20D7A">
        <w:rPr>
          <w:rFonts w:asciiTheme="minorHAnsi" w:eastAsiaTheme="minorHAnsi" w:hAnsiTheme="minorHAnsi" w:cstheme="minorBidi"/>
          <w:lang w:val="en-US"/>
        </w:rPr>
        <w:t xml:space="preserve"> use </w:t>
      </w:r>
      <w:r w:rsidR="008D60E7">
        <w:rPr>
          <w:rFonts w:asciiTheme="minorHAnsi" w:eastAsiaTheme="minorHAnsi" w:hAnsiTheme="minorHAnsi" w:cstheme="minorBidi"/>
          <w:lang w:val="en-US"/>
        </w:rPr>
        <w:t>are associated with personal use and</w:t>
      </w:r>
      <w:r w:rsidR="004717A5">
        <w:rPr>
          <w:rFonts w:asciiTheme="minorHAnsi" w:eastAsiaTheme="minorHAnsi" w:hAnsiTheme="minorHAnsi" w:cstheme="minorBidi"/>
          <w:lang w:val="en-US"/>
        </w:rPr>
        <w:t xml:space="preserve"> </w:t>
      </w:r>
      <w:r w:rsidR="003248FC">
        <w:rPr>
          <w:rFonts w:asciiTheme="minorHAnsi" w:eastAsiaTheme="minorHAnsi" w:hAnsiTheme="minorHAnsi" w:cstheme="minorBidi"/>
          <w:lang w:val="en-US"/>
        </w:rPr>
        <w:t>approval of tobacco</w:t>
      </w:r>
      <w:r w:rsidR="00D6647C">
        <w:rPr>
          <w:rFonts w:asciiTheme="minorHAnsi" w:eastAsiaTheme="minorHAnsi" w:hAnsiTheme="minorHAnsi" w:cstheme="minorBidi"/>
          <w:lang w:val="en-US"/>
        </w:rPr>
        <w:t xml:space="preserve"> use</w:t>
      </w:r>
      <w:r w:rsidR="004717A5">
        <w:rPr>
          <w:rFonts w:asciiTheme="minorHAnsi" w:eastAsiaTheme="minorHAnsi" w:hAnsiTheme="minorHAnsi" w:cstheme="minorBidi"/>
          <w:lang w:val="en-US"/>
        </w:rPr>
        <w:t>.</w:t>
      </w:r>
      <w:r w:rsidR="008D09EF" w:rsidRPr="008D09EF">
        <w:rPr>
          <w:lang w:val="en-US"/>
        </w:rPr>
        <w:t xml:space="preserve"> </w:t>
      </w:r>
    </w:p>
    <w:p w14:paraId="311B9CBF" w14:textId="65DDF257" w:rsidR="008F3134" w:rsidRPr="008F3134" w:rsidRDefault="008F3134" w:rsidP="008F3134">
      <w:pPr>
        <w:rPr>
          <w:rFonts w:asciiTheme="minorHAnsi" w:eastAsiaTheme="minorHAnsi" w:hAnsiTheme="minorHAnsi" w:cstheme="minorBidi"/>
          <w:lang w:val="en-US"/>
        </w:rPr>
      </w:pPr>
      <w:r w:rsidRPr="008F3134">
        <w:rPr>
          <w:rFonts w:asciiTheme="minorHAnsi" w:eastAsiaTheme="minorHAnsi" w:hAnsiTheme="minorHAnsi" w:cstheme="minorBidi"/>
          <w:b/>
          <w:lang w:val="en-US"/>
        </w:rPr>
        <w:t>Methods:</w:t>
      </w:r>
      <w:r w:rsidRPr="008F3134">
        <w:rPr>
          <w:rFonts w:asciiTheme="minorHAnsi" w:eastAsiaTheme="minorHAnsi" w:hAnsiTheme="minorHAnsi" w:cstheme="minorBidi"/>
          <w:lang w:val="en-US"/>
        </w:rPr>
        <w:t xml:space="preserve"> Th</w:t>
      </w:r>
      <w:r w:rsidR="00703F6C">
        <w:rPr>
          <w:rFonts w:asciiTheme="minorHAnsi" w:eastAsiaTheme="minorHAnsi" w:hAnsiTheme="minorHAnsi" w:cstheme="minorBidi"/>
          <w:lang w:val="en-US"/>
        </w:rPr>
        <w:t>e</w:t>
      </w:r>
      <w:r w:rsidRPr="008F3134">
        <w:rPr>
          <w:rFonts w:asciiTheme="minorHAnsi" w:eastAsiaTheme="minorHAnsi" w:hAnsiTheme="minorHAnsi" w:cstheme="minorBidi"/>
          <w:lang w:val="en-US"/>
        </w:rPr>
        <w:t xml:space="preserve"> </w:t>
      </w:r>
      <w:r w:rsidR="00C15383">
        <w:rPr>
          <w:rFonts w:asciiTheme="minorHAnsi" w:eastAsiaTheme="minorHAnsi" w:hAnsiTheme="minorHAnsi" w:cstheme="minorBidi"/>
          <w:lang w:val="en-US"/>
        </w:rPr>
        <w:t xml:space="preserve">EU-funded </w:t>
      </w:r>
      <w:r w:rsidR="00703F6C">
        <w:rPr>
          <w:rFonts w:asciiTheme="minorHAnsi" w:eastAsiaTheme="minorHAnsi" w:hAnsiTheme="minorHAnsi" w:cstheme="minorBidi"/>
          <w:lang w:val="en-US"/>
        </w:rPr>
        <w:t>‘</w:t>
      </w:r>
      <w:r w:rsidR="00703F6C" w:rsidRPr="00703F6C">
        <w:rPr>
          <w:rFonts w:asciiTheme="minorHAnsi" w:eastAsiaTheme="minorHAnsi" w:hAnsiTheme="minorHAnsi" w:cstheme="minorBidi"/>
          <w:lang w:val="en-US"/>
        </w:rPr>
        <w:t xml:space="preserve">Social Norms Intervention for the prevention of </w:t>
      </w:r>
      <w:proofErr w:type="spellStart"/>
      <w:r w:rsidR="00703F6C" w:rsidRPr="00703F6C">
        <w:rPr>
          <w:rFonts w:asciiTheme="minorHAnsi" w:eastAsiaTheme="minorHAnsi" w:hAnsiTheme="minorHAnsi" w:cstheme="minorBidi"/>
          <w:lang w:val="en-US"/>
        </w:rPr>
        <w:t>Polydrug</w:t>
      </w:r>
      <w:proofErr w:type="spellEnd"/>
      <w:r w:rsidR="00703F6C" w:rsidRPr="00703F6C">
        <w:rPr>
          <w:rFonts w:asciiTheme="minorHAnsi" w:eastAsiaTheme="minorHAnsi" w:hAnsiTheme="minorHAnsi" w:cstheme="minorBidi"/>
          <w:lang w:val="en-US"/>
        </w:rPr>
        <w:t xml:space="preserve"> </w:t>
      </w:r>
      <w:proofErr w:type="spellStart"/>
      <w:r w:rsidR="00703F6C" w:rsidRPr="00703F6C">
        <w:rPr>
          <w:rFonts w:asciiTheme="minorHAnsi" w:eastAsiaTheme="minorHAnsi" w:hAnsiTheme="minorHAnsi" w:cstheme="minorBidi"/>
          <w:lang w:val="en-US"/>
        </w:rPr>
        <w:t>usE</w:t>
      </w:r>
      <w:proofErr w:type="spellEnd"/>
      <w:r w:rsidR="00703F6C">
        <w:rPr>
          <w:rFonts w:asciiTheme="minorHAnsi" w:eastAsiaTheme="minorHAnsi" w:hAnsiTheme="minorHAnsi" w:cstheme="minorBidi"/>
          <w:lang w:val="en-US"/>
        </w:rPr>
        <w:t>’</w:t>
      </w:r>
      <w:r w:rsidR="00703F6C" w:rsidRPr="00703F6C">
        <w:rPr>
          <w:rFonts w:asciiTheme="minorHAnsi" w:eastAsiaTheme="minorHAnsi" w:hAnsiTheme="minorHAnsi" w:cstheme="minorBidi"/>
          <w:lang w:val="en-US"/>
        </w:rPr>
        <w:t xml:space="preserve"> </w:t>
      </w:r>
      <w:r w:rsidRPr="008F3134">
        <w:rPr>
          <w:rFonts w:asciiTheme="minorHAnsi" w:eastAsiaTheme="minorHAnsi" w:hAnsiTheme="minorHAnsi" w:cstheme="minorBidi"/>
          <w:lang w:val="en-US"/>
        </w:rPr>
        <w:t xml:space="preserve">study </w:t>
      </w:r>
      <w:r w:rsidR="00C15383">
        <w:rPr>
          <w:rFonts w:asciiTheme="minorHAnsi" w:eastAsiaTheme="minorHAnsi" w:hAnsiTheme="minorHAnsi" w:cstheme="minorBidi"/>
          <w:lang w:val="en-US"/>
        </w:rPr>
        <w:t>was</w:t>
      </w:r>
      <w:r w:rsidRPr="008F3134">
        <w:rPr>
          <w:rFonts w:asciiTheme="minorHAnsi" w:eastAsiaTheme="minorHAnsi" w:hAnsiTheme="minorHAnsi" w:cstheme="minorBidi"/>
          <w:lang w:val="en-US"/>
        </w:rPr>
        <w:t xml:space="preserve"> conducted in Belgium, Denmark, Germany, Slovak Republic, Spain, </w:t>
      </w:r>
      <w:r w:rsidR="0038259A" w:rsidRPr="0038259A">
        <w:rPr>
          <w:rFonts w:asciiTheme="minorHAnsi" w:eastAsiaTheme="minorHAnsi" w:hAnsiTheme="minorHAnsi" w:cstheme="minorBidi"/>
          <w:lang w:val="en-US"/>
        </w:rPr>
        <w:t xml:space="preserve">Turkey </w:t>
      </w:r>
      <w:r w:rsidR="0038259A">
        <w:rPr>
          <w:rFonts w:asciiTheme="minorHAnsi" w:eastAsiaTheme="minorHAnsi" w:hAnsiTheme="minorHAnsi" w:cstheme="minorBidi"/>
          <w:lang w:val="en-US"/>
        </w:rPr>
        <w:t xml:space="preserve">and </w:t>
      </w:r>
      <w:r w:rsidRPr="008F3134">
        <w:rPr>
          <w:rFonts w:asciiTheme="minorHAnsi" w:eastAsiaTheme="minorHAnsi" w:hAnsiTheme="minorHAnsi" w:cstheme="minorBidi"/>
          <w:lang w:val="en-US"/>
        </w:rPr>
        <w:t>United Kingdom. In total</w:t>
      </w:r>
      <w:r w:rsidR="00767BD7">
        <w:rPr>
          <w:rFonts w:asciiTheme="minorHAnsi" w:eastAsiaTheme="minorHAnsi" w:hAnsiTheme="minorHAnsi" w:cstheme="minorBidi"/>
          <w:lang w:val="en-US"/>
        </w:rPr>
        <w:t>,</w:t>
      </w:r>
      <w:r w:rsidRPr="008F3134">
        <w:rPr>
          <w:rFonts w:asciiTheme="minorHAnsi" w:eastAsiaTheme="minorHAnsi" w:hAnsiTheme="minorHAnsi" w:cstheme="minorBidi"/>
          <w:lang w:val="en-US"/>
        </w:rPr>
        <w:t xml:space="preserve"> 4,</w:t>
      </w:r>
      <w:r w:rsidR="00932D63" w:rsidRPr="008F3134">
        <w:rPr>
          <w:rFonts w:asciiTheme="minorHAnsi" w:eastAsiaTheme="minorHAnsi" w:hAnsiTheme="minorHAnsi" w:cstheme="minorBidi"/>
          <w:lang w:val="en-US"/>
        </w:rPr>
        <w:t>4</w:t>
      </w:r>
      <w:r w:rsidR="00932D63">
        <w:rPr>
          <w:rFonts w:asciiTheme="minorHAnsi" w:eastAsiaTheme="minorHAnsi" w:hAnsiTheme="minorHAnsi" w:cstheme="minorBidi"/>
          <w:lang w:val="en-US"/>
        </w:rPr>
        <w:t>82</w:t>
      </w:r>
      <w:r w:rsidR="00932D63" w:rsidRPr="008F3134">
        <w:rPr>
          <w:rFonts w:asciiTheme="minorHAnsi" w:eastAsiaTheme="minorHAnsi" w:hAnsiTheme="minorHAnsi" w:cstheme="minorBidi"/>
          <w:lang w:val="en-US"/>
        </w:rPr>
        <w:t xml:space="preserve"> </w:t>
      </w:r>
      <w:r w:rsidRPr="008F3134">
        <w:rPr>
          <w:rFonts w:asciiTheme="minorHAnsi" w:eastAsiaTheme="minorHAnsi" w:hAnsiTheme="minorHAnsi" w:cstheme="minorBidi"/>
          <w:lang w:val="en-US"/>
        </w:rPr>
        <w:t xml:space="preserve">students (71% female) answered </w:t>
      </w:r>
      <w:r w:rsidR="003E1D9E">
        <w:rPr>
          <w:rFonts w:asciiTheme="minorHAnsi" w:eastAsiaTheme="minorHAnsi" w:hAnsiTheme="minorHAnsi" w:cstheme="minorBidi"/>
          <w:lang w:val="en-US"/>
        </w:rPr>
        <w:t>an online survey including questions on</w:t>
      </w:r>
      <w:r w:rsidRPr="008F3134">
        <w:rPr>
          <w:rFonts w:asciiTheme="minorHAnsi" w:eastAsiaTheme="minorHAnsi" w:hAnsiTheme="minorHAnsi" w:cstheme="minorBidi"/>
          <w:lang w:val="en-US"/>
        </w:rPr>
        <w:t xml:space="preserve"> personal</w:t>
      </w:r>
      <w:r w:rsidR="00C15383">
        <w:rPr>
          <w:rFonts w:asciiTheme="minorHAnsi" w:eastAsiaTheme="minorHAnsi" w:hAnsiTheme="minorHAnsi" w:cstheme="minorBidi"/>
          <w:lang w:val="en-US"/>
        </w:rPr>
        <w:t xml:space="preserve"> </w:t>
      </w:r>
      <w:r w:rsidR="000B0C9B">
        <w:rPr>
          <w:rFonts w:asciiTheme="minorHAnsi" w:eastAsiaTheme="minorHAnsi" w:hAnsiTheme="minorHAnsi" w:cstheme="minorBidi"/>
          <w:lang w:val="en-US"/>
        </w:rPr>
        <w:t>and perceived</w:t>
      </w:r>
      <w:r w:rsidRPr="008F3134">
        <w:rPr>
          <w:rFonts w:asciiTheme="minorHAnsi" w:eastAsiaTheme="minorHAnsi" w:hAnsiTheme="minorHAnsi" w:cstheme="minorBidi"/>
          <w:lang w:val="en-US"/>
        </w:rPr>
        <w:t xml:space="preserve"> tobacco use</w:t>
      </w:r>
      <w:r w:rsidR="00E95FC0">
        <w:rPr>
          <w:rFonts w:asciiTheme="minorHAnsi" w:eastAsiaTheme="minorHAnsi" w:hAnsiTheme="minorHAnsi" w:cstheme="minorBidi"/>
          <w:lang w:val="en-US"/>
        </w:rPr>
        <w:t xml:space="preserve"> </w:t>
      </w:r>
      <w:r w:rsidR="003E1D9E">
        <w:rPr>
          <w:rFonts w:asciiTheme="minorHAnsi" w:eastAsiaTheme="minorHAnsi" w:hAnsiTheme="minorHAnsi" w:cstheme="minorBidi"/>
          <w:lang w:val="en-US"/>
        </w:rPr>
        <w:t>and</w:t>
      </w:r>
      <w:r w:rsidR="00C15383">
        <w:rPr>
          <w:rFonts w:asciiTheme="minorHAnsi" w:eastAsiaTheme="minorHAnsi" w:hAnsiTheme="minorHAnsi" w:cstheme="minorBidi"/>
          <w:lang w:val="en-US"/>
        </w:rPr>
        <w:t xml:space="preserve"> </w:t>
      </w:r>
      <w:r w:rsidR="000B0C9B">
        <w:rPr>
          <w:rFonts w:asciiTheme="minorHAnsi" w:eastAsiaTheme="minorHAnsi" w:hAnsiTheme="minorHAnsi" w:cstheme="minorBidi"/>
          <w:lang w:val="en-US"/>
        </w:rPr>
        <w:t>personal and perceived</w:t>
      </w:r>
      <w:r w:rsidR="003E1D9E">
        <w:rPr>
          <w:rFonts w:asciiTheme="minorHAnsi" w:eastAsiaTheme="minorHAnsi" w:hAnsiTheme="minorHAnsi" w:cstheme="minorBidi"/>
          <w:lang w:val="en-US"/>
        </w:rPr>
        <w:t xml:space="preserve"> attitudes towards tobacco use.</w:t>
      </w:r>
      <w:r w:rsidRPr="008F3134">
        <w:rPr>
          <w:rFonts w:asciiTheme="minorHAnsi" w:eastAsiaTheme="minorHAnsi" w:hAnsiTheme="minorHAnsi" w:cstheme="minorBidi"/>
          <w:lang w:val="en-US"/>
        </w:rPr>
        <w:t xml:space="preserve"> </w:t>
      </w:r>
    </w:p>
    <w:p w14:paraId="0B592262" w14:textId="77777777" w:rsidR="008F3134" w:rsidRPr="008F3134" w:rsidRDefault="008F3134" w:rsidP="008F3134">
      <w:pPr>
        <w:rPr>
          <w:rFonts w:asciiTheme="minorHAnsi" w:eastAsiaTheme="minorHAnsi" w:hAnsiTheme="minorHAnsi" w:cstheme="minorBidi"/>
          <w:lang w:val="en-US"/>
        </w:rPr>
      </w:pPr>
      <w:r w:rsidRPr="008F3134">
        <w:rPr>
          <w:rFonts w:asciiTheme="minorHAnsi" w:eastAsiaTheme="minorHAnsi" w:hAnsiTheme="minorHAnsi" w:cstheme="minorBidi"/>
          <w:b/>
          <w:lang w:val="en-US"/>
        </w:rPr>
        <w:t>Results:</w:t>
      </w:r>
      <w:r w:rsidRPr="008F3134">
        <w:rPr>
          <w:rFonts w:asciiTheme="minorHAnsi" w:eastAsiaTheme="minorHAnsi" w:hAnsiTheme="minorHAnsi" w:cstheme="minorBidi"/>
          <w:lang w:val="en-US"/>
        </w:rPr>
        <w:t xml:space="preserve"> Across all countries, </w:t>
      </w:r>
      <w:r w:rsidR="00DA3FD5">
        <w:rPr>
          <w:rFonts w:asciiTheme="minorHAnsi" w:eastAsiaTheme="minorHAnsi" w:hAnsiTheme="minorHAnsi" w:cstheme="minorBidi"/>
          <w:lang w:val="en-US"/>
        </w:rPr>
        <w:t xml:space="preserve">the majority of </w:t>
      </w:r>
      <w:r w:rsidR="00C15383">
        <w:rPr>
          <w:rFonts w:asciiTheme="minorHAnsi" w:eastAsiaTheme="minorHAnsi" w:hAnsiTheme="minorHAnsi" w:cstheme="minorBidi"/>
          <w:lang w:val="en-US"/>
        </w:rPr>
        <w:t>s</w:t>
      </w:r>
      <w:r w:rsidRPr="008F3134">
        <w:rPr>
          <w:rFonts w:asciiTheme="minorHAnsi" w:eastAsiaTheme="minorHAnsi" w:hAnsiTheme="minorHAnsi" w:cstheme="minorBidi"/>
          <w:lang w:val="en-US"/>
        </w:rPr>
        <w:t xml:space="preserve">tudents </w:t>
      </w:r>
      <w:r w:rsidR="000B0C9B">
        <w:rPr>
          <w:rFonts w:asciiTheme="minorHAnsi" w:eastAsiaTheme="minorHAnsi" w:hAnsiTheme="minorHAnsi" w:cstheme="minorBidi"/>
          <w:lang w:val="en-US"/>
        </w:rPr>
        <w:t xml:space="preserve">perceived </w:t>
      </w:r>
      <w:r w:rsidRPr="008F3134">
        <w:rPr>
          <w:rFonts w:asciiTheme="minorHAnsi" w:eastAsiaTheme="minorHAnsi" w:hAnsiTheme="minorHAnsi" w:cstheme="minorBidi"/>
          <w:lang w:val="en-US"/>
        </w:rPr>
        <w:t xml:space="preserve">tobacco </w:t>
      </w:r>
      <w:r w:rsidR="000B0C9B">
        <w:rPr>
          <w:rFonts w:asciiTheme="minorHAnsi" w:eastAsiaTheme="minorHAnsi" w:hAnsiTheme="minorHAnsi" w:cstheme="minorBidi"/>
          <w:lang w:val="en-US"/>
        </w:rPr>
        <w:t>use</w:t>
      </w:r>
      <w:r w:rsidR="000B0C9B" w:rsidRPr="008F3134">
        <w:rPr>
          <w:rFonts w:asciiTheme="minorHAnsi" w:eastAsiaTheme="minorHAnsi" w:hAnsiTheme="minorHAnsi" w:cstheme="minorBidi"/>
          <w:lang w:val="en-US"/>
        </w:rPr>
        <w:t xml:space="preserve"> </w:t>
      </w:r>
      <w:r w:rsidR="000B0C9B">
        <w:rPr>
          <w:rFonts w:asciiTheme="minorHAnsi" w:eastAsiaTheme="minorHAnsi" w:hAnsiTheme="minorHAnsi" w:cstheme="minorBidi"/>
          <w:lang w:val="en-US"/>
        </w:rPr>
        <w:t>of</w:t>
      </w:r>
      <w:r w:rsidR="000B0C9B" w:rsidRPr="008F3134">
        <w:rPr>
          <w:rFonts w:asciiTheme="minorHAnsi" w:eastAsiaTheme="minorHAnsi" w:hAnsiTheme="minorHAnsi" w:cstheme="minorBidi"/>
          <w:lang w:val="en-US"/>
        </w:rPr>
        <w:t xml:space="preserve"> </w:t>
      </w:r>
      <w:r w:rsidRPr="008F3134">
        <w:rPr>
          <w:rFonts w:asciiTheme="minorHAnsi" w:eastAsiaTheme="minorHAnsi" w:hAnsiTheme="minorHAnsi" w:cstheme="minorBidi"/>
          <w:lang w:val="en-US"/>
        </w:rPr>
        <w:t>their peers</w:t>
      </w:r>
      <w:r w:rsidR="000B0C9B">
        <w:rPr>
          <w:rFonts w:asciiTheme="minorHAnsi" w:eastAsiaTheme="minorHAnsi" w:hAnsiTheme="minorHAnsi" w:cstheme="minorBidi"/>
          <w:lang w:val="en-US"/>
        </w:rPr>
        <w:t xml:space="preserve"> to be higher</w:t>
      </w:r>
      <w:r w:rsidRPr="008F3134">
        <w:rPr>
          <w:rFonts w:asciiTheme="minorHAnsi" w:eastAsiaTheme="minorHAnsi" w:hAnsiTheme="minorHAnsi" w:cstheme="minorBidi"/>
          <w:lang w:val="en-US"/>
        </w:rPr>
        <w:t xml:space="preserve"> than </w:t>
      </w:r>
      <w:r w:rsidR="000B0C9B">
        <w:rPr>
          <w:rFonts w:asciiTheme="minorHAnsi" w:eastAsiaTheme="minorHAnsi" w:hAnsiTheme="minorHAnsi" w:cstheme="minorBidi"/>
          <w:lang w:val="en-US"/>
        </w:rPr>
        <w:t xml:space="preserve">their </w:t>
      </w:r>
      <w:r w:rsidR="004B3124">
        <w:rPr>
          <w:rFonts w:asciiTheme="minorHAnsi" w:eastAsiaTheme="minorHAnsi" w:hAnsiTheme="minorHAnsi" w:cstheme="minorBidi"/>
          <w:lang w:val="en-US"/>
        </w:rPr>
        <w:t>own</w:t>
      </w:r>
      <w:r w:rsidR="000B0C9B">
        <w:rPr>
          <w:rFonts w:asciiTheme="minorHAnsi" w:eastAsiaTheme="minorHAnsi" w:hAnsiTheme="minorHAnsi" w:cstheme="minorBidi"/>
          <w:lang w:val="en-US"/>
        </w:rPr>
        <w:t xml:space="preserve"> use</w:t>
      </w:r>
      <w:r w:rsidR="00D65FCD" w:rsidRPr="00D65FCD">
        <w:rPr>
          <w:rFonts w:asciiTheme="minorHAnsi" w:eastAsiaTheme="minorHAnsi" w:hAnsiTheme="minorHAnsi" w:cstheme="minorBidi"/>
          <w:lang w:val="en-US"/>
        </w:rPr>
        <w:t>.</w:t>
      </w:r>
      <w:r w:rsidR="00D65FCD">
        <w:rPr>
          <w:rFonts w:asciiTheme="minorHAnsi" w:eastAsiaTheme="minorHAnsi" w:hAnsiTheme="minorHAnsi" w:cstheme="minorBidi"/>
          <w:lang w:val="en-US"/>
        </w:rPr>
        <w:t xml:space="preserve"> </w:t>
      </w:r>
      <w:r w:rsidR="00402198" w:rsidRPr="00BB3B71">
        <w:rPr>
          <w:rFonts w:asciiTheme="minorHAnsi" w:eastAsiaTheme="minorHAnsi" w:hAnsiTheme="minorHAnsi" w:cstheme="minorBidi"/>
          <w:lang w:val="en-US"/>
        </w:rPr>
        <w:t>The perception that the majority</w:t>
      </w:r>
      <w:r w:rsidR="00A808C5">
        <w:rPr>
          <w:rFonts w:asciiTheme="minorHAnsi" w:eastAsiaTheme="minorHAnsi" w:hAnsiTheme="minorHAnsi" w:cstheme="minorBidi"/>
          <w:lang w:val="en-US"/>
        </w:rPr>
        <w:t xml:space="preserve"> (&gt;51%)</w:t>
      </w:r>
      <w:r w:rsidR="00402198" w:rsidRPr="00BB3B71">
        <w:rPr>
          <w:rFonts w:asciiTheme="minorHAnsi" w:eastAsiaTheme="minorHAnsi" w:hAnsiTheme="minorHAnsi" w:cstheme="minorBidi"/>
          <w:lang w:val="en-US"/>
        </w:rPr>
        <w:t xml:space="preserve"> of peers used </w:t>
      </w:r>
      <w:r w:rsidR="00053F9F" w:rsidRPr="00BB3B71">
        <w:rPr>
          <w:rFonts w:asciiTheme="minorHAnsi" w:eastAsiaTheme="minorHAnsi" w:hAnsiTheme="minorHAnsi" w:cstheme="minorBidi"/>
          <w:lang w:val="en-US"/>
        </w:rPr>
        <w:t>tobacco</w:t>
      </w:r>
      <w:r w:rsidR="00932D63" w:rsidRPr="00BB3B71">
        <w:rPr>
          <w:rFonts w:asciiTheme="minorHAnsi" w:eastAsiaTheme="minorHAnsi" w:hAnsiTheme="minorHAnsi" w:cstheme="minorBidi"/>
          <w:lang w:val="en-US"/>
        </w:rPr>
        <w:t xml:space="preserve"> regularly</w:t>
      </w:r>
      <w:r w:rsidR="00053F9F" w:rsidRPr="00BB3B71">
        <w:rPr>
          <w:rFonts w:asciiTheme="minorHAnsi" w:eastAsiaTheme="minorHAnsi" w:hAnsiTheme="minorHAnsi" w:cstheme="minorBidi"/>
          <w:lang w:val="en-US"/>
        </w:rPr>
        <w:t xml:space="preserve"> in the past two months</w:t>
      </w:r>
      <w:r w:rsidR="00402198" w:rsidRPr="00BB3B71">
        <w:rPr>
          <w:rFonts w:asciiTheme="minorHAnsi" w:eastAsiaTheme="minorHAnsi" w:hAnsiTheme="minorHAnsi" w:cstheme="minorBidi"/>
          <w:lang w:val="en-US"/>
        </w:rPr>
        <w:t xml:space="preserve"> was significantly associated with higher odds for personal </w:t>
      </w:r>
      <w:r w:rsidR="00932D63" w:rsidRPr="00BB3B71">
        <w:rPr>
          <w:rFonts w:asciiTheme="minorHAnsi" w:eastAsiaTheme="minorHAnsi" w:hAnsiTheme="minorHAnsi" w:cstheme="minorBidi"/>
          <w:lang w:val="en-US"/>
        </w:rPr>
        <w:t xml:space="preserve">regular </w:t>
      </w:r>
      <w:r w:rsidR="00402198" w:rsidRPr="00BB3B71">
        <w:rPr>
          <w:rFonts w:asciiTheme="minorHAnsi" w:eastAsiaTheme="minorHAnsi" w:hAnsiTheme="minorHAnsi" w:cstheme="minorBidi"/>
          <w:lang w:val="en-US"/>
        </w:rPr>
        <w:t>use</w:t>
      </w:r>
      <w:r w:rsidR="00932D63" w:rsidRPr="00BB3B71">
        <w:rPr>
          <w:rFonts w:asciiTheme="minorHAnsi" w:eastAsiaTheme="minorHAnsi" w:hAnsiTheme="minorHAnsi" w:cstheme="minorBidi"/>
          <w:lang w:val="en-US"/>
        </w:rPr>
        <w:t xml:space="preserve"> </w:t>
      </w:r>
      <w:r w:rsidR="00402198" w:rsidRPr="00BB3B71">
        <w:rPr>
          <w:rFonts w:asciiTheme="minorHAnsi" w:eastAsiaTheme="minorHAnsi" w:hAnsiTheme="minorHAnsi" w:cstheme="minorBidi"/>
          <w:lang w:val="en-US"/>
        </w:rPr>
        <w:t>(OR</w:t>
      </w:r>
      <w:r w:rsidR="00932D63" w:rsidRPr="00BB3B71">
        <w:rPr>
          <w:rFonts w:asciiTheme="minorHAnsi" w:eastAsiaTheme="minorHAnsi" w:hAnsiTheme="minorHAnsi" w:cstheme="minorBidi"/>
          <w:lang w:val="en-US"/>
        </w:rPr>
        <w:t xml:space="preserve">: </w:t>
      </w:r>
      <w:r w:rsidR="003A27A6">
        <w:rPr>
          <w:lang w:val="en-GB"/>
        </w:rPr>
        <w:t xml:space="preserve">2.66, </w:t>
      </w:r>
      <w:r w:rsidR="00932D63" w:rsidRPr="005D1F3C">
        <w:rPr>
          <w:lang w:val="en-GB"/>
        </w:rPr>
        <w:t>95% CI: 1.90-3.73</w:t>
      </w:r>
      <w:r w:rsidR="00932D63" w:rsidRPr="00BB3B71">
        <w:rPr>
          <w:lang w:val="en-GB"/>
        </w:rPr>
        <w:t>)</w:t>
      </w:r>
      <w:r w:rsidR="00C15383">
        <w:rPr>
          <w:lang w:val="en-GB"/>
        </w:rPr>
        <w:t>.</w:t>
      </w:r>
      <w:r w:rsidR="00402198" w:rsidRPr="00BB3B71">
        <w:rPr>
          <w:rFonts w:asciiTheme="minorHAnsi" w:eastAsiaTheme="minorHAnsi" w:hAnsiTheme="minorHAnsi" w:cstheme="minorBidi"/>
          <w:lang w:val="en-US"/>
        </w:rPr>
        <w:t xml:space="preserve"> </w:t>
      </w:r>
      <w:r w:rsidR="00A808C5">
        <w:rPr>
          <w:rFonts w:asciiTheme="minorHAnsi" w:eastAsiaTheme="minorHAnsi" w:hAnsiTheme="minorHAnsi" w:cstheme="minorBidi"/>
          <w:lang w:val="en-US"/>
        </w:rPr>
        <w:t>T</w:t>
      </w:r>
      <w:r w:rsidR="00402198" w:rsidRPr="00BB3B71">
        <w:rPr>
          <w:rFonts w:asciiTheme="minorHAnsi" w:eastAsiaTheme="minorHAnsi" w:hAnsiTheme="minorHAnsi" w:cstheme="minorBidi"/>
          <w:lang w:val="en-US"/>
        </w:rPr>
        <w:t xml:space="preserve">he perception that the majority of peers approve </w:t>
      </w:r>
      <w:r w:rsidR="00DB6BC4">
        <w:rPr>
          <w:rFonts w:asciiTheme="minorHAnsi" w:eastAsiaTheme="minorHAnsi" w:hAnsiTheme="minorHAnsi" w:cstheme="minorBidi"/>
          <w:lang w:val="en-US"/>
        </w:rPr>
        <w:t xml:space="preserve">of </w:t>
      </w:r>
      <w:r w:rsidR="00053F9F" w:rsidRPr="00BB3B71">
        <w:rPr>
          <w:rFonts w:asciiTheme="minorHAnsi" w:eastAsiaTheme="minorHAnsi" w:hAnsiTheme="minorHAnsi" w:cstheme="minorBidi"/>
          <w:lang w:val="en-US"/>
        </w:rPr>
        <w:t>tobacco</w:t>
      </w:r>
      <w:r w:rsidR="00402198" w:rsidRPr="00BB3B71">
        <w:rPr>
          <w:rFonts w:asciiTheme="minorHAnsi" w:eastAsiaTheme="minorHAnsi" w:hAnsiTheme="minorHAnsi" w:cstheme="minorBidi"/>
          <w:lang w:val="en-US"/>
        </w:rPr>
        <w:t xml:space="preserve"> use</w:t>
      </w:r>
      <w:r w:rsidR="00593D8D">
        <w:rPr>
          <w:rFonts w:asciiTheme="minorHAnsi" w:eastAsiaTheme="minorHAnsi" w:hAnsiTheme="minorHAnsi" w:cstheme="minorBidi"/>
          <w:lang w:val="en-US"/>
        </w:rPr>
        <w:t xml:space="preserve"> </w:t>
      </w:r>
      <w:r w:rsidR="009F4602">
        <w:rPr>
          <w:rFonts w:asciiTheme="minorHAnsi" w:eastAsiaTheme="minorHAnsi" w:hAnsiTheme="minorHAnsi" w:cstheme="minorBidi"/>
          <w:lang w:val="en-US"/>
        </w:rPr>
        <w:t xml:space="preserve">was </w:t>
      </w:r>
      <w:r w:rsidR="009F4602" w:rsidRPr="009F4602">
        <w:rPr>
          <w:rFonts w:asciiTheme="minorHAnsi" w:eastAsiaTheme="minorHAnsi" w:hAnsiTheme="minorHAnsi" w:cstheme="minorBidi"/>
          <w:lang w:val="en-US"/>
        </w:rPr>
        <w:t xml:space="preserve">significantly associated with higher odds for personal approval </w:t>
      </w:r>
      <w:r w:rsidR="009F4602">
        <w:rPr>
          <w:rFonts w:asciiTheme="minorHAnsi" w:eastAsiaTheme="minorHAnsi" w:hAnsiTheme="minorHAnsi" w:cstheme="minorBidi"/>
          <w:lang w:val="en-US"/>
        </w:rPr>
        <w:t>of tobacco use</w:t>
      </w:r>
      <w:r w:rsidR="003A27A6">
        <w:rPr>
          <w:rFonts w:asciiTheme="minorHAnsi" w:eastAsiaTheme="minorHAnsi" w:hAnsiTheme="minorHAnsi" w:cstheme="minorBidi"/>
          <w:lang w:val="en-US"/>
        </w:rPr>
        <w:t xml:space="preserve"> </w:t>
      </w:r>
      <w:r w:rsidR="009F4602" w:rsidRPr="009F4602">
        <w:rPr>
          <w:rFonts w:asciiTheme="minorHAnsi" w:eastAsiaTheme="minorHAnsi" w:hAnsiTheme="minorHAnsi" w:cstheme="minorBidi"/>
          <w:lang w:val="en-US"/>
        </w:rPr>
        <w:t>(OR: 6.49, 95% CI: 4.54-9.28)</w:t>
      </w:r>
      <w:r w:rsidR="009F4602">
        <w:rPr>
          <w:lang w:val="en-GB"/>
        </w:rPr>
        <w:t>.</w:t>
      </w:r>
    </w:p>
    <w:p w14:paraId="7588B8A7" w14:textId="2084AF3C" w:rsidR="007524B6" w:rsidRPr="00DA2FF1" w:rsidRDefault="008F3134" w:rsidP="00AD49A9">
      <w:pPr>
        <w:rPr>
          <w:rFonts w:asciiTheme="minorHAnsi" w:eastAsiaTheme="minorHAnsi" w:hAnsiTheme="minorHAnsi" w:cstheme="minorBidi"/>
          <w:lang w:val="en-US"/>
        </w:rPr>
      </w:pPr>
      <w:r w:rsidRPr="008F3134">
        <w:rPr>
          <w:rFonts w:asciiTheme="minorHAnsi" w:eastAsiaTheme="minorHAnsi" w:hAnsiTheme="minorHAnsi" w:cstheme="minorBidi"/>
          <w:b/>
          <w:lang w:val="en-US"/>
        </w:rPr>
        <w:t>Conclusions:</w:t>
      </w:r>
      <w:r w:rsidRPr="008F3134">
        <w:rPr>
          <w:rFonts w:asciiTheme="minorHAnsi" w:eastAsiaTheme="minorHAnsi" w:hAnsiTheme="minorHAnsi" w:cstheme="minorBidi"/>
          <w:lang w:val="en-US"/>
        </w:rPr>
        <w:t xml:space="preserve"> </w:t>
      </w:r>
      <w:r w:rsidR="007524B6" w:rsidRPr="00AD49A9">
        <w:rPr>
          <w:rFonts w:asciiTheme="minorHAnsi" w:eastAsiaTheme="minorHAnsi" w:hAnsiTheme="minorHAnsi" w:cstheme="minorBidi"/>
          <w:lang w:val="en-US"/>
        </w:rPr>
        <w:t>Perceived norms are an important predictor of personal tobacco use</w:t>
      </w:r>
      <w:r w:rsidR="007524B6">
        <w:rPr>
          <w:rFonts w:asciiTheme="minorHAnsi" w:eastAsiaTheme="minorHAnsi" w:hAnsiTheme="minorHAnsi" w:cstheme="minorBidi"/>
          <w:lang w:val="en-US"/>
        </w:rPr>
        <w:t xml:space="preserve"> and attitudes</w:t>
      </w:r>
      <w:r w:rsidR="00016658">
        <w:rPr>
          <w:rFonts w:asciiTheme="minorHAnsi" w:eastAsiaTheme="minorHAnsi" w:hAnsiTheme="minorHAnsi" w:cstheme="minorBidi"/>
          <w:lang w:val="en-US"/>
        </w:rPr>
        <w:t xml:space="preserve"> towards use</w:t>
      </w:r>
      <w:r w:rsidR="007524B6" w:rsidRPr="00AD49A9">
        <w:rPr>
          <w:rFonts w:asciiTheme="minorHAnsi" w:eastAsiaTheme="minorHAnsi" w:hAnsiTheme="minorHAnsi" w:cstheme="minorBidi"/>
          <w:lang w:val="en-US"/>
        </w:rPr>
        <w:t xml:space="preserve">. </w:t>
      </w:r>
      <w:r w:rsidR="00A547BF">
        <w:rPr>
          <w:rFonts w:asciiTheme="minorHAnsi" w:eastAsiaTheme="minorHAnsi" w:hAnsiTheme="minorHAnsi" w:cstheme="minorBidi"/>
          <w:lang w:val="en-US"/>
        </w:rPr>
        <w:t>I</w:t>
      </w:r>
      <w:r w:rsidR="007524B6">
        <w:rPr>
          <w:rFonts w:asciiTheme="minorHAnsi" w:eastAsiaTheme="minorHAnsi" w:hAnsiTheme="minorHAnsi" w:cstheme="minorBidi"/>
          <w:lang w:val="en-US"/>
        </w:rPr>
        <w:t>ntervention</w:t>
      </w:r>
      <w:r w:rsidR="00A547BF">
        <w:rPr>
          <w:rFonts w:asciiTheme="minorHAnsi" w:eastAsiaTheme="minorHAnsi" w:hAnsiTheme="minorHAnsi" w:cstheme="minorBidi"/>
          <w:lang w:val="en-US"/>
        </w:rPr>
        <w:t>s</w:t>
      </w:r>
      <w:r w:rsidR="007524B6">
        <w:rPr>
          <w:rFonts w:asciiTheme="minorHAnsi" w:eastAsiaTheme="minorHAnsi" w:hAnsiTheme="minorHAnsi" w:cstheme="minorBidi"/>
          <w:lang w:val="en-US"/>
        </w:rPr>
        <w:t xml:space="preserve"> addressing</w:t>
      </w:r>
      <w:r w:rsidR="007524B6" w:rsidRPr="00AD49A9">
        <w:rPr>
          <w:rFonts w:asciiTheme="minorHAnsi" w:eastAsiaTheme="minorHAnsi" w:hAnsiTheme="minorHAnsi" w:cstheme="minorBidi"/>
          <w:lang w:val="en-US"/>
        </w:rPr>
        <w:t xml:space="preserve"> </w:t>
      </w:r>
      <w:r w:rsidR="007524B6">
        <w:rPr>
          <w:rFonts w:asciiTheme="minorHAnsi" w:eastAsiaTheme="minorHAnsi" w:hAnsiTheme="minorHAnsi" w:cstheme="minorBidi"/>
          <w:lang w:val="en-US"/>
        </w:rPr>
        <w:t xml:space="preserve">perceived </w:t>
      </w:r>
      <w:r w:rsidR="007524B6" w:rsidRPr="00AD49A9">
        <w:rPr>
          <w:rFonts w:asciiTheme="minorHAnsi" w:eastAsiaTheme="minorHAnsi" w:hAnsiTheme="minorHAnsi" w:cstheme="minorBidi"/>
          <w:lang w:val="en-US"/>
        </w:rPr>
        <w:t xml:space="preserve">norms may be a viable method to change attitudes </w:t>
      </w:r>
      <w:r w:rsidR="007524B6">
        <w:rPr>
          <w:rFonts w:asciiTheme="minorHAnsi" w:eastAsiaTheme="minorHAnsi" w:hAnsiTheme="minorHAnsi" w:cstheme="minorBidi"/>
          <w:lang w:val="en-US"/>
        </w:rPr>
        <w:t>and tobacco</w:t>
      </w:r>
      <w:r w:rsidR="007524B6" w:rsidRPr="00AD49A9">
        <w:rPr>
          <w:rFonts w:asciiTheme="minorHAnsi" w:eastAsiaTheme="minorHAnsi" w:hAnsiTheme="minorHAnsi" w:cstheme="minorBidi"/>
          <w:lang w:val="en-US"/>
        </w:rPr>
        <w:t xml:space="preserve"> </w:t>
      </w:r>
      <w:r w:rsidR="007524B6">
        <w:rPr>
          <w:rFonts w:asciiTheme="minorHAnsi" w:eastAsiaTheme="minorHAnsi" w:hAnsiTheme="minorHAnsi" w:cstheme="minorBidi"/>
          <w:lang w:val="en-US"/>
        </w:rPr>
        <w:t xml:space="preserve">use </w:t>
      </w:r>
      <w:r w:rsidR="00DA2FF1">
        <w:rPr>
          <w:rFonts w:asciiTheme="minorHAnsi" w:eastAsiaTheme="minorHAnsi" w:hAnsiTheme="minorHAnsi" w:cstheme="minorBidi"/>
          <w:lang w:val="en-US"/>
        </w:rPr>
        <w:t>among European students</w:t>
      </w:r>
      <w:r w:rsidR="00A547BF">
        <w:rPr>
          <w:rFonts w:asciiTheme="minorHAnsi" w:eastAsiaTheme="minorHAnsi" w:hAnsiTheme="minorHAnsi" w:cstheme="minorBidi"/>
          <w:lang w:val="en-US"/>
        </w:rPr>
        <w:t xml:space="preserve">, and may be a </w:t>
      </w:r>
      <w:r w:rsidR="00767BD7">
        <w:rPr>
          <w:rFonts w:asciiTheme="minorHAnsi" w:eastAsiaTheme="minorHAnsi" w:hAnsiTheme="minorHAnsi" w:cstheme="minorBidi"/>
          <w:lang w:val="en-US"/>
        </w:rPr>
        <w:t xml:space="preserve">component of </w:t>
      </w:r>
      <w:r w:rsidR="00A547BF">
        <w:rPr>
          <w:rFonts w:asciiTheme="minorHAnsi" w:eastAsiaTheme="minorHAnsi" w:hAnsiTheme="minorHAnsi" w:cstheme="minorBidi"/>
          <w:lang w:val="en-US"/>
        </w:rPr>
        <w:t>future tobacco control policy</w:t>
      </w:r>
      <w:r w:rsidR="00DA2FF1">
        <w:rPr>
          <w:rFonts w:asciiTheme="minorHAnsi" w:eastAsiaTheme="minorHAnsi" w:hAnsiTheme="minorHAnsi" w:cstheme="minorBidi"/>
          <w:lang w:val="en-US"/>
        </w:rPr>
        <w:t>.</w:t>
      </w:r>
    </w:p>
    <w:p w14:paraId="1920E192" w14:textId="2BF53F6B" w:rsidR="008F3134" w:rsidRDefault="00930922" w:rsidP="001A625B">
      <w:pPr>
        <w:rPr>
          <w:iCs/>
          <w:lang w:val="en-US"/>
        </w:rPr>
      </w:pPr>
      <w:r>
        <w:rPr>
          <w:iCs/>
          <w:lang w:val="en-US"/>
        </w:rPr>
        <w:t xml:space="preserve">Word count: </w:t>
      </w:r>
      <w:r w:rsidR="00D17633">
        <w:rPr>
          <w:iCs/>
          <w:lang w:val="en-US"/>
        </w:rPr>
        <w:t>250</w:t>
      </w:r>
    </w:p>
    <w:p w14:paraId="5FF9AEC1" w14:textId="08271ED8" w:rsidR="0067126F" w:rsidRDefault="00E645BC" w:rsidP="001A625B">
      <w:pPr>
        <w:rPr>
          <w:iCs/>
          <w:lang w:val="en-US"/>
        </w:rPr>
      </w:pPr>
      <w:r>
        <w:rPr>
          <w:b/>
          <w:iCs/>
          <w:lang w:val="en-US"/>
        </w:rPr>
        <w:t>Keyw</w:t>
      </w:r>
      <w:r w:rsidR="003340B6" w:rsidRPr="003340B6">
        <w:rPr>
          <w:b/>
          <w:iCs/>
          <w:lang w:val="en-US"/>
        </w:rPr>
        <w:t>ords:</w:t>
      </w:r>
      <w:r w:rsidR="003340B6" w:rsidRPr="003340B6">
        <w:rPr>
          <w:iCs/>
          <w:lang w:val="en-US"/>
        </w:rPr>
        <w:t xml:space="preserve"> Tobacco use, social norms, perceptions, attitudes, peers</w:t>
      </w:r>
    </w:p>
    <w:p w14:paraId="796FA002" w14:textId="77777777" w:rsidR="00F00D2C" w:rsidRDefault="00F00D2C" w:rsidP="001A625B">
      <w:pPr>
        <w:rPr>
          <w:iCs/>
          <w:lang w:val="en-US"/>
        </w:rPr>
      </w:pPr>
    </w:p>
    <w:p w14:paraId="49336237" w14:textId="23879CE5" w:rsidR="001A625B" w:rsidRPr="001F223D" w:rsidRDefault="009F3136" w:rsidP="001F223D">
      <w:pPr>
        <w:pStyle w:val="ListParagraph"/>
        <w:numPr>
          <w:ilvl w:val="1"/>
          <w:numId w:val="8"/>
        </w:numPr>
        <w:rPr>
          <w:b/>
          <w:lang w:val="en-GB"/>
        </w:rPr>
      </w:pPr>
      <w:r w:rsidRPr="001F223D">
        <w:rPr>
          <w:b/>
          <w:lang w:val="en-GB"/>
        </w:rPr>
        <w:t>INTRODUCTION</w:t>
      </w:r>
    </w:p>
    <w:p w14:paraId="534BA6CE" w14:textId="75C93B8D" w:rsidR="00853068" w:rsidRDefault="00BD3855" w:rsidP="001F223D">
      <w:pPr>
        <w:ind w:firstLine="708"/>
        <w:rPr>
          <w:iCs/>
          <w:lang w:val="en-GB"/>
        </w:rPr>
      </w:pPr>
      <w:r>
        <w:rPr>
          <w:iCs/>
          <w:lang w:val="en-GB"/>
        </w:rPr>
        <w:t xml:space="preserve">Despite the large reduction in </w:t>
      </w:r>
      <w:r w:rsidR="000E72E4">
        <w:rPr>
          <w:iCs/>
          <w:lang w:val="en-GB"/>
        </w:rPr>
        <w:t xml:space="preserve">global </w:t>
      </w:r>
      <w:r>
        <w:rPr>
          <w:iCs/>
          <w:lang w:val="en-GB"/>
        </w:rPr>
        <w:t xml:space="preserve">smoking </w:t>
      </w:r>
      <w:r w:rsidR="00052243">
        <w:rPr>
          <w:iCs/>
          <w:lang w:val="en-GB"/>
        </w:rPr>
        <w:t>prevalence</w:t>
      </w:r>
      <w:r w:rsidR="004413B6">
        <w:rPr>
          <w:iCs/>
          <w:lang w:val="en-GB"/>
        </w:rPr>
        <w:t xml:space="preserve"> rates</w:t>
      </w:r>
      <w:r>
        <w:rPr>
          <w:iCs/>
          <w:lang w:val="en-GB"/>
        </w:rPr>
        <w:t xml:space="preserve"> </w:t>
      </w:r>
      <w:r w:rsidR="00CA60E1">
        <w:rPr>
          <w:iCs/>
          <w:lang w:val="en-GB"/>
        </w:rPr>
        <w:t xml:space="preserve">for both men and women </w:t>
      </w:r>
      <w:r>
        <w:rPr>
          <w:iCs/>
          <w:lang w:val="en-GB"/>
        </w:rPr>
        <w:t>in the past t</w:t>
      </w:r>
      <w:r w:rsidR="000E72E4">
        <w:rPr>
          <w:iCs/>
          <w:lang w:val="en-GB"/>
        </w:rPr>
        <w:t>hree</w:t>
      </w:r>
      <w:r>
        <w:rPr>
          <w:iCs/>
          <w:lang w:val="en-GB"/>
        </w:rPr>
        <w:t xml:space="preserve"> decades, </w:t>
      </w:r>
      <w:r w:rsidR="00052243">
        <w:rPr>
          <w:iCs/>
          <w:lang w:val="en-GB"/>
        </w:rPr>
        <w:t>the number of daily smokers is still on the rise worldwide</w:t>
      </w:r>
      <w:r w:rsidR="00A05004">
        <w:rPr>
          <w:iCs/>
          <w:lang w:val="en-GB"/>
        </w:rPr>
        <w:t xml:space="preserve"> </w:t>
      </w:r>
      <w:r w:rsidR="00A05004" w:rsidRPr="00A05004">
        <w:rPr>
          <w:iCs/>
          <w:lang w:val="en-GB"/>
        </w:rPr>
        <w:t>(</w:t>
      </w:r>
      <w:proofErr w:type="spellStart"/>
      <w:r w:rsidR="00A05004" w:rsidRPr="00A05004">
        <w:rPr>
          <w:iCs/>
          <w:lang w:val="en-GB"/>
        </w:rPr>
        <w:t>Wipfli</w:t>
      </w:r>
      <w:proofErr w:type="spellEnd"/>
      <w:r w:rsidR="00A05004" w:rsidRPr="00A05004">
        <w:rPr>
          <w:iCs/>
          <w:lang w:val="en-GB"/>
        </w:rPr>
        <w:t xml:space="preserve"> &amp; </w:t>
      </w:r>
      <w:proofErr w:type="spellStart"/>
      <w:r w:rsidR="00A05004" w:rsidRPr="00A05004">
        <w:rPr>
          <w:iCs/>
          <w:lang w:val="en-GB"/>
        </w:rPr>
        <w:t>Samet</w:t>
      </w:r>
      <w:proofErr w:type="spellEnd"/>
      <w:r w:rsidR="00A05004" w:rsidRPr="00A05004">
        <w:rPr>
          <w:iCs/>
          <w:lang w:val="en-GB"/>
        </w:rPr>
        <w:t>, 2009)</w:t>
      </w:r>
      <w:r w:rsidR="00052243">
        <w:rPr>
          <w:iCs/>
          <w:lang w:val="en-GB"/>
        </w:rPr>
        <w:t xml:space="preserve">. </w:t>
      </w:r>
      <w:r w:rsidR="00F57C99">
        <w:rPr>
          <w:iCs/>
          <w:lang w:val="en-GB"/>
        </w:rPr>
        <w:t>Currently</w:t>
      </w:r>
      <w:r w:rsidR="00325BD4" w:rsidRPr="00325BD4">
        <w:rPr>
          <w:iCs/>
          <w:lang w:val="en-GB"/>
        </w:rPr>
        <w:t>, 1.3 billion people are estimated to smoke</w:t>
      </w:r>
      <w:r w:rsidR="0084518C">
        <w:rPr>
          <w:iCs/>
          <w:lang w:val="en-GB"/>
        </w:rPr>
        <w:t xml:space="preserve"> </w:t>
      </w:r>
      <w:r w:rsidR="00485AA2">
        <w:rPr>
          <w:iCs/>
          <w:lang w:val="en-GB"/>
        </w:rPr>
        <w:t>(</w:t>
      </w:r>
      <w:proofErr w:type="spellStart"/>
      <w:r w:rsidR="00485AA2">
        <w:rPr>
          <w:iCs/>
          <w:lang w:val="en-GB"/>
        </w:rPr>
        <w:t>Wipfli</w:t>
      </w:r>
      <w:proofErr w:type="spellEnd"/>
      <w:r w:rsidR="00485AA2">
        <w:rPr>
          <w:iCs/>
          <w:lang w:val="en-GB"/>
        </w:rPr>
        <w:t xml:space="preserve"> &amp; </w:t>
      </w:r>
      <w:proofErr w:type="spellStart"/>
      <w:r w:rsidR="00485AA2">
        <w:rPr>
          <w:iCs/>
          <w:lang w:val="en-GB"/>
        </w:rPr>
        <w:t>Samet</w:t>
      </w:r>
      <w:proofErr w:type="spellEnd"/>
      <w:r w:rsidR="00485AA2">
        <w:rPr>
          <w:iCs/>
          <w:lang w:val="en-GB"/>
        </w:rPr>
        <w:t>, 2009)</w:t>
      </w:r>
      <w:r w:rsidR="00325BD4">
        <w:rPr>
          <w:iCs/>
          <w:lang w:val="en-GB"/>
        </w:rPr>
        <w:t>.</w:t>
      </w:r>
      <w:r w:rsidR="00325BD4" w:rsidRPr="00325BD4">
        <w:rPr>
          <w:iCs/>
          <w:lang w:val="en-GB"/>
        </w:rPr>
        <w:t xml:space="preserve"> </w:t>
      </w:r>
      <w:r w:rsidR="00F80915" w:rsidRPr="00F80915">
        <w:rPr>
          <w:iCs/>
          <w:lang w:val="en-GB"/>
        </w:rPr>
        <w:t xml:space="preserve">Smoking </w:t>
      </w:r>
      <w:r w:rsidR="00AF419A">
        <w:rPr>
          <w:iCs/>
          <w:lang w:val="en-GB"/>
        </w:rPr>
        <w:t>and</w:t>
      </w:r>
      <w:r w:rsidR="00F80915" w:rsidRPr="00F80915">
        <w:rPr>
          <w:iCs/>
          <w:lang w:val="en-GB"/>
        </w:rPr>
        <w:t xml:space="preserve"> second-hand tobacco smoke exposure is associated with adverse health outcomes, such as cancer</w:t>
      </w:r>
      <w:r w:rsidR="00C47D34">
        <w:rPr>
          <w:iCs/>
          <w:lang w:val="en-GB"/>
        </w:rPr>
        <w:t>,</w:t>
      </w:r>
      <w:r w:rsidR="00F80915" w:rsidRPr="00F80915">
        <w:rPr>
          <w:iCs/>
          <w:lang w:val="en-GB"/>
        </w:rPr>
        <w:t xml:space="preserve"> respiratory or cardiovascular diseases </w:t>
      </w:r>
      <w:r w:rsidR="00485AA2">
        <w:rPr>
          <w:iCs/>
          <w:lang w:val="en-GB"/>
        </w:rPr>
        <w:t>(</w:t>
      </w:r>
      <w:proofErr w:type="spellStart"/>
      <w:r w:rsidR="00485AA2">
        <w:rPr>
          <w:iCs/>
          <w:lang w:val="en-GB"/>
        </w:rPr>
        <w:t>Eriksen</w:t>
      </w:r>
      <w:proofErr w:type="spellEnd"/>
      <w:r w:rsidR="00485AA2">
        <w:rPr>
          <w:iCs/>
          <w:lang w:val="en-GB"/>
        </w:rPr>
        <w:t>, Mackay, &amp; Ross, 2012)</w:t>
      </w:r>
      <w:r w:rsidR="00AF419A">
        <w:rPr>
          <w:iCs/>
          <w:lang w:val="en-GB"/>
        </w:rPr>
        <w:t>. S</w:t>
      </w:r>
      <w:r w:rsidR="008C2362">
        <w:rPr>
          <w:iCs/>
          <w:lang w:val="en-GB"/>
        </w:rPr>
        <w:t xml:space="preserve">ix million deaths </w:t>
      </w:r>
      <w:r w:rsidR="00174B9B">
        <w:rPr>
          <w:iCs/>
          <w:lang w:val="en-GB"/>
        </w:rPr>
        <w:t xml:space="preserve">worldwide </w:t>
      </w:r>
      <w:r w:rsidR="008C2362">
        <w:rPr>
          <w:iCs/>
          <w:lang w:val="en-GB"/>
        </w:rPr>
        <w:t xml:space="preserve">are attributable to tobacco use every year </w:t>
      </w:r>
      <w:r w:rsidR="00485AA2">
        <w:rPr>
          <w:iCs/>
          <w:lang w:val="en-GB"/>
        </w:rPr>
        <w:t>(World Health Organization, 2014)</w:t>
      </w:r>
      <w:r w:rsidR="008C2362">
        <w:rPr>
          <w:iCs/>
          <w:lang w:val="en-GB"/>
        </w:rPr>
        <w:t xml:space="preserve">. </w:t>
      </w:r>
      <w:r w:rsidR="006A3FFA" w:rsidRPr="006A3FFA">
        <w:rPr>
          <w:iCs/>
          <w:lang w:val="en-GB"/>
        </w:rPr>
        <w:t>Low and middle-income countries are disproportionally affected as 80% of all tobacco user</w:t>
      </w:r>
      <w:r w:rsidR="007358FA">
        <w:rPr>
          <w:iCs/>
          <w:lang w:val="en-GB"/>
        </w:rPr>
        <w:t xml:space="preserve">s </w:t>
      </w:r>
      <w:r w:rsidR="00174B9B">
        <w:rPr>
          <w:iCs/>
          <w:lang w:val="en-GB"/>
        </w:rPr>
        <w:t>live</w:t>
      </w:r>
      <w:r w:rsidR="007358FA">
        <w:rPr>
          <w:iCs/>
          <w:lang w:val="en-GB"/>
        </w:rPr>
        <w:t xml:space="preserve"> </w:t>
      </w:r>
      <w:r w:rsidR="006A3FFA" w:rsidRPr="006A3FFA">
        <w:rPr>
          <w:iCs/>
          <w:lang w:val="en-GB"/>
        </w:rPr>
        <w:t xml:space="preserve">and two thirds of all tobacco-related deaths </w:t>
      </w:r>
      <w:r w:rsidR="00174B9B">
        <w:rPr>
          <w:iCs/>
          <w:lang w:val="en-GB"/>
        </w:rPr>
        <w:t>occur</w:t>
      </w:r>
      <w:r w:rsidR="006A3FFA" w:rsidRPr="006A3FFA">
        <w:rPr>
          <w:iCs/>
          <w:lang w:val="en-GB"/>
        </w:rPr>
        <w:t xml:space="preserve"> in these countries</w:t>
      </w:r>
      <w:r w:rsidR="00D53AD0">
        <w:rPr>
          <w:iCs/>
          <w:lang w:val="en-GB"/>
        </w:rPr>
        <w:t xml:space="preserve"> </w:t>
      </w:r>
      <w:r w:rsidR="00485AA2">
        <w:rPr>
          <w:iCs/>
          <w:lang w:val="en-GB"/>
        </w:rPr>
        <w:t>(World Health Organization, 2014)</w:t>
      </w:r>
      <w:r w:rsidR="006A3FFA" w:rsidRPr="006A3FFA">
        <w:rPr>
          <w:iCs/>
          <w:lang w:val="en-GB"/>
        </w:rPr>
        <w:t>.</w:t>
      </w:r>
      <w:r w:rsidR="006A3FFA">
        <w:rPr>
          <w:iCs/>
          <w:lang w:val="en-GB"/>
        </w:rPr>
        <w:t xml:space="preserve"> </w:t>
      </w:r>
      <w:r w:rsidR="00A808C5">
        <w:rPr>
          <w:iCs/>
          <w:lang w:val="en-GB"/>
        </w:rPr>
        <w:t>Even</w:t>
      </w:r>
      <w:r w:rsidR="00A52212">
        <w:rPr>
          <w:iCs/>
          <w:lang w:val="en-GB"/>
        </w:rPr>
        <w:t xml:space="preserve"> </w:t>
      </w:r>
      <w:r w:rsidR="00973294">
        <w:rPr>
          <w:iCs/>
          <w:lang w:val="en-GB"/>
        </w:rPr>
        <w:t>in high-income countries</w:t>
      </w:r>
      <w:r w:rsidR="00BF523A">
        <w:rPr>
          <w:iCs/>
          <w:lang w:val="en-GB"/>
        </w:rPr>
        <w:t>,</w:t>
      </w:r>
      <w:r w:rsidR="005F2A0D">
        <w:rPr>
          <w:iCs/>
          <w:lang w:val="en-GB"/>
        </w:rPr>
        <w:t xml:space="preserve"> </w:t>
      </w:r>
      <w:r w:rsidR="00357017">
        <w:rPr>
          <w:iCs/>
          <w:lang w:val="en-GB"/>
        </w:rPr>
        <w:t>where</w:t>
      </w:r>
      <w:r w:rsidR="00A52212">
        <w:rPr>
          <w:iCs/>
          <w:lang w:val="en-GB"/>
        </w:rPr>
        <w:t xml:space="preserve"> </w:t>
      </w:r>
      <w:r w:rsidR="00AF419A">
        <w:rPr>
          <w:iCs/>
          <w:lang w:val="en-GB"/>
        </w:rPr>
        <w:t xml:space="preserve">substantial </w:t>
      </w:r>
      <w:r w:rsidR="00A52212">
        <w:rPr>
          <w:iCs/>
          <w:lang w:val="en-GB"/>
        </w:rPr>
        <w:t xml:space="preserve">financial resources </w:t>
      </w:r>
      <w:r w:rsidR="00357017">
        <w:rPr>
          <w:iCs/>
          <w:lang w:val="en-GB"/>
        </w:rPr>
        <w:t xml:space="preserve">are allocated </w:t>
      </w:r>
      <w:r w:rsidR="000F64EA">
        <w:rPr>
          <w:iCs/>
          <w:lang w:val="en-GB"/>
        </w:rPr>
        <w:t xml:space="preserve">by governments </w:t>
      </w:r>
      <w:r w:rsidR="00357017">
        <w:rPr>
          <w:iCs/>
          <w:lang w:val="en-GB"/>
        </w:rPr>
        <w:t xml:space="preserve">towards </w:t>
      </w:r>
      <w:r w:rsidR="000F4C76">
        <w:rPr>
          <w:iCs/>
          <w:lang w:val="en-GB"/>
        </w:rPr>
        <w:t xml:space="preserve">the </w:t>
      </w:r>
      <w:r w:rsidR="00357017">
        <w:rPr>
          <w:iCs/>
          <w:lang w:val="en-GB"/>
        </w:rPr>
        <w:t>implement</w:t>
      </w:r>
      <w:r w:rsidR="000F4C76">
        <w:rPr>
          <w:iCs/>
          <w:lang w:val="en-GB"/>
        </w:rPr>
        <w:t>ation of</w:t>
      </w:r>
      <w:r w:rsidR="00357017">
        <w:rPr>
          <w:iCs/>
          <w:lang w:val="en-GB"/>
        </w:rPr>
        <w:t xml:space="preserve"> population-based tobacco-control strategies</w:t>
      </w:r>
      <w:r w:rsidR="000F64EA">
        <w:rPr>
          <w:iCs/>
          <w:lang w:val="en-GB"/>
        </w:rPr>
        <w:t xml:space="preserve"> </w:t>
      </w:r>
      <w:r w:rsidR="00485AA2">
        <w:rPr>
          <w:iCs/>
          <w:lang w:val="en-GB"/>
        </w:rPr>
        <w:t>(</w:t>
      </w:r>
      <w:proofErr w:type="spellStart"/>
      <w:r w:rsidR="00485AA2">
        <w:rPr>
          <w:iCs/>
          <w:lang w:val="en-GB"/>
        </w:rPr>
        <w:t>Gallet</w:t>
      </w:r>
      <w:proofErr w:type="spellEnd"/>
      <w:r w:rsidR="00485AA2">
        <w:rPr>
          <w:iCs/>
          <w:lang w:val="en-GB"/>
        </w:rPr>
        <w:t xml:space="preserve"> &amp; Catlin, 2009)</w:t>
      </w:r>
      <w:r w:rsidR="00AF419A">
        <w:rPr>
          <w:iCs/>
          <w:lang w:val="en-GB"/>
        </w:rPr>
        <w:t>,</w:t>
      </w:r>
      <w:r w:rsidR="00357017">
        <w:rPr>
          <w:iCs/>
          <w:lang w:val="en-GB"/>
        </w:rPr>
        <w:t xml:space="preserve"> rates of </w:t>
      </w:r>
      <w:r w:rsidR="00A52212" w:rsidRPr="00A52212">
        <w:rPr>
          <w:iCs/>
          <w:lang w:val="en-GB"/>
        </w:rPr>
        <w:t xml:space="preserve">smoking </w:t>
      </w:r>
      <w:r w:rsidR="00A52212">
        <w:rPr>
          <w:iCs/>
          <w:lang w:val="en-GB"/>
        </w:rPr>
        <w:t>remain</w:t>
      </w:r>
      <w:r w:rsidR="00A52212" w:rsidRPr="00A52212">
        <w:rPr>
          <w:iCs/>
          <w:lang w:val="en-GB"/>
        </w:rPr>
        <w:t xml:space="preserve"> </w:t>
      </w:r>
      <w:r w:rsidR="00357017">
        <w:rPr>
          <w:iCs/>
          <w:lang w:val="en-GB"/>
        </w:rPr>
        <w:t xml:space="preserve">relatively </w:t>
      </w:r>
      <w:r w:rsidR="00A52212" w:rsidRPr="00A52212">
        <w:rPr>
          <w:iCs/>
          <w:lang w:val="en-GB"/>
        </w:rPr>
        <w:t>high</w:t>
      </w:r>
      <w:r w:rsidR="008E45CF">
        <w:rPr>
          <w:iCs/>
          <w:lang w:val="en-GB"/>
        </w:rPr>
        <w:t xml:space="preserve"> </w:t>
      </w:r>
      <w:r w:rsidR="00A568C8">
        <w:rPr>
          <w:iCs/>
          <w:lang w:val="en-US"/>
        </w:rPr>
        <w:t>(</w:t>
      </w:r>
      <w:bookmarkStart w:id="0" w:name="_GoBack"/>
      <w:bookmarkEnd w:id="0"/>
      <w:r w:rsidR="000E3A06" w:rsidRPr="000E3A06">
        <w:t>Lortet-Tieulent et al., 2013</w:t>
      </w:r>
      <w:r w:rsidR="00526B45" w:rsidRPr="001F223D">
        <w:rPr>
          <w:lang w:val="en-US"/>
        </w:rPr>
        <w:t>; Gallus et al.,</w:t>
      </w:r>
      <w:r w:rsidR="00526B45">
        <w:rPr>
          <w:lang w:val="en-US"/>
        </w:rPr>
        <w:t xml:space="preserve"> 2014)</w:t>
      </w:r>
      <w:r w:rsidR="00A52212" w:rsidRPr="00A52212">
        <w:rPr>
          <w:iCs/>
          <w:lang w:val="en-GB"/>
        </w:rPr>
        <w:t>.</w:t>
      </w:r>
      <w:r w:rsidR="00A808C5">
        <w:rPr>
          <w:iCs/>
          <w:lang w:val="en-GB"/>
        </w:rPr>
        <w:t xml:space="preserve"> Th</w:t>
      </w:r>
      <w:r w:rsidR="005F2A0D">
        <w:rPr>
          <w:iCs/>
          <w:lang w:val="en-GB"/>
        </w:rPr>
        <w:t>is is true for European countrie</w:t>
      </w:r>
      <w:r w:rsidR="00A808C5">
        <w:rPr>
          <w:iCs/>
          <w:lang w:val="en-GB"/>
        </w:rPr>
        <w:t>s and tends to be</w:t>
      </w:r>
      <w:r w:rsidR="00F74D3B">
        <w:rPr>
          <w:iCs/>
          <w:lang w:val="en-GB"/>
        </w:rPr>
        <w:t xml:space="preserve"> particularly true </w:t>
      </w:r>
      <w:r w:rsidR="00357017">
        <w:rPr>
          <w:iCs/>
          <w:lang w:val="en-GB"/>
        </w:rPr>
        <w:t>for</w:t>
      </w:r>
      <w:r w:rsidR="00C1134B" w:rsidRPr="00C1134B">
        <w:rPr>
          <w:iCs/>
          <w:lang w:val="en-GB"/>
        </w:rPr>
        <w:t xml:space="preserve"> younger populations</w:t>
      </w:r>
      <w:r w:rsidR="0043435B">
        <w:rPr>
          <w:iCs/>
          <w:lang w:val="en-GB"/>
        </w:rPr>
        <w:t xml:space="preserve"> </w:t>
      </w:r>
      <w:r w:rsidR="00526B45">
        <w:rPr>
          <w:iCs/>
          <w:lang w:val="en-GB"/>
        </w:rPr>
        <w:t>(</w:t>
      </w:r>
      <w:proofErr w:type="spellStart"/>
      <w:r w:rsidR="00526B45">
        <w:rPr>
          <w:iCs/>
          <w:lang w:val="en-GB"/>
        </w:rPr>
        <w:t>Huisman</w:t>
      </w:r>
      <w:proofErr w:type="spellEnd"/>
      <w:r w:rsidR="00526B45">
        <w:rPr>
          <w:iCs/>
          <w:lang w:val="en-GB"/>
        </w:rPr>
        <w:t xml:space="preserve">, </w:t>
      </w:r>
      <w:proofErr w:type="spellStart"/>
      <w:r w:rsidR="00526B45">
        <w:rPr>
          <w:iCs/>
          <w:lang w:val="en-GB"/>
        </w:rPr>
        <w:t>Kunst</w:t>
      </w:r>
      <w:proofErr w:type="spellEnd"/>
      <w:r w:rsidR="00526B45">
        <w:rPr>
          <w:iCs/>
          <w:lang w:val="en-GB"/>
        </w:rPr>
        <w:t xml:space="preserve">, &amp; </w:t>
      </w:r>
      <w:proofErr w:type="spellStart"/>
      <w:r w:rsidR="00526B45">
        <w:rPr>
          <w:iCs/>
          <w:lang w:val="en-GB"/>
        </w:rPr>
        <w:t>Mackenbach</w:t>
      </w:r>
      <w:proofErr w:type="spellEnd"/>
      <w:r w:rsidR="00A568C8">
        <w:rPr>
          <w:iCs/>
          <w:lang w:val="en-GB"/>
        </w:rPr>
        <w:t>, 2005</w:t>
      </w:r>
      <w:r w:rsidR="00526B45">
        <w:rPr>
          <w:iCs/>
          <w:lang w:val="en-GB"/>
        </w:rPr>
        <w:t>)</w:t>
      </w:r>
      <w:r w:rsidR="00357017">
        <w:rPr>
          <w:iCs/>
          <w:lang w:val="en-GB"/>
        </w:rPr>
        <w:t>.</w:t>
      </w:r>
      <w:r w:rsidR="00C1134B" w:rsidRPr="00C1134B">
        <w:rPr>
          <w:iCs/>
          <w:lang w:val="en-GB"/>
        </w:rPr>
        <w:t xml:space="preserve"> </w:t>
      </w:r>
      <w:r w:rsidR="00295AAC">
        <w:rPr>
          <w:iCs/>
          <w:lang w:val="en-GB"/>
        </w:rPr>
        <w:t xml:space="preserve">Approximately </w:t>
      </w:r>
      <w:r w:rsidR="00A808C5">
        <w:rPr>
          <w:iCs/>
          <w:lang w:val="en-GB"/>
        </w:rPr>
        <w:t>one in three</w:t>
      </w:r>
      <w:r w:rsidR="00295AAC">
        <w:rPr>
          <w:iCs/>
          <w:lang w:val="en-GB"/>
        </w:rPr>
        <w:t xml:space="preserve"> male</w:t>
      </w:r>
      <w:r w:rsidR="00A808C5">
        <w:rPr>
          <w:iCs/>
          <w:lang w:val="en-GB"/>
        </w:rPr>
        <w:t>s</w:t>
      </w:r>
      <w:r w:rsidR="00295AAC">
        <w:rPr>
          <w:iCs/>
          <w:lang w:val="en-GB"/>
        </w:rPr>
        <w:t xml:space="preserve"> and </w:t>
      </w:r>
      <w:r w:rsidR="00A808C5">
        <w:rPr>
          <w:iCs/>
          <w:lang w:val="en-GB"/>
        </w:rPr>
        <w:t>one in four</w:t>
      </w:r>
      <w:r w:rsidR="00295AAC">
        <w:rPr>
          <w:iCs/>
          <w:lang w:val="en-GB"/>
        </w:rPr>
        <w:t xml:space="preserve"> female</w:t>
      </w:r>
      <w:r w:rsidR="00A808C5">
        <w:rPr>
          <w:iCs/>
          <w:lang w:val="en-GB"/>
        </w:rPr>
        <w:t>s in</w:t>
      </w:r>
      <w:r w:rsidR="00295AAC">
        <w:rPr>
          <w:iCs/>
          <w:lang w:val="en-GB"/>
        </w:rPr>
        <w:t xml:space="preserve"> Europe under </w:t>
      </w:r>
      <w:r w:rsidR="00C63BAE">
        <w:rPr>
          <w:iCs/>
          <w:lang w:val="en-GB"/>
        </w:rPr>
        <w:t xml:space="preserve">the age of </w:t>
      </w:r>
      <w:r w:rsidR="00295AAC">
        <w:rPr>
          <w:iCs/>
          <w:lang w:val="en-GB"/>
        </w:rPr>
        <w:t>25 years is a smoker</w:t>
      </w:r>
      <w:r w:rsidR="00D402F4">
        <w:rPr>
          <w:iCs/>
          <w:lang w:val="en-GB"/>
        </w:rPr>
        <w:t xml:space="preserve"> </w:t>
      </w:r>
      <w:r w:rsidR="00526B45">
        <w:rPr>
          <w:iCs/>
          <w:lang w:val="en-GB"/>
        </w:rPr>
        <w:t>(</w:t>
      </w:r>
      <w:proofErr w:type="spellStart"/>
      <w:r w:rsidR="00526B45">
        <w:rPr>
          <w:iCs/>
          <w:lang w:val="en-GB"/>
        </w:rPr>
        <w:t>Huisman</w:t>
      </w:r>
      <w:proofErr w:type="spellEnd"/>
      <w:r w:rsidR="00526B45">
        <w:rPr>
          <w:iCs/>
          <w:lang w:val="en-GB"/>
        </w:rPr>
        <w:t xml:space="preserve">, </w:t>
      </w:r>
      <w:proofErr w:type="spellStart"/>
      <w:r w:rsidR="00526B45">
        <w:rPr>
          <w:iCs/>
          <w:lang w:val="en-GB"/>
        </w:rPr>
        <w:t>Kunst</w:t>
      </w:r>
      <w:proofErr w:type="spellEnd"/>
      <w:r w:rsidR="00526B45">
        <w:rPr>
          <w:iCs/>
          <w:lang w:val="en-GB"/>
        </w:rPr>
        <w:t xml:space="preserve">, &amp; </w:t>
      </w:r>
      <w:proofErr w:type="spellStart"/>
      <w:r w:rsidR="00526B45">
        <w:rPr>
          <w:iCs/>
          <w:lang w:val="en-GB"/>
        </w:rPr>
        <w:t>Mackenbach</w:t>
      </w:r>
      <w:proofErr w:type="spellEnd"/>
      <w:r w:rsidR="00A568C8">
        <w:rPr>
          <w:iCs/>
          <w:lang w:val="en-GB"/>
        </w:rPr>
        <w:t>, 2005</w:t>
      </w:r>
      <w:r w:rsidR="00526B45">
        <w:rPr>
          <w:iCs/>
          <w:lang w:val="en-GB"/>
        </w:rPr>
        <w:t>)</w:t>
      </w:r>
      <w:r w:rsidR="00865EDD">
        <w:rPr>
          <w:iCs/>
          <w:lang w:val="en-GB"/>
        </w:rPr>
        <w:t>.</w:t>
      </w:r>
      <w:r w:rsidR="00D20752">
        <w:rPr>
          <w:iCs/>
          <w:lang w:val="en-GB"/>
        </w:rPr>
        <w:t xml:space="preserve"> </w:t>
      </w:r>
    </w:p>
    <w:p w14:paraId="184B09F9" w14:textId="0C5478AE" w:rsidR="001541E5" w:rsidRDefault="0064703C" w:rsidP="001F223D">
      <w:pPr>
        <w:ind w:firstLine="708"/>
        <w:rPr>
          <w:iCs/>
          <w:lang w:val="en-GB"/>
        </w:rPr>
      </w:pPr>
      <w:r>
        <w:rPr>
          <w:iCs/>
          <w:lang w:val="en-GB"/>
        </w:rPr>
        <w:t>T</w:t>
      </w:r>
      <w:r w:rsidR="00A808C5">
        <w:rPr>
          <w:iCs/>
          <w:lang w:val="en-GB"/>
        </w:rPr>
        <w:t>he lack of harmonization of</w:t>
      </w:r>
      <w:r w:rsidR="009C45AA">
        <w:rPr>
          <w:iCs/>
          <w:lang w:val="en-GB"/>
        </w:rPr>
        <w:t xml:space="preserve"> implementation of tobacco-control </w:t>
      </w:r>
      <w:r w:rsidR="00FB1F3C">
        <w:rPr>
          <w:iCs/>
          <w:lang w:val="en-GB"/>
        </w:rPr>
        <w:t xml:space="preserve">strategies across Europe </w:t>
      </w:r>
      <w:r w:rsidR="00A808C5">
        <w:rPr>
          <w:iCs/>
          <w:lang w:val="en-GB"/>
        </w:rPr>
        <w:t>could explain the relatively high tobacco use in the region</w:t>
      </w:r>
      <w:r w:rsidR="007E1693">
        <w:rPr>
          <w:iCs/>
          <w:lang w:val="en-GB"/>
        </w:rPr>
        <w:t xml:space="preserve">. </w:t>
      </w:r>
      <w:r w:rsidR="00A808C5">
        <w:rPr>
          <w:iCs/>
          <w:lang w:val="en-GB"/>
        </w:rPr>
        <w:t>T</w:t>
      </w:r>
      <w:r w:rsidR="00CF1248">
        <w:rPr>
          <w:iCs/>
          <w:lang w:val="en-GB"/>
        </w:rPr>
        <w:t xml:space="preserve">here are </w:t>
      </w:r>
      <w:r w:rsidR="004D6976">
        <w:rPr>
          <w:iCs/>
          <w:lang w:val="en-GB"/>
        </w:rPr>
        <w:t>considerable</w:t>
      </w:r>
      <w:r w:rsidR="00CF1248">
        <w:rPr>
          <w:iCs/>
          <w:lang w:val="en-GB"/>
        </w:rPr>
        <w:t xml:space="preserve"> variations in </w:t>
      </w:r>
      <w:r w:rsidR="00FF14B2">
        <w:rPr>
          <w:iCs/>
          <w:lang w:val="en-GB"/>
        </w:rPr>
        <w:t xml:space="preserve">the </w:t>
      </w:r>
      <w:r w:rsidR="007E1693">
        <w:rPr>
          <w:iCs/>
          <w:lang w:val="en-GB"/>
        </w:rPr>
        <w:t>strategies</w:t>
      </w:r>
      <w:r w:rsidR="00B172AC">
        <w:rPr>
          <w:iCs/>
          <w:lang w:val="en-GB"/>
        </w:rPr>
        <w:t xml:space="preserve"> </w:t>
      </w:r>
      <w:r w:rsidR="00B172AC" w:rsidRPr="00B172AC">
        <w:rPr>
          <w:iCs/>
          <w:lang w:val="en-GB"/>
        </w:rPr>
        <w:t xml:space="preserve">(e.g., smoking bans, tobacco taxation, anti-tobacco media campaigns) </w:t>
      </w:r>
      <w:r w:rsidR="007E1693">
        <w:rPr>
          <w:iCs/>
          <w:lang w:val="en-GB"/>
        </w:rPr>
        <w:t xml:space="preserve">adopted by </w:t>
      </w:r>
      <w:r w:rsidR="00A808C5">
        <w:rPr>
          <w:iCs/>
          <w:lang w:val="en-GB"/>
        </w:rPr>
        <w:t xml:space="preserve">individual </w:t>
      </w:r>
      <w:r w:rsidR="007E1693">
        <w:rPr>
          <w:iCs/>
          <w:lang w:val="en-GB"/>
        </w:rPr>
        <w:t xml:space="preserve">countries and </w:t>
      </w:r>
      <w:r w:rsidR="00A808C5">
        <w:rPr>
          <w:iCs/>
          <w:lang w:val="en-GB"/>
        </w:rPr>
        <w:t xml:space="preserve">differences </w:t>
      </w:r>
      <w:r w:rsidR="007E1693">
        <w:rPr>
          <w:iCs/>
          <w:lang w:val="en-GB"/>
        </w:rPr>
        <w:t xml:space="preserve">in the degree </w:t>
      </w:r>
      <w:r w:rsidR="00247DFE">
        <w:rPr>
          <w:iCs/>
          <w:lang w:val="en-GB"/>
        </w:rPr>
        <w:t>to which</w:t>
      </w:r>
      <w:r w:rsidR="007E1693">
        <w:rPr>
          <w:iCs/>
          <w:lang w:val="en-GB"/>
        </w:rPr>
        <w:t xml:space="preserve"> these strategies are enforced</w:t>
      </w:r>
      <w:r w:rsidR="00604F7E">
        <w:rPr>
          <w:iCs/>
          <w:lang w:val="en-GB"/>
        </w:rPr>
        <w:t xml:space="preserve"> </w:t>
      </w:r>
      <w:r w:rsidR="001E3646">
        <w:rPr>
          <w:iCs/>
          <w:lang w:val="en-GB"/>
        </w:rPr>
        <w:t>(Gallus et al., 2014)</w:t>
      </w:r>
      <w:r w:rsidR="00CF1248">
        <w:rPr>
          <w:iCs/>
          <w:lang w:val="en-GB"/>
        </w:rPr>
        <w:t>.</w:t>
      </w:r>
      <w:r w:rsidR="00131E2E">
        <w:rPr>
          <w:iCs/>
          <w:lang w:val="en-GB"/>
        </w:rPr>
        <w:t xml:space="preserve"> </w:t>
      </w:r>
      <w:r w:rsidR="00510A5B">
        <w:rPr>
          <w:iCs/>
          <w:lang w:val="en-GB"/>
        </w:rPr>
        <w:t>In some countries, such as Ireland</w:t>
      </w:r>
      <w:r w:rsidR="00AA17CA">
        <w:rPr>
          <w:iCs/>
          <w:lang w:val="en-GB"/>
        </w:rPr>
        <w:t>,</w:t>
      </w:r>
      <w:r w:rsidR="002530E4">
        <w:rPr>
          <w:iCs/>
          <w:lang w:val="en-GB"/>
        </w:rPr>
        <w:t xml:space="preserve"> public </w:t>
      </w:r>
      <w:r w:rsidR="00312F04">
        <w:rPr>
          <w:iCs/>
          <w:lang w:val="en-GB"/>
        </w:rPr>
        <w:t xml:space="preserve">smoking bans were introduced </w:t>
      </w:r>
      <w:r w:rsidR="00B40C1F">
        <w:rPr>
          <w:iCs/>
          <w:lang w:val="en-GB"/>
        </w:rPr>
        <w:t xml:space="preserve">(starting in 2004) </w:t>
      </w:r>
      <w:r w:rsidR="00312F04">
        <w:rPr>
          <w:iCs/>
          <w:lang w:val="en-GB"/>
        </w:rPr>
        <w:t>and strictly enforced and</w:t>
      </w:r>
      <w:r w:rsidR="00AA17CA">
        <w:rPr>
          <w:iCs/>
          <w:lang w:val="en-GB"/>
        </w:rPr>
        <w:t xml:space="preserve"> led to </w:t>
      </w:r>
      <w:r w:rsidR="00312F04">
        <w:rPr>
          <w:iCs/>
          <w:lang w:val="en-GB"/>
        </w:rPr>
        <w:t xml:space="preserve">immediate </w:t>
      </w:r>
      <w:r w:rsidR="00AA17CA">
        <w:rPr>
          <w:iCs/>
          <w:lang w:val="en-GB"/>
        </w:rPr>
        <w:t>reductions in tobacco-related mortality and morbidity</w:t>
      </w:r>
      <w:r w:rsidR="00E630CB">
        <w:rPr>
          <w:iCs/>
          <w:lang w:val="en-GB"/>
        </w:rPr>
        <w:t xml:space="preserve"> </w:t>
      </w:r>
      <w:r w:rsidR="001E3646">
        <w:rPr>
          <w:iCs/>
          <w:lang w:val="en-GB"/>
        </w:rPr>
        <w:t xml:space="preserve">(Stallings-Smith, </w:t>
      </w:r>
      <w:proofErr w:type="spellStart"/>
      <w:r w:rsidR="001E3646">
        <w:rPr>
          <w:iCs/>
          <w:lang w:val="en-GB"/>
        </w:rPr>
        <w:t>Zeka</w:t>
      </w:r>
      <w:proofErr w:type="spellEnd"/>
      <w:r w:rsidR="001E3646">
        <w:rPr>
          <w:iCs/>
          <w:lang w:val="en-GB"/>
        </w:rPr>
        <w:t xml:space="preserve">, Goodman, </w:t>
      </w:r>
      <w:proofErr w:type="spellStart"/>
      <w:r w:rsidR="001E3646">
        <w:rPr>
          <w:iCs/>
          <w:lang w:val="en-GB"/>
        </w:rPr>
        <w:t>Kabir</w:t>
      </w:r>
      <w:proofErr w:type="spellEnd"/>
      <w:r w:rsidR="001E3646">
        <w:rPr>
          <w:iCs/>
          <w:lang w:val="en-GB"/>
        </w:rPr>
        <w:t xml:space="preserve">, &amp; Clancy, 2013; Stallings-Smith, Goodman, </w:t>
      </w:r>
      <w:proofErr w:type="spellStart"/>
      <w:r w:rsidR="001E3646">
        <w:rPr>
          <w:iCs/>
          <w:lang w:val="en-GB"/>
        </w:rPr>
        <w:t>Kabir</w:t>
      </w:r>
      <w:proofErr w:type="spellEnd"/>
      <w:r w:rsidR="001E3646">
        <w:rPr>
          <w:iCs/>
          <w:lang w:val="en-GB"/>
        </w:rPr>
        <w:t xml:space="preserve">, Clancy, &amp; </w:t>
      </w:r>
      <w:proofErr w:type="spellStart"/>
      <w:r w:rsidR="001E3646">
        <w:rPr>
          <w:iCs/>
          <w:lang w:val="en-GB"/>
        </w:rPr>
        <w:t>Zeka</w:t>
      </w:r>
      <w:proofErr w:type="spellEnd"/>
      <w:r w:rsidR="001E3646">
        <w:rPr>
          <w:iCs/>
          <w:lang w:val="en-GB"/>
        </w:rPr>
        <w:t>, 2014)</w:t>
      </w:r>
      <w:r w:rsidR="00BC0F1F">
        <w:rPr>
          <w:iCs/>
          <w:lang w:val="en-GB"/>
        </w:rPr>
        <w:t>.</w:t>
      </w:r>
      <w:r w:rsidR="00464F6D">
        <w:rPr>
          <w:iCs/>
          <w:lang w:val="en-GB"/>
        </w:rPr>
        <w:t xml:space="preserve"> </w:t>
      </w:r>
      <w:r w:rsidR="00312F04">
        <w:rPr>
          <w:iCs/>
          <w:lang w:val="en-GB"/>
        </w:rPr>
        <w:t xml:space="preserve">In </w:t>
      </w:r>
      <w:r w:rsidR="001C3FCF">
        <w:rPr>
          <w:iCs/>
          <w:lang w:val="en-GB"/>
        </w:rPr>
        <w:t>contrast, in</w:t>
      </w:r>
      <w:r w:rsidR="00464F6D">
        <w:rPr>
          <w:iCs/>
          <w:lang w:val="en-GB"/>
        </w:rPr>
        <w:t xml:space="preserve"> Germany</w:t>
      </w:r>
      <w:r w:rsidR="003C7966">
        <w:rPr>
          <w:iCs/>
          <w:lang w:val="en-GB"/>
        </w:rPr>
        <w:t xml:space="preserve">, while </w:t>
      </w:r>
      <w:r w:rsidR="002210EB">
        <w:rPr>
          <w:iCs/>
          <w:lang w:val="en-GB"/>
        </w:rPr>
        <w:t>federal</w:t>
      </w:r>
      <w:r w:rsidR="00312F04">
        <w:rPr>
          <w:iCs/>
          <w:lang w:val="en-GB"/>
        </w:rPr>
        <w:t xml:space="preserve"> </w:t>
      </w:r>
      <w:r w:rsidR="00061511">
        <w:rPr>
          <w:iCs/>
          <w:lang w:val="en-GB"/>
        </w:rPr>
        <w:t xml:space="preserve">smoke-free </w:t>
      </w:r>
      <w:r w:rsidR="002210EB">
        <w:rPr>
          <w:iCs/>
          <w:lang w:val="en-GB"/>
        </w:rPr>
        <w:t>law</w:t>
      </w:r>
      <w:r w:rsidR="00BE50C6">
        <w:rPr>
          <w:iCs/>
          <w:lang w:val="en-GB"/>
        </w:rPr>
        <w:t>s</w:t>
      </w:r>
      <w:r w:rsidR="002210EB">
        <w:rPr>
          <w:iCs/>
          <w:lang w:val="en-GB"/>
        </w:rPr>
        <w:t xml:space="preserve"> to ban smoking in public places w</w:t>
      </w:r>
      <w:r w:rsidR="00BE50C6">
        <w:rPr>
          <w:iCs/>
          <w:lang w:val="en-GB"/>
        </w:rPr>
        <w:t>ere</w:t>
      </w:r>
      <w:r w:rsidR="002210EB">
        <w:rPr>
          <w:iCs/>
          <w:lang w:val="en-GB"/>
        </w:rPr>
        <w:t xml:space="preserve"> passed in 2007</w:t>
      </w:r>
      <w:r w:rsidR="00BE50C6">
        <w:rPr>
          <w:iCs/>
          <w:lang w:val="en-GB"/>
        </w:rPr>
        <w:t xml:space="preserve"> </w:t>
      </w:r>
      <w:r w:rsidR="001E3646">
        <w:rPr>
          <w:iCs/>
          <w:lang w:val="en-GB"/>
        </w:rPr>
        <w:t xml:space="preserve">(Federal non-smokers protection </w:t>
      </w:r>
      <w:proofErr w:type="gramStart"/>
      <w:r w:rsidR="009A216B">
        <w:rPr>
          <w:iCs/>
          <w:lang w:val="en-GB"/>
        </w:rPr>
        <w:t>A</w:t>
      </w:r>
      <w:r w:rsidR="001E3646">
        <w:rPr>
          <w:iCs/>
          <w:lang w:val="en-GB"/>
        </w:rPr>
        <w:t>ct ,</w:t>
      </w:r>
      <w:proofErr w:type="gramEnd"/>
      <w:r w:rsidR="001E3646">
        <w:rPr>
          <w:iCs/>
          <w:lang w:val="en-GB"/>
        </w:rPr>
        <w:t xml:space="preserve"> 2007; Law to protect against the dangers of passive smoking, 2007)</w:t>
      </w:r>
      <w:r w:rsidR="001C3FCF">
        <w:rPr>
          <w:iCs/>
          <w:lang w:val="en-GB"/>
        </w:rPr>
        <w:t xml:space="preserve">, </w:t>
      </w:r>
      <w:r w:rsidR="00112009">
        <w:rPr>
          <w:iCs/>
          <w:lang w:val="en-GB"/>
        </w:rPr>
        <w:t xml:space="preserve">smoking ban exemptions of the introduced law were </w:t>
      </w:r>
      <w:r w:rsidR="00E5696B">
        <w:rPr>
          <w:iCs/>
          <w:lang w:val="en-GB"/>
        </w:rPr>
        <w:t xml:space="preserve">subsequently </w:t>
      </w:r>
      <w:r w:rsidR="00112009">
        <w:rPr>
          <w:iCs/>
          <w:lang w:val="en-GB"/>
        </w:rPr>
        <w:t xml:space="preserve">passed </w:t>
      </w:r>
      <w:r w:rsidR="00061511">
        <w:rPr>
          <w:iCs/>
          <w:lang w:val="en-GB"/>
        </w:rPr>
        <w:t>at</w:t>
      </w:r>
      <w:r w:rsidR="00112009">
        <w:rPr>
          <w:iCs/>
          <w:lang w:val="en-GB"/>
        </w:rPr>
        <w:t xml:space="preserve"> </w:t>
      </w:r>
      <w:r w:rsidR="001C3FCF">
        <w:rPr>
          <w:iCs/>
          <w:lang w:val="en-GB"/>
        </w:rPr>
        <w:t xml:space="preserve">the </w:t>
      </w:r>
      <w:r w:rsidR="00112009">
        <w:rPr>
          <w:iCs/>
          <w:lang w:val="en-GB"/>
        </w:rPr>
        <w:t>state level</w:t>
      </w:r>
      <w:r w:rsidR="00FF1007">
        <w:rPr>
          <w:iCs/>
          <w:lang w:val="en-GB"/>
        </w:rPr>
        <w:t>. As a consequence,</w:t>
      </w:r>
      <w:r w:rsidR="001970F3">
        <w:rPr>
          <w:iCs/>
          <w:lang w:val="en-GB"/>
        </w:rPr>
        <w:t xml:space="preserve"> reductions in smoking rates (from 2005-2009) were only noted in </w:t>
      </w:r>
      <w:r w:rsidR="00FF1007">
        <w:rPr>
          <w:iCs/>
          <w:lang w:val="en-GB"/>
        </w:rPr>
        <w:t xml:space="preserve">those </w:t>
      </w:r>
      <w:r w:rsidR="001970F3">
        <w:rPr>
          <w:iCs/>
          <w:lang w:val="en-GB"/>
        </w:rPr>
        <w:t xml:space="preserve">states with an early ratification of the law </w:t>
      </w:r>
      <w:r w:rsidR="001E3646">
        <w:rPr>
          <w:iCs/>
          <w:lang w:val="en-GB"/>
        </w:rPr>
        <w:t xml:space="preserve">(Kohler &amp; </w:t>
      </w:r>
      <w:proofErr w:type="spellStart"/>
      <w:r w:rsidR="001E3646">
        <w:rPr>
          <w:iCs/>
          <w:lang w:val="en-GB"/>
        </w:rPr>
        <w:t>Minkner</w:t>
      </w:r>
      <w:proofErr w:type="spellEnd"/>
      <w:r w:rsidR="001E3646">
        <w:rPr>
          <w:iCs/>
          <w:lang w:val="en-GB"/>
        </w:rPr>
        <w:t>, 2014)</w:t>
      </w:r>
      <w:r w:rsidR="002210EB">
        <w:rPr>
          <w:iCs/>
          <w:lang w:val="en-GB"/>
        </w:rPr>
        <w:t xml:space="preserve">. </w:t>
      </w:r>
      <w:r w:rsidR="00D14D30">
        <w:rPr>
          <w:iCs/>
          <w:lang w:val="en-GB"/>
        </w:rPr>
        <w:t>Initiatives</w:t>
      </w:r>
      <w:r w:rsidR="00541DDF">
        <w:rPr>
          <w:iCs/>
          <w:lang w:val="en-GB"/>
        </w:rPr>
        <w:t xml:space="preserve"> to </w:t>
      </w:r>
      <w:r w:rsidR="00D14D30">
        <w:rPr>
          <w:iCs/>
          <w:lang w:val="en-GB"/>
        </w:rPr>
        <w:t>harmonize tobacco control efforts</w:t>
      </w:r>
      <w:r w:rsidR="003C7966">
        <w:rPr>
          <w:iCs/>
          <w:lang w:val="en-GB"/>
        </w:rPr>
        <w:t xml:space="preserve"> across Europe</w:t>
      </w:r>
      <w:r w:rsidR="002C0212">
        <w:rPr>
          <w:iCs/>
          <w:lang w:val="en-GB"/>
        </w:rPr>
        <w:t>,</w:t>
      </w:r>
      <w:r w:rsidR="00D14D30">
        <w:rPr>
          <w:iCs/>
          <w:lang w:val="en-GB"/>
        </w:rPr>
        <w:t xml:space="preserve"> </w:t>
      </w:r>
      <w:r w:rsidR="00E852A4">
        <w:rPr>
          <w:iCs/>
          <w:lang w:val="en-GB"/>
        </w:rPr>
        <w:t>for example</w:t>
      </w:r>
      <w:r w:rsidR="00D14D30">
        <w:rPr>
          <w:iCs/>
          <w:lang w:val="en-GB"/>
        </w:rPr>
        <w:t xml:space="preserve"> MPOWER</w:t>
      </w:r>
      <w:r w:rsidR="00E5744B">
        <w:rPr>
          <w:iCs/>
          <w:lang w:val="en-GB"/>
        </w:rPr>
        <w:t xml:space="preserve"> </w:t>
      </w:r>
      <w:r w:rsidR="001E3646">
        <w:rPr>
          <w:iCs/>
          <w:lang w:val="en-GB"/>
        </w:rPr>
        <w:t>(World Health Organization, 2014)</w:t>
      </w:r>
      <w:r w:rsidR="00D14D30">
        <w:rPr>
          <w:iCs/>
          <w:lang w:val="en-GB"/>
        </w:rPr>
        <w:t xml:space="preserve"> which was launched</w:t>
      </w:r>
      <w:r w:rsidR="002C0212">
        <w:rPr>
          <w:iCs/>
          <w:lang w:val="en-GB"/>
        </w:rPr>
        <w:t xml:space="preserve"> </w:t>
      </w:r>
      <w:r w:rsidR="00541DDF" w:rsidRPr="00541DDF">
        <w:rPr>
          <w:iCs/>
          <w:lang w:val="en-GB"/>
        </w:rPr>
        <w:t>in 2013</w:t>
      </w:r>
      <w:r w:rsidR="00F70B82">
        <w:rPr>
          <w:iCs/>
          <w:lang w:val="en-GB"/>
        </w:rPr>
        <w:t>,</w:t>
      </w:r>
      <w:r w:rsidR="00541DDF" w:rsidRPr="00541DDF">
        <w:rPr>
          <w:iCs/>
          <w:lang w:val="en-GB"/>
        </w:rPr>
        <w:t xml:space="preserve"> </w:t>
      </w:r>
      <w:r w:rsidR="00A5341E">
        <w:rPr>
          <w:iCs/>
          <w:lang w:val="en-GB"/>
        </w:rPr>
        <w:t xml:space="preserve">may </w:t>
      </w:r>
      <w:r w:rsidR="004A5105">
        <w:rPr>
          <w:iCs/>
          <w:lang w:val="en-GB"/>
        </w:rPr>
        <w:t xml:space="preserve">result in </w:t>
      </w:r>
      <w:r w:rsidR="003F4AF4">
        <w:rPr>
          <w:iCs/>
          <w:lang w:val="en-GB"/>
        </w:rPr>
        <w:t xml:space="preserve">more consistent </w:t>
      </w:r>
      <w:r w:rsidR="00AE6CC0">
        <w:rPr>
          <w:iCs/>
          <w:lang w:val="en-GB"/>
        </w:rPr>
        <w:t>reductions</w:t>
      </w:r>
      <w:r w:rsidR="004A5105">
        <w:rPr>
          <w:iCs/>
          <w:lang w:val="en-GB"/>
        </w:rPr>
        <w:t xml:space="preserve"> in smoking rates </w:t>
      </w:r>
      <w:r w:rsidR="003F4AF4">
        <w:rPr>
          <w:iCs/>
          <w:lang w:val="en-GB"/>
        </w:rPr>
        <w:t xml:space="preserve">and associated morbidity and mortality </w:t>
      </w:r>
      <w:r w:rsidR="007A11AB">
        <w:rPr>
          <w:iCs/>
          <w:lang w:val="en-GB"/>
        </w:rPr>
        <w:t xml:space="preserve">in the </w:t>
      </w:r>
      <w:r w:rsidR="00C64F23">
        <w:rPr>
          <w:iCs/>
          <w:lang w:val="en-GB"/>
        </w:rPr>
        <w:t>decades to come</w:t>
      </w:r>
      <w:r w:rsidR="003F4AF4">
        <w:rPr>
          <w:iCs/>
          <w:lang w:val="en-GB"/>
        </w:rPr>
        <w:t>.</w:t>
      </w:r>
      <w:r w:rsidR="001541E5">
        <w:rPr>
          <w:iCs/>
          <w:lang w:val="en-GB"/>
        </w:rPr>
        <w:t xml:space="preserve"> </w:t>
      </w:r>
    </w:p>
    <w:p w14:paraId="11CA66D5" w14:textId="4FE3F112" w:rsidR="00E20510" w:rsidRDefault="006936C9" w:rsidP="001F223D">
      <w:pPr>
        <w:ind w:firstLine="708"/>
        <w:rPr>
          <w:iCs/>
          <w:lang w:val="en-GB"/>
        </w:rPr>
      </w:pPr>
      <w:r>
        <w:rPr>
          <w:iCs/>
          <w:lang w:val="en-GB"/>
        </w:rPr>
        <w:t>National and l</w:t>
      </w:r>
      <w:r w:rsidR="00F71206">
        <w:rPr>
          <w:iCs/>
          <w:lang w:val="en-GB"/>
        </w:rPr>
        <w:t>ocal s</w:t>
      </w:r>
      <w:r w:rsidR="002159CB" w:rsidRPr="002159CB">
        <w:rPr>
          <w:iCs/>
          <w:lang w:val="en-GB"/>
        </w:rPr>
        <w:t xml:space="preserve">ocial norms regarding tobacco use </w:t>
      </w:r>
      <w:r w:rsidR="00E5696B">
        <w:rPr>
          <w:iCs/>
          <w:lang w:val="en-GB"/>
        </w:rPr>
        <w:t xml:space="preserve">may </w:t>
      </w:r>
      <w:r w:rsidR="002159CB" w:rsidRPr="002159CB">
        <w:rPr>
          <w:iCs/>
          <w:lang w:val="en-GB"/>
        </w:rPr>
        <w:t>change</w:t>
      </w:r>
      <w:r w:rsidR="002159CB">
        <w:rPr>
          <w:iCs/>
          <w:lang w:val="en-GB"/>
        </w:rPr>
        <w:t xml:space="preserve"> </w:t>
      </w:r>
      <w:r w:rsidR="007541C1">
        <w:rPr>
          <w:iCs/>
          <w:lang w:val="en-GB"/>
        </w:rPr>
        <w:t>when</w:t>
      </w:r>
      <w:r w:rsidR="00C939DA">
        <w:rPr>
          <w:iCs/>
          <w:lang w:val="en-GB"/>
        </w:rPr>
        <w:t xml:space="preserve"> </w:t>
      </w:r>
      <w:r w:rsidR="00C74CF2">
        <w:rPr>
          <w:iCs/>
          <w:lang w:val="en-GB"/>
        </w:rPr>
        <w:t xml:space="preserve">European </w:t>
      </w:r>
      <w:r w:rsidR="00DB1BE9">
        <w:rPr>
          <w:iCs/>
          <w:lang w:val="en-GB"/>
        </w:rPr>
        <w:t xml:space="preserve">countries </w:t>
      </w:r>
      <w:r w:rsidR="007541C1">
        <w:rPr>
          <w:iCs/>
          <w:lang w:val="en-GB"/>
        </w:rPr>
        <w:t xml:space="preserve">begin to </w:t>
      </w:r>
      <w:r w:rsidR="00DB1BE9">
        <w:rPr>
          <w:iCs/>
          <w:lang w:val="en-GB"/>
        </w:rPr>
        <w:t xml:space="preserve">implement </w:t>
      </w:r>
      <w:r w:rsidR="00C8595F">
        <w:rPr>
          <w:iCs/>
          <w:lang w:val="en-GB"/>
        </w:rPr>
        <w:t xml:space="preserve">and enforce </w:t>
      </w:r>
      <w:r w:rsidR="00DB1BE9">
        <w:rPr>
          <w:iCs/>
          <w:lang w:val="en-GB"/>
        </w:rPr>
        <w:t>tobacco control strategies</w:t>
      </w:r>
      <w:r w:rsidR="0063115B">
        <w:rPr>
          <w:iCs/>
          <w:lang w:val="en-GB"/>
        </w:rPr>
        <w:t xml:space="preserve"> </w:t>
      </w:r>
      <w:r w:rsidR="00BE4C5C" w:rsidRPr="00BE4C5C">
        <w:rPr>
          <w:iCs/>
          <w:lang w:val="en-GB"/>
        </w:rPr>
        <w:t>more stringently</w:t>
      </w:r>
      <w:r w:rsidR="00D640FD">
        <w:rPr>
          <w:iCs/>
          <w:lang w:val="en-GB"/>
        </w:rPr>
        <w:t>.</w:t>
      </w:r>
      <w:r w:rsidR="00A7107E">
        <w:rPr>
          <w:iCs/>
          <w:lang w:val="en-GB"/>
        </w:rPr>
        <w:t xml:space="preserve"> These new strategies may lead to</w:t>
      </w:r>
      <w:r w:rsidR="00D640FD">
        <w:rPr>
          <w:iCs/>
          <w:lang w:val="en-GB"/>
        </w:rPr>
        <w:t xml:space="preserve"> </w:t>
      </w:r>
      <w:r w:rsidR="00A7107E">
        <w:rPr>
          <w:iCs/>
          <w:lang w:val="en-GB"/>
        </w:rPr>
        <w:t>s</w:t>
      </w:r>
      <w:r w:rsidR="00F70B82">
        <w:rPr>
          <w:iCs/>
          <w:lang w:val="en-GB"/>
        </w:rPr>
        <w:t>moking becom</w:t>
      </w:r>
      <w:r w:rsidR="00A7107E">
        <w:rPr>
          <w:iCs/>
          <w:lang w:val="en-GB"/>
        </w:rPr>
        <w:t>ing</w:t>
      </w:r>
      <w:r w:rsidR="00F70B82">
        <w:rPr>
          <w:iCs/>
          <w:lang w:val="en-GB"/>
        </w:rPr>
        <w:t xml:space="preserve"> less visible</w:t>
      </w:r>
      <w:r w:rsidR="00D640FD">
        <w:rPr>
          <w:iCs/>
          <w:lang w:val="en-GB"/>
        </w:rPr>
        <w:t xml:space="preserve"> in public and </w:t>
      </w:r>
      <w:r w:rsidR="00A7107E">
        <w:rPr>
          <w:iCs/>
          <w:lang w:val="en-GB"/>
        </w:rPr>
        <w:t xml:space="preserve">may </w:t>
      </w:r>
      <w:r w:rsidR="00D5502B">
        <w:rPr>
          <w:iCs/>
          <w:lang w:val="en-GB"/>
        </w:rPr>
        <w:t>weaken</w:t>
      </w:r>
      <w:r w:rsidR="00AB2D36">
        <w:rPr>
          <w:iCs/>
          <w:lang w:val="en-GB"/>
        </w:rPr>
        <w:t xml:space="preserve"> approval </w:t>
      </w:r>
      <w:r w:rsidR="00D5502B">
        <w:rPr>
          <w:iCs/>
          <w:lang w:val="en-GB"/>
        </w:rPr>
        <w:t>towards smoking</w:t>
      </w:r>
      <w:r w:rsidR="00D640FD">
        <w:rPr>
          <w:iCs/>
          <w:lang w:val="en-GB"/>
        </w:rPr>
        <w:t>.</w:t>
      </w:r>
      <w:r w:rsidR="00F70B82">
        <w:rPr>
          <w:iCs/>
          <w:lang w:val="en-GB"/>
        </w:rPr>
        <w:t xml:space="preserve"> </w:t>
      </w:r>
      <w:r w:rsidR="00E852A4">
        <w:rPr>
          <w:iCs/>
          <w:lang w:val="en-GB"/>
        </w:rPr>
        <w:t>In</w:t>
      </w:r>
      <w:r w:rsidR="00E5696B">
        <w:rPr>
          <w:iCs/>
          <w:lang w:val="en-GB"/>
        </w:rPr>
        <w:t xml:space="preserve"> the</w:t>
      </w:r>
      <w:r w:rsidR="00CF66FB">
        <w:rPr>
          <w:iCs/>
          <w:lang w:val="en-GB"/>
        </w:rPr>
        <w:t xml:space="preserve"> U</w:t>
      </w:r>
      <w:r w:rsidR="00FB6B1C">
        <w:rPr>
          <w:iCs/>
          <w:lang w:val="en-GB"/>
        </w:rPr>
        <w:t>.</w:t>
      </w:r>
      <w:r w:rsidR="00CF66FB">
        <w:rPr>
          <w:iCs/>
          <w:lang w:val="en-GB"/>
        </w:rPr>
        <w:t>S</w:t>
      </w:r>
      <w:r w:rsidR="00FB6B1C">
        <w:rPr>
          <w:iCs/>
          <w:lang w:val="en-GB"/>
        </w:rPr>
        <w:t>.</w:t>
      </w:r>
      <w:r w:rsidR="00DC073D">
        <w:rPr>
          <w:iCs/>
          <w:lang w:val="en-GB"/>
        </w:rPr>
        <w:t xml:space="preserve"> </w:t>
      </w:r>
      <w:r w:rsidR="00E852A4">
        <w:rPr>
          <w:iCs/>
          <w:lang w:val="en-GB"/>
        </w:rPr>
        <w:t xml:space="preserve">now </w:t>
      </w:r>
      <w:r w:rsidR="00E5696B">
        <w:rPr>
          <w:iCs/>
          <w:lang w:val="en-GB"/>
        </w:rPr>
        <w:t xml:space="preserve">several decades after the implementation of </w:t>
      </w:r>
      <w:r w:rsidR="00D703A4">
        <w:rPr>
          <w:iCs/>
          <w:lang w:val="en-GB"/>
        </w:rPr>
        <w:t>smoking bans</w:t>
      </w:r>
      <w:r w:rsidR="00E852A4">
        <w:rPr>
          <w:iCs/>
          <w:lang w:val="en-GB"/>
        </w:rPr>
        <w:t xml:space="preserve"> the</w:t>
      </w:r>
      <w:r w:rsidR="00D703A4">
        <w:rPr>
          <w:iCs/>
          <w:lang w:val="en-GB"/>
        </w:rPr>
        <w:t xml:space="preserve"> </w:t>
      </w:r>
      <w:r w:rsidR="00DC073D">
        <w:rPr>
          <w:iCs/>
          <w:lang w:val="en-GB"/>
        </w:rPr>
        <w:t xml:space="preserve">approval of smoking </w:t>
      </w:r>
      <w:r w:rsidR="00E852A4">
        <w:rPr>
          <w:iCs/>
          <w:lang w:val="en-GB"/>
        </w:rPr>
        <w:t xml:space="preserve">has </w:t>
      </w:r>
      <w:r w:rsidR="00DC073D">
        <w:rPr>
          <w:iCs/>
          <w:lang w:val="en-GB"/>
        </w:rPr>
        <w:t xml:space="preserve">progressively </w:t>
      </w:r>
      <w:r w:rsidR="00D703A4">
        <w:rPr>
          <w:iCs/>
          <w:lang w:val="en-GB"/>
        </w:rPr>
        <w:t>decreased</w:t>
      </w:r>
      <w:r w:rsidR="00432A8F">
        <w:rPr>
          <w:iCs/>
          <w:lang w:val="en-GB"/>
        </w:rPr>
        <w:t xml:space="preserve"> </w:t>
      </w:r>
      <w:r w:rsidR="001E3646">
        <w:rPr>
          <w:iCs/>
          <w:lang w:val="en-GB"/>
        </w:rPr>
        <w:t>(Robert Wood Johnson Foundation, 2014)</w:t>
      </w:r>
      <w:r w:rsidR="00CF66FB">
        <w:rPr>
          <w:iCs/>
          <w:lang w:val="en-GB"/>
        </w:rPr>
        <w:t>.</w:t>
      </w:r>
      <w:r w:rsidR="004D4743">
        <w:rPr>
          <w:iCs/>
          <w:lang w:val="en-GB"/>
        </w:rPr>
        <w:t xml:space="preserve"> </w:t>
      </w:r>
      <w:r w:rsidR="00E20510" w:rsidRPr="00E20510">
        <w:rPr>
          <w:iCs/>
          <w:lang w:val="en-GB"/>
        </w:rPr>
        <w:t xml:space="preserve">Americans </w:t>
      </w:r>
      <w:r w:rsidR="00E852A4">
        <w:rPr>
          <w:iCs/>
          <w:lang w:val="en-GB"/>
        </w:rPr>
        <w:t xml:space="preserve">now </w:t>
      </w:r>
      <w:r w:rsidR="00E20510" w:rsidRPr="00E20510">
        <w:rPr>
          <w:iCs/>
          <w:lang w:val="en-GB"/>
        </w:rPr>
        <w:t>endorse smoking bans and limits on advertisements for tobacco products more today than 20 years ago.</w:t>
      </w:r>
      <w:r w:rsidR="007457E2">
        <w:rPr>
          <w:iCs/>
          <w:lang w:val="en-GB"/>
        </w:rPr>
        <w:t xml:space="preserve"> </w:t>
      </w:r>
      <w:r w:rsidR="00E5696B">
        <w:rPr>
          <w:iCs/>
          <w:lang w:val="en-GB"/>
        </w:rPr>
        <w:t>In</w:t>
      </w:r>
      <w:r w:rsidR="00903902">
        <w:rPr>
          <w:iCs/>
          <w:lang w:val="en-GB"/>
        </w:rPr>
        <w:t xml:space="preserve"> </w:t>
      </w:r>
      <w:r w:rsidR="00DE6986">
        <w:rPr>
          <w:iCs/>
          <w:lang w:val="en-GB"/>
        </w:rPr>
        <w:t xml:space="preserve">the </w:t>
      </w:r>
      <w:r w:rsidR="00903902">
        <w:rPr>
          <w:iCs/>
          <w:lang w:val="en-GB"/>
        </w:rPr>
        <w:t>young</w:t>
      </w:r>
      <w:r w:rsidR="00432A8F">
        <w:rPr>
          <w:iCs/>
          <w:lang w:val="en-GB"/>
        </w:rPr>
        <w:t>er segment of society (</w:t>
      </w:r>
      <w:r w:rsidR="00B75CC8">
        <w:rPr>
          <w:iCs/>
          <w:lang w:val="en-GB"/>
        </w:rPr>
        <w:t>under</w:t>
      </w:r>
      <w:r w:rsidR="00203E2B">
        <w:rPr>
          <w:iCs/>
          <w:sz w:val="20"/>
          <w:lang w:val="en-GB"/>
        </w:rPr>
        <w:t xml:space="preserve"> </w:t>
      </w:r>
      <w:r w:rsidR="00BA75FD">
        <w:rPr>
          <w:iCs/>
          <w:lang w:val="en-GB"/>
        </w:rPr>
        <w:t>25 years</w:t>
      </w:r>
      <w:r w:rsidR="00E5696B">
        <w:rPr>
          <w:iCs/>
          <w:lang w:val="en-GB"/>
        </w:rPr>
        <w:t>)</w:t>
      </w:r>
      <w:r w:rsidR="00903902">
        <w:rPr>
          <w:iCs/>
          <w:lang w:val="en-GB"/>
        </w:rPr>
        <w:t xml:space="preserve"> rates of smoking fell to under 20% in recent years</w:t>
      </w:r>
      <w:r w:rsidR="00432A8F">
        <w:rPr>
          <w:iCs/>
          <w:lang w:val="en-GB"/>
        </w:rPr>
        <w:t xml:space="preserve"> </w:t>
      </w:r>
      <w:r w:rsidR="00E5696B">
        <w:rPr>
          <w:iCs/>
          <w:lang w:val="en-GB"/>
        </w:rPr>
        <w:t>and</w:t>
      </w:r>
      <w:r w:rsidR="00903902">
        <w:rPr>
          <w:iCs/>
          <w:lang w:val="en-GB"/>
        </w:rPr>
        <w:t xml:space="preserve"> disapproval of tobacco use appeared to increase</w:t>
      </w:r>
      <w:r w:rsidR="009566D8">
        <w:rPr>
          <w:iCs/>
          <w:lang w:val="en-GB"/>
        </w:rPr>
        <w:t xml:space="preserve"> </w:t>
      </w:r>
      <w:r w:rsidR="001E3646">
        <w:rPr>
          <w:iCs/>
          <w:lang w:val="en-GB"/>
        </w:rPr>
        <w:t>(Robert Wood Johnson Foundation, 2014)</w:t>
      </w:r>
      <w:r w:rsidR="009566D8" w:rsidRPr="00131261">
        <w:rPr>
          <w:iCs/>
          <w:lang w:val="en-GB"/>
        </w:rPr>
        <w:t>.</w:t>
      </w:r>
      <w:r w:rsidR="00903902">
        <w:rPr>
          <w:iCs/>
          <w:lang w:val="en-GB"/>
        </w:rPr>
        <w:t xml:space="preserve"> </w:t>
      </w:r>
      <w:r w:rsidR="00E852A4">
        <w:rPr>
          <w:iCs/>
          <w:lang w:val="en-GB"/>
        </w:rPr>
        <w:t>S</w:t>
      </w:r>
      <w:r w:rsidR="007457E2">
        <w:rPr>
          <w:iCs/>
          <w:lang w:val="en-GB"/>
        </w:rPr>
        <w:t xml:space="preserve">uch </w:t>
      </w:r>
      <w:r w:rsidR="006D241F">
        <w:rPr>
          <w:iCs/>
          <w:lang w:val="en-GB"/>
        </w:rPr>
        <w:t xml:space="preserve">changes in social norms </w:t>
      </w:r>
      <w:r w:rsidR="007457E2">
        <w:rPr>
          <w:iCs/>
          <w:lang w:val="en-GB"/>
        </w:rPr>
        <w:t xml:space="preserve">may </w:t>
      </w:r>
      <w:r w:rsidR="00CA1B7F">
        <w:rPr>
          <w:iCs/>
          <w:lang w:val="en-GB"/>
        </w:rPr>
        <w:t>manifest</w:t>
      </w:r>
      <w:r w:rsidR="00146117">
        <w:rPr>
          <w:iCs/>
          <w:lang w:val="en-GB"/>
        </w:rPr>
        <w:t xml:space="preserve"> themselves</w:t>
      </w:r>
      <w:r w:rsidR="00CA1B7F">
        <w:rPr>
          <w:iCs/>
          <w:lang w:val="en-GB"/>
        </w:rPr>
        <w:t xml:space="preserve"> in several decades</w:t>
      </w:r>
      <w:r w:rsidR="007A5330">
        <w:rPr>
          <w:iCs/>
          <w:lang w:val="en-GB"/>
        </w:rPr>
        <w:t xml:space="preserve"> in Europe</w:t>
      </w:r>
      <w:r w:rsidR="004D4743">
        <w:rPr>
          <w:iCs/>
          <w:lang w:val="en-GB"/>
        </w:rPr>
        <w:t>. E</w:t>
      </w:r>
      <w:r w:rsidR="00CA1B7F">
        <w:rPr>
          <w:iCs/>
          <w:lang w:val="en-GB"/>
        </w:rPr>
        <w:t xml:space="preserve">fforts to change social norms in closed settings </w:t>
      </w:r>
      <w:r w:rsidR="00146117">
        <w:rPr>
          <w:iCs/>
          <w:lang w:val="en-GB"/>
        </w:rPr>
        <w:t xml:space="preserve">targeting groups at risk for smoking initiation or </w:t>
      </w:r>
      <w:r w:rsidR="0036329D">
        <w:rPr>
          <w:iCs/>
          <w:lang w:val="en-GB"/>
        </w:rPr>
        <w:t xml:space="preserve">at risk </w:t>
      </w:r>
      <w:r w:rsidR="00146117">
        <w:rPr>
          <w:iCs/>
          <w:lang w:val="en-GB"/>
        </w:rPr>
        <w:t xml:space="preserve">for increased smoking </w:t>
      </w:r>
      <w:r w:rsidR="0036329D">
        <w:rPr>
          <w:iCs/>
          <w:lang w:val="en-GB"/>
        </w:rPr>
        <w:t>might help</w:t>
      </w:r>
      <w:r w:rsidR="008B1C2E">
        <w:rPr>
          <w:iCs/>
          <w:lang w:val="en-GB"/>
        </w:rPr>
        <w:t xml:space="preserve"> </w:t>
      </w:r>
      <w:r w:rsidR="00DE6986">
        <w:rPr>
          <w:iCs/>
          <w:lang w:val="en-GB"/>
        </w:rPr>
        <w:t xml:space="preserve">address </w:t>
      </w:r>
      <w:r w:rsidR="0036329D">
        <w:rPr>
          <w:iCs/>
          <w:lang w:val="en-GB"/>
        </w:rPr>
        <w:t>current</w:t>
      </w:r>
      <w:r w:rsidR="002B43FE">
        <w:rPr>
          <w:iCs/>
          <w:lang w:val="en-GB"/>
        </w:rPr>
        <w:t>ly</w:t>
      </w:r>
      <w:r w:rsidR="0036329D">
        <w:rPr>
          <w:iCs/>
          <w:lang w:val="en-GB"/>
        </w:rPr>
        <w:t xml:space="preserve"> </w:t>
      </w:r>
      <w:r w:rsidR="00DE6986">
        <w:rPr>
          <w:iCs/>
          <w:lang w:val="en-GB"/>
        </w:rPr>
        <w:t>high rates of smoking</w:t>
      </w:r>
      <w:r w:rsidR="008B1C2E">
        <w:rPr>
          <w:iCs/>
          <w:lang w:val="en-GB"/>
        </w:rPr>
        <w:t xml:space="preserve"> among young</w:t>
      </w:r>
      <w:r w:rsidR="00DE6986">
        <w:rPr>
          <w:iCs/>
          <w:lang w:val="en-GB"/>
        </w:rPr>
        <w:t xml:space="preserve"> European</w:t>
      </w:r>
      <w:r w:rsidR="008B1C2E">
        <w:rPr>
          <w:iCs/>
          <w:lang w:val="en-GB"/>
        </w:rPr>
        <w:t xml:space="preserve"> adults</w:t>
      </w:r>
      <w:r w:rsidR="00146117">
        <w:rPr>
          <w:iCs/>
          <w:lang w:val="en-GB"/>
        </w:rPr>
        <w:t>.</w:t>
      </w:r>
      <w:r w:rsidR="006D241F">
        <w:rPr>
          <w:iCs/>
          <w:lang w:val="en-GB"/>
        </w:rPr>
        <w:t xml:space="preserve"> </w:t>
      </w:r>
    </w:p>
    <w:p w14:paraId="1EDDCB90" w14:textId="64304D29" w:rsidR="00413EBD" w:rsidRDefault="007041D3" w:rsidP="00657176">
      <w:pPr>
        <w:ind w:firstLine="708"/>
        <w:rPr>
          <w:iCs/>
          <w:lang w:val="en-GB"/>
        </w:rPr>
      </w:pPr>
      <w:r>
        <w:rPr>
          <w:iCs/>
          <w:lang w:val="en-GB"/>
        </w:rPr>
        <w:t xml:space="preserve">One </w:t>
      </w:r>
      <w:r w:rsidR="00E5696B">
        <w:rPr>
          <w:iCs/>
          <w:lang w:val="en-GB"/>
        </w:rPr>
        <w:t xml:space="preserve">promising closed setting to target </w:t>
      </w:r>
      <w:r w:rsidR="00847FD5">
        <w:rPr>
          <w:iCs/>
          <w:lang w:val="en-GB"/>
        </w:rPr>
        <w:t xml:space="preserve">social norms </w:t>
      </w:r>
      <w:r w:rsidR="00E5696B">
        <w:rPr>
          <w:iCs/>
          <w:lang w:val="en-GB"/>
        </w:rPr>
        <w:t>is universities</w:t>
      </w:r>
      <w:r>
        <w:rPr>
          <w:iCs/>
          <w:lang w:val="en-GB"/>
        </w:rPr>
        <w:t xml:space="preserve">. </w:t>
      </w:r>
      <w:r w:rsidR="009530C2">
        <w:rPr>
          <w:iCs/>
          <w:lang w:val="en-GB"/>
        </w:rPr>
        <w:t>S</w:t>
      </w:r>
      <w:r w:rsidR="009530C2" w:rsidRPr="009530C2">
        <w:rPr>
          <w:iCs/>
          <w:lang w:val="en-GB"/>
        </w:rPr>
        <w:t>tudents are faced with social and academic challenges</w:t>
      </w:r>
      <w:r w:rsidR="009530C2">
        <w:rPr>
          <w:iCs/>
          <w:lang w:val="en-GB"/>
        </w:rPr>
        <w:t xml:space="preserve"> and pressures when</w:t>
      </w:r>
      <w:r w:rsidR="009530C2" w:rsidRPr="009530C2">
        <w:rPr>
          <w:lang w:val="en-US"/>
        </w:rPr>
        <w:t xml:space="preserve"> </w:t>
      </w:r>
      <w:r w:rsidR="009530C2" w:rsidRPr="009530C2">
        <w:rPr>
          <w:iCs/>
          <w:lang w:val="en-GB"/>
        </w:rPr>
        <w:t>entering university.</w:t>
      </w:r>
      <w:r w:rsidR="009530C2">
        <w:rPr>
          <w:iCs/>
          <w:lang w:val="en-GB"/>
        </w:rPr>
        <w:t xml:space="preserve"> </w:t>
      </w:r>
      <w:r w:rsidR="00B73BC2">
        <w:rPr>
          <w:iCs/>
          <w:lang w:val="en-GB"/>
        </w:rPr>
        <w:t>Strategies to cope with these pressures</w:t>
      </w:r>
      <w:r w:rsidR="009530C2">
        <w:rPr>
          <w:iCs/>
          <w:lang w:val="en-GB"/>
        </w:rPr>
        <w:t xml:space="preserve"> </w:t>
      </w:r>
      <w:r w:rsidR="00D66209">
        <w:rPr>
          <w:iCs/>
          <w:lang w:val="en-GB"/>
        </w:rPr>
        <w:t xml:space="preserve">and to alleviate stress </w:t>
      </w:r>
      <w:r w:rsidR="009530C2">
        <w:rPr>
          <w:iCs/>
          <w:lang w:val="en-GB"/>
        </w:rPr>
        <w:t>also include</w:t>
      </w:r>
      <w:r w:rsidR="001F657E">
        <w:rPr>
          <w:iCs/>
          <w:lang w:val="en-GB"/>
        </w:rPr>
        <w:t xml:space="preserve"> smoking</w:t>
      </w:r>
      <w:r w:rsidR="0036276C">
        <w:rPr>
          <w:iCs/>
          <w:lang w:val="en-GB"/>
        </w:rPr>
        <w:t xml:space="preserve"> </w:t>
      </w:r>
      <w:r w:rsidR="001E3646">
        <w:rPr>
          <w:iCs/>
          <w:lang w:val="en-GB"/>
        </w:rPr>
        <w:t>(</w:t>
      </w:r>
      <w:proofErr w:type="spellStart"/>
      <w:r w:rsidR="001E3646">
        <w:rPr>
          <w:iCs/>
          <w:lang w:val="en-GB"/>
        </w:rPr>
        <w:t>Nichter</w:t>
      </w:r>
      <w:proofErr w:type="spellEnd"/>
      <w:r w:rsidR="001E3646">
        <w:rPr>
          <w:iCs/>
          <w:lang w:val="en-GB"/>
        </w:rPr>
        <w:t xml:space="preserve">, </w:t>
      </w:r>
      <w:proofErr w:type="spellStart"/>
      <w:r w:rsidR="001E3646">
        <w:rPr>
          <w:iCs/>
          <w:lang w:val="en-GB"/>
        </w:rPr>
        <w:t>Nichter</w:t>
      </w:r>
      <w:proofErr w:type="spellEnd"/>
      <w:r w:rsidR="001E3646">
        <w:rPr>
          <w:iCs/>
          <w:lang w:val="en-GB"/>
        </w:rPr>
        <w:t xml:space="preserve">, &amp; </w:t>
      </w:r>
      <w:proofErr w:type="spellStart"/>
      <w:r w:rsidR="001E3646">
        <w:rPr>
          <w:iCs/>
          <w:lang w:val="en-GB"/>
        </w:rPr>
        <w:t>Carkoglu</w:t>
      </w:r>
      <w:proofErr w:type="spellEnd"/>
      <w:r w:rsidR="001E3646">
        <w:rPr>
          <w:iCs/>
          <w:lang w:val="en-GB"/>
        </w:rPr>
        <w:t xml:space="preserve">, 2007; Kassel, Stroud, </w:t>
      </w:r>
      <w:proofErr w:type="spellStart"/>
      <w:r w:rsidR="001E3646">
        <w:rPr>
          <w:iCs/>
          <w:lang w:val="en-GB"/>
        </w:rPr>
        <w:t>Paronis</w:t>
      </w:r>
      <w:proofErr w:type="spellEnd"/>
      <w:r w:rsidR="001E3646">
        <w:rPr>
          <w:iCs/>
          <w:lang w:val="en-GB"/>
        </w:rPr>
        <w:t>, 2003)</w:t>
      </w:r>
      <w:r w:rsidR="009530C2">
        <w:rPr>
          <w:iCs/>
          <w:lang w:val="en-GB"/>
        </w:rPr>
        <w:t xml:space="preserve">. </w:t>
      </w:r>
      <w:r w:rsidR="001F5128" w:rsidRPr="001F5128">
        <w:rPr>
          <w:iCs/>
          <w:lang w:val="en-GB"/>
        </w:rPr>
        <w:t>.</w:t>
      </w:r>
      <w:r w:rsidR="00776A6F">
        <w:rPr>
          <w:iCs/>
          <w:lang w:val="en-GB"/>
        </w:rPr>
        <w:t xml:space="preserve"> </w:t>
      </w:r>
      <w:r w:rsidR="00F327EA">
        <w:rPr>
          <w:iCs/>
          <w:lang w:val="en-GB"/>
        </w:rPr>
        <w:t xml:space="preserve">The role of both, </w:t>
      </w:r>
      <w:r w:rsidR="00F327EA" w:rsidRPr="001F223D">
        <w:rPr>
          <w:i/>
          <w:iCs/>
          <w:lang w:val="en-GB"/>
        </w:rPr>
        <w:t>descriptive</w:t>
      </w:r>
      <w:r w:rsidR="00F327EA">
        <w:rPr>
          <w:iCs/>
          <w:lang w:val="en-GB"/>
        </w:rPr>
        <w:t xml:space="preserve"> </w:t>
      </w:r>
      <w:r w:rsidR="002731ED" w:rsidRPr="001F223D">
        <w:rPr>
          <w:i/>
          <w:iCs/>
          <w:lang w:val="en-GB"/>
        </w:rPr>
        <w:t xml:space="preserve">norms </w:t>
      </w:r>
      <w:r w:rsidR="00F327EA" w:rsidRPr="00280958">
        <w:rPr>
          <w:iCs/>
          <w:lang w:val="en-GB"/>
        </w:rPr>
        <w:t>(</w:t>
      </w:r>
      <w:r w:rsidR="002731ED">
        <w:rPr>
          <w:iCs/>
          <w:lang w:val="en-GB"/>
        </w:rPr>
        <w:t xml:space="preserve">i.e., the </w:t>
      </w:r>
      <w:r w:rsidR="00F327EA" w:rsidRPr="00280958">
        <w:rPr>
          <w:iCs/>
          <w:lang w:val="en-GB"/>
        </w:rPr>
        <w:t xml:space="preserve">perception of quantity and frequency of substance use in the peer group) as well as </w:t>
      </w:r>
      <w:r w:rsidR="00F327EA" w:rsidRPr="001F223D">
        <w:rPr>
          <w:i/>
          <w:iCs/>
          <w:lang w:val="en-GB"/>
        </w:rPr>
        <w:t>injunctive</w:t>
      </w:r>
      <w:r w:rsidR="00F327EA" w:rsidRPr="00280958">
        <w:rPr>
          <w:iCs/>
          <w:lang w:val="en-GB"/>
        </w:rPr>
        <w:t xml:space="preserve"> norms (</w:t>
      </w:r>
      <w:r w:rsidR="002731ED">
        <w:rPr>
          <w:iCs/>
          <w:lang w:val="en-GB"/>
        </w:rPr>
        <w:t xml:space="preserve">i.e., the </w:t>
      </w:r>
      <w:r w:rsidR="00F327EA" w:rsidRPr="00280958">
        <w:rPr>
          <w:iCs/>
          <w:lang w:val="en-GB"/>
        </w:rPr>
        <w:t xml:space="preserve">perception of approval of </w:t>
      </w:r>
      <w:r w:rsidR="00F327EA">
        <w:rPr>
          <w:iCs/>
          <w:lang w:val="en-GB"/>
        </w:rPr>
        <w:t xml:space="preserve">substance </w:t>
      </w:r>
      <w:r w:rsidR="00F327EA" w:rsidRPr="00280958">
        <w:rPr>
          <w:iCs/>
          <w:lang w:val="en-GB"/>
        </w:rPr>
        <w:t>use in the peer group)</w:t>
      </w:r>
      <w:r w:rsidR="00332331">
        <w:rPr>
          <w:iCs/>
          <w:lang w:val="en-GB"/>
        </w:rPr>
        <w:t xml:space="preserve"> (</w:t>
      </w:r>
      <w:proofErr w:type="spellStart"/>
      <w:r w:rsidR="00332331">
        <w:rPr>
          <w:iCs/>
          <w:lang w:val="en-GB"/>
        </w:rPr>
        <w:t>Borsari</w:t>
      </w:r>
      <w:proofErr w:type="spellEnd"/>
      <w:r w:rsidR="00332331">
        <w:rPr>
          <w:iCs/>
          <w:lang w:val="en-GB"/>
        </w:rPr>
        <w:t xml:space="preserve"> &amp; Carey, 2003)</w:t>
      </w:r>
      <w:r w:rsidR="00F327EA" w:rsidRPr="00280958">
        <w:rPr>
          <w:iCs/>
          <w:lang w:val="en-GB"/>
        </w:rPr>
        <w:t xml:space="preserve"> </w:t>
      </w:r>
      <w:r w:rsidR="0099517C">
        <w:rPr>
          <w:iCs/>
          <w:lang w:val="en-GB"/>
        </w:rPr>
        <w:t xml:space="preserve">in predicting personal </w:t>
      </w:r>
      <w:r w:rsidR="002731ED">
        <w:rPr>
          <w:iCs/>
          <w:lang w:val="en-GB"/>
        </w:rPr>
        <w:t xml:space="preserve">tobacco </w:t>
      </w:r>
      <w:r w:rsidR="0099517C">
        <w:rPr>
          <w:iCs/>
          <w:lang w:val="en-GB"/>
        </w:rPr>
        <w:t xml:space="preserve">use </w:t>
      </w:r>
      <w:r w:rsidR="007C5FED">
        <w:rPr>
          <w:iCs/>
          <w:lang w:val="en-GB"/>
        </w:rPr>
        <w:t>has</w:t>
      </w:r>
      <w:r w:rsidR="00F327EA">
        <w:rPr>
          <w:iCs/>
          <w:lang w:val="en-GB"/>
        </w:rPr>
        <w:t xml:space="preserve"> been</w:t>
      </w:r>
      <w:r w:rsidR="0099517C">
        <w:rPr>
          <w:iCs/>
          <w:lang w:val="en-GB"/>
        </w:rPr>
        <w:t xml:space="preserve"> extensively researched at U</w:t>
      </w:r>
      <w:r w:rsidR="00332331">
        <w:rPr>
          <w:iCs/>
          <w:lang w:val="en-GB"/>
        </w:rPr>
        <w:t>.</w:t>
      </w:r>
      <w:r w:rsidR="0099517C">
        <w:rPr>
          <w:iCs/>
          <w:lang w:val="en-GB"/>
        </w:rPr>
        <w:t>S</w:t>
      </w:r>
      <w:r w:rsidR="00332331">
        <w:rPr>
          <w:iCs/>
          <w:lang w:val="en-GB"/>
        </w:rPr>
        <w:t>.</w:t>
      </w:r>
      <w:r w:rsidR="0099517C">
        <w:rPr>
          <w:iCs/>
          <w:lang w:val="en-GB"/>
        </w:rPr>
        <w:t xml:space="preserve"> and Canadian college campuses</w:t>
      </w:r>
      <w:r w:rsidR="002731ED">
        <w:rPr>
          <w:iCs/>
          <w:lang w:val="en-GB"/>
        </w:rPr>
        <w:t xml:space="preserve"> (</w:t>
      </w:r>
      <w:r w:rsidR="003C6B5E">
        <w:rPr>
          <w:iCs/>
          <w:lang w:val="en-GB"/>
        </w:rPr>
        <w:t>e.g., Edwards et al., 2008; Arbour-</w:t>
      </w:r>
      <w:proofErr w:type="spellStart"/>
      <w:r w:rsidR="003C6B5E">
        <w:rPr>
          <w:iCs/>
          <w:lang w:val="en-GB"/>
        </w:rPr>
        <w:t>Nicitopoulos</w:t>
      </w:r>
      <w:proofErr w:type="spellEnd"/>
      <w:r w:rsidR="003C6B5E">
        <w:rPr>
          <w:iCs/>
          <w:lang w:val="en-GB"/>
        </w:rPr>
        <w:t xml:space="preserve">, Kwan, Lowe, Taman, Faulkner, 2010; </w:t>
      </w:r>
      <w:r w:rsidR="00A603EF" w:rsidRPr="00A603EF">
        <w:rPr>
          <w:iCs/>
          <w:lang w:val="en-GB"/>
        </w:rPr>
        <w:t xml:space="preserve">Perkins, </w:t>
      </w:r>
      <w:proofErr w:type="spellStart"/>
      <w:r w:rsidR="00A603EF" w:rsidRPr="00A603EF">
        <w:rPr>
          <w:iCs/>
          <w:lang w:val="en-GB"/>
        </w:rPr>
        <w:t>Meilman</w:t>
      </w:r>
      <w:proofErr w:type="spellEnd"/>
      <w:r w:rsidR="00A603EF" w:rsidRPr="00A603EF">
        <w:rPr>
          <w:iCs/>
          <w:lang w:val="en-GB"/>
        </w:rPr>
        <w:t xml:space="preserve">, </w:t>
      </w:r>
      <w:proofErr w:type="spellStart"/>
      <w:r w:rsidR="00A603EF" w:rsidRPr="00A603EF">
        <w:rPr>
          <w:iCs/>
          <w:lang w:val="en-GB"/>
        </w:rPr>
        <w:t>Leichliter</w:t>
      </w:r>
      <w:proofErr w:type="spellEnd"/>
      <w:r w:rsidR="00A603EF">
        <w:rPr>
          <w:iCs/>
          <w:lang w:val="en-GB"/>
        </w:rPr>
        <w:t xml:space="preserve">, </w:t>
      </w:r>
      <w:proofErr w:type="spellStart"/>
      <w:r w:rsidR="00A603EF" w:rsidRPr="00A603EF">
        <w:rPr>
          <w:iCs/>
          <w:lang w:val="en-GB"/>
        </w:rPr>
        <w:t>Cashin</w:t>
      </w:r>
      <w:proofErr w:type="spellEnd"/>
      <w:r w:rsidR="00A603EF" w:rsidRPr="00A603EF">
        <w:rPr>
          <w:iCs/>
          <w:lang w:val="en-GB"/>
        </w:rPr>
        <w:t xml:space="preserve">, </w:t>
      </w:r>
      <w:r w:rsidR="00A603EF">
        <w:rPr>
          <w:iCs/>
          <w:lang w:val="en-GB"/>
        </w:rPr>
        <w:t xml:space="preserve">&amp; </w:t>
      </w:r>
      <w:r w:rsidR="00A603EF" w:rsidRPr="00A603EF">
        <w:rPr>
          <w:iCs/>
          <w:lang w:val="en-GB"/>
        </w:rPr>
        <w:t>Presley</w:t>
      </w:r>
      <w:r w:rsidR="0054716A">
        <w:rPr>
          <w:iCs/>
          <w:lang w:val="en-GB"/>
        </w:rPr>
        <w:t>, 1999</w:t>
      </w:r>
      <w:r w:rsidR="002731ED">
        <w:rPr>
          <w:iCs/>
          <w:lang w:val="en-GB"/>
        </w:rPr>
        <w:t>)</w:t>
      </w:r>
      <w:r w:rsidR="0099517C">
        <w:rPr>
          <w:iCs/>
          <w:lang w:val="en-GB"/>
        </w:rPr>
        <w:t>.</w:t>
      </w:r>
      <w:r w:rsidR="003C6B5E">
        <w:rPr>
          <w:iCs/>
          <w:lang w:val="en-GB"/>
        </w:rPr>
        <w:t xml:space="preserve"> For example,</w:t>
      </w:r>
      <w:r w:rsidR="0099517C">
        <w:rPr>
          <w:iCs/>
          <w:lang w:val="en-GB"/>
        </w:rPr>
        <w:t xml:space="preserve"> </w:t>
      </w:r>
      <w:r w:rsidR="00B374D1">
        <w:rPr>
          <w:iCs/>
          <w:lang w:val="en-GB"/>
        </w:rPr>
        <w:t xml:space="preserve">Perkins and colleagues (1999) </w:t>
      </w:r>
      <w:r w:rsidR="007C0AE4">
        <w:rPr>
          <w:iCs/>
          <w:lang w:val="en-GB"/>
        </w:rPr>
        <w:t>conducted surveys on substance use</w:t>
      </w:r>
      <w:r w:rsidR="0012523A">
        <w:rPr>
          <w:iCs/>
          <w:lang w:val="en-GB"/>
        </w:rPr>
        <w:t xml:space="preserve">, including tobacco, </w:t>
      </w:r>
      <w:r w:rsidR="007C0AE4">
        <w:rPr>
          <w:iCs/>
          <w:lang w:val="en-GB"/>
        </w:rPr>
        <w:t>at 100 different college campuses and found that respondents substantially overestimated how often average student</w:t>
      </w:r>
      <w:r w:rsidR="00F74536">
        <w:rPr>
          <w:iCs/>
          <w:lang w:val="en-GB"/>
        </w:rPr>
        <w:t xml:space="preserve">s consumed the respective substance. </w:t>
      </w:r>
      <w:r w:rsidR="0022136A">
        <w:rPr>
          <w:iCs/>
          <w:lang w:val="en-GB"/>
        </w:rPr>
        <w:t>On campuses where no use was predominant</w:t>
      </w:r>
      <w:r w:rsidR="00693F4B">
        <w:rPr>
          <w:iCs/>
          <w:lang w:val="en-GB"/>
        </w:rPr>
        <w:t>ly reported by students, only 6.</w:t>
      </w:r>
      <w:r w:rsidR="0022136A">
        <w:rPr>
          <w:iCs/>
          <w:lang w:val="en-GB"/>
        </w:rPr>
        <w:t xml:space="preserve">6% of students accurately perceived that the average student </w:t>
      </w:r>
      <w:r w:rsidR="00467C0C">
        <w:rPr>
          <w:iCs/>
          <w:lang w:val="en-GB"/>
        </w:rPr>
        <w:t>did not consume any tobacco products. Conversely, more than three thirds of students falsely believed that the typical student consumed tobacco weekly</w:t>
      </w:r>
      <w:r w:rsidR="00763C95">
        <w:rPr>
          <w:iCs/>
          <w:lang w:val="en-GB"/>
        </w:rPr>
        <w:t>;</w:t>
      </w:r>
      <w:r w:rsidR="00467C0C">
        <w:rPr>
          <w:iCs/>
          <w:lang w:val="en-GB"/>
        </w:rPr>
        <w:t xml:space="preserve"> </w:t>
      </w:r>
      <w:r w:rsidR="0012523A">
        <w:rPr>
          <w:iCs/>
          <w:lang w:val="en-GB"/>
        </w:rPr>
        <w:t>approximately</w:t>
      </w:r>
      <w:r w:rsidR="00467C0C">
        <w:rPr>
          <w:iCs/>
          <w:lang w:val="en-GB"/>
        </w:rPr>
        <w:t xml:space="preserve"> 50% thought that students at their</w:t>
      </w:r>
      <w:r w:rsidR="008B5B4D">
        <w:rPr>
          <w:iCs/>
          <w:lang w:val="en-GB"/>
        </w:rPr>
        <w:t xml:space="preserve"> campus consumed tobacco daily.</w:t>
      </w:r>
      <w:r w:rsidR="007C0AE4">
        <w:rPr>
          <w:iCs/>
          <w:lang w:val="en-GB"/>
        </w:rPr>
        <w:t xml:space="preserve"> </w:t>
      </w:r>
      <w:r w:rsidR="008B5789">
        <w:rPr>
          <w:iCs/>
          <w:lang w:val="en-GB"/>
        </w:rPr>
        <w:t>Interestingly, inflated misperceptions were also evident at campuses where monthly use of tobacco was common (i.e., median response). Here, ca. 90% of students perceived weekly or daily use as the most typical.</w:t>
      </w:r>
      <w:r w:rsidR="00F327EA">
        <w:rPr>
          <w:iCs/>
          <w:lang w:val="en-GB"/>
        </w:rPr>
        <w:t xml:space="preserve"> </w:t>
      </w:r>
      <w:r w:rsidR="00696AD4">
        <w:rPr>
          <w:iCs/>
          <w:lang w:val="en-GB"/>
        </w:rPr>
        <w:t xml:space="preserve">Similar patterns were observed on campuses of historically black colleges and universities. In a sample of </w:t>
      </w:r>
      <w:r w:rsidR="00167E6A">
        <w:rPr>
          <w:iCs/>
          <w:lang w:val="en-GB"/>
        </w:rPr>
        <w:t>2.277 African-American students, 90% overestimated the rate of smoking among their peers and this overestimation was associated with a &gt;80% increase</w:t>
      </w:r>
      <w:r w:rsidR="0012523A">
        <w:rPr>
          <w:iCs/>
          <w:lang w:val="en-GB"/>
        </w:rPr>
        <w:t>d</w:t>
      </w:r>
      <w:r w:rsidR="00167E6A">
        <w:rPr>
          <w:iCs/>
          <w:lang w:val="en-GB"/>
        </w:rPr>
        <w:t xml:space="preserve"> risk of smoking</w:t>
      </w:r>
      <w:r w:rsidR="0012523A">
        <w:rPr>
          <w:iCs/>
          <w:lang w:val="en-GB"/>
        </w:rPr>
        <w:t xml:space="preserve"> (Edwards et al., 2008)</w:t>
      </w:r>
      <w:r w:rsidR="00167E6A">
        <w:rPr>
          <w:iCs/>
          <w:lang w:val="en-GB"/>
        </w:rPr>
        <w:t xml:space="preserve">. </w:t>
      </w:r>
      <w:r w:rsidR="002768CC">
        <w:rPr>
          <w:iCs/>
          <w:lang w:val="en-GB"/>
        </w:rPr>
        <w:t>Arbour-</w:t>
      </w:r>
      <w:proofErr w:type="spellStart"/>
      <w:r w:rsidR="002768CC">
        <w:rPr>
          <w:iCs/>
          <w:lang w:val="en-GB"/>
        </w:rPr>
        <w:t>Nicitopoulos</w:t>
      </w:r>
      <w:proofErr w:type="spellEnd"/>
      <w:r w:rsidR="00B3589C">
        <w:rPr>
          <w:iCs/>
          <w:lang w:val="en-GB"/>
        </w:rPr>
        <w:t xml:space="preserve"> and colleagues</w:t>
      </w:r>
      <w:r w:rsidR="002768CC">
        <w:rPr>
          <w:iCs/>
          <w:lang w:val="en-GB"/>
        </w:rPr>
        <w:t xml:space="preserve"> (</w:t>
      </w:r>
      <w:r w:rsidR="006F16BF">
        <w:rPr>
          <w:iCs/>
          <w:lang w:val="en-GB"/>
        </w:rPr>
        <w:t xml:space="preserve">2010) surveyed 1.203 Canadian students to assess campus substance use norms. Their results </w:t>
      </w:r>
      <w:r w:rsidR="00763E3E">
        <w:rPr>
          <w:iCs/>
          <w:lang w:val="en-GB"/>
        </w:rPr>
        <w:t>paralleled those in the U</w:t>
      </w:r>
      <w:r w:rsidR="0012523A">
        <w:rPr>
          <w:iCs/>
          <w:lang w:val="en-GB"/>
        </w:rPr>
        <w:t>.</w:t>
      </w:r>
      <w:r w:rsidR="00763E3E">
        <w:rPr>
          <w:iCs/>
          <w:lang w:val="en-GB"/>
        </w:rPr>
        <w:t>S. The majority of respondents reported that the typical student on their campus had used cigarettes in the past month (86.6%).</w:t>
      </w:r>
      <w:r w:rsidR="00F658AC">
        <w:rPr>
          <w:iCs/>
          <w:lang w:val="en-GB"/>
        </w:rPr>
        <w:t xml:space="preserve"> Further, this </w:t>
      </w:r>
      <w:r w:rsidR="0087289E">
        <w:rPr>
          <w:iCs/>
          <w:lang w:val="en-GB"/>
        </w:rPr>
        <w:t xml:space="preserve">perception was associated with </w:t>
      </w:r>
      <w:r w:rsidR="0012523A">
        <w:rPr>
          <w:iCs/>
          <w:lang w:val="en-GB"/>
        </w:rPr>
        <w:t>a three</w:t>
      </w:r>
      <w:r w:rsidR="00F658AC">
        <w:rPr>
          <w:iCs/>
          <w:lang w:val="en-GB"/>
        </w:rPr>
        <w:t xml:space="preserve"> times increased likelihood to use cigarettes.</w:t>
      </w:r>
      <w:r w:rsidR="008460F6">
        <w:rPr>
          <w:iCs/>
          <w:lang w:val="en-GB"/>
        </w:rPr>
        <w:t xml:space="preserve"> Thus, at </w:t>
      </w:r>
      <w:r w:rsidR="00253078">
        <w:rPr>
          <w:iCs/>
          <w:lang w:val="en-GB"/>
        </w:rPr>
        <w:t xml:space="preserve">North-American campuses, students tend to overestimate smoking </w:t>
      </w:r>
      <w:r w:rsidR="0012523A">
        <w:rPr>
          <w:iCs/>
          <w:lang w:val="en-GB"/>
        </w:rPr>
        <w:t>in their</w:t>
      </w:r>
      <w:r w:rsidR="00253078">
        <w:rPr>
          <w:iCs/>
          <w:lang w:val="en-GB"/>
        </w:rPr>
        <w:t xml:space="preserve"> peers</w:t>
      </w:r>
      <w:r w:rsidR="00677A1C">
        <w:rPr>
          <w:iCs/>
          <w:lang w:val="en-GB"/>
        </w:rPr>
        <w:t xml:space="preserve"> and </w:t>
      </w:r>
      <w:r w:rsidR="0012523A">
        <w:rPr>
          <w:iCs/>
          <w:lang w:val="en-GB"/>
        </w:rPr>
        <w:t xml:space="preserve">these </w:t>
      </w:r>
      <w:r w:rsidR="00677A1C">
        <w:rPr>
          <w:iCs/>
          <w:lang w:val="en-GB"/>
        </w:rPr>
        <w:t>descriptive norms</w:t>
      </w:r>
      <w:r w:rsidR="0012523A">
        <w:rPr>
          <w:iCs/>
          <w:lang w:val="en-GB"/>
        </w:rPr>
        <w:t xml:space="preserve"> appear to influence personal use </w:t>
      </w:r>
      <w:r w:rsidR="0036675E">
        <w:rPr>
          <w:iCs/>
          <w:lang w:val="en-GB"/>
        </w:rPr>
        <w:t>as well as initiation of use.</w:t>
      </w:r>
      <w:r w:rsidR="00677A1C">
        <w:rPr>
          <w:iCs/>
          <w:lang w:val="en-GB"/>
        </w:rPr>
        <w:t xml:space="preserve"> </w:t>
      </w:r>
    </w:p>
    <w:p w14:paraId="2557C7FC" w14:textId="0CF54605" w:rsidR="00647FE7" w:rsidRDefault="0087289E" w:rsidP="001F223D">
      <w:pPr>
        <w:ind w:firstLine="708"/>
        <w:rPr>
          <w:iCs/>
          <w:lang w:val="en-GB"/>
        </w:rPr>
      </w:pPr>
      <w:r>
        <w:rPr>
          <w:iCs/>
          <w:lang w:val="en-GB"/>
        </w:rPr>
        <w:t xml:space="preserve">Injunctive norms </w:t>
      </w:r>
      <w:r w:rsidR="00521CF2">
        <w:rPr>
          <w:iCs/>
          <w:lang w:val="en-GB"/>
        </w:rPr>
        <w:t>ha</w:t>
      </w:r>
      <w:r w:rsidR="00E023A9">
        <w:rPr>
          <w:iCs/>
          <w:lang w:val="en-GB"/>
        </w:rPr>
        <w:t>ve</w:t>
      </w:r>
      <w:r w:rsidR="00521CF2">
        <w:rPr>
          <w:iCs/>
          <w:lang w:val="en-GB"/>
        </w:rPr>
        <w:t xml:space="preserve"> been widely researched in regard to alcohol</w:t>
      </w:r>
      <w:r w:rsidR="00887BFB">
        <w:rPr>
          <w:iCs/>
          <w:lang w:val="en-GB"/>
        </w:rPr>
        <w:t xml:space="preserve"> </w:t>
      </w:r>
      <w:r w:rsidR="00E023A9">
        <w:rPr>
          <w:iCs/>
          <w:lang w:val="en-GB"/>
        </w:rPr>
        <w:t xml:space="preserve">use </w:t>
      </w:r>
      <w:r w:rsidR="00887BFB">
        <w:rPr>
          <w:iCs/>
          <w:lang w:val="en-GB"/>
        </w:rPr>
        <w:t>(</w:t>
      </w:r>
      <w:r w:rsidR="0017019A">
        <w:rPr>
          <w:iCs/>
          <w:lang w:val="en-GB"/>
        </w:rPr>
        <w:t xml:space="preserve">e.g., </w:t>
      </w:r>
      <w:proofErr w:type="spellStart"/>
      <w:r w:rsidR="0017019A">
        <w:rPr>
          <w:lang w:val="en-US"/>
        </w:rPr>
        <w:t>Borsari</w:t>
      </w:r>
      <w:proofErr w:type="spellEnd"/>
      <w:r w:rsidR="0017019A">
        <w:rPr>
          <w:lang w:val="en-US"/>
        </w:rPr>
        <w:t xml:space="preserve"> &amp; </w:t>
      </w:r>
      <w:r w:rsidR="002E689E">
        <w:rPr>
          <w:lang w:val="en-US"/>
        </w:rPr>
        <w:t>Carey</w:t>
      </w:r>
      <w:r w:rsidR="0017019A">
        <w:rPr>
          <w:lang w:val="en-US"/>
        </w:rPr>
        <w:t xml:space="preserve">, 2003; </w:t>
      </w:r>
      <w:r w:rsidR="0017019A" w:rsidRPr="001F223D">
        <w:rPr>
          <w:lang w:val="en-US"/>
        </w:rPr>
        <w:t xml:space="preserve">Neighbors, Lee, Lewis, </w:t>
      </w:r>
      <w:proofErr w:type="spellStart"/>
      <w:r w:rsidR="0017019A" w:rsidRPr="001F223D">
        <w:rPr>
          <w:lang w:val="en-US"/>
        </w:rPr>
        <w:t>Fossos</w:t>
      </w:r>
      <w:proofErr w:type="spellEnd"/>
      <w:r w:rsidR="0017019A" w:rsidRPr="001F223D">
        <w:rPr>
          <w:lang w:val="en-US"/>
        </w:rPr>
        <w:t>, &amp; Larimer, 2007</w:t>
      </w:r>
      <w:r w:rsidR="007C0244">
        <w:rPr>
          <w:lang w:val="en-US"/>
        </w:rPr>
        <w:t>; Garnett,</w:t>
      </w:r>
      <w:r w:rsidR="004910C1">
        <w:rPr>
          <w:lang w:val="en-US"/>
        </w:rPr>
        <w:t xml:space="preserve"> Crane, West, </w:t>
      </w:r>
      <w:proofErr w:type="spellStart"/>
      <w:r w:rsidR="004910C1">
        <w:rPr>
          <w:lang w:val="en-US"/>
        </w:rPr>
        <w:t>Michie</w:t>
      </w:r>
      <w:proofErr w:type="spellEnd"/>
      <w:r w:rsidR="004910C1">
        <w:rPr>
          <w:lang w:val="en-US"/>
        </w:rPr>
        <w:t xml:space="preserve">, Brown, &amp; </w:t>
      </w:r>
      <w:proofErr w:type="spellStart"/>
      <w:r w:rsidR="004910C1">
        <w:rPr>
          <w:lang w:val="en-US"/>
        </w:rPr>
        <w:t>Winstock</w:t>
      </w:r>
      <w:proofErr w:type="spellEnd"/>
      <w:r w:rsidR="004910C1">
        <w:rPr>
          <w:lang w:val="en-US"/>
        </w:rPr>
        <w:t>,</w:t>
      </w:r>
      <w:r w:rsidR="007C0244">
        <w:rPr>
          <w:lang w:val="en-US"/>
        </w:rPr>
        <w:t xml:space="preserve"> 2015</w:t>
      </w:r>
      <w:r w:rsidR="00887BFB">
        <w:rPr>
          <w:lang w:val="en-US"/>
        </w:rPr>
        <w:t>)</w:t>
      </w:r>
      <w:r w:rsidR="00E023A9">
        <w:rPr>
          <w:lang w:val="en-US"/>
        </w:rPr>
        <w:t>, however; studies investigating their role regarding tobacco use remain sparse.</w:t>
      </w:r>
      <w:r w:rsidR="00521CF2">
        <w:rPr>
          <w:iCs/>
          <w:lang w:val="en-GB"/>
        </w:rPr>
        <w:t xml:space="preserve"> </w:t>
      </w:r>
      <w:r w:rsidR="00E023A9">
        <w:rPr>
          <w:iCs/>
          <w:lang w:val="en-GB"/>
        </w:rPr>
        <w:t>One</w:t>
      </w:r>
      <w:r w:rsidR="00521CF2">
        <w:rPr>
          <w:iCs/>
          <w:lang w:val="en-GB"/>
        </w:rPr>
        <w:t xml:space="preserve"> French study </w:t>
      </w:r>
      <w:r w:rsidR="00E023A9">
        <w:rPr>
          <w:iCs/>
          <w:lang w:val="en-GB"/>
        </w:rPr>
        <w:t>looked at the association between</w:t>
      </w:r>
      <w:r w:rsidR="00AF0257">
        <w:rPr>
          <w:iCs/>
          <w:lang w:val="en-GB"/>
        </w:rPr>
        <w:t xml:space="preserve"> </w:t>
      </w:r>
      <w:r w:rsidR="00521CF2" w:rsidRPr="001F223D">
        <w:rPr>
          <w:i/>
          <w:iCs/>
          <w:lang w:val="en-GB"/>
        </w:rPr>
        <w:t>proximal</w:t>
      </w:r>
      <w:r w:rsidR="00521CF2">
        <w:rPr>
          <w:iCs/>
          <w:lang w:val="en-GB"/>
        </w:rPr>
        <w:t xml:space="preserve"> </w:t>
      </w:r>
      <w:r w:rsidR="00B34205">
        <w:rPr>
          <w:iCs/>
          <w:lang w:val="en-GB"/>
        </w:rPr>
        <w:t xml:space="preserve">(friends’ approval) and </w:t>
      </w:r>
      <w:r w:rsidR="00B34205" w:rsidRPr="001F223D">
        <w:rPr>
          <w:i/>
          <w:iCs/>
          <w:lang w:val="en-GB"/>
        </w:rPr>
        <w:t xml:space="preserve">distal </w:t>
      </w:r>
      <w:r w:rsidR="00483A43">
        <w:rPr>
          <w:iCs/>
          <w:lang w:val="en-GB"/>
        </w:rPr>
        <w:t>(students’ approval)</w:t>
      </w:r>
      <w:r w:rsidR="00C90B37">
        <w:rPr>
          <w:iCs/>
          <w:lang w:val="en-GB"/>
        </w:rPr>
        <w:t xml:space="preserve"> </w:t>
      </w:r>
      <w:r w:rsidR="00C90B37" w:rsidRPr="001F223D">
        <w:rPr>
          <w:i/>
          <w:iCs/>
          <w:lang w:val="en-GB"/>
        </w:rPr>
        <w:t>injunctive</w:t>
      </w:r>
      <w:r w:rsidR="00483A43" w:rsidRPr="001F223D">
        <w:rPr>
          <w:i/>
          <w:iCs/>
          <w:lang w:val="en-GB"/>
        </w:rPr>
        <w:t xml:space="preserve"> </w:t>
      </w:r>
      <w:r w:rsidR="00521CF2" w:rsidRPr="001F223D">
        <w:rPr>
          <w:i/>
          <w:iCs/>
          <w:lang w:val="en-GB"/>
        </w:rPr>
        <w:t>peer norms</w:t>
      </w:r>
      <w:r w:rsidR="00521CF2">
        <w:rPr>
          <w:iCs/>
          <w:lang w:val="en-GB"/>
        </w:rPr>
        <w:t xml:space="preserve"> </w:t>
      </w:r>
      <w:r w:rsidR="00E023A9">
        <w:rPr>
          <w:iCs/>
          <w:lang w:val="en-GB"/>
        </w:rPr>
        <w:t>and smoking status and quantity of cigarettes smoked by smokers</w:t>
      </w:r>
      <w:r w:rsidR="00B34205">
        <w:rPr>
          <w:iCs/>
          <w:lang w:val="en-GB"/>
        </w:rPr>
        <w:t xml:space="preserve"> (</w:t>
      </w:r>
      <w:proofErr w:type="spellStart"/>
      <w:r w:rsidR="004169A3" w:rsidRPr="004169A3">
        <w:rPr>
          <w:iCs/>
          <w:lang w:val="en-GB"/>
        </w:rPr>
        <w:t>Riou</w:t>
      </w:r>
      <w:proofErr w:type="spellEnd"/>
      <w:r w:rsidR="004169A3" w:rsidRPr="004169A3">
        <w:rPr>
          <w:iCs/>
          <w:lang w:val="en-GB"/>
        </w:rPr>
        <w:t xml:space="preserve"> Franca, </w:t>
      </w:r>
      <w:proofErr w:type="spellStart"/>
      <w:r w:rsidR="004169A3" w:rsidRPr="004169A3">
        <w:rPr>
          <w:iCs/>
          <w:lang w:val="en-GB"/>
        </w:rPr>
        <w:t>Dautzenberg</w:t>
      </w:r>
      <w:proofErr w:type="spellEnd"/>
      <w:r w:rsidR="004169A3" w:rsidRPr="004169A3">
        <w:rPr>
          <w:iCs/>
          <w:lang w:val="en-GB"/>
        </w:rPr>
        <w:t xml:space="preserve">, </w:t>
      </w:r>
      <w:proofErr w:type="spellStart"/>
      <w:r w:rsidR="004169A3" w:rsidRPr="004169A3">
        <w:rPr>
          <w:iCs/>
          <w:lang w:val="en-GB"/>
        </w:rPr>
        <w:t>Falissard</w:t>
      </w:r>
      <w:proofErr w:type="spellEnd"/>
      <w:r w:rsidR="004169A3" w:rsidRPr="004169A3">
        <w:rPr>
          <w:iCs/>
          <w:lang w:val="en-GB"/>
        </w:rPr>
        <w:t>, &amp; Reynaud, 2009</w:t>
      </w:r>
      <w:r w:rsidR="00B34205">
        <w:rPr>
          <w:iCs/>
          <w:lang w:val="en-GB"/>
        </w:rPr>
        <w:t>)</w:t>
      </w:r>
      <w:r w:rsidR="00E023A9">
        <w:rPr>
          <w:iCs/>
          <w:lang w:val="en-GB"/>
        </w:rPr>
        <w:t xml:space="preserve">. </w:t>
      </w:r>
      <w:r w:rsidR="002B7144" w:rsidRPr="002B7144">
        <w:rPr>
          <w:iCs/>
          <w:lang w:val="en-GB"/>
        </w:rPr>
        <w:t>The perception that friends approve of regular smoking was not associated with smoking status, but with a greater quantity of cigarettes consumed by current smokers (</w:t>
      </w:r>
      <w:proofErr w:type="spellStart"/>
      <w:r w:rsidR="002B7144" w:rsidRPr="002B7144">
        <w:rPr>
          <w:iCs/>
          <w:lang w:val="en-GB"/>
        </w:rPr>
        <w:t>Riou</w:t>
      </w:r>
      <w:proofErr w:type="spellEnd"/>
      <w:r w:rsidR="002B7144" w:rsidRPr="002B7144">
        <w:rPr>
          <w:iCs/>
          <w:lang w:val="en-GB"/>
        </w:rPr>
        <w:t xml:space="preserve"> Fran</w:t>
      </w:r>
      <w:r w:rsidR="0074219F">
        <w:rPr>
          <w:iCs/>
          <w:lang w:val="en-GB"/>
        </w:rPr>
        <w:t>c</w:t>
      </w:r>
      <w:r w:rsidR="002B7144" w:rsidRPr="002B7144">
        <w:rPr>
          <w:iCs/>
          <w:lang w:val="en-GB"/>
        </w:rPr>
        <w:t xml:space="preserve">a, </w:t>
      </w:r>
      <w:proofErr w:type="spellStart"/>
      <w:r w:rsidR="002B7144" w:rsidRPr="002B7144">
        <w:rPr>
          <w:iCs/>
          <w:lang w:val="en-GB"/>
        </w:rPr>
        <w:t>Dautzenberg</w:t>
      </w:r>
      <w:proofErr w:type="spellEnd"/>
      <w:r w:rsidR="002B7144" w:rsidRPr="002B7144">
        <w:rPr>
          <w:iCs/>
          <w:lang w:val="en-GB"/>
        </w:rPr>
        <w:t xml:space="preserve">, </w:t>
      </w:r>
      <w:proofErr w:type="spellStart"/>
      <w:r w:rsidR="002B7144" w:rsidRPr="002B7144">
        <w:rPr>
          <w:iCs/>
          <w:lang w:val="en-GB"/>
        </w:rPr>
        <w:t>Falissard</w:t>
      </w:r>
      <w:proofErr w:type="spellEnd"/>
      <w:r w:rsidR="002B7144" w:rsidRPr="002B7144">
        <w:rPr>
          <w:iCs/>
          <w:lang w:val="en-GB"/>
        </w:rPr>
        <w:t>, &amp; Reynaud, 2009).</w:t>
      </w:r>
      <w:r w:rsidR="009C34A9">
        <w:rPr>
          <w:iCs/>
          <w:lang w:val="en-GB"/>
        </w:rPr>
        <w:t xml:space="preserve">. </w:t>
      </w:r>
    </w:p>
    <w:p w14:paraId="1CD7B6E6" w14:textId="0BCF47E1" w:rsidR="0076502B" w:rsidRDefault="0076502B" w:rsidP="00895A33">
      <w:pPr>
        <w:rPr>
          <w:iCs/>
          <w:lang w:val="en-GB"/>
        </w:rPr>
      </w:pPr>
    </w:p>
    <w:p w14:paraId="13D18B75" w14:textId="14E189A5" w:rsidR="006962B6" w:rsidRDefault="005C73AB" w:rsidP="00101DD4">
      <w:pPr>
        <w:rPr>
          <w:iCs/>
          <w:lang w:val="en-US"/>
        </w:rPr>
      </w:pPr>
      <w:r>
        <w:rPr>
          <w:iCs/>
          <w:lang w:val="en-GB"/>
        </w:rPr>
        <w:t>In sum, d</w:t>
      </w:r>
      <w:r w:rsidR="004E36EE" w:rsidRPr="004E36EE">
        <w:rPr>
          <w:iCs/>
          <w:lang w:val="en-GB"/>
        </w:rPr>
        <w:t xml:space="preserve">ata on </w:t>
      </w:r>
      <w:r w:rsidR="00AC4DDC">
        <w:rPr>
          <w:iCs/>
          <w:lang w:val="en-GB"/>
        </w:rPr>
        <w:t>descriptive and injunctive</w:t>
      </w:r>
      <w:r w:rsidR="004E36EE" w:rsidRPr="004E36EE">
        <w:rPr>
          <w:iCs/>
          <w:lang w:val="en-GB"/>
        </w:rPr>
        <w:t xml:space="preserve"> tobacco norms among European students</w:t>
      </w:r>
      <w:r w:rsidR="003C4AE3">
        <w:rPr>
          <w:iCs/>
          <w:lang w:val="en-GB"/>
        </w:rPr>
        <w:t xml:space="preserve"> </w:t>
      </w:r>
      <w:r w:rsidR="009B5548">
        <w:rPr>
          <w:iCs/>
          <w:lang w:val="en-GB"/>
        </w:rPr>
        <w:t>remain</w:t>
      </w:r>
      <w:r w:rsidR="004E36EE" w:rsidRPr="004E36EE">
        <w:rPr>
          <w:iCs/>
          <w:lang w:val="en-GB"/>
        </w:rPr>
        <w:t xml:space="preserve"> sparse</w:t>
      </w:r>
      <w:r w:rsidR="00864DCE" w:rsidRPr="00864DCE">
        <w:rPr>
          <w:iCs/>
          <w:lang w:val="en-GB"/>
        </w:rPr>
        <w:t xml:space="preserve"> </w:t>
      </w:r>
      <w:r w:rsidR="00864DCE">
        <w:rPr>
          <w:iCs/>
          <w:lang w:val="en-GB"/>
        </w:rPr>
        <w:t>and there is a</w:t>
      </w:r>
      <w:r w:rsidR="00864DCE" w:rsidRPr="009D4821">
        <w:rPr>
          <w:iCs/>
          <w:lang w:val="en-GB"/>
        </w:rPr>
        <w:t xml:space="preserve"> lack of work addressing </w:t>
      </w:r>
      <w:r w:rsidR="00864DCE">
        <w:rPr>
          <w:iCs/>
          <w:lang w:val="en-GB"/>
        </w:rPr>
        <w:t xml:space="preserve">social norms on </w:t>
      </w:r>
      <w:r w:rsidR="00864DCE" w:rsidRPr="009D4821">
        <w:rPr>
          <w:iCs/>
          <w:lang w:val="en-GB"/>
        </w:rPr>
        <w:t xml:space="preserve">tobacco use </w:t>
      </w:r>
      <w:r w:rsidR="000A21D1">
        <w:rPr>
          <w:iCs/>
          <w:lang w:val="en-GB"/>
        </w:rPr>
        <w:t>(</w:t>
      </w:r>
      <w:proofErr w:type="spellStart"/>
      <w:r w:rsidR="000A21D1">
        <w:rPr>
          <w:iCs/>
          <w:lang w:val="en-GB"/>
        </w:rPr>
        <w:t>McAlaney</w:t>
      </w:r>
      <w:proofErr w:type="spellEnd"/>
      <w:r w:rsidR="000A21D1">
        <w:rPr>
          <w:iCs/>
          <w:lang w:val="en-GB"/>
        </w:rPr>
        <w:t xml:space="preserve">, Hughes, &amp; </w:t>
      </w:r>
      <w:proofErr w:type="spellStart"/>
      <w:r w:rsidR="000A21D1">
        <w:rPr>
          <w:iCs/>
          <w:lang w:val="en-GB"/>
        </w:rPr>
        <w:t>Bewick</w:t>
      </w:r>
      <w:proofErr w:type="spellEnd"/>
      <w:r w:rsidR="000A21D1">
        <w:rPr>
          <w:iCs/>
          <w:lang w:val="en-GB"/>
        </w:rPr>
        <w:t>, 2011)</w:t>
      </w:r>
      <w:r w:rsidR="005C4244">
        <w:rPr>
          <w:iCs/>
          <w:lang w:val="en-GB"/>
        </w:rPr>
        <w:t xml:space="preserve">. </w:t>
      </w:r>
      <w:r>
        <w:rPr>
          <w:iCs/>
          <w:lang w:val="en-GB"/>
        </w:rPr>
        <w:t xml:space="preserve">Hence, </w:t>
      </w:r>
      <w:r>
        <w:rPr>
          <w:iCs/>
          <w:lang w:val="en-US"/>
        </w:rPr>
        <w:t>t</w:t>
      </w:r>
      <w:r w:rsidR="008A27BF" w:rsidRPr="008A27BF">
        <w:rPr>
          <w:iCs/>
          <w:lang w:val="en-US"/>
        </w:rPr>
        <w:t xml:space="preserve">he </w:t>
      </w:r>
      <w:r w:rsidR="00012C2C">
        <w:rPr>
          <w:iCs/>
          <w:lang w:val="en-US"/>
        </w:rPr>
        <w:t>current</w:t>
      </w:r>
      <w:r w:rsidR="00012C2C" w:rsidRPr="008A27BF">
        <w:rPr>
          <w:iCs/>
          <w:lang w:val="en-US"/>
        </w:rPr>
        <w:t xml:space="preserve"> </w:t>
      </w:r>
      <w:r w:rsidR="00012C2C">
        <w:rPr>
          <w:iCs/>
          <w:lang w:val="en-US"/>
        </w:rPr>
        <w:t>paper</w:t>
      </w:r>
      <w:r w:rsidR="008A27BF" w:rsidRPr="008A27BF">
        <w:rPr>
          <w:iCs/>
          <w:lang w:val="en-US"/>
        </w:rPr>
        <w:t xml:space="preserve"> </w:t>
      </w:r>
      <w:r w:rsidR="0093663A">
        <w:rPr>
          <w:iCs/>
          <w:lang w:val="en-US"/>
        </w:rPr>
        <w:t xml:space="preserve">aimed </w:t>
      </w:r>
      <w:r w:rsidR="00B86736">
        <w:rPr>
          <w:iCs/>
          <w:lang w:val="en-US"/>
        </w:rPr>
        <w:t xml:space="preserve">to </w:t>
      </w:r>
      <w:r w:rsidR="00DE6DC2" w:rsidRPr="00DE6DC2">
        <w:rPr>
          <w:iCs/>
          <w:lang w:val="en-US"/>
        </w:rPr>
        <w:t xml:space="preserve">investigate </w:t>
      </w:r>
      <w:r>
        <w:rPr>
          <w:iCs/>
          <w:lang w:val="en-US"/>
        </w:rPr>
        <w:t xml:space="preserve">descriptive and injunctive norms </w:t>
      </w:r>
      <w:r w:rsidR="00864DCE">
        <w:rPr>
          <w:iCs/>
          <w:lang w:val="en-US"/>
        </w:rPr>
        <w:t xml:space="preserve">among college and university students </w:t>
      </w:r>
      <w:r>
        <w:rPr>
          <w:iCs/>
          <w:lang w:val="en-US"/>
        </w:rPr>
        <w:t xml:space="preserve">and their association with personal tobacco use comparing </w:t>
      </w:r>
      <w:r w:rsidR="006962B6">
        <w:rPr>
          <w:iCs/>
          <w:lang w:val="en-US"/>
        </w:rPr>
        <w:t xml:space="preserve">baseline </w:t>
      </w:r>
      <w:r w:rsidR="008F6C78">
        <w:rPr>
          <w:iCs/>
          <w:lang w:val="en-US"/>
        </w:rPr>
        <w:t xml:space="preserve">data </w:t>
      </w:r>
      <w:r w:rsidR="00864DCE">
        <w:rPr>
          <w:iCs/>
          <w:lang w:val="en-US"/>
        </w:rPr>
        <w:t xml:space="preserve">of the </w:t>
      </w:r>
      <w:r w:rsidR="00864DCE" w:rsidRPr="00930B10">
        <w:rPr>
          <w:iCs/>
          <w:lang w:val="en-US"/>
        </w:rPr>
        <w:t xml:space="preserve">‘Social Norms Intervention for the prevention of </w:t>
      </w:r>
      <w:proofErr w:type="spellStart"/>
      <w:r w:rsidR="00864DCE" w:rsidRPr="00930B10">
        <w:rPr>
          <w:iCs/>
          <w:lang w:val="en-US"/>
        </w:rPr>
        <w:t>Polydrug</w:t>
      </w:r>
      <w:proofErr w:type="spellEnd"/>
      <w:r w:rsidR="00864DCE" w:rsidRPr="00930B10">
        <w:rPr>
          <w:iCs/>
          <w:lang w:val="en-US"/>
        </w:rPr>
        <w:t xml:space="preserve"> </w:t>
      </w:r>
      <w:proofErr w:type="spellStart"/>
      <w:r w:rsidR="00864DCE" w:rsidRPr="00930B10">
        <w:rPr>
          <w:iCs/>
          <w:lang w:val="en-US"/>
        </w:rPr>
        <w:t>usE</w:t>
      </w:r>
      <w:proofErr w:type="spellEnd"/>
      <w:r w:rsidR="00864DCE" w:rsidRPr="00930B10">
        <w:rPr>
          <w:iCs/>
          <w:lang w:val="en-US"/>
        </w:rPr>
        <w:t xml:space="preserve">’ </w:t>
      </w:r>
      <w:r w:rsidR="00864DCE">
        <w:rPr>
          <w:iCs/>
          <w:lang w:val="en-US"/>
        </w:rPr>
        <w:t xml:space="preserve">(SNIPE) </w:t>
      </w:r>
      <w:r w:rsidR="00864DCE" w:rsidRPr="00930B10">
        <w:rPr>
          <w:iCs/>
          <w:lang w:val="en-US"/>
        </w:rPr>
        <w:t>study</w:t>
      </w:r>
      <w:r w:rsidR="00864DCE">
        <w:rPr>
          <w:iCs/>
          <w:lang w:val="en-US"/>
        </w:rPr>
        <w:t>, a feasibility study conducted in seven</w:t>
      </w:r>
      <w:r>
        <w:rPr>
          <w:iCs/>
          <w:lang w:val="en-US"/>
        </w:rPr>
        <w:t xml:space="preserve"> European countries</w:t>
      </w:r>
      <w:r w:rsidR="00864DCE">
        <w:rPr>
          <w:iCs/>
          <w:lang w:val="en-US"/>
        </w:rPr>
        <w:t xml:space="preserve"> (for further detail, see below)</w:t>
      </w:r>
      <w:r>
        <w:rPr>
          <w:iCs/>
          <w:lang w:val="en-US"/>
        </w:rPr>
        <w:t xml:space="preserve">. </w:t>
      </w:r>
      <w:r w:rsidR="00101DD4">
        <w:rPr>
          <w:iCs/>
          <w:lang w:val="en-US"/>
        </w:rPr>
        <w:t>Specifically, we investigated</w:t>
      </w:r>
      <w:r w:rsidR="00101DD4" w:rsidRPr="00B42BBF">
        <w:rPr>
          <w:iCs/>
          <w:lang w:val="en-US"/>
        </w:rPr>
        <w:t xml:space="preserve"> possible self-other discrepancies regarding personal use and attitudes towards use and evaluate</w:t>
      </w:r>
      <w:r w:rsidR="00101DD4">
        <w:rPr>
          <w:iCs/>
          <w:lang w:val="en-US"/>
        </w:rPr>
        <w:t>d</w:t>
      </w:r>
      <w:r w:rsidR="00101DD4" w:rsidRPr="00B42BBF">
        <w:rPr>
          <w:iCs/>
          <w:lang w:val="en-US"/>
        </w:rPr>
        <w:t xml:space="preserve"> if perceptions of peer use and peer approval of use </w:t>
      </w:r>
      <w:r w:rsidR="00101DD4">
        <w:rPr>
          <w:iCs/>
          <w:lang w:val="en-US"/>
        </w:rPr>
        <w:t>were</w:t>
      </w:r>
      <w:r w:rsidR="00101DD4" w:rsidRPr="00B42BBF">
        <w:rPr>
          <w:iCs/>
          <w:lang w:val="en-US"/>
        </w:rPr>
        <w:t xml:space="preserve"> associated with personal use and approval of tobacco use.</w:t>
      </w:r>
      <w:r w:rsidR="00101DD4">
        <w:rPr>
          <w:iCs/>
          <w:lang w:val="en-US"/>
        </w:rPr>
        <w:t xml:space="preserve"> </w:t>
      </w:r>
      <w:r w:rsidR="006962B6" w:rsidRPr="000E65B7">
        <w:rPr>
          <w:iCs/>
          <w:lang w:val="en-US"/>
        </w:rPr>
        <w:t xml:space="preserve">Based on the </w:t>
      </w:r>
      <w:r w:rsidR="006962B6">
        <w:rPr>
          <w:iCs/>
          <w:lang w:val="en-US"/>
        </w:rPr>
        <w:t xml:space="preserve">literature </w:t>
      </w:r>
      <w:r w:rsidR="00F56E75">
        <w:rPr>
          <w:iCs/>
          <w:lang w:val="en-US"/>
        </w:rPr>
        <w:t>(</w:t>
      </w:r>
      <w:proofErr w:type="spellStart"/>
      <w:r w:rsidR="00F56E75">
        <w:rPr>
          <w:iCs/>
          <w:lang w:val="en-US"/>
        </w:rPr>
        <w:t>Riou</w:t>
      </w:r>
      <w:proofErr w:type="spellEnd"/>
      <w:r w:rsidR="00F56E75">
        <w:rPr>
          <w:iCs/>
          <w:lang w:val="en-US"/>
        </w:rPr>
        <w:t xml:space="preserve"> Franca, </w:t>
      </w:r>
      <w:proofErr w:type="spellStart"/>
      <w:r w:rsidR="00F56E75">
        <w:rPr>
          <w:iCs/>
          <w:lang w:val="en-US"/>
        </w:rPr>
        <w:t>Dautzenberg</w:t>
      </w:r>
      <w:proofErr w:type="spellEnd"/>
      <w:r w:rsidR="00F56E75">
        <w:rPr>
          <w:iCs/>
          <w:lang w:val="en-US"/>
        </w:rPr>
        <w:t xml:space="preserve">, </w:t>
      </w:r>
      <w:proofErr w:type="spellStart"/>
      <w:r w:rsidR="00F56E75">
        <w:rPr>
          <w:iCs/>
          <w:lang w:val="en-US"/>
        </w:rPr>
        <w:t>Falissard</w:t>
      </w:r>
      <w:proofErr w:type="spellEnd"/>
      <w:r w:rsidR="00F56E75">
        <w:rPr>
          <w:iCs/>
          <w:lang w:val="en-US"/>
        </w:rPr>
        <w:t xml:space="preserve">, &amp; Reynaud, 2009; </w:t>
      </w:r>
      <w:proofErr w:type="spellStart"/>
      <w:r w:rsidR="00F56E75">
        <w:rPr>
          <w:iCs/>
          <w:lang w:val="en-US"/>
        </w:rPr>
        <w:t>Arbour-Nicitopoulos</w:t>
      </w:r>
      <w:proofErr w:type="spellEnd"/>
      <w:r w:rsidR="00F56E75">
        <w:rPr>
          <w:iCs/>
          <w:lang w:val="en-US"/>
        </w:rPr>
        <w:t>, Kwan, Lowe, Taman, &amp; Faulkner, 2010)</w:t>
      </w:r>
      <w:r w:rsidR="006962B6" w:rsidRPr="000E65B7">
        <w:rPr>
          <w:iCs/>
          <w:lang w:val="en-US"/>
        </w:rPr>
        <w:t>, we expect</w:t>
      </w:r>
      <w:r w:rsidR="006962B6">
        <w:rPr>
          <w:iCs/>
          <w:lang w:val="en-US"/>
        </w:rPr>
        <w:t>ed</w:t>
      </w:r>
      <w:r w:rsidR="006962B6" w:rsidRPr="000E65B7">
        <w:rPr>
          <w:iCs/>
          <w:lang w:val="en-US"/>
        </w:rPr>
        <w:t xml:space="preserve"> to find self-other discrepancies of perceptions of use and approval of tobacco among European university students and higher odds for engaging in smoking behavior in students with a perception that the majority of their peers uses and</w:t>
      </w:r>
      <w:r w:rsidR="006962B6">
        <w:rPr>
          <w:iCs/>
          <w:lang w:val="en-US"/>
        </w:rPr>
        <w:t>/or</w:t>
      </w:r>
      <w:r w:rsidR="006962B6" w:rsidRPr="000E65B7">
        <w:rPr>
          <w:iCs/>
          <w:lang w:val="en-US"/>
        </w:rPr>
        <w:t xml:space="preserve"> approves of tobacco</w:t>
      </w:r>
      <w:r w:rsidR="006962B6">
        <w:rPr>
          <w:iCs/>
          <w:lang w:val="en-US"/>
        </w:rPr>
        <w:t xml:space="preserve"> use</w:t>
      </w:r>
      <w:r w:rsidR="006962B6" w:rsidRPr="000E65B7">
        <w:rPr>
          <w:iCs/>
          <w:lang w:val="en-US"/>
        </w:rPr>
        <w:t>.</w:t>
      </w:r>
      <w:r w:rsidR="006962B6">
        <w:rPr>
          <w:iCs/>
          <w:lang w:val="en-US"/>
        </w:rPr>
        <w:t xml:space="preserve"> </w:t>
      </w:r>
    </w:p>
    <w:p w14:paraId="2D09612C" w14:textId="77777777" w:rsidR="00635779" w:rsidRDefault="00635779" w:rsidP="00DE6DC2">
      <w:pPr>
        <w:rPr>
          <w:lang w:val="en-GB"/>
        </w:rPr>
      </w:pPr>
    </w:p>
    <w:p w14:paraId="5BE1AF0C" w14:textId="65693F68" w:rsidR="008F3134" w:rsidRPr="001F223D" w:rsidRDefault="00537481" w:rsidP="001F223D">
      <w:pPr>
        <w:pStyle w:val="ListParagraph"/>
        <w:numPr>
          <w:ilvl w:val="1"/>
          <w:numId w:val="8"/>
        </w:numPr>
        <w:rPr>
          <w:b/>
          <w:iCs/>
          <w:lang w:val="en-GB"/>
        </w:rPr>
      </w:pPr>
      <w:r w:rsidRPr="001F223D">
        <w:rPr>
          <w:b/>
          <w:iCs/>
          <w:lang w:val="en-GB"/>
        </w:rPr>
        <w:t xml:space="preserve">MATERIALS AND </w:t>
      </w:r>
      <w:r w:rsidR="009F3136" w:rsidRPr="001F223D">
        <w:rPr>
          <w:b/>
          <w:iCs/>
          <w:lang w:val="en-GB"/>
        </w:rPr>
        <w:t>METHODS</w:t>
      </w:r>
    </w:p>
    <w:p w14:paraId="7158D536" w14:textId="4C013BB6" w:rsidR="008F3134" w:rsidRPr="001F223D" w:rsidRDefault="0060477C" w:rsidP="001F223D">
      <w:pPr>
        <w:rPr>
          <w:b/>
          <w:iCs/>
          <w:lang w:val="en-GB"/>
        </w:rPr>
      </w:pPr>
      <w:r>
        <w:rPr>
          <w:b/>
          <w:iCs/>
          <w:lang w:val="en-GB"/>
        </w:rPr>
        <w:t xml:space="preserve">1.2.1 </w:t>
      </w:r>
      <w:r w:rsidR="008F3134" w:rsidRPr="001F223D">
        <w:rPr>
          <w:b/>
          <w:iCs/>
          <w:lang w:val="en-GB"/>
        </w:rPr>
        <w:t>Data:</w:t>
      </w:r>
    </w:p>
    <w:p w14:paraId="77F86E54" w14:textId="08F1362E" w:rsidR="008F3134" w:rsidRPr="009D6381" w:rsidRDefault="000903BA" w:rsidP="001F223D">
      <w:pPr>
        <w:ind w:firstLine="360"/>
        <w:rPr>
          <w:rFonts w:cs="Arial"/>
          <w:lang w:val="en-GB"/>
        </w:rPr>
      </w:pPr>
      <w:r w:rsidRPr="000903BA">
        <w:rPr>
          <w:iCs/>
          <w:lang w:val="en-GB"/>
        </w:rPr>
        <w:t xml:space="preserve">This paper focuses on baseline </w:t>
      </w:r>
      <w:r>
        <w:rPr>
          <w:iCs/>
          <w:lang w:val="en-GB"/>
        </w:rPr>
        <w:t>data</w:t>
      </w:r>
      <w:r w:rsidRPr="000903BA">
        <w:rPr>
          <w:iCs/>
          <w:lang w:val="en-GB"/>
        </w:rPr>
        <w:t xml:space="preserve"> regarding tobacco use </w:t>
      </w:r>
      <w:r w:rsidR="00080A4E">
        <w:rPr>
          <w:iCs/>
          <w:lang w:val="en-GB"/>
        </w:rPr>
        <w:t>assessed in the</w:t>
      </w:r>
      <w:r w:rsidRPr="000903BA">
        <w:rPr>
          <w:iCs/>
          <w:lang w:val="en-GB"/>
        </w:rPr>
        <w:t xml:space="preserve"> SNIPE study, </w:t>
      </w:r>
      <w:r w:rsidRPr="000E65B7">
        <w:rPr>
          <w:iCs/>
          <w:lang w:val="en-GB"/>
        </w:rPr>
        <w:t xml:space="preserve">a multi-national </w:t>
      </w:r>
      <w:r w:rsidR="00F9335F" w:rsidRPr="000E65B7">
        <w:rPr>
          <w:iCs/>
          <w:lang w:val="en-GB"/>
        </w:rPr>
        <w:t>cluster-controlled intervention trial</w:t>
      </w:r>
      <w:r w:rsidRPr="000E65B7">
        <w:rPr>
          <w:iCs/>
          <w:lang w:val="en-GB"/>
        </w:rPr>
        <w:t xml:space="preserve"> </w:t>
      </w:r>
      <w:r w:rsidR="00F9335F" w:rsidRPr="000E65B7">
        <w:rPr>
          <w:iCs/>
          <w:lang w:val="en-GB"/>
        </w:rPr>
        <w:t xml:space="preserve">to examine the feasibility </w:t>
      </w:r>
      <w:r w:rsidRPr="000E65B7">
        <w:rPr>
          <w:iCs/>
          <w:lang w:val="en-GB"/>
        </w:rPr>
        <w:t>of a</w:t>
      </w:r>
      <w:r w:rsidRPr="000903BA">
        <w:rPr>
          <w:iCs/>
          <w:lang w:val="en-GB"/>
        </w:rPr>
        <w:t xml:space="preserve"> web-based, personalized social norms feedback intervention for </w:t>
      </w:r>
      <w:proofErr w:type="spellStart"/>
      <w:r w:rsidRPr="000903BA">
        <w:rPr>
          <w:iCs/>
          <w:lang w:val="en-GB"/>
        </w:rPr>
        <w:t>polydrug</w:t>
      </w:r>
      <w:proofErr w:type="spellEnd"/>
      <w:r w:rsidRPr="000903BA">
        <w:rPr>
          <w:iCs/>
          <w:lang w:val="en-GB"/>
        </w:rPr>
        <w:t xml:space="preserve"> use in university students. </w:t>
      </w:r>
      <w:r w:rsidR="008F3134" w:rsidRPr="009D6381">
        <w:rPr>
          <w:iCs/>
          <w:lang w:val="en-GB"/>
        </w:rPr>
        <w:t>A</w:t>
      </w:r>
      <w:r w:rsidR="008F3134">
        <w:rPr>
          <w:iCs/>
          <w:lang w:val="en-GB"/>
        </w:rPr>
        <w:t>n</w:t>
      </w:r>
      <w:r w:rsidR="008F3134" w:rsidRPr="009D6381">
        <w:rPr>
          <w:iCs/>
          <w:lang w:val="en-GB"/>
        </w:rPr>
        <w:t xml:space="preserve"> </w:t>
      </w:r>
      <w:r w:rsidR="008F3134">
        <w:rPr>
          <w:iCs/>
          <w:lang w:val="en-GB"/>
        </w:rPr>
        <w:t>overview</w:t>
      </w:r>
      <w:r w:rsidR="008F3134" w:rsidRPr="009D6381">
        <w:rPr>
          <w:iCs/>
          <w:lang w:val="en-GB"/>
        </w:rPr>
        <w:t xml:space="preserve"> of the </w:t>
      </w:r>
      <w:r w:rsidR="00B3414A">
        <w:rPr>
          <w:iCs/>
          <w:lang w:val="en-GB"/>
        </w:rPr>
        <w:t xml:space="preserve">entire </w:t>
      </w:r>
      <w:r w:rsidR="005B2FC3">
        <w:rPr>
          <w:iCs/>
          <w:lang w:val="en-GB"/>
        </w:rPr>
        <w:t>study</w:t>
      </w:r>
      <w:r w:rsidR="000C2AC0">
        <w:rPr>
          <w:iCs/>
          <w:lang w:val="en-GB"/>
        </w:rPr>
        <w:t>,</w:t>
      </w:r>
      <w:r w:rsidR="00B3414A">
        <w:rPr>
          <w:iCs/>
          <w:lang w:val="en-GB"/>
        </w:rPr>
        <w:t xml:space="preserve"> including </w:t>
      </w:r>
      <w:r w:rsidR="007C7480">
        <w:rPr>
          <w:iCs/>
          <w:lang w:val="en-GB"/>
        </w:rPr>
        <w:t xml:space="preserve">a description of </w:t>
      </w:r>
      <w:r w:rsidR="00B3414A">
        <w:rPr>
          <w:iCs/>
          <w:lang w:val="en-GB"/>
        </w:rPr>
        <w:t xml:space="preserve">all work </w:t>
      </w:r>
      <w:r w:rsidR="003367C2">
        <w:rPr>
          <w:iCs/>
          <w:lang w:val="en-GB"/>
        </w:rPr>
        <w:t>packages</w:t>
      </w:r>
      <w:r w:rsidR="007C7480">
        <w:rPr>
          <w:iCs/>
          <w:lang w:val="en-GB"/>
        </w:rPr>
        <w:t xml:space="preserve">, </w:t>
      </w:r>
      <w:r w:rsidR="000533F0">
        <w:rPr>
          <w:iCs/>
          <w:lang w:val="en-GB"/>
        </w:rPr>
        <w:t xml:space="preserve">the </w:t>
      </w:r>
      <w:r w:rsidR="007C7480">
        <w:rPr>
          <w:iCs/>
          <w:lang w:val="en-GB"/>
        </w:rPr>
        <w:t xml:space="preserve">recruitment </w:t>
      </w:r>
      <w:r w:rsidR="007964A6">
        <w:rPr>
          <w:iCs/>
          <w:lang w:val="en-GB"/>
        </w:rPr>
        <w:t xml:space="preserve">(including settings and locations) </w:t>
      </w:r>
      <w:r w:rsidR="000533F0">
        <w:rPr>
          <w:iCs/>
          <w:lang w:val="en-GB"/>
        </w:rPr>
        <w:t>for the study</w:t>
      </w:r>
      <w:r w:rsidR="007C7480">
        <w:rPr>
          <w:iCs/>
          <w:lang w:val="en-GB"/>
        </w:rPr>
        <w:t>, the registration process and the intervention</w:t>
      </w:r>
      <w:r w:rsidR="000C2AC0">
        <w:rPr>
          <w:iCs/>
          <w:lang w:val="en-GB"/>
        </w:rPr>
        <w:t>,</w:t>
      </w:r>
      <w:r w:rsidR="007C7480">
        <w:rPr>
          <w:iCs/>
          <w:lang w:val="en-GB"/>
        </w:rPr>
        <w:t xml:space="preserve"> </w:t>
      </w:r>
      <w:r w:rsidR="000533F0">
        <w:rPr>
          <w:iCs/>
          <w:lang w:val="en-GB"/>
        </w:rPr>
        <w:t>is</w:t>
      </w:r>
      <w:r w:rsidR="008F3134" w:rsidRPr="009D6381">
        <w:rPr>
          <w:iCs/>
          <w:lang w:val="en-GB"/>
        </w:rPr>
        <w:t xml:space="preserve"> provided elsewhere </w:t>
      </w:r>
      <w:r w:rsidR="00C24044">
        <w:rPr>
          <w:iCs/>
          <w:lang w:val="en-GB"/>
        </w:rPr>
        <w:t>(</w:t>
      </w:r>
      <w:proofErr w:type="spellStart"/>
      <w:r w:rsidR="00C24044">
        <w:rPr>
          <w:iCs/>
          <w:lang w:val="en-GB"/>
        </w:rPr>
        <w:t>Pischke</w:t>
      </w:r>
      <w:proofErr w:type="spellEnd"/>
      <w:r w:rsidR="00C24044">
        <w:rPr>
          <w:iCs/>
          <w:lang w:val="en-GB"/>
        </w:rPr>
        <w:t xml:space="preserve"> et al., 2012; Helmer et al., 2014)</w:t>
      </w:r>
      <w:r w:rsidR="008F3134" w:rsidRPr="009D6381">
        <w:rPr>
          <w:iCs/>
          <w:lang w:val="en-GB"/>
        </w:rPr>
        <w:t xml:space="preserve">. </w:t>
      </w:r>
      <w:r w:rsidR="009F1CE0">
        <w:rPr>
          <w:iCs/>
          <w:lang w:val="en-GB"/>
        </w:rPr>
        <w:t>Study registration started</w:t>
      </w:r>
      <w:r w:rsidR="008520D6">
        <w:rPr>
          <w:iCs/>
          <w:lang w:val="en-GB"/>
        </w:rPr>
        <w:t xml:space="preserve"> October 25</w:t>
      </w:r>
      <w:r w:rsidR="008520D6" w:rsidRPr="007224A2">
        <w:rPr>
          <w:iCs/>
          <w:vertAlign w:val="superscript"/>
          <w:lang w:val="en-GB"/>
        </w:rPr>
        <w:t>th</w:t>
      </w:r>
      <w:r w:rsidR="007224A2">
        <w:rPr>
          <w:iCs/>
          <w:lang w:val="en-GB"/>
        </w:rPr>
        <w:t xml:space="preserve"> 2011. </w:t>
      </w:r>
      <w:r w:rsidR="009F1CE0">
        <w:rPr>
          <w:iCs/>
          <w:lang w:val="en-GB"/>
        </w:rPr>
        <w:t>Students</w:t>
      </w:r>
      <w:r w:rsidR="007224A2">
        <w:rPr>
          <w:iCs/>
          <w:lang w:val="en-GB"/>
        </w:rPr>
        <w:t xml:space="preserve"> </w:t>
      </w:r>
      <w:r w:rsidR="009F1CE0">
        <w:rPr>
          <w:iCs/>
          <w:lang w:val="en-GB"/>
        </w:rPr>
        <w:t>could fill</w:t>
      </w:r>
      <w:r w:rsidR="00FC12CA">
        <w:rPr>
          <w:iCs/>
          <w:lang w:val="en-GB"/>
        </w:rPr>
        <w:t xml:space="preserve"> in</w:t>
      </w:r>
      <w:r w:rsidR="007224A2">
        <w:rPr>
          <w:iCs/>
          <w:lang w:val="en-GB"/>
        </w:rPr>
        <w:t xml:space="preserve"> the baseline survey </w:t>
      </w:r>
      <w:r w:rsidR="005C1997">
        <w:rPr>
          <w:iCs/>
          <w:lang w:val="en-GB"/>
        </w:rPr>
        <w:t>from mid-January – mid February 2012</w:t>
      </w:r>
      <w:r w:rsidR="00FC12CA">
        <w:rPr>
          <w:iCs/>
          <w:lang w:val="en-GB"/>
        </w:rPr>
        <w:t xml:space="preserve">. Baseline recruitment was completed </w:t>
      </w:r>
      <w:r w:rsidR="000C2AC0">
        <w:rPr>
          <w:iCs/>
          <w:lang w:val="en-GB"/>
        </w:rPr>
        <w:t>in all countries by m</w:t>
      </w:r>
      <w:r w:rsidR="00FC12CA">
        <w:rPr>
          <w:iCs/>
          <w:lang w:val="en-GB"/>
        </w:rPr>
        <w:t>id-June 2012.</w:t>
      </w:r>
      <w:r w:rsidR="00FC12CA" w:rsidRPr="00FC12CA">
        <w:rPr>
          <w:rStyle w:val="CommentReference"/>
          <w:lang w:val="en-US"/>
        </w:rPr>
        <w:t xml:space="preserve"> </w:t>
      </w:r>
      <w:r w:rsidR="00341B86" w:rsidRPr="000E65B7">
        <w:rPr>
          <w:iCs/>
          <w:lang w:val="en-GB"/>
        </w:rPr>
        <w:t>Students were eligible for the study if they were over 18 years of age</w:t>
      </w:r>
      <w:r w:rsidR="005C1997">
        <w:rPr>
          <w:iCs/>
          <w:lang w:val="en-GB"/>
        </w:rPr>
        <w:t>,</w:t>
      </w:r>
      <w:r w:rsidR="00CC2831" w:rsidRPr="000E65B7">
        <w:rPr>
          <w:iCs/>
          <w:lang w:val="en-GB"/>
        </w:rPr>
        <w:t xml:space="preserve"> enrolled at their respective university and </w:t>
      </w:r>
      <w:r w:rsidR="005C1997">
        <w:rPr>
          <w:iCs/>
          <w:lang w:val="en-GB"/>
        </w:rPr>
        <w:t xml:space="preserve">if they </w:t>
      </w:r>
      <w:r w:rsidR="00CC2831" w:rsidRPr="000E65B7">
        <w:rPr>
          <w:iCs/>
          <w:lang w:val="en-GB"/>
        </w:rPr>
        <w:t xml:space="preserve">had </w:t>
      </w:r>
      <w:r w:rsidR="00FC12CA" w:rsidRPr="000E65B7">
        <w:rPr>
          <w:iCs/>
          <w:lang w:val="en-GB"/>
        </w:rPr>
        <w:t>an e-mail address</w:t>
      </w:r>
      <w:r w:rsidR="00341B86" w:rsidRPr="000E65B7">
        <w:rPr>
          <w:iCs/>
          <w:lang w:val="en-GB"/>
        </w:rPr>
        <w:t>.</w:t>
      </w:r>
      <w:r w:rsidR="00A25820">
        <w:rPr>
          <w:iCs/>
          <w:lang w:val="en-GB"/>
        </w:rPr>
        <w:t xml:space="preserve"> All s</w:t>
      </w:r>
      <w:r w:rsidR="00366774">
        <w:rPr>
          <w:iCs/>
          <w:lang w:val="en-GB"/>
        </w:rPr>
        <w:t>tudents were invited to participate in the study via a website</w:t>
      </w:r>
      <w:r w:rsidR="008313BA">
        <w:rPr>
          <w:iCs/>
          <w:lang w:val="en-GB"/>
        </w:rPr>
        <w:t>. T</w:t>
      </w:r>
      <w:r w:rsidR="00A25820">
        <w:rPr>
          <w:iCs/>
          <w:lang w:val="en-GB"/>
        </w:rPr>
        <w:t>hose agreeing to participate self-selected to the study.</w:t>
      </w:r>
      <w:r w:rsidR="00366774">
        <w:rPr>
          <w:iCs/>
          <w:lang w:val="en-GB"/>
        </w:rPr>
        <w:t xml:space="preserve"> </w:t>
      </w:r>
      <w:r w:rsidR="00F87A36">
        <w:rPr>
          <w:iCs/>
          <w:lang w:val="en-GB"/>
        </w:rPr>
        <w:t xml:space="preserve">Briefly, </w:t>
      </w:r>
      <w:r w:rsidR="005B2FC3">
        <w:rPr>
          <w:iCs/>
          <w:lang w:val="en-GB"/>
        </w:rPr>
        <w:t xml:space="preserve">the </w:t>
      </w:r>
      <w:r w:rsidR="008F3134" w:rsidRPr="009D6381">
        <w:rPr>
          <w:iCs/>
          <w:lang w:val="en-GB"/>
        </w:rPr>
        <w:t>SNIPE</w:t>
      </w:r>
      <w:r w:rsidR="005B2FC3">
        <w:rPr>
          <w:iCs/>
          <w:lang w:val="en-GB"/>
        </w:rPr>
        <w:t xml:space="preserve"> study</w:t>
      </w:r>
      <w:r w:rsidR="008F3134">
        <w:rPr>
          <w:iCs/>
          <w:lang w:val="en-GB"/>
        </w:rPr>
        <w:t xml:space="preserve"> </w:t>
      </w:r>
      <w:r w:rsidR="008F3134">
        <w:rPr>
          <w:rFonts w:cs="Arial"/>
          <w:lang w:val="en-GB"/>
        </w:rPr>
        <w:t>involved</w:t>
      </w:r>
      <w:r w:rsidR="008F3134" w:rsidRPr="009D6381">
        <w:rPr>
          <w:rFonts w:cs="Arial"/>
          <w:lang w:val="en-GB"/>
        </w:rPr>
        <w:t xml:space="preserve"> the development of a personalised feedback website</w:t>
      </w:r>
      <w:r w:rsidR="008F3134">
        <w:rPr>
          <w:rFonts w:cs="Arial"/>
          <w:lang w:val="en-GB"/>
        </w:rPr>
        <w:t xml:space="preserve"> for substance use</w:t>
      </w:r>
      <w:r w:rsidR="008F3134" w:rsidRPr="009D6381">
        <w:rPr>
          <w:rFonts w:cs="Arial"/>
          <w:lang w:val="en-GB"/>
        </w:rPr>
        <w:t xml:space="preserve"> for students from universities in Belgium, Denmark, Germany, the Slovak Republic, Spain, Turkey and the United Kingdom.</w:t>
      </w:r>
      <w:r w:rsidR="008F3134">
        <w:rPr>
          <w:rFonts w:cs="Arial"/>
          <w:lang w:val="en-GB"/>
        </w:rPr>
        <w:t xml:space="preserve"> Th</w:t>
      </w:r>
      <w:r w:rsidR="00F328A6">
        <w:rPr>
          <w:rFonts w:cs="Arial"/>
          <w:lang w:val="en-GB"/>
        </w:rPr>
        <w:t>e</w:t>
      </w:r>
      <w:r w:rsidR="008F3134">
        <w:rPr>
          <w:rFonts w:cs="Arial"/>
          <w:lang w:val="en-GB"/>
        </w:rPr>
        <w:t xml:space="preserve"> survey included questions on the student’s personal use of </w:t>
      </w:r>
      <w:r w:rsidR="006020AB">
        <w:rPr>
          <w:rFonts w:cs="Arial"/>
          <w:lang w:val="en-GB"/>
        </w:rPr>
        <w:t>tobacco and other</w:t>
      </w:r>
      <w:r w:rsidR="008F3134">
        <w:rPr>
          <w:rFonts w:cs="Arial"/>
          <w:lang w:val="en-GB"/>
        </w:rPr>
        <w:t xml:space="preserve"> licit and illicit substances, their attitudes towards the use of these substances and their perceptions of their peers’ substance use behaviours and attitudes. Demographic data, including participant’s age, gender, </w:t>
      </w:r>
      <w:r w:rsidR="008F3134" w:rsidRPr="009D6381">
        <w:rPr>
          <w:lang w:val="en-GB"/>
        </w:rPr>
        <w:t>migrant status, year</w:t>
      </w:r>
      <w:r w:rsidR="008F3134">
        <w:rPr>
          <w:lang w:val="en-GB"/>
        </w:rPr>
        <w:t xml:space="preserve"> of study</w:t>
      </w:r>
      <w:r w:rsidR="008F3134" w:rsidRPr="009D6381">
        <w:rPr>
          <w:lang w:val="en-GB"/>
        </w:rPr>
        <w:t xml:space="preserve"> and living situation</w:t>
      </w:r>
      <w:r w:rsidR="008F3134">
        <w:rPr>
          <w:lang w:val="en-GB"/>
        </w:rPr>
        <w:t xml:space="preserve"> (with other students or not) were also collected. </w:t>
      </w:r>
      <w:r w:rsidR="008F3134" w:rsidRPr="000A7539">
        <w:rPr>
          <w:iCs/>
          <w:lang w:val="en-GB"/>
        </w:rPr>
        <w:t xml:space="preserve">Study </w:t>
      </w:r>
      <w:r w:rsidR="008F3134" w:rsidRPr="000A7539">
        <w:rPr>
          <w:lang w:val="en-GB"/>
        </w:rPr>
        <w:t>participation was voluntary.</w:t>
      </w:r>
      <w:r w:rsidR="008F3134">
        <w:rPr>
          <w:lang w:val="en-GB"/>
        </w:rPr>
        <w:t xml:space="preserve"> Research ethical approval was obtained from each </w:t>
      </w:r>
      <w:r w:rsidR="00DC6B5A">
        <w:rPr>
          <w:lang w:val="en-GB"/>
        </w:rPr>
        <w:t>site</w:t>
      </w:r>
      <w:r w:rsidR="008F3134">
        <w:rPr>
          <w:lang w:val="en-GB"/>
        </w:rPr>
        <w:t xml:space="preserve"> involved in the </w:t>
      </w:r>
      <w:r w:rsidR="00B84615">
        <w:rPr>
          <w:lang w:val="en-GB"/>
        </w:rPr>
        <w:t>study</w:t>
      </w:r>
      <w:r w:rsidR="008F3134">
        <w:rPr>
          <w:lang w:val="en-GB"/>
        </w:rPr>
        <w:t>.</w:t>
      </w:r>
    </w:p>
    <w:p w14:paraId="10AD7425" w14:textId="77777777" w:rsidR="008F3134" w:rsidRDefault="008F3134" w:rsidP="008F3134">
      <w:pPr>
        <w:rPr>
          <w:iCs/>
          <w:lang w:val="en-GB"/>
        </w:rPr>
      </w:pPr>
    </w:p>
    <w:p w14:paraId="694D6B02" w14:textId="665C8BF5" w:rsidR="008F3134" w:rsidRPr="00605AA1" w:rsidRDefault="00537481" w:rsidP="008F3134">
      <w:pPr>
        <w:rPr>
          <w:b/>
          <w:iCs/>
          <w:lang w:val="en-GB"/>
        </w:rPr>
      </w:pPr>
      <w:r>
        <w:rPr>
          <w:b/>
          <w:iCs/>
          <w:lang w:val="en-GB"/>
        </w:rPr>
        <w:t>1.2</w:t>
      </w:r>
      <w:r w:rsidR="0060477C">
        <w:rPr>
          <w:b/>
          <w:iCs/>
          <w:lang w:val="en-GB"/>
        </w:rPr>
        <w:t>.2</w:t>
      </w:r>
      <w:r>
        <w:rPr>
          <w:b/>
          <w:iCs/>
          <w:lang w:val="en-GB"/>
        </w:rPr>
        <w:t xml:space="preserve"> </w:t>
      </w:r>
      <w:r w:rsidR="008F3134" w:rsidRPr="00605AA1">
        <w:rPr>
          <w:b/>
          <w:iCs/>
          <w:lang w:val="en-GB"/>
        </w:rPr>
        <w:t>Measurements:</w:t>
      </w:r>
    </w:p>
    <w:p w14:paraId="5A0F1513" w14:textId="26ECE8CB" w:rsidR="008F3134" w:rsidRPr="00343748" w:rsidRDefault="008F3134" w:rsidP="001F223D">
      <w:pPr>
        <w:ind w:firstLine="708"/>
        <w:rPr>
          <w:rFonts w:eastAsia="SimSun"/>
          <w:i/>
          <w:lang w:val="en-GB" w:eastAsia="zh-CN"/>
        </w:rPr>
      </w:pPr>
      <w:r w:rsidRPr="009D6381">
        <w:rPr>
          <w:iCs/>
          <w:lang w:val="en-GB"/>
        </w:rPr>
        <w:t xml:space="preserve">To </w:t>
      </w:r>
      <w:r>
        <w:rPr>
          <w:iCs/>
          <w:lang w:val="en-GB"/>
        </w:rPr>
        <w:t>measure</w:t>
      </w:r>
      <w:r w:rsidRPr="009D6381">
        <w:rPr>
          <w:iCs/>
          <w:lang w:val="en-GB"/>
        </w:rPr>
        <w:t xml:space="preserve"> personal </w:t>
      </w:r>
      <w:r w:rsidR="009C58F3">
        <w:rPr>
          <w:iCs/>
          <w:lang w:val="en-GB"/>
        </w:rPr>
        <w:t>use of tobacco products</w:t>
      </w:r>
      <w:r>
        <w:rPr>
          <w:iCs/>
          <w:lang w:val="en-GB"/>
        </w:rPr>
        <w:t>,</w:t>
      </w:r>
      <w:r w:rsidRPr="009D6381">
        <w:rPr>
          <w:iCs/>
          <w:lang w:val="en-GB"/>
        </w:rPr>
        <w:t xml:space="preserve"> students were asked </w:t>
      </w:r>
      <w:r w:rsidR="009E3C3D" w:rsidRPr="000E65B7">
        <w:rPr>
          <w:iCs/>
          <w:lang w:val="en-GB"/>
        </w:rPr>
        <w:t>in an online survey</w:t>
      </w:r>
      <w:r w:rsidR="009E3C3D">
        <w:rPr>
          <w:iCs/>
          <w:lang w:val="en-GB"/>
        </w:rPr>
        <w:t xml:space="preserve"> </w:t>
      </w:r>
      <w:r>
        <w:rPr>
          <w:iCs/>
          <w:lang w:val="en-GB"/>
        </w:rPr>
        <w:t>how often they used</w:t>
      </w:r>
      <w:r w:rsidRPr="009D6381">
        <w:rPr>
          <w:iCs/>
          <w:lang w:val="en-GB"/>
        </w:rPr>
        <w:t xml:space="preserve"> </w:t>
      </w:r>
      <w:r w:rsidR="00657F91">
        <w:rPr>
          <w:iCs/>
          <w:lang w:val="en-GB"/>
        </w:rPr>
        <w:t>tobacco</w:t>
      </w:r>
      <w:r w:rsidR="000D5FBD">
        <w:rPr>
          <w:iCs/>
          <w:lang w:val="en-GB"/>
        </w:rPr>
        <w:t xml:space="preserve"> </w:t>
      </w:r>
      <w:r w:rsidR="000D5FBD" w:rsidRPr="009C58F3">
        <w:rPr>
          <w:lang w:val="en-US"/>
        </w:rPr>
        <w:t>(cigarettes, chewing tobacco, cigars, etc.)</w:t>
      </w:r>
      <w:r w:rsidR="00657F91">
        <w:rPr>
          <w:iCs/>
          <w:lang w:val="en-GB"/>
        </w:rPr>
        <w:t xml:space="preserve">. </w:t>
      </w:r>
      <w:r w:rsidRPr="009D6381">
        <w:rPr>
          <w:iCs/>
          <w:lang w:val="en-GB"/>
        </w:rPr>
        <w:t xml:space="preserve">Response options </w:t>
      </w:r>
      <w:r>
        <w:rPr>
          <w:iCs/>
          <w:lang w:val="en-GB"/>
        </w:rPr>
        <w:t>ranged from</w:t>
      </w:r>
      <w:r w:rsidRPr="009D6381">
        <w:rPr>
          <w:iCs/>
          <w:lang w:val="en-GB"/>
        </w:rPr>
        <w:t xml:space="preserve"> </w:t>
      </w:r>
      <w:r w:rsidR="00C65AE5">
        <w:rPr>
          <w:iCs/>
          <w:lang w:val="en-GB"/>
        </w:rPr>
        <w:t>‘n</w:t>
      </w:r>
      <w:r w:rsidR="00C65AE5" w:rsidRPr="00C65AE5">
        <w:rPr>
          <w:rFonts w:eastAsia="SimSun"/>
          <w:lang w:val="en-GB" w:eastAsia="zh-CN"/>
        </w:rPr>
        <w:t>ever in my life</w:t>
      </w:r>
      <w:r w:rsidR="00C65AE5">
        <w:rPr>
          <w:rFonts w:eastAsia="SimSun"/>
          <w:lang w:val="en-GB" w:eastAsia="zh-CN"/>
        </w:rPr>
        <w:t>’ to ‘every day or nearly every day in the last two months</w:t>
      </w:r>
      <w:r w:rsidR="009F0F54">
        <w:rPr>
          <w:rFonts w:eastAsia="SimSun"/>
          <w:lang w:val="en-GB" w:eastAsia="zh-CN"/>
        </w:rPr>
        <w:t>’</w:t>
      </w:r>
      <w:r w:rsidR="00044997" w:rsidRPr="009F0F54">
        <w:rPr>
          <w:rFonts w:eastAsia="SimSun"/>
          <w:lang w:val="en-GB" w:eastAsia="zh-CN"/>
        </w:rPr>
        <w:t xml:space="preserve">. For this analysis, </w:t>
      </w:r>
      <w:r w:rsidR="00FD5E9F" w:rsidRPr="009F0F54">
        <w:rPr>
          <w:rFonts w:eastAsia="SimSun"/>
          <w:lang w:val="en-GB" w:eastAsia="zh-CN"/>
        </w:rPr>
        <w:t xml:space="preserve">four </w:t>
      </w:r>
      <w:r w:rsidR="00044997" w:rsidRPr="009F0F54">
        <w:rPr>
          <w:rFonts w:eastAsia="SimSun"/>
          <w:lang w:val="en-GB" w:eastAsia="zh-CN"/>
        </w:rPr>
        <w:t xml:space="preserve">categories </w:t>
      </w:r>
      <w:r w:rsidR="00D44142">
        <w:rPr>
          <w:rFonts w:eastAsia="SimSun"/>
          <w:lang w:val="en-GB" w:eastAsia="zh-CN"/>
        </w:rPr>
        <w:t xml:space="preserve">of tobacco use </w:t>
      </w:r>
      <w:r w:rsidR="00044997" w:rsidRPr="009F0F54">
        <w:rPr>
          <w:rFonts w:eastAsia="SimSun"/>
          <w:lang w:val="en-GB" w:eastAsia="zh-CN"/>
        </w:rPr>
        <w:t xml:space="preserve">were created: </w:t>
      </w:r>
      <w:r w:rsidR="005E56EB">
        <w:rPr>
          <w:rFonts w:eastAsia="SimSun"/>
          <w:i/>
          <w:lang w:val="en-GB" w:eastAsia="zh-CN"/>
        </w:rPr>
        <w:t>Never</w:t>
      </w:r>
      <w:r w:rsidR="00A4127D" w:rsidRPr="009F0F54">
        <w:rPr>
          <w:rFonts w:eastAsia="SimSun"/>
          <w:i/>
          <w:lang w:val="en-GB" w:eastAsia="zh-CN"/>
        </w:rPr>
        <w:t xml:space="preserve"> </w:t>
      </w:r>
      <w:r w:rsidR="00A4127D" w:rsidRPr="009F0F54">
        <w:rPr>
          <w:rFonts w:eastAsia="SimSun"/>
          <w:lang w:val="en-GB" w:eastAsia="zh-CN"/>
        </w:rPr>
        <w:t>(‘never in my life’)</w:t>
      </w:r>
      <w:r w:rsidR="00044997" w:rsidRPr="009F0F54">
        <w:rPr>
          <w:rFonts w:eastAsia="SimSun"/>
          <w:lang w:val="en-GB" w:eastAsia="zh-CN"/>
        </w:rPr>
        <w:t>,</w:t>
      </w:r>
      <w:r w:rsidR="00044997" w:rsidRPr="009F0F54">
        <w:rPr>
          <w:rFonts w:eastAsia="SimSun"/>
          <w:i/>
          <w:lang w:val="en-GB" w:eastAsia="zh-CN"/>
        </w:rPr>
        <w:t xml:space="preserve"> </w:t>
      </w:r>
      <w:r w:rsidR="009F7A79">
        <w:rPr>
          <w:rFonts w:eastAsia="SimSun"/>
          <w:i/>
          <w:lang w:val="en-GB" w:eastAsia="zh-CN"/>
        </w:rPr>
        <w:t>n</w:t>
      </w:r>
      <w:r w:rsidR="005E56EB">
        <w:rPr>
          <w:rFonts w:eastAsia="SimSun"/>
          <w:i/>
          <w:lang w:val="en-GB" w:eastAsia="zh-CN"/>
        </w:rPr>
        <w:t>ot in the last two months</w:t>
      </w:r>
      <w:r w:rsidR="00FD5E9F" w:rsidRPr="009F0F54">
        <w:rPr>
          <w:rFonts w:eastAsia="SimSun"/>
          <w:i/>
          <w:lang w:val="en-GB" w:eastAsia="zh-CN"/>
        </w:rPr>
        <w:t xml:space="preserve"> </w:t>
      </w:r>
      <w:r w:rsidR="00FD5E9F" w:rsidRPr="009E4880">
        <w:rPr>
          <w:rFonts w:eastAsia="SimSun"/>
          <w:lang w:val="en-GB" w:eastAsia="zh-CN"/>
        </w:rPr>
        <w:t>(‘have used but not in the last two months’),</w:t>
      </w:r>
      <w:r w:rsidR="00FD5E9F" w:rsidRPr="009F0F54">
        <w:rPr>
          <w:rFonts w:eastAsia="SimSun"/>
          <w:i/>
          <w:lang w:val="en-GB" w:eastAsia="zh-CN"/>
        </w:rPr>
        <w:t xml:space="preserve"> </w:t>
      </w:r>
      <w:r w:rsidR="009F7A79">
        <w:rPr>
          <w:rFonts w:eastAsia="SimSun"/>
          <w:i/>
          <w:lang w:val="en-GB" w:eastAsia="zh-CN"/>
        </w:rPr>
        <w:t>s</w:t>
      </w:r>
      <w:r w:rsidR="005E56EB">
        <w:rPr>
          <w:rFonts w:eastAsia="SimSun"/>
          <w:i/>
          <w:lang w:val="en-GB" w:eastAsia="zh-CN"/>
        </w:rPr>
        <w:t>moked in the last two months: A</w:t>
      </w:r>
      <w:r w:rsidR="005E56EB" w:rsidRPr="005E56EB">
        <w:rPr>
          <w:rFonts w:eastAsia="SimSun"/>
          <w:i/>
          <w:lang w:val="en-GB" w:eastAsia="zh-CN"/>
        </w:rPr>
        <w:t xml:space="preserve">t most twice a week </w:t>
      </w:r>
      <w:r w:rsidR="00A4127D" w:rsidRPr="009F0F54">
        <w:rPr>
          <w:rFonts w:eastAsia="SimSun"/>
          <w:i/>
          <w:lang w:val="en-GB" w:eastAsia="zh-CN"/>
        </w:rPr>
        <w:t>(</w:t>
      </w:r>
      <w:r w:rsidR="00B26353" w:rsidRPr="00B26353">
        <w:rPr>
          <w:rFonts w:eastAsia="SimSun"/>
          <w:lang w:val="en-GB" w:eastAsia="zh-CN"/>
        </w:rPr>
        <w:t xml:space="preserve">from </w:t>
      </w:r>
      <w:r w:rsidR="00A4127D" w:rsidRPr="00B26353">
        <w:rPr>
          <w:rFonts w:eastAsia="SimSun"/>
          <w:lang w:val="en-GB" w:eastAsia="zh-CN"/>
        </w:rPr>
        <w:t>‘</w:t>
      </w:r>
      <w:r w:rsidR="00A4127D" w:rsidRPr="009F0F54">
        <w:rPr>
          <w:rFonts w:eastAsia="SimSun"/>
          <w:lang w:val="en-GB" w:eastAsia="zh-CN"/>
        </w:rPr>
        <w:t>once</w:t>
      </w:r>
      <w:r w:rsidR="00DC3343">
        <w:rPr>
          <w:rFonts w:eastAsia="SimSun"/>
          <w:lang w:val="en-GB" w:eastAsia="zh-CN"/>
        </w:rPr>
        <w:t xml:space="preserve"> or twice</w:t>
      </w:r>
      <w:r w:rsidR="00A4127D" w:rsidRPr="009F0F54">
        <w:rPr>
          <w:rFonts w:eastAsia="SimSun"/>
          <w:lang w:val="en-GB" w:eastAsia="zh-CN"/>
        </w:rPr>
        <w:t xml:space="preserve"> in the last two months’</w:t>
      </w:r>
      <w:r w:rsidR="00B26353">
        <w:rPr>
          <w:rFonts w:eastAsia="SimSun"/>
          <w:lang w:val="en-GB" w:eastAsia="zh-CN"/>
        </w:rPr>
        <w:t xml:space="preserve"> to</w:t>
      </w:r>
      <w:r w:rsidR="00FD5E9F" w:rsidRPr="009F0F54">
        <w:rPr>
          <w:rFonts w:eastAsia="SimSun"/>
          <w:lang w:val="en-GB" w:eastAsia="zh-CN"/>
        </w:rPr>
        <w:t xml:space="preserve"> ‘twice every week in the last two months’</w:t>
      </w:r>
      <w:r w:rsidR="00A4127D" w:rsidRPr="009F0F54">
        <w:rPr>
          <w:rFonts w:eastAsia="SimSun"/>
          <w:lang w:val="en-GB" w:eastAsia="zh-CN"/>
        </w:rPr>
        <w:t>)</w:t>
      </w:r>
      <w:r w:rsidR="00D90AB8" w:rsidRPr="009F0F54">
        <w:rPr>
          <w:rFonts w:eastAsia="SimSun"/>
          <w:i/>
          <w:lang w:val="en-GB" w:eastAsia="zh-CN"/>
        </w:rPr>
        <w:t xml:space="preserve">, </w:t>
      </w:r>
      <w:r w:rsidR="009F7A79">
        <w:rPr>
          <w:rFonts w:eastAsia="SimSun"/>
          <w:i/>
          <w:lang w:val="en-GB" w:eastAsia="zh-CN"/>
        </w:rPr>
        <w:t>s</w:t>
      </w:r>
      <w:r w:rsidR="005E56EB">
        <w:rPr>
          <w:rFonts w:eastAsia="SimSun"/>
          <w:i/>
          <w:lang w:val="en-GB" w:eastAsia="zh-CN"/>
        </w:rPr>
        <w:t>moked in the last two months: T</w:t>
      </w:r>
      <w:r w:rsidR="005E56EB" w:rsidRPr="005E56EB">
        <w:rPr>
          <w:rFonts w:eastAsia="SimSun"/>
          <w:i/>
          <w:lang w:val="en-GB" w:eastAsia="zh-CN"/>
        </w:rPr>
        <w:t>hree times a week or more often</w:t>
      </w:r>
      <w:r w:rsidR="005E56EB" w:rsidRPr="005E56EB" w:rsidDel="005E56EB">
        <w:rPr>
          <w:rFonts w:eastAsia="SimSun"/>
          <w:i/>
          <w:lang w:val="en-GB" w:eastAsia="zh-CN"/>
        </w:rPr>
        <w:t xml:space="preserve"> </w:t>
      </w:r>
      <w:r w:rsidR="00FD5E9F" w:rsidRPr="009F0F54">
        <w:rPr>
          <w:rFonts w:eastAsia="SimSun"/>
          <w:lang w:val="en-GB" w:eastAsia="zh-CN"/>
        </w:rPr>
        <w:t>(</w:t>
      </w:r>
      <w:r w:rsidR="00B26353">
        <w:rPr>
          <w:rFonts w:eastAsia="SimSun"/>
          <w:lang w:val="en-GB" w:eastAsia="zh-CN"/>
        </w:rPr>
        <w:t xml:space="preserve">from </w:t>
      </w:r>
      <w:r w:rsidR="00A4127D" w:rsidRPr="009F0F54">
        <w:rPr>
          <w:rFonts w:eastAsia="SimSun"/>
          <w:lang w:val="en-GB" w:eastAsia="zh-CN"/>
        </w:rPr>
        <w:t>‘three times every week in the last two months’</w:t>
      </w:r>
      <w:r w:rsidR="00DC3343">
        <w:rPr>
          <w:rFonts w:eastAsia="SimSun"/>
          <w:lang w:val="en-GB" w:eastAsia="zh-CN"/>
        </w:rPr>
        <w:t xml:space="preserve"> </w:t>
      </w:r>
      <w:r w:rsidR="00B26353">
        <w:rPr>
          <w:rFonts w:eastAsia="SimSun"/>
          <w:lang w:val="en-GB" w:eastAsia="zh-CN"/>
        </w:rPr>
        <w:t>to</w:t>
      </w:r>
      <w:r w:rsidR="00A4127D" w:rsidRPr="009F0F54">
        <w:rPr>
          <w:rFonts w:eastAsia="SimSun"/>
          <w:lang w:val="en-GB" w:eastAsia="zh-CN"/>
        </w:rPr>
        <w:t xml:space="preserve"> ‘every day or nearly every day in the last two months’). </w:t>
      </w:r>
    </w:p>
    <w:p w14:paraId="0FA86295" w14:textId="34225308" w:rsidR="002F3960" w:rsidRDefault="008F3134" w:rsidP="001F223D">
      <w:pPr>
        <w:ind w:firstLine="708"/>
        <w:rPr>
          <w:lang w:val="en-GB"/>
        </w:rPr>
      </w:pPr>
      <w:r w:rsidRPr="009D6381">
        <w:rPr>
          <w:iCs/>
          <w:lang w:val="en-GB"/>
        </w:rPr>
        <w:t xml:space="preserve">Perceptions of rates of peer </w:t>
      </w:r>
      <w:r w:rsidR="00770BF0">
        <w:rPr>
          <w:iCs/>
          <w:lang w:val="en-GB"/>
        </w:rPr>
        <w:t>tobacco</w:t>
      </w:r>
      <w:r w:rsidRPr="009D6381">
        <w:rPr>
          <w:iCs/>
          <w:lang w:val="en-GB"/>
        </w:rPr>
        <w:t xml:space="preserve"> use were assessed using </w:t>
      </w:r>
      <w:r>
        <w:rPr>
          <w:iCs/>
          <w:lang w:val="en-GB"/>
        </w:rPr>
        <w:t xml:space="preserve">sex-specific </w:t>
      </w:r>
      <w:r w:rsidRPr="009D6381">
        <w:rPr>
          <w:iCs/>
          <w:lang w:val="en-GB"/>
        </w:rPr>
        <w:t>items based on the corresponding personal use categories. The respondents were asked “</w:t>
      </w:r>
      <w:r w:rsidRPr="009D6381">
        <w:rPr>
          <w:lang w:val="en-GB"/>
        </w:rPr>
        <w:t>How often in the last two months do you think most (at least 51%) of the [</w:t>
      </w:r>
      <w:r w:rsidRPr="009D6381">
        <w:rPr>
          <w:bCs/>
          <w:lang w:val="en-GB"/>
        </w:rPr>
        <w:t>female/male]</w:t>
      </w:r>
      <w:r>
        <w:rPr>
          <w:bCs/>
          <w:lang w:val="en-GB"/>
        </w:rPr>
        <w:t xml:space="preserve"> </w:t>
      </w:r>
      <w:r w:rsidRPr="009D6381">
        <w:rPr>
          <w:lang w:val="en-GB"/>
        </w:rPr>
        <w:t xml:space="preserve">students at </w:t>
      </w:r>
      <w:r w:rsidRPr="009D6381">
        <w:rPr>
          <w:bCs/>
          <w:lang w:val="en-GB"/>
        </w:rPr>
        <w:t>your university</w:t>
      </w:r>
      <w:r w:rsidRPr="009D6381">
        <w:rPr>
          <w:lang w:val="en-GB"/>
        </w:rPr>
        <w:t xml:space="preserve"> have used </w:t>
      </w:r>
      <w:r w:rsidR="00FD5E9F">
        <w:rPr>
          <w:lang w:val="en-GB"/>
        </w:rPr>
        <w:t>tobacco</w:t>
      </w:r>
      <w:r w:rsidRPr="009D6381">
        <w:rPr>
          <w:lang w:val="en-GB"/>
        </w:rPr>
        <w:t>?”</w:t>
      </w:r>
      <w:r w:rsidR="00560D6F">
        <w:rPr>
          <w:lang w:val="en-GB"/>
        </w:rPr>
        <w:t xml:space="preserve"> (</w:t>
      </w:r>
      <w:proofErr w:type="gramStart"/>
      <w:r w:rsidR="00560D6F" w:rsidRPr="00560D6F">
        <w:rPr>
          <w:i/>
          <w:lang w:val="en-GB"/>
        </w:rPr>
        <w:t>descriptive</w:t>
      </w:r>
      <w:proofErr w:type="gramEnd"/>
      <w:r w:rsidR="00560D6F" w:rsidRPr="00560D6F">
        <w:rPr>
          <w:i/>
          <w:lang w:val="en-GB"/>
        </w:rPr>
        <w:t xml:space="preserve"> norm</w:t>
      </w:r>
      <w:r w:rsidR="00560D6F">
        <w:rPr>
          <w:lang w:val="en-GB"/>
        </w:rPr>
        <w:t>)</w:t>
      </w:r>
      <w:r w:rsidR="0011268E">
        <w:rPr>
          <w:lang w:val="en-GB"/>
        </w:rPr>
        <w:t>.</w:t>
      </w:r>
      <w:r w:rsidR="00B16C8F">
        <w:rPr>
          <w:lang w:val="en-GB"/>
        </w:rPr>
        <w:t xml:space="preserve"> </w:t>
      </w:r>
      <w:r w:rsidR="00012C2C">
        <w:rPr>
          <w:lang w:val="en-GB"/>
        </w:rPr>
        <w:t>D</w:t>
      </w:r>
      <w:r w:rsidRPr="009D6381">
        <w:rPr>
          <w:lang w:val="en-GB"/>
        </w:rPr>
        <w:t>ata on personal and perceived peer attitudes towards</w:t>
      </w:r>
      <w:r>
        <w:rPr>
          <w:lang w:val="en-GB"/>
        </w:rPr>
        <w:t xml:space="preserve"> </w:t>
      </w:r>
      <w:r w:rsidR="00B16C8F">
        <w:rPr>
          <w:lang w:val="en-GB"/>
        </w:rPr>
        <w:t>tobacco use</w:t>
      </w:r>
      <w:r w:rsidRPr="009D6381">
        <w:rPr>
          <w:lang w:val="en-GB"/>
        </w:rPr>
        <w:t xml:space="preserve"> </w:t>
      </w:r>
      <w:r w:rsidR="00E31759">
        <w:rPr>
          <w:lang w:val="en-GB"/>
        </w:rPr>
        <w:t>were collect</w:t>
      </w:r>
      <w:r w:rsidR="00323AF0">
        <w:rPr>
          <w:lang w:val="en-GB"/>
        </w:rPr>
        <w:t>ed with</w:t>
      </w:r>
      <w:r w:rsidRPr="009D6381">
        <w:rPr>
          <w:lang w:val="en-GB"/>
        </w:rPr>
        <w:t xml:space="preserve"> the</w:t>
      </w:r>
      <w:r w:rsidR="00E31759">
        <w:rPr>
          <w:lang w:val="en-GB"/>
        </w:rPr>
        <w:t xml:space="preserve"> following</w:t>
      </w:r>
      <w:r w:rsidRPr="009D6381">
        <w:rPr>
          <w:lang w:val="en-GB"/>
        </w:rPr>
        <w:t xml:space="preserve"> questions</w:t>
      </w:r>
      <w:r w:rsidR="00AE06BB">
        <w:rPr>
          <w:lang w:val="en-GB"/>
        </w:rPr>
        <w:t>:</w:t>
      </w:r>
      <w:r w:rsidR="0011268E">
        <w:rPr>
          <w:lang w:val="en-GB"/>
        </w:rPr>
        <w:t xml:space="preserve"> </w:t>
      </w:r>
      <w:r w:rsidRPr="009D6381">
        <w:rPr>
          <w:lang w:val="en-GB"/>
        </w:rPr>
        <w:t xml:space="preserve">“Which of the following best describes your attitude to using </w:t>
      </w:r>
      <w:r w:rsidR="00FD5E9F">
        <w:rPr>
          <w:lang w:val="en-GB"/>
        </w:rPr>
        <w:t>tobacc</w:t>
      </w:r>
      <w:r w:rsidR="00AE06BB">
        <w:rPr>
          <w:lang w:val="en-GB"/>
        </w:rPr>
        <w:t>o</w:t>
      </w:r>
      <w:r w:rsidRPr="009D6381">
        <w:rPr>
          <w:lang w:val="en-GB"/>
        </w:rPr>
        <w:t>?”</w:t>
      </w:r>
      <w:r w:rsidR="0011268E">
        <w:rPr>
          <w:lang w:val="en-GB"/>
        </w:rPr>
        <w:t>,</w:t>
      </w:r>
      <w:r w:rsidRPr="009D6381">
        <w:rPr>
          <w:lang w:val="en-GB"/>
        </w:rPr>
        <w:t xml:space="preserve"> “Which of the following do you think best describes the attitude of most (at least 51%) of the [</w:t>
      </w:r>
      <w:r w:rsidRPr="009D6381">
        <w:rPr>
          <w:bCs/>
          <w:lang w:val="en-GB"/>
        </w:rPr>
        <w:t xml:space="preserve">female/male] </w:t>
      </w:r>
      <w:r w:rsidRPr="009D6381">
        <w:rPr>
          <w:lang w:val="en-GB"/>
        </w:rPr>
        <w:t xml:space="preserve">students at </w:t>
      </w:r>
      <w:r w:rsidRPr="009D6381">
        <w:rPr>
          <w:bCs/>
          <w:lang w:val="en-GB"/>
        </w:rPr>
        <w:t>your university</w:t>
      </w:r>
      <w:r w:rsidRPr="009D6381">
        <w:rPr>
          <w:lang w:val="en-GB"/>
        </w:rPr>
        <w:t xml:space="preserve"> to the use of </w:t>
      </w:r>
      <w:r w:rsidR="00FD5E9F">
        <w:rPr>
          <w:lang w:val="en-GB"/>
        </w:rPr>
        <w:t>tobacco</w:t>
      </w:r>
      <w:r w:rsidRPr="009D6381">
        <w:rPr>
          <w:lang w:val="en-GB"/>
        </w:rPr>
        <w:t>?”</w:t>
      </w:r>
      <w:r w:rsidR="00D13543">
        <w:rPr>
          <w:lang w:val="en-GB"/>
        </w:rPr>
        <w:t xml:space="preserve"> The latter question assesses the </w:t>
      </w:r>
      <w:r w:rsidR="00D13543" w:rsidRPr="00560D6F">
        <w:rPr>
          <w:i/>
          <w:lang w:val="en-GB"/>
        </w:rPr>
        <w:t>injunctive norm</w:t>
      </w:r>
      <w:r w:rsidR="00D13543">
        <w:rPr>
          <w:lang w:val="en-GB"/>
        </w:rPr>
        <w:t xml:space="preserve"> meaning the </w:t>
      </w:r>
      <w:r w:rsidR="00AE76A1">
        <w:rPr>
          <w:lang w:val="en-GB"/>
        </w:rPr>
        <w:t>stud</w:t>
      </w:r>
      <w:r w:rsidR="00D13543">
        <w:rPr>
          <w:lang w:val="en-GB"/>
        </w:rPr>
        <w:t xml:space="preserve">ents’ belief about the approval or </w:t>
      </w:r>
      <w:r w:rsidR="00AE76A1">
        <w:rPr>
          <w:lang w:val="en-GB"/>
        </w:rPr>
        <w:t>disapproval of smoking in the peer group</w:t>
      </w:r>
      <w:r>
        <w:rPr>
          <w:lang w:val="en-GB"/>
        </w:rPr>
        <w:t xml:space="preserve">. </w:t>
      </w:r>
      <w:r w:rsidRPr="009D6381">
        <w:rPr>
          <w:lang w:val="en-GB"/>
        </w:rPr>
        <w:t xml:space="preserve">Response options </w:t>
      </w:r>
      <w:r w:rsidR="0049236E">
        <w:rPr>
          <w:lang w:val="en-GB"/>
        </w:rPr>
        <w:t>included</w:t>
      </w:r>
      <w:r w:rsidRPr="009D6381">
        <w:rPr>
          <w:lang w:val="en-GB"/>
        </w:rPr>
        <w:t xml:space="preserve"> ‘Never ok to use’, ‘Ok to use occasionally if it doesn’t interfere with study or work’, ‘Ok to use frequently if it doesn’t interfere with study or work’, ‘Ok to use occasionally even if it does interfere with study or work’, </w:t>
      </w:r>
      <w:r w:rsidR="0049236E">
        <w:rPr>
          <w:lang w:val="en-GB"/>
        </w:rPr>
        <w:t xml:space="preserve">and </w:t>
      </w:r>
      <w:r w:rsidRPr="009D6381">
        <w:rPr>
          <w:lang w:val="en-GB"/>
        </w:rPr>
        <w:t>‘Ok to use frequently if that is what the person wants to do’.</w:t>
      </w:r>
      <w:r>
        <w:rPr>
          <w:lang w:val="en-GB"/>
        </w:rPr>
        <w:t xml:space="preserve"> </w:t>
      </w:r>
      <w:r w:rsidR="002B4B7E">
        <w:rPr>
          <w:lang w:val="en-GB"/>
        </w:rPr>
        <w:t xml:space="preserve">The response option regarding potential interference with work might be surprising in the context of tobacco use. </w:t>
      </w:r>
      <w:r w:rsidR="002B4B7E" w:rsidRPr="002B4B7E">
        <w:rPr>
          <w:lang w:val="en-GB"/>
        </w:rPr>
        <w:t xml:space="preserve">Tobacco use </w:t>
      </w:r>
      <w:r w:rsidR="00612085">
        <w:rPr>
          <w:lang w:val="en-GB"/>
        </w:rPr>
        <w:t>may</w:t>
      </w:r>
      <w:r w:rsidR="002B4B7E">
        <w:rPr>
          <w:lang w:val="en-GB"/>
        </w:rPr>
        <w:t xml:space="preserve"> </w:t>
      </w:r>
      <w:r w:rsidR="002B4B7E" w:rsidRPr="002B4B7E">
        <w:rPr>
          <w:lang w:val="en-GB"/>
        </w:rPr>
        <w:t xml:space="preserve">interfere </w:t>
      </w:r>
      <w:r w:rsidR="00C146FD">
        <w:rPr>
          <w:lang w:val="en-GB"/>
        </w:rPr>
        <w:t xml:space="preserve">less </w:t>
      </w:r>
      <w:r w:rsidR="002B4B7E" w:rsidRPr="002B4B7E">
        <w:rPr>
          <w:lang w:val="en-GB"/>
        </w:rPr>
        <w:t xml:space="preserve">with study or work </w:t>
      </w:r>
      <w:r w:rsidR="00882C6C" w:rsidRPr="00882C6C">
        <w:rPr>
          <w:lang w:val="en-GB"/>
        </w:rPr>
        <w:t xml:space="preserve">(e.g., smoking breaks) </w:t>
      </w:r>
      <w:r w:rsidR="002B4B7E" w:rsidRPr="002B4B7E">
        <w:rPr>
          <w:lang w:val="en-GB"/>
        </w:rPr>
        <w:t>than the use of other substances which were assessed in the SNIPE survey. However, the decision was to keep the response options consistent across all substances for comparison purposes.</w:t>
      </w:r>
      <w:r w:rsidR="002B4B7E">
        <w:rPr>
          <w:lang w:val="en-GB"/>
        </w:rPr>
        <w:t xml:space="preserve"> </w:t>
      </w:r>
      <w:r w:rsidR="00FE16A9">
        <w:rPr>
          <w:lang w:val="en-GB"/>
        </w:rPr>
        <w:t>For the analysis</w:t>
      </w:r>
      <w:r w:rsidR="002B4B7E">
        <w:rPr>
          <w:lang w:val="en-GB"/>
        </w:rPr>
        <w:t xml:space="preserve"> </w:t>
      </w:r>
      <w:r w:rsidR="00B87FFC">
        <w:rPr>
          <w:lang w:val="en-GB"/>
        </w:rPr>
        <w:t>examining the a</w:t>
      </w:r>
      <w:r w:rsidR="00B87FFC" w:rsidRPr="00B87FFC">
        <w:rPr>
          <w:lang w:val="en-GB"/>
        </w:rPr>
        <w:t xml:space="preserve">ssociation between perceived attitudes of peers and own attitudes towards tobacco use </w:t>
      </w:r>
      <w:r w:rsidR="002B4B7E">
        <w:rPr>
          <w:lang w:val="en-GB"/>
        </w:rPr>
        <w:t>in this paper</w:t>
      </w:r>
      <w:r w:rsidR="00FE16A9">
        <w:rPr>
          <w:lang w:val="en-GB"/>
        </w:rPr>
        <w:t xml:space="preserve">, personal and perceived attitudes towards tobacco use were </w:t>
      </w:r>
      <w:r w:rsidR="009A0353">
        <w:rPr>
          <w:lang w:val="en-GB"/>
        </w:rPr>
        <w:t xml:space="preserve">summarized </w:t>
      </w:r>
      <w:r w:rsidR="00FE16A9">
        <w:rPr>
          <w:lang w:val="en-GB"/>
        </w:rPr>
        <w:t xml:space="preserve">into </w:t>
      </w:r>
      <w:r w:rsidR="009A0353">
        <w:rPr>
          <w:lang w:val="en-GB"/>
        </w:rPr>
        <w:t xml:space="preserve">the two categories </w:t>
      </w:r>
      <w:r w:rsidR="00FE16A9">
        <w:rPr>
          <w:lang w:val="en-GB"/>
        </w:rPr>
        <w:t>‘</w:t>
      </w:r>
      <w:r w:rsidR="0021246C">
        <w:rPr>
          <w:lang w:val="en-GB"/>
        </w:rPr>
        <w:t>never o</w:t>
      </w:r>
      <w:r w:rsidR="00FE16A9">
        <w:rPr>
          <w:lang w:val="en-GB"/>
        </w:rPr>
        <w:t xml:space="preserve">k to use’ and ‘ok to use’. </w:t>
      </w:r>
    </w:p>
    <w:p w14:paraId="49DA9817" w14:textId="77777777" w:rsidR="00DB3DC4" w:rsidRDefault="00DB3DC4" w:rsidP="008F3134">
      <w:pPr>
        <w:rPr>
          <w:b/>
          <w:lang w:val="en-GB"/>
        </w:rPr>
      </w:pPr>
    </w:p>
    <w:p w14:paraId="62097967" w14:textId="077223DA" w:rsidR="008F3134" w:rsidRPr="00B16C8F" w:rsidRDefault="0060477C" w:rsidP="008F3134">
      <w:pPr>
        <w:rPr>
          <w:b/>
          <w:lang w:val="en-GB"/>
        </w:rPr>
      </w:pPr>
      <w:r>
        <w:rPr>
          <w:b/>
          <w:lang w:val="en-GB"/>
        </w:rPr>
        <w:t xml:space="preserve">1.3 </w:t>
      </w:r>
      <w:r w:rsidR="00647081">
        <w:rPr>
          <w:b/>
          <w:lang w:val="en-GB"/>
        </w:rPr>
        <w:t>STATISTICAL ANALYSIS</w:t>
      </w:r>
    </w:p>
    <w:p w14:paraId="20835676" w14:textId="1E9DF7F6" w:rsidR="008F3134" w:rsidRDefault="00645126" w:rsidP="001F223D">
      <w:pPr>
        <w:ind w:firstLine="708"/>
        <w:rPr>
          <w:lang w:val="en-GB"/>
        </w:rPr>
      </w:pPr>
      <w:r>
        <w:rPr>
          <w:lang w:val="en-GB"/>
        </w:rPr>
        <w:t xml:space="preserve">Firstly, estimates for personal and perceived tobacco use </w:t>
      </w:r>
      <w:r w:rsidR="00465217">
        <w:rPr>
          <w:lang w:val="en-GB"/>
        </w:rPr>
        <w:t xml:space="preserve">by country and sex </w:t>
      </w:r>
      <w:r>
        <w:rPr>
          <w:lang w:val="en-GB"/>
        </w:rPr>
        <w:t>were generated. Secondly, t</w:t>
      </w:r>
      <w:r w:rsidR="00FD5E9F" w:rsidRPr="00FB7484">
        <w:rPr>
          <w:lang w:val="en-US"/>
        </w:rPr>
        <w:t>he</w:t>
      </w:r>
      <w:r w:rsidR="00FD5E9F" w:rsidRPr="00FB7484">
        <w:rPr>
          <w:rFonts w:cs="Arial"/>
          <w:lang w:val="en-US"/>
        </w:rPr>
        <w:t xml:space="preserve"> percentages of respondents who perceived the </w:t>
      </w:r>
      <w:r w:rsidR="00FD5E9F">
        <w:rPr>
          <w:rFonts w:cs="Arial"/>
          <w:lang w:val="en-US"/>
        </w:rPr>
        <w:t xml:space="preserve">tobacco </w:t>
      </w:r>
      <w:r w:rsidR="00FD5E9F" w:rsidRPr="00FB7484">
        <w:rPr>
          <w:rFonts w:cs="Arial"/>
          <w:lang w:val="en-US"/>
        </w:rPr>
        <w:t xml:space="preserve">use of </w:t>
      </w:r>
      <w:r w:rsidR="00905125">
        <w:rPr>
          <w:rFonts w:cs="Arial"/>
          <w:lang w:val="en-US"/>
        </w:rPr>
        <w:t>the majority of students of their own sex and university</w:t>
      </w:r>
      <w:r w:rsidR="00FD5E9F" w:rsidRPr="00FB7484">
        <w:rPr>
          <w:rFonts w:cs="Arial"/>
          <w:lang w:val="en-US"/>
        </w:rPr>
        <w:t xml:space="preserve"> as higher/as identical/as lower as the report of the corresponding own behavior estimate</w:t>
      </w:r>
      <w:r w:rsidR="00D36C46">
        <w:rPr>
          <w:rFonts w:cs="Arial"/>
          <w:lang w:val="en-US"/>
        </w:rPr>
        <w:t xml:space="preserve"> were calculated</w:t>
      </w:r>
      <w:r w:rsidR="00FD5E9F" w:rsidRPr="00FB7484">
        <w:rPr>
          <w:rFonts w:cs="Arial"/>
          <w:lang w:val="en-US"/>
        </w:rPr>
        <w:t>.</w:t>
      </w:r>
      <w:r w:rsidR="006A167D">
        <w:rPr>
          <w:rFonts w:cs="Arial"/>
          <w:lang w:val="en-US"/>
        </w:rPr>
        <w:t xml:space="preserve"> Subsequently,</w:t>
      </w:r>
      <w:r w:rsidR="00DC745C">
        <w:rPr>
          <w:rFonts w:cs="Arial"/>
          <w:lang w:val="en-US"/>
        </w:rPr>
        <w:t xml:space="preserve"> multinomial </w:t>
      </w:r>
      <w:r w:rsidR="00465217">
        <w:rPr>
          <w:rFonts w:cs="Arial"/>
          <w:lang w:val="en-US"/>
        </w:rPr>
        <w:t xml:space="preserve">(for personal tobacco use) </w:t>
      </w:r>
      <w:r w:rsidR="00DC745C">
        <w:rPr>
          <w:rFonts w:cs="Arial"/>
          <w:lang w:val="en-US"/>
        </w:rPr>
        <w:t xml:space="preserve">and </w:t>
      </w:r>
      <w:r w:rsidR="00CE4E3E">
        <w:rPr>
          <w:rFonts w:cs="Arial"/>
          <w:lang w:val="en-US"/>
        </w:rPr>
        <w:t>b</w:t>
      </w:r>
      <w:proofErr w:type="spellStart"/>
      <w:r w:rsidR="00CE4E3E" w:rsidRPr="009D6381">
        <w:rPr>
          <w:rFonts w:cs="Arial"/>
          <w:lang w:val="en-GB"/>
        </w:rPr>
        <w:t>inary</w:t>
      </w:r>
      <w:proofErr w:type="spellEnd"/>
      <w:r w:rsidR="00CE4E3E" w:rsidRPr="009D6381">
        <w:rPr>
          <w:rFonts w:cs="Arial"/>
          <w:lang w:val="en-GB"/>
        </w:rPr>
        <w:t xml:space="preserve"> </w:t>
      </w:r>
      <w:r w:rsidR="008F3134" w:rsidRPr="009D6381">
        <w:rPr>
          <w:rFonts w:cs="Arial"/>
          <w:lang w:val="en-GB"/>
        </w:rPr>
        <w:t>logistic regression</w:t>
      </w:r>
      <w:r w:rsidR="00A956F6">
        <w:rPr>
          <w:rFonts w:cs="Arial"/>
          <w:lang w:val="en-GB"/>
        </w:rPr>
        <w:t xml:space="preserve"> (for attitude towards </w:t>
      </w:r>
      <w:r w:rsidR="00F713F8">
        <w:rPr>
          <w:rFonts w:cs="Arial"/>
          <w:lang w:val="en-GB"/>
        </w:rPr>
        <w:t xml:space="preserve">tobacco </w:t>
      </w:r>
      <w:r w:rsidR="00A956F6">
        <w:rPr>
          <w:rFonts w:cs="Arial"/>
          <w:lang w:val="en-GB"/>
        </w:rPr>
        <w:t>use)</w:t>
      </w:r>
      <w:r w:rsidR="008F3134" w:rsidRPr="009D6381">
        <w:rPr>
          <w:rFonts w:cs="Arial"/>
          <w:lang w:val="en-GB"/>
        </w:rPr>
        <w:t xml:space="preserve"> analys</w:t>
      </w:r>
      <w:r w:rsidR="00AA54EA">
        <w:rPr>
          <w:rFonts w:cs="Arial"/>
          <w:lang w:val="en-GB"/>
        </w:rPr>
        <w:t>e</w:t>
      </w:r>
      <w:r w:rsidR="008F3134" w:rsidRPr="009D6381">
        <w:rPr>
          <w:rFonts w:cs="Arial"/>
          <w:lang w:val="en-GB"/>
        </w:rPr>
        <w:t>s were</w:t>
      </w:r>
      <w:r w:rsidR="008F3134">
        <w:rPr>
          <w:lang w:val="en-GB"/>
        </w:rPr>
        <w:t xml:space="preserve"> </w:t>
      </w:r>
      <w:r w:rsidR="006A167D">
        <w:rPr>
          <w:rFonts w:cs="Arial"/>
          <w:lang w:val="en-GB"/>
        </w:rPr>
        <w:t>performed</w:t>
      </w:r>
      <w:r w:rsidR="008F3134">
        <w:rPr>
          <w:rFonts w:cs="Arial"/>
          <w:lang w:val="en-GB"/>
        </w:rPr>
        <w:t xml:space="preserve"> </w:t>
      </w:r>
      <w:r w:rsidR="008F3134" w:rsidRPr="009D6381">
        <w:rPr>
          <w:rFonts w:cs="Arial"/>
          <w:lang w:val="en-GB"/>
        </w:rPr>
        <w:t>to examine</w:t>
      </w:r>
      <w:r w:rsidR="008F3134">
        <w:rPr>
          <w:rFonts w:cs="Arial"/>
          <w:lang w:val="en-GB"/>
        </w:rPr>
        <w:t xml:space="preserve"> </w:t>
      </w:r>
      <w:r w:rsidR="008F3134" w:rsidRPr="009D6381">
        <w:rPr>
          <w:lang w:val="en-GB"/>
        </w:rPr>
        <w:t xml:space="preserve">associations between </w:t>
      </w:r>
      <w:r w:rsidR="008F3134" w:rsidRPr="009D6381">
        <w:rPr>
          <w:rFonts w:cs="Arial"/>
          <w:lang w:val="en-GB"/>
        </w:rPr>
        <w:t xml:space="preserve">perceived and personal </w:t>
      </w:r>
      <w:r>
        <w:rPr>
          <w:rFonts w:cs="Arial"/>
          <w:lang w:val="en-GB"/>
        </w:rPr>
        <w:t>tobacco use</w:t>
      </w:r>
      <w:r w:rsidRPr="009D6381">
        <w:rPr>
          <w:rFonts w:cs="Arial"/>
          <w:lang w:val="en-GB"/>
        </w:rPr>
        <w:t xml:space="preserve"> </w:t>
      </w:r>
      <w:r w:rsidR="008F3134" w:rsidRPr="009D6381">
        <w:rPr>
          <w:rFonts w:cs="Arial"/>
          <w:lang w:val="en-GB"/>
        </w:rPr>
        <w:t>and attitudes</w:t>
      </w:r>
      <w:r>
        <w:rPr>
          <w:rFonts w:cs="Arial"/>
          <w:lang w:val="en-GB"/>
        </w:rPr>
        <w:t xml:space="preserve"> towards tobacco use</w:t>
      </w:r>
      <w:r w:rsidR="008F3134" w:rsidRPr="009D6381">
        <w:rPr>
          <w:rFonts w:cs="Arial"/>
          <w:lang w:val="en-GB"/>
        </w:rPr>
        <w:t xml:space="preserve">. Sex, age, year of study, </w:t>
      </w:r>
      <w:r w:rsidR="00021D02">
        <w:rPr>
          <w:rFonts w:cs="Arial"/>
          <w:lang w:val="en-GB"/>
        </w:rPr>
        <w:t xml:space="preserve">and </w:t>
      </w:r>
      <w:r w:rsidR="008F3134" w:rsidRPr="009D6381">
        <w:rPr>
          <w:rFonts w:cs="Arial"/>
          <w:lang w:val="en-GB"/>
        </w:rPr>
        <w:t xml:space="preserve">living situation </w:t>
      </w:r>
      <w:r w:rsidR="00EC3962">
        <w:rPr>
          <w:rFonts w:cs="Arial"/>
          <w:lang w:val="en-GB"/>
        </w:rPr>
        <w:t>(</w:t>
      </w:r>
      <w:r w:rsidR="00021D02">
        <w:rPr>
          <w:rFonts w:cs="Arial"/>
          <w:lang w:val="en-GB"/>
        </w:rPr>
        <w:t>possible confounders</w:t>
      </w:r>
      <w:r w:rsidR="00EC3962">
        <w:rPr>
          <w:rFonts w:cs="Arial"/>
          <w:lang w:val="en-GB"/>
        </w:rPr>
        <w:t>)</w:t>
      </w:r>
      <w:r w:rsidR="00021D02">
        <w:rPr>
          <w:rFonts w:cs="Arial"/>
          <w:lang w:val="en-GB"/>
        </w:rPr>
        <w:t xml:space="preserve"> </w:t>
      </w:r>
      <w:r w:rsidR="008F3134" w:rsidRPr="009D6381">
        <w:rPr>
          <w:rFonts w:cs="Arial"/>
          <w:lang w:val="en-GB"/>
        </w:rPr>
        <w:t xml:space="preserve">and perceived substance use/attitude towards </w:t>
      </w:r>
      <w:r w:rsidR="00905125">
        <w:rPr>
          <w:rFonts w:cs="Arial"/>
          <w:lang w:val="en-GB"/>
        </w:rPr>
        <w:t>tobacco</w:t>
      </w:r>
      <w:r w:rsidR="00905125" w:rsidRPr="009D6381">
        <w:rPr>
          <w:rFonts w:cs="Arial"/>
          <w:lang w:val="en-GB"/>
        </w:rPr>
        <w:t xml:space="preserve"> </w:t>
      </w:r>
      <w:r w:rsidR="008F3134" w:rsidRPr="009D6381">
        <w:rPr>
          <w:rFonts w:cs="Arial"/>
          <w:lang w:val="en-GB"/>
        </w:rPr>
        <w:t xml:space="preserve">use </w:t>
      </w:r>
      <w:r w:rsidR="00EC3962">
        <w:rPr>
          <w:rFonts w:cs="Arial"/>
          <w:lang w:val="en-GB"/>
        </w:rPr>
        <w:t>(</w:t>
      </w:r>
      <w:r w:rsidR="00021D02">
        <w:rPr>
          <w:rFonts w:cs="Arial"/>
          <w:lang w:val="en-GB"/>
        </w:rPr>
        <w:t>independent variables</w:t>
      </w:r>
      <w:r w:rsidR="00EC3962">
        <w:rPr>
          <w:rFonts w:cs="Arial"/>
          <w:lang w:val="en-GB"/>
        </w:rPr>
        <w:t>)</w:t>
      </w:r>
      <w:r w:rsidR="00021D02">
        <w:rPr>
          <w:rFonts w:cs="Arial"/>
          <w:lang w:val="en-GB"/>
        </w:rPr>
        <w:t xml:space="preserve"> </w:t>
      </w:r>
      <w:r w:rsidR="008F3134" w:rsidRPr="009D6381">
        <w:rPr>
          <w:rFonts w:cs="Arial"/>
          <w:lang w:val="en-GB"/>
        </w:rPr>
        <w:t>were included in the models.</w:t>
      </w:r>
      <w:r w:rsidR="00E133D0">
        <w:rPr>
          <w:rFonts w:cs="Arial"/>
          <w:lang w:val="en-GB"/>
        </w:rPr>
        <w:t xml:space="preserve"> In the model with the outcome variable </w:t>
      </w:r>
      <w:r w:rsidR="00625DFE">
        <w:rPr>
          <w:rFonts w:cs="Arial"/>
          <w:lang w:val="en-GB"/>
        </w:rPr>
        <w:t>‘</w:t>
      </w:r>
      <w:r w:rsidR="00E133D0">
        <w:rPr>
          <w:rFonts w:cs="Arial"/>
          <w:lang w:val="en-GB"/>
        </w:rPr>
        <w:t>attitude towards tobacco use</w:t>
      </w:r>
      <w:r w:rsidR="00625DFE">
        <w:rPr>
          <w:rFonts w:cs="Arial"/>
          <w:lang w:val="en-GB"/>
        </w:rPr>
        <w:t>’</w:t>
      </w:r>
      <w:r w:rsidR="00EC3962">
        <w:rPr>
          <w:rFonts w:cs="Arial"/>
          <w:lang w:val="en-GB"/>
        </w:rPr>
        <w:t>,</w:t>
      </w:r>
      <w:r w:rsidR="00E133D0">
        <w:rPr>
          <w:rFonts w:cs="Arial"/>
          <w:lang w:val="en-GB"/>
        </w:rPr>
        <w:t xml:space="preserve"> personal tobacco use was also added as an independent covariate.</w:t>
      </w:r>
      <w:r w:rsidR="008F3134" w:rsidRPr="009D6381">
        <w:rPr>
          <w:rFonts w:cs="Arial"/>
          <w:lang w:val="en-GB"/>
        </w:rPr>
        <w:t xml:space="preserve"> </w:t>
      </w:r>
      <w:r w:rsidR="00021D02">
        <w:rPr>
          <w:rFonts w:cs="Arial"/>
          <w:lang w:val="en-GB"/>
        </w:rPr>
        <w:t xml:space="preserve">Only persons with complete data </w:t>
      </w:r>
      <w:r w:rsidR="0057419B">
        <w:rPr>
          <w:rFonts w:cs="Arial"/>
          <w:lang w:val="en-GB"/>
        </w:rPr>
        <w:t>in</w:t>
      </w:r>
      <w:r w:rsidR="00021D02">
        <w:rPr>
          <w:rFonts w:cs="Arial"/>
          <w:lang w:val="en-GB"/>
        </w:rPr>
        <w:t xml:space="preserve"> the variables above were included</w:t>
      </w:r>
      <w:r w:rsidR="00ED5C5A">
        <w:rPr>
          <w:rFonts w:cs="Arial"/>
          <w:lang w:val="en-GB"/>
        </w:rPr>
        <w:t xml:space="preserve"> in the analyses</w:t>
      </w:r>
      <w:r w:rsidR="00021D02">
        <w:rPr>
          <w:rFonts w:cs="Arial"/>
          <w:lang w:val="en-GB"/>
        </w:rPr>
        <w:t xml:space="preserve">. </w:t>
      </w:r>
      <w:r w:rsidR="008F3134" w:rsidRPr="009D6381">
        <w:rPr>
          <w:rFonts w:cs="Arial"/>
          <w:lang w:val="en-GB"/>
        </w:rPr>
        <w:t xml:space="preserve">To </w:t>
      </w:r>
      <w:r w:rsidR="008F3134" w:rsidRPr="00021D02">
        <w:rPr>
          <w:rFonts w:cs="Arial"/>
          <w:lang w:val="en-GB"/>
        </w:rPr>
        <w:t xml:space="preserve">investigate </w:t>
      </w:r>
      <w:r w:rsidR="00021D02">
        <w:rPr>
          <w:rFonts w:cs="Arial"/>
          <w:lang w:val="en-GB"/>
        </w:rPr>
        <w:t xml:space="preserve">whether </w:t>
      </w:r>
      <w:r w:rsidR="008F3134" w:rsidRPr="009D6381">
        <w:rPr>
          <w:rFonts w:cs="Arial"/>
          <w:lang w:val="en-GB"/>
        </w:rPr>
        <w:t>sex or country moderate</w:t>
      </w:r>
      <w:r w:rsidR="008F3134">
        <w:rPr>
          <w:rFonts w:cs="Arial"/>
          <w:lang w:val="en-GB"/>
        </w:rPr>
        <w:t>s</w:t>
      </w:r>
      <w:r w:rsidR="008F3134" w:rsidRPr="009D6381">
        <w:rPr>
          <w:rFonts w:cs="Arial"/>
          <w:lang w:val="en-GB"/>
        </w:rPr>
        <w:t xml:space="preserve"> the association between perception and personal behaviour/attitude</w:t>
      </w:r>
      <w:r w:rsidR="008F3134">
        <w:rPr>
          <w:rFonts w:cs="Arial"/>
          <w:lang w:val="en-GB"/>
        </w:rPr>
        <w:t>,</w:t>
      </w:r>
      <w:r w:rsidR="008F3134" w:rsidRPr="009D6381">
        <w:rPr>
          <w:rFonts w:cs="Arial"/>
          <w:lang w:val="en-GB"/>
        </w:rPr>
        <w:t xml:space="preserve"> the two relevant interaction terms</w:t>
      </w:r>
      <w:r w:rsidR="00C57B63">
        <w:rPr>
          <w:rFonts w:cs="Arial"/>
          <w:lang w:val="en-GB"/>
        </w:rPr>
        <w:t xml:space="preserve"> were added</w:t>
      </w:r>
      <w:r w:rsidR="008F3134" w:rsidRPr="009D6381">
        <w:rPr>
          <w:rFonts w:cs="Arial"/>
          <w:lang w:val="en-GB"/>
        </w:rPr>
        <w:t xml:space="preserve"> to the </w:t>
      </w:r>
      <w:r w:rsidR="008F3134">
        <w:rPr>
          <w:rFonts w:cs="Arial"/>
          <w:lang w:val="en-GB"/>
        </w:rPr>
        <w:t>regression models</w:t>
      </w:r>
      <w:r w:rsidR="008F3134" w:rsidRPr="009D6381">
        <w:rPr>
          <w:rFonts w:cs="Arial"/>
          <w:lang w:val="en-GB"/>
        </w:rPr>
        <w:t xml:space="preserve">. </w:t>
      </w:r>
      <w:r w:rsidR="00ED5C5A">
        <w:rPr>
          <w:rFonts w:cs="Arial"/>
          <w:lang w:val="en-GB"/>
        </w:rPr>
        <w:t>S</w:t>
      </w:r>
      <w:r w:rsidR="008F3134" w:rsidRPr="009D6381">
        <w:rPr>
          <w:rFonts w:cs="Arial"/>
          <w:lang w:val="en-GB"/>
        </w:rPr>
        <w:t>tratified ana</w:t>
      </w:r>
      <w:r w:rsidR="008F3134">
        <w:rPr>
          <w:rFonts w:cs="Arial"/>
          <w:lang w:val="en-GB"/>
        </w:rPr>
        <w:t>lyse</w:t>
      </w:r>
      <w:r w:rsidR="008F3134" w:rsidRPr="009D6381">
        <w:rPr>
          <w:rFonts w:cs="Arial"/>
          <w:lang w:val="en-GB"/>
        </w:rPr>
        <w:t>s by variables</w:t>
      </w:r>
      <w:r w:rsidR="00591AE3">
        <w:rPr>
          <w:rFonts w:cs="Arial"/>
          <w:lang w:val="en-GB"/>
        </w:rPr>
        <w:t xml:space="preserve"> were </w:t>
      </w:r>
      <w:r w:rsidR="00571952">
        <w:rPr>
          <w:rFonts w:cs="Arial"/>
          <w:lang w:val="en-GB"/>
        </w:rPr>
        <w:t xml:space="preserve">planned </w:t>
      </w:r>
      <w:r w:rsidR="008F3134" w:rsidRPr="009D6381">
        <w:rPr>
          <w:rFonts w:cs="Arial"/>
          <w:lang w:val="en-GB"/>
        </w:rPr>
        <w:t xml:space="preserve">for </w:t>
      </w:r>
      <w:r w:rsidR="008F3134">
        <w:rPr>
          <w:rFonts w:cs="Arial"/>
          <w:lang w:val="en-GB"/>
        </w:rPr>
        <w:t>those</w:t>
      </w:r>
      <w:r w:rsidR="008F3134" w:rsidRPr="009D6381">
        <w:rPr>
          <w:rFonts w:cs="Arial"/>
          <w:lang w:val="en-GB"/>
        </w:rPr>
        <w:t xml:space="preserve"> interaction</w:t>
      </w:r>
      <w:r w:rsidR="00591AE3">
        <w:rPr>
          <w:rFonts w:cs="Arial"/>
          <w:lang w:val="en-GB"/>
        </w:rPr>
        <w:t>s that</w:t>
      </w:r>
      <w:r w:rsidR="008F3134">
        <w:rPr>
          <w:rFonts w:cs="Arial"/>
          <w:lang w:val="en-GB"/>
        </w:rPr>
        <w:t xml:space="preserve"> were</w:t>
      </w:r>
      <w:r w:rsidR="008F3134" w:rsidRPr="009D6381">
        <w:rPr>
          <w:rFonts w:cs="Arial"/>
          <w:lang w:val="en-GB"/>
        </w:rPr>
        <w:t xml:space="preserve"> significant at the p&lt;0.05 level.</w:t>
      </w:r>
      <w:r w:rsidR="008F3134">
        <w:rPr>
          <w:rFonts w:cs="Arial"/>
          <w:lang w:val="en-GB"/>
        </w:rPr>
        <w:t xml:space="preserve"> </w:t>
      </w:r>
      <w:r w:rsidR="008F3134" w:rsidRPr="009D6381">
        <w:rPr>
          <w:lang w:val="en-GB"/>
        </w:rPr>
        <w:t>Data analysis was performed using SPSS for windows, version 20.0.</w:t>
      </w:r>
    </w:p>
    <w:p w14:paraId="11A4C3FC" w14:textId="77777777" w:rsidR="00D7131A" w:rsidRPr="009D6381" w:rsidRDefault="00D7131A" w:rsidP="008F3134">
      <w:pPr>
        <w:rPr>
          <w:lang w:val="en-GB"/>
        </w:rPr>
      </w:pPr>
    </w:p>
    <w:p w14:paraId="21ECC361" w14:textId="40D6209C" w:rsidR="00B91FDE" w:rsidRPr="009D6381" w:rsidRDefault="0060477C" w:rsidP="00B91FDE">
      <w:pPr>
        <w:rPr>
          <w:b/>
          <w:bCs/>
          <w:lang w:val="en-GB"/>
        </w:rPr>
      </w:pPr>
      <w:r>
        <w:rPr>
          <w:b/>
          <w:bCs/>
          <w:lang w:val="en-GB"/>
        </w:rPr>
        <w:t xml:space="preserve">1.4 </w:t>
      </w:r>
      <w:r w:rsidR="00B01AEA">
        <w:rPr>
          <w:b/>
          <w:bCs/>
          <w:lang w:val="en-GB"/>
        </w:rPr>
        <w:t>RESULTS</w:t>
      </w:r>
    </w:p>
    <w:p w14:paraId="37FFCEE6" w14:textId="7A6506A1" w:rsidR="003F4FFC" w:rsidRDefault="00B91FDE" w:rsidP="001F223D">
      <w:pPr>
        <w:ind w:firstLine="708"/>
        <w:rPr>
          <w:lang w:val="en-GB"/>
        </w:rPr>
      </w:pPr>
      <w:r>
        <w:rPr>
          <w:lang w:val="en-GB"/>
        </w:rPr>
        <w:t xml:space="preserve">The web-based questionnaire was completed by 4,482 university students </w:t>
      </w:r>
      <w:r w:rsidR="00D032CA" w:rsidRPr="00D032CA">
        <w:rPr>
          <w:lang w:val="en-GB"/>
        </w:rPr>
        <w:t>(71.4% female)</w:t>
      </w:r>
      <w:r w:rsidR="00D032CA">
        <w:rPr>
          <w:lang w:val="en-GB"/>
        </w:rPr>
        <w:t xml:space="preserve"> </w:t>
      </w:r>
      <w:r>
        <w:rPr>
          <w:lang w:val="en-GB"/>
        </w:rPr>
        <w:t>in 2012</w:t>
      </w:r>
      <w:r w:rsidR="00450F4A">
        <w:rPr>
          <w:lang w:val="en-GB"/>
        </w:rPr>
        <w:t xml:space="preserve"> </w:t>
      </w:r>
      <w:r w:rsidR="00721CF7">
        <w:rPr>
          <w:lang w:val="en-GB"/>
        </w:rPr>
        <w:t xml:space="preserve">choosing </w:t>
      </w:r>
      <w:r w:rsidR="00450F4A" w:rsidRPr="000E65B7">
        <w:rPr>
          <w:lang w:val="en-GB"/>
        </w:rPr>
        <w:t>to participate in the survey</w:t>
      </w:r>
      <w:r>
        <w:rPr>
          <w:lang w:val="en-GB"/>
        </w:rPr>
        <w:t>.</w:t>
      </w:r>
      <w:r w:rsidRPr="000A7539">
        <w:rPr>
          <w:lang w:val="en-GB"/>
        </w:rPr>
        <w:t xml:space="preserve"> </w:t>
      </w:r>
      <w:r w:rsidR="00E22D79" w:rsidRPr="008F3134">
        <w:rPr>
          <w:rFonts w:asciiTheme="minorHAnsi" w:eastAsiaTheme="minorHAnsi" w:hAnsiTheme="minorHAnsi" w:cstheme="minorBidi"/>
          <w:lang w:val="en-US"/>
        </w:rPr>
        <w:t xml:space="preserve">Overall, </w:t>
      </w:r>
      <w:r w:rsidR="00E22D79">
        <w:rPr>
          <w:rFonts w:asciiTheme="minorHAnsi" w:eastAsiaTheme="minorHAnsi" w:hAnsiTheme="minorHAnsi" w:cstheme="minorBidi"/>
          <w:lang w:val="en-US"/>
        </w:rPr>
        <w:t>39%</w:t>
      </w:r>
      <w:r w:rsidR="00E22D79" w:rsidRPr="008F3134">
        <w:rPr>
          <w:rFonts w:asciiTheme="minorHAnsi" w:eastAsiaTheme="minorHAnsi" w:hAnsiTheme="minorHAnsi" w:cstheme="minorBidi"/>
          <w:lang w:val="en-US"/>
        </w:rPr>
        <w:t xml:space="preserve"> of </w:t>
      </w:r>
      <w:r w:rsidR="00E22D79">
        <w:rPr>
          <w:rFonts w:asciiTheme="minorHAnsi" w:eastAsiaTheme="minorHAnsi" w:hAnsiTheme="minorHAnsi" w:cstheme="minorBidi"/>
          <w:lang w:val="en-US"/>
        </w:rPr>
        <w:t xml:space="preserve">the </w:t>
      </w:r>
      <w:r w:rsidR="00E22D79" w:rsidRPr="008F3134">
        <w:rPr>
          <w:rFonts w:asciiTheme="minorHAnsi" w:eastAsiaTheme="minorHAnsi" w:hAnsiTheme="minorHAnsi" w:cstheme="minorBidi"/>
          <w:lang w:val="en-US"/>
        </w:rPr>
        <w:t xml:space="preserve">male and </w:t>
      </w:r>
      <w:r w:rsidR="00E22D79">
        <w:rPr>
          <w:rFonts w:asciiTheme="minorHAnsi" w:eastAsiaTheme="minorHAnsi" w:hAnsiTheme="minorHAnsi" w:cstheme="minorBidi"/>
          <w:lang w:val="en-US"/>
        </w:rPr>
        <w:t xml:space="preserve">27% of the </w:t>
      </w:r>
      <w:r w:rsidR="00E22D79" w:rsidRPr="008F3134">
        <w:rPr>
          <w:rFonts w:asciiTheme="minorHAnsi" w:eastAsiaTheme="minorHAnsi" w:hAnsiTheme="minorHAnsi" w:cstheme="minorBidi"/>
          <w:lang w:val="en-US"/>
        </w:rPr>
        <w:t xml:space="preserve">female students </w:t>
      </w:r>
      <w:r w:rsidR="00625DFE" w:rsidRPr="008F3134">
        <w:rPr>
          <w:rFonts w:asciiTheme="minorHAnsi" w:eastAsiaTheme="minorHAnsi" w:hAnsiTheme="minorHAnsi" w:cstheme="minorBidi"/>
          <w:lang w:val="en-US"/>
        </w:rPr>
        <w:t>w</w:t>
      </w:r>
      <w:r w:rsidR="00625DFE">
        <w:rPr>
          <w:rFonts w:asciiTheme="minorHAnsi" w:eastAsiaTheme="minorHAnsi" w:hAnsiTheme="minorHAnsi" w:cstheme="minorBidi"/>
          <w:lang w:val="en-US"/>
        </w:rPr>
        <w:t>ere</w:t>
      </w:r>
      <w:r w:rsidR="00625DFE" w:rsidRPr="008F3134">
        <w:rPr>
          <w:rFonts w:asciiTheme="minorHAnsi" w:eastAsiaTheme="minorHAnsi" w:hAnsiTheme="minorHAnsi" w:cstheme="minorBidi"/>
          <w:lang w:val="en-US"/>
        </w:rPr>
        <w:t xml:space="preserve"> </w:t>
      </w:r>
      <w:r w:rsidR="00E22D79">
        <w:rPr>
          <w:rFonts w:asciiTheme="minorHAnsi" w:eastAsiaTheme="minorHAnsi" w:hAnsiTheme="minorHAnsi" w:cstheme="minorBidi"/>
          <w:lang w:val="en-US"/>
        </w:rPr>
        <w:t>using tobacco</w:t>
      </w:r>
      <w:r w:rsidR="00E22D79" w:rsidRPr="008F3134">
        <w:rPr>
          <w:rFonts w:asciiTheme="minorHAnsi" w:eastAsiaTheme="minorHAnsi" w:hAnsiTheme="minorHAnsi" w:cstheme="minorBidi"/>
          <w:lang w:val="en-US"/>
        </w:rPr>
        <w:t xml:space="preserve">. </w:t>
      </w:r>
      <w:r>
        <w:rPr>
          <w:lang w:val="en-GB"/>
        </w:rPr>
        <w:t xml:space="preserve">A minority of participants </w:t>
      </w:r>
      <w:r w:rsidR="0016136A">
        <w:rPr>
          <w:lang w:val="en-GB"/>
        </w:rPr>
        <w:t xml:space="preserve">in each country </w:t>
      </w:r>
      <w:r>
        <w:rPr>
          <w:lang w:val="en-GB"/>
        </w:rPr>
        <w:t xml:space="preserve">(5.2%) were foreign born. </w:t>
      </w:r>
      <w:r w:rsidRPr="000A7539">
        <w:rPr>
          <w:rFonts w:cs="Arial"/>
          <w:lang w:val="en-GB"/>
        </w:rPr>
        <w:t>In the overall sample</w:t>
      </w:r>
      <w:r w:rsidR="00A222A3">
        <w:rPr>
          <w:rFonts w:cs="Arial"/>
          <w:lang w:val="en-GB"/>
        </w:rPr>
        <w:t>,</w:t>
      </w:r>
      <w:r w:rsidRPr="000A7539">
        <w:rPr>
          <w:rFonts w:cs="Arial"/>
          <w:lang w:val="en-GB"/>
        </w:rPr>
        <w:t xml:space="preserve"> participant</w:t>
      </w:r>
      <w:r w:rsidR="0016136A">
        <w:rPr>
          <w:rFonts w:cs="Arial"/>
          <w:lang w:val="en-GB"/>
        </w:rPr>
        <w:t>s</w:t>
      </w:r>
      <w:r w:rsidRPr="000A7539">
        <w:rPr>
          <w:rFonts w:cs="Arial"/>
          <w:lang w:val="en-GB"/>
        </w:rPr>
        <w:t xml:space="preserve"> from the Slovak Republic (43.2%, n=1,938) and Turkey (19.1%, n=858) accounted for more than half of the sample</w:t>
      </w:r>
      <w:r w:rsidR="00B01A49">
        <w:rPr>
          <w:rFonts w:cs="Arial"/>
          <w:lang w:val="en-GB"/>
        </w:rPr>
        <w:t>,</w:t>
      </w:r>
      <w:r w:rsidRPr="000A7539">
        <w:rPr>
          <w:rFonts w:cs="Arial"/>
          <w:lang w:val="en-GB"/>
        </w:rPr>
        <w:t xml:space="preserve"> followed by Germany (11.2%, n=504), Denmark (10.4%, n=464), Belgium (9.5% n=426), Spain (4.1%, n=185) and the</w:t>
      </w:r>
      <w:r>
        <w:rPr>
          <w:rFonts w:cs="Arial"/>
          <w:lang w:val="en-GB"/>
        </w:rPr>
        <w:t xml:space="preserve"> UK (2.4%, n=107)</w:t>
      </w:r>
      <w:r w:rsidRPr="000A7539">
        <w:rPr>
          <w:lang w:val="en-GB"/>
        </w:rPr>
        <w:t>.</w:t>
      </w:r>
      <w:r>
        <w:rPr>
          <w:lang w:val="en-GB"/>
        </w:rPr>
        <w:t xml:space="preserve"> A detailed description of </w:t>
      </w:r>
      <w:r w:rsidR="00B01A49">
        <w:rPr>
          <w:lang w:val="en-GB"/>
        </w:rPr>
        <w:t>sample characteristics</w:t>
      </w:r>
      <w:r>
        <w:rPr>
          <w:lang w:val="en-GB"/>
        </w:rPr>
        <w:t xml:space="preserve"> is provided </w:t>
      </w:r>
      <w:r w:rsidR="001A56C4">
        <w:rPr>
          <w:lang w:val="en-GB"/>
        </w:rPr>
        <w:t xml:space="preserve">in Table </w:t>
      </w:r>
      <w:r w:rsidR="00CD4316">
        <w:rPr>
          <w:lang w:val="en-GB"/>
        </w:rPr>
        <w:t>A.</w:t>
      </w:r>
      <w:r w:rsidR="001A56C4">
        <w:rPr>
          <w:lang w:val="en-GB"/>
        </w:rPr>
        <w:t>1</w:t>
      </w:r>
      <w:r w:rsidR="00C35E4D">
        <w:rPr>
          <w:lang w:val="en-GB"/>
        </w:rPr>
        <w:t>.</w:t>
      </w:r>
    </w:p>
    <w:p w14:paraId="2A58C72D" w14:textId="77777777" w:rsidR="006F5DDE" w:rsidRDefault="006F5DDE" w:rsidP="006F5DDE">
      <w:pPr>
        <w:rPr>
          <w:lang w:val="en-GB"/>
        </w:rPr>
      </w:pPr>
    </w:p>
    <w:p w14:paraId="2ADDD8D9" w14:textId="0D907855" w:rsidR="006F5DDE" w:rsidRPr="004F0C33" w:rsidRDefault="00CD4316" w:rsidP="006F5DDE">
      <w:pPr>
        <w:spacing w:after="0" w:line="240" w:lineRule="auto"/>
        <w:rPr>
          <w:b/>
          <w:lang w:val="en-US"/>
        </w:rPr>
      </w:pPr>
      <w:r>
        <w:rPr>
          <w:b/>
          <w:lang w:val="en-US"/>
        </w:rPr>
        <w:t>TABLE A.1</w:t>
      </w:r>
      <w:r>
        <w:rPr>
          <w:b/>
          <w:lang w:val="en-US"/>
        </w:rPr>
        <w:tab/>
      </w:r>
      <w:r w:rsidR="006F5DDE" w:rsidRPr="004F0C33">
        <w:rPr>
          <w:b/>
          <w:lang w:val="en-US"/>
        </w:rPr>
        <w:t>Sample characteristics</w:t>
      </w:r>
      <w:r w:rsidR="006F5DDE">
        <w:rPr>
          <w:b/>
          <w:lang w:val="en-US"/>
        </w:rPr>
        <w:t xml:space="preserve"> by country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936"/>
        <w:gridCol w:w="960"/>
        <w:gridCol w:w="963"/>
        <w:gridCol w:w="936"/>
        <w:gridCol w:w="936"/>
        <w:gridCol w:w="936"/>
        <w:gridCol w:w="936"/>
      </w:tblGrid>
      <w:tr w:rsidR="006F5DDE" w:rsidRPr="009D6381" w14:paraId="11744C6E" w14:textId="77777777" w:rsidTr="002731ED">
        <w:trPr>
          <w:trHeight w:val="680"/>
        </w:trPr>
        <w:tc>
          <w:tcPr>
            <w:tcW w:w="1361" w:type="pct"/>
          </w:tcPr>
          <w:p w14:paraId="1BD4CBF5" w14:textId="77777777" w:rsidR="006F5DDE" w:rsidRPr="00097E60" w:rsidRDefault="006F5DDE" w:rsidP="002731ED">
            <w:pPr>
              <w:spacing w:after="0" w:line="240" w:lineRule="auto"/>
              <w:rPr>
                <w:sz w:val="20"/>
                <w:szCs w:val="20"/>
                <w:lang w:val="en-GB"/>
              </w:rPr>
            </w:pPr>
          </w:p>
        </w:tc>
        <w:tc>
          <w:tcPr>
            <w:tcW w:w="520" w:type="pct"/>
          </w:tcPr>
          <w:p w14:paraId="4DA148A6" w14:textId="77777777" w:rsidR="006F5DDE" w:rsidRPr="00097E60" w:rsidRDefault="006F5DDE" w:rsidP="002731ED">
            <w:pPr>
              <w:spacing w:after="0" w:line="240" w:lineRule="auto"/>
              <w:jc w:val="center"/>
              <w:rPr>
                <w:sz w:val="20"/>
                <w:szCs w:val="20"/>
                <w:lang w:val="en-GB"/>
              </w:rPr>
            </w:pPr>
            <w:r w:rsidRPr="00097E60">
              <w:rPr>
                <w:sz w:val="20"/>
                <w:szCs w:val="20"/>
                <w:lang w:val="en-GB"/>
              </w:rPr>
              <w:t>Belgium</w:t>
            </w:r>
          </w:p>
          <w:p w14:paraId="3F6CEF8E" w14:textId="77777777" w:rsidR="006F5DDE" w:rsidRPr="00097E60" w:rsidRDefault="006F5DDE" w:rsidP="002731ED">
            <w:pPr>
              <w:spacing w:after="0" w:line="240" w:lineRule="auto"/>
              <w:jc w:val="center"/>
              <w:rPr>
                <w:sz w:val="20"/>
                <w:szCs w:val="20"/>
                <w:lang w:val="en-GB"/>
              </w:rPr>
            </w:pPr>
            <w:r w:rsidRPr="00097E60">
              <w:rPr>
                <w:sz w:val="20"/>
                <w:szCs w:val="20"/>
                <w:lang w:val="en-GB"/>
              </w:rPr>
              <w:t>(n = 424)</w:t>
            </w:r>
          </w:p>
        </w:tc>
        <w:tc>
          <w:tcPr>
            <w:tcW w:w="520" w:type="pct"/>
          </w:tcPr>
          <w:p w14:paraId="512EFFF7" w14:textId="77777777" w:rsidR="006F5DDE" w:rsidRPr="00097E60" w:rsidRDefault="006F5DDE" w:rsidP="002731ED">
            <w:pPr>
              <w:spacing w:after="0" w:line="240" w:lineRule="auto"/>
              <w:jc w:val="center"/>
              <w:rPr>
                <w:sz w:val="20"/>
                <w:szCs w:val="20"/>
                <w:lang w:val="en-GB"/>
              </w:rPr>
            </w:pPr>
            <w:r w:rsidRPr="00097E60">
              <w:rPr>
                <w:sz w:val="20"/>
                <w:szCs w:val="20"/>
                <w:lang w:val="en-GB"/>
              </w:rPr>
              <w:t>Denmark</w:t>
            </w:r>
          </w:p>
          <w:p w14:paraId="131E775B" w14:textId="77777777" w:rsidR="006F5DDE" w:rsidRPr="00097E60" w:rsidRDefault="006F5DDE" w:rsidP="002731ED">
            <w:pPr>
              <w:spacing w:after="0" w:line="240" w:lineRule="auto"/>
              <w:jc w:val="center"/>
              <w:rPr>
                <w:sz w:val="20"/>
                <w:szCs w:val="20"/>
                <w:lang w:val="en-GB"/>
              </w:rPr>
            </w:pPr>
            <w:r w:rsidRPr="00097E60">
              <w:rPr>
                <w:sz w:val="20"/>
                <w:szCs w:val="20"/>
                <w:lang w:val="en-GB"/>
              </w:rPr>
              <w:t>(n = 461)</w:t>
            </w:r>
          </w:p>
        </w:tc>
        <w:tc>
          <w:tcPr>
            <w:tcW w:w="520" w:type="pct"/>
          </w:tcPr>
          <w:p w14:paraId="12D5A29F" w14:textId="77777777" w:rsidR="006F5DDE" w:rsidRPr="00097E60" w:rsidRDefault="006F5DDE" w:rsidP="002731ED">
            <w:pPr>
              <w:spacing w:after="0" w:line="240" w:lineRule="auto"/>
              <w:jc w:val="center"/>
              <w:rPr>
                <w:sz w:val="20"/>
                <w:szCs w:val="20"/>
                <w:lang w:val="en-GB"/>
              </w:rPr>
            </w:pPr>
            <w:r w:rsidRPr="00097E60">
              <w:rPr>
                <w:sz w:val="20"/>
                <w:szCs w:val="20"/>
                <w:lang w:val="en-GB"/>
              </w:rPr>
              <w:t>Germany</w:t>
            </w:r>
          </w:p>
          <w:p w14:paraId="28CC68F5" w14:textId="77777777" w:rsidR="006F5DDE" w:rsidRPr="00097E60" w:rsidRDefault="006F5DDE" w:rsidP="002731ED">
            <w:pPr>
              <w:spacing w:after="0" w:line="240" w:lineRule="auto"/>
              <w:jc w:val="center"/>
              <w:rPr>
                <w:sz w:val="20"/>
                <w:szCs w:val="20"/>
                <w:lang w:val="en-GB"/>
              </w:rPr>
            </w:pPr>
            <w:r w:rsidRPr="00097E60">
              <w:rPr>
                <w:sz w:val="20"/>
                <w:szCs w:val="20"/>
                <w:lang w:val="en-GB"/>
              </w:rPr>
              <w:t>(n=503)</w:t>
            </w:r>
          </w:p>
        </w:tc>
        <w:tc>
          <w:tcPr>
            <w:tcW w:w="520" w:type="pct"/>
          </w:tcPr>
          <w:p w14:paraId="44E34583" w14:textId="77777777" w:rsidR="006F5DDE" w:rsidRPr="00097E60" w:rsidRDefault="006F5DDE" w:rsidP="002731ED">
            <w:pPr>
              <w:spacing w:after="0" w:line="240" w:lineRule="auto"/>
              <w:jc w:val="center"/>
              <w:rPr>
                <w:sz w:val="20"/>
                <w:szCs w:val="20"/>
                <w:lang w:val="en-GB"/>
              </w:rPr>
            </w:pPr>
            <w:r w:rsidRPr="00097E60">
              <w:rPr>
                <w:sz w:val="20"/>
                <w:szCs w:val="20"/>
                <w:lang w:val="en-GB"/>
              </w:rPr>
              <w:t>Slovak Republic</w:t>
            </w:r>
          </w:p>
          <w:p w14:paraId="5DEE8981" w14:textId="77777777" w:rsidR="006F5DDE" w:rsidRPr="00097E60" w:rsidRDefault="006F5DDE" w:rsidP="002731ED">
            <w:pPr>
              <w:spacing w:after="0" w:line="240" w:lineRule="auto"/>
              <w:jc w:val="center"/>
              <w:rPr>
                <w:sz w:val="20"/>
                <w:szCs w:val="20"/>
                <w:lang w:val="en-GB"/>
              </w:rPr>
            </w:pPr>
            <w:r w:rsidRPr="00097E60">
              <w:rPr>
                <w:sz w:val="20"/>
                <w:szCs w:val="20"/>
                <w:lang w:val="en-GB"/>
              </w:rPr>
              <w:t>(n =1931)</w:t>
            </w:r>
          </w:p>
        </w:tc>
        <w:tc>
          <w:tcPr>
            <w:tcW w:w="520" w:type="pct"/>
          </w:tcPr>
          <w:p w14:paraId="231E0EAE" w14:textId="77777777" w:rsidR="006F5DDE" w:rsidRPr="00097E60" w:rsidRDefault="006F5DDE" w:rsidP="002731ED">
            <w:pPr>
              <w:spacing w:after="0" w:line="240" w:lineRule="auto"/>
              <w:jc w:val="center"/>
              <w:rPr>
                <w:sz w:val="20"/>
                <w:szCs w:val="20"/>
                <w:lang w:val="en-GB"/>
              </w:rPr>
            </w:pPr>
            <w:r w:rsidRPr="00097E60">
              <w:rPr>
                <w:sz w:val="20"/>
                <w:szCs w:val="20"/>
                <w:lang w:val="en-GB"/>
              </w:rPr>
              <w:t>Spain</w:t>
            </w:r>
          </w:p>
          <w:p w14:paraId="5325E381" w14:textId="77777777" w:rsidR="006F5DDE" w:rsidRPr="00097E60" w:rsidRDefault="006F5DDE" w:rsidP="002731ED">
            <w:pPr>
              <w:spacing w:after="0" w:line="240" w:lineRule="auto"/>
              <w:jc w:val="center"/>
              <w:rPr>
                <w:sz w:val="20"/>
                <w:szCs w:val="20"/>
                <w:lang w:val="en-GB"/>
              </w:rPr>
            </w:pPr>
            <w:r w:rsidRPr="00097E60">
              <w:rPr>
                <w:sz w:val="20"/>
                <w:szCs w:val="20"/>
                <w:lang w:val="en-GB"/>
              </w:rPr>
              <w:t xml:space="preserve"> (n=184)</w:t>
            </w:r>
          </w:p>
        </w:tc>
        <w:tc>
          <w:tcPr>
            <w:tcW w:w="520" w:type="pct"/>
          </w:tcPr>
          <w:p w14:paraId="6F95B1D7" w14:textId="77777777" w:rsidR="006F5DDE" w:rsidRPr="00097E60" w:rsidRDefault="006F5DDE" w:rsidP="002731ED">
            <w:pPr>
              <w:spacing w:after="0" w:line="240" w:lineRule="auto"/>
              <w:jc w:val="center"/>
              <w:rPr>
                <w:sz w:val="20"/>
                <w:szCs w:val="20"/>
                <w:lang w:val="en-GB"/>
              </w:rPr>
            </w:pPr>
            <w:r w:rsidRPr="00097E60">
              <w:rPr>
                <w:sz w:val="20"/>
                <w:szCs w:val="20"/>
                <w:lang w:val="en-GB"/>
              </w:rPr>
              <w:t>Turkey</w:t>
            </w:r>
          </w:p>
          <w:p w14:paraId="5CD4671C" w14:textId="77777777" w:rsidR="006F5DDE" w:rsidRPr="00097E60" w:rsidRDefault="006F5DDE" w:rsidP="002731ED">
            <w:pPr>
              <w:spacing w:after="0" w:line="240" w:lineRule="auto"/>
              <w:jc w:val="center"/>
              <w:rPr>
                <w:sz w:val="20"/>
                <w:szCs w:val="20"/>
                <w:lang w:val="en-GB"/>
              </w:rPr>
            </w:pPr>
            <w:r w:rsidRPr="00097E60">
              <w:rPr>
                <w:sz w:val="20"/>
                <w:szCs w:val="20"/>
                <w:lang w:val="en-GB"/>
              </w:rPr>
              <w:t xml:space="preserve"> (n=855)</w:t>
            </w:r>
          </w:p>
        </w:tc>
        <w:tc>
          <w:tcPr>
            <w:tcW w:w="519" w:type="pct"/>
          </w:tcPr>
          <w:p w14:paraId="5B848D7D" w14:textId="77777777" w:rsidR="006F5DDE" w:rsidRPr="00097E60" w:rsidRDefault="006F5DDE" w:rsidP="002731ED">
            <w:pPr>
              <w:spacing w:after="0" w:line="240" w:lineRule="auto"/>
              <w:jc w:val="center"/>
              <w:rPr>
                <w:sz w:val="20"/>
                <w:szCs w:val="20"/>
                <w:lang w:val="en-GB"/>
              </w:rPr>
            </w:pPr>
            <w:r w:rsidRPr="00097E60">
              <w:rPr>
                <w:sz w:val="20"/>
                <w:szCs w:val="20"/>
                <w:lang w:val="en-GB"/>
              </w:rPr>
              <w:t>United Kingdom</w:t>
            </w:r>
          </w:p>
          <w:p w14:paraId="0734D8F8" w14:textId="77777777" w:rsidR="006F5DDE" w:rsidRPr="00097E60" w:rsidRDefault="006F5DDE" w:rsidP="002731ED">
            <w:pPr>
              <w:spacing w:after="0" w:line="240" w:lineRule="auto"/>
              <w:jc w:val="center"/>
              <w:rPr>
                <w:sz w:val="20"/>
                <w:szCs w:val="20"/>
                <w:lang w:val="en-GB"/>
              </w:rPr>
            </w:pPr>
            <w:r w:rsidRPr="00097E60">
              <w:rPr>
                <w:sz w:val="20"/>
                <w:szCs w:val="20"/>
                <w:lang w:val="en-GB"/>
              </w:rPr>
              <w:t xml:space="preserve"> (n=107)</w:t>
            </w:r>
          </w:p>
        </w:tc>
      </w:tr>
      <w:tr w:rsidR="006F5DDE" w:rsidRPr="009D6381" w14:paraId="4E704E30" w14:textId="77777777" w:rsidTr="002731ED">
        <w:trPr>
          <w:trHeight w:val="680"/>
        </w:trPr>
        <w:tc>
          <w:tcPr>
            <w:tcW w:w="1361" w:type="pct"/>
          </w:tcPr>
          <w:p w14:paraId="35A4E37D" w14:textId="77777777" w:rsidR="006F5DDE" w:rsidRPr="00097E60" w:rsidRDefault="006F5DDE" w:rsidP="002731ED">
            <w:pPr>
              <w:spacing w:after="0" w:line="240" w:lineRule="auto"/>
              <w:rPr>
                <w:b/>
                <w:bCs/>
                <w:sz w:val="20"/>
                <w:szCs w:val="20"/>
                <w:lang w:val="en-GB"/>
              </w:rPr>
            </w:pPr>
            <w:r w:rsidRPr="00097E60">
              <w:rPr>
                <w:b/>
                <w:bCs/>
                <w:sz w:val="20"/>
                <w:szCs w:val="20"/>
                <w:lang w:val="en-GB"/>
              </w:rPr>
              <w:t>Sex</w:t>
            </w:r>
            <w:r>
              <w:rPr>
                <w:b/>
                <w:bCs/>
                <w:sz w:val="20"/>
                <w:szCs w:val="20"/>
                <w:lang w:val="en-GB"/>
              </w:rPr>
              <w:t xml:space="preserve"> </w:t>
            </w:r>
            <w:r w:rsidRPr="00097E60">
              <w:rPr>
                <w:b/>
                <w:bCs/>
                <w:sz w:val="20"/>
                <w:szCs w:val="20"/>
                <w:lang w:val="en-GB"/>
              </w:rPr>
              <w:t xml:space="preserve">(%) </w:t>
            </w:r>
          </w:p>
          <w:p w14:paraId="11B80FD9" w14:textId="77777777" w:rsidR="006F5DDE" w:rsidRPr="00097E60" w:rsidRDefault="006F5DDE" w:rsidP="002731ED">
            <w:pPr>
              <w:spacing w:after="0" w:line="240" w:lineRule="auto"/>
              <w:rPr>
                <w:sz w:val="20"/>
                <w:szCs w:val="20"/>
                <w:lang w:val="en-GB"/>
              </w:rPr>
            </w:pPr>
            <w:r w:rsidRPr="00097E60">
              <w:rPr>
                <w:sz w:val="20"/>
                <w:szCs w:val="20"/>
                <w:lang w:val="en-GB"/>
              </w:rPr>
              <w:t>Female</w:t>
            </w:r>
          </w:p>
          <w:p w14:paraId="5D44BEB6" w14:textId="77777777" w:rsidR="006F5DDE" w:rsidRPr="00097E60" w:rsidRDefault="006F5DDE" w:rsidP="002731ED">
            <w:pPr>
              <w:spacing w:after="0" w:line="240" w:lineRule="auto"/>
              <w:rPr>
                <w:b/>
                <w:bCs/>
                <w:sz w:val="20"/>
                <w:szCs w:val="20"/>
                <w:lang w:val="en-GB"/>
              </w:rPr>
            </w:pPr>
            <w:r w:rsidRPr="00097E60">
              <w:rPr>
                <w:sz w:val="20"/>
                <w:szCs w:val="20"/>
                <w:lang w:val="en-GB"/>
              </w:rPr>
              <w:t>Male</w:t>
            </w:r>
          </w:p>
        </w:tc>
        <w:tc>
          <w:tcPr>
            <w:tcW w:w="520" w:type="pct"/>
          </w:tcPr>
          <w:p w14:paraId="315545E0" w14:textId="77777777" w:rsidR="006F5DDE" w:rsidRPr="00097E60" w:rsidRDefault="006F5DDE" w:rsidP="002731ED">
            <w:pPr>
              <w:spacing w:after="0" w:line="240" w:lineRule="auto"/>
              <w:rPr>
                <w:sz w:val="20"/>
                <w:szCs w:val="20"/>
                <w:lang w:val="en-GB"/>
              </w:rPr>
            </w:pPr>
          </w:p>
          <w:p w14:paraId="2F668296" w14:textId="77777777" w:rsidR="006F5DDE" w:rsidRPr="00097E60" w:rsidRDefault="006F5DDE" w:rsidP="002731ED">
            <w:pPr>
              <w:spacing w:after="0" w:line="240" w:lineRule="auto"/>
              <w:rPr>
                <w:sz w:val="20"/>
                <w:szCs w:val="20"/>
                <w:lang w:val="en-GB"/>
              </w:rPr>
            </w:pPr>
            <w:r w:rsidRPr="00097E60">
              <w:rPr>
                <w:sz w:val="20"/>
                <w:szCs w:val="20"/>
                <w:lang w:val="en-GB"/>
              </w:rPr>
              <w:t>79.2</w:t>
            </w:r>
          </w:p>
          <w:p w14:paraId="0AAC70AA" w14:textId="77777777" w:rsidR="006F5DDE" w:rsidRPr="00097E60" w:rsidRDefault="006F5DDE" w:rsidP="002731ED">
            <w:pPr>
              <w:spacing w:after="0" w:line="240" w:lineRule="auto"/>
              <w:rPr>
                <w:sz w:val="20"/>
                <w:szCs w:val="20"/>
                <w:lang w:val="en-GB"/>
              </w:rPr>
            </w:pPr>
            <w:r w:rsidRPr="00097E60">
              <w:rPr>
                <w:sz w:val="20"/>
                <w:szCs w:val="20"/>
                <w:lang w:val="en-GB"/>
              </w:rPr>
              <w:t>20.8</w:t>
            </w:r>
          </w:p>
        </w:tc>
        <w:tc>
          <w:tcPr>
            <w:tcW w:w="520" w:type="pct"/>
          </w:tcPr>
          <w:p w14:paraId="146AD7C4" w14:textId="77777777" w:rsidR="006F5DDE" w:rsidRPr="00097E60" w:rsidRDefault="006F5DDE" w:rsidP="002731ED">
            <w:pPr>
              <w:spacing w:after="0" w:line="240" w:lineRule="auto"/>
              <w:rPr>
                <w:sz w:val="20"/>
                <w:szCs w:val="20"/>
                <w:lang w:val="en-GB"/>
              </w:rPr>
            </w:pPr>
          </w:p>
          <w:p w14:paraId="61E441E8" w14:textId="77777777" w:rsidR="006F5DDE" w:rsidRPr="00097E60" w:rsidRDefault="006F5DDE" w:rsidP="002731ED">
            <w:pPr>
              <w:spacing w:after="0" w:line="240" w:lineRule="auto"/>
              <w:rPr>
                <w:sz w:val="20"/>
                <w:szCs w:val="20"/>
                <w:lang w:val="en-GB"/>
              </w:rPr>
            </w:pPr>
            <w:r w:rsidRPr="00097E60">
              <w:rPr>
                <w:sz w:val="20"/>
                <w:szCs w:val="20"/>
                <w:lang w:val="en-GB"/>
              </w:rPr>
              <w:t>78.1</w:t>
            </w:r>
          </w:p>
          <w:p w14:paraId="0CC15AF8" w14:textId="77777777" w:rsidR="006F5DDE" w:rsidRPr="00097E60" w:rsidRDefault="006F5DDE" w:rsidP="002731ED">
            <w:pPr>
              <w:spacing w:after="0" w:line="240" w:lineRule="auto"/>
              <w:rPr>
                <w:sz w:val="20"/>
                <w:szCs w:val="20"/>
                <w:lang w:val="en-GB"/>
              </w:rPr>
            </w:pPr>
            <w:r w:rsidRPr="00097E60">
              <w:rPr>
                <w:sz w:val="20"/>
                <w:szCs w:val="20"/>
                <w:lang w:val="en-GB"/>
              </w:rPr>
              <w:t>21.9</w:t>
            </w:r>
          </w:p>
        </w:tc>
        <w:tc>
          <w:tcPr>
            <w:tcW w:w="520" w:type="pct"/>
          </w:tcPr>
          <w:p w14:paraId="70CB8EF8" w14:textId="77777777" w:rsidR="006F5DDE" w:rsidRPr="00097E60" w:rsidRDefault="006F5DDE" w:rsidP="002731ED">
            <w:pPr>
              <w:spacing w:after="0" w:line="240" w:lineRule="auto"/>
              <w:rPr>
                <w:sz w:val="20"/>
                <w:szCs w:val="20"/>
                <w:lang w:val="en-GB"/>
              </w:rPr>
            </w:pPr>
          </w:p>
          <w:p w14:paraId="4C38A6BF" w14:textId="77777777" w:rsidR="006F5DDE" w:rsidRPr="00097E60" w:rsidRDefault="006F5DDE" w:rsidP="002731ED">
            <w:pPr>
              <w:spacing w:after="0" w:line="240" w:lineRule="auto"/>
              <w:rPr>
                <w:sz w:val="20"/>
                <w:szCs w:val="20"/>
                <w:lang w:val="en-GB"/>
              </w:rPr>
            </w:pPr>
            <w:r w:rsidRPr="00097E60">
              <w:rPr>
                <w:sz w:val="20"/>
                <w:szCs w:val="20"/>
                <w:lang w:val="en-GB"/>
              </w:rPr>
              <w:t>58.8</w:t>
            </w:r>
          </w:p>
          <w:p w14:paraId="3461C188" w14:textId="77777777" w:rsidR="006F5DDE" w:rsidRPr="00097E60" w:rsidRDefault="006F5DDE" w:rsidP="002731ED">
            <w:pPr>
              <w:spacing w:after="0" w:line="240" w:lineRule="auto"/>
              <w:rPr>
                <w:sz w:val="20"/>
                <w:szCs w:val="20"/>
                <w:lang w:val="en-GB"/>
              </w:rPr>
            </w:pPr>
            <w:r w:rsidRPr="00097E60">
              <w:rPr>
                <w:sz w:val="20"/>
                <w:szCs w:val="20"/>
                <w:lang w:val="en-GB"/>
              </w:rPr>
              <w:t>41.2</w:t>
            </w:r>
          </w:p>
        </w:tc>
        <w:tc>
          <w:tcPr>
            <w:tcW w:w="520" w:type="pct"/>
          </w:tcPr>
          <w:p w14:paraId="254A5793" w14:textId="77777777" w:rsidR="006F5DDE" w:rsidRPr="00097E60" w:rsidRDefault="006F5DDE" w:rsidP="002731ED">
            <w:pPr>
              <w:spacing w:after="0" w:line="240" w:lineRule="auto"/>
              <w:rPr>
                <w:sz w:val="20"/>
                <w:szCs w:val="20"/>
                <w:lang w:val="en-GB"/>
              </w:rPr>
            </w:pPr>
          </w:p>
          <w:p w14:paraId="300E5BB9" w14:textId="77777777" w:rsidR="006F5DDE" w:rsidRPr="00097E60" w:rsidRDefault="006F5DDE" w:rsidP="002731ED">
            <w:pPr>
              <w:spacing w:after="0" w:line="240" w:lineRule="auto"/>
              <w:rPr>
                <w:sz w:val="20"/>
                <w:szCs w:val="20"/>
                <w:lang w:val="en-GB"/>
              </w:rPr>
            </w:pPr>
            <w:r w:rsidRPr="00097E60">
              <w:rPr>
                <w:sz w:val="20"/>
                <w:szCs w:val="20"/>
                <w:lang w:val="en-GB"/>
              </w:rPr>
              <w:t>79.5</w:t>
            </w:r>
          </w:p>
          <w:p w14:paraId="31E1A053" w14:textId="77777777" w:rsidR="006F5DDE" w:rsidRPr="00097E60" w:rsidRDefault="006F5DDE" w:rsidP="002731ED">
            <w:pPr>
              <w:spacing w:after="0" w:line="240" w:lineRule="auto"/>
              <w:rPr>
                <w:sz w:val="20"/>
                <w:szCs w:val="20"/>
                <w:lang w:val="en-GB"/>
              </w:rPr>
            </w:pPr>
            <w:r w:rsidRPr="00097E60">
              <w:rPr>
                <w:sz w:val="20"/>
                <w:szCs w:val="20"/>
                <w:lang w:val="en-GB"/>
              </w:rPr>
              <w:t>20.5</w:t>
            </w:r>
          </w:p>
        </w:tc>
        <w:tc>
          <w:tcPr>
            <w:tcW w:w="520" w:type="pct"/>
          </w:tcPr>
          <w:p w14:paraId="37D05B02" w14:textId="77777777" w:rsidR="006F5DDE" w:rsidRPr="00097E60" w:rsidRDefault="006F5DDE" w:rsidP="002731ED">
            <w:pPr>
              <w:spacing w:after="0" w:line="240" w:lineRule="auto"/>
              <w:rPr>
                <w:sz w:val="20"/>
                <w:szCs w:val="20"/>
                <w:lang w:val="en-GB"/>
              </w:rPr>
            </w:pPr>
          </w:p>
          <w:p w14:paraId="4F4020CF" w14:textId="77777777" w:rsidR="006F5DDE" w:rsidRPr="00097E60" w:rsidRDefault="006F5DDE" w:rsidP="002731ED">
            <w:pPr>
              <w:spacing w:after="0" w:line="240" w:lineRule="auto"/>
              <w:rPr>
                <w:sz w:val="20"/>
                <w:szCs w:val="20"/>
                <w:lang w:val="en-GB"/>
              </w:rPr>
            </w:pPr>
            <w:r w:rsidRPr="00097E60">
              <w:rPr>
                <w:sz w:val="20"/>
                <w:szCs w:val="20"/>
                <w:lang w:val="en-GB"/>
              </w:rPr>
              <w:t>71.7</w:t>
            </w:r>
          </w:p>
          <w:p w14:paraId="6A37912B" w14:textId="77777777" w:rsidR="006F5DDE" w:rsidRPr="00097E60" w:rsidRDefault="006F5DDE" w:rsidP="002731ED">
            <w:pPr>
              <w:spacing w:after="0" w:line="240" w:lineRule="auto"/>
              <w:rPr>
                <w:sz w:val="20"/>
                <w:szCs w:val="20"/>
                <w:lang w:val="en-GB"/>
              </w:rPr>
            </w:pPr>
            <w:r w:rsidRPr="00097E60">
              <w:rPr>
                <w:sz w:val="20"/>
                <w:szCs w:val="20"/>
                <w:lang w:val="en-GB"/>
              </w:rPr>
              <w:t>28.3</w:t>
            </w:r>
          </w:p>
        </w:tc>
        <w:tc>
          <w:tcPr>
            <w:tcW w:w="520" w:type="pct"/>
          </w:tcPr>
          <w:p w14:paraId="70C91501" w14:textId="77777777" w:rsidR="006F5DDE" w:rsidRPr="00097E60" w:rsidRDefault="006F5DDE" w:rsidP="002731ED">
            <w:pPr>
              <w:spacing w:after="0" w:line="240" w:lineRule="auto"/>
              <w:rPr>
                <w:sz w:val="20"/>
                <w:szCs w:val="20"/>
                <w:lang w:val="en-GB"/>
              </w:rPr>
            </w:pPr>
          </w:p>
          <w:p w14:paraId="6D37C743" w14:textId="77777777" w:rsidR="006F5DDE" w:rsidRPr="00097E60" w:rsidRDefault="006F5DDE" w:rsidP="002731ED">
            <w:pPr>
              <w:spacing w:after="0" w:line="240" w:lineRule="auto"/>
              <w:rPr>
                <w:sz w:val="20"/>
                <w:szCs w:val="20"/>
                <w:lang w:val="en-GB"/>
              </w:rPr>
            </w:pPr>
            <w:r w:rsidRPr="00097E60">
              <w:rPr>
                <w:sz w:val="20"/>
                <w:szCs w:val="20"/>
                <w:lang w:val="en-GB"/>
              </w:rPr>
              <w:t>53.1</w:t>
            </w:r>
          </w:p>
          <w:p w14:paraId="0FE457F1" w14:textId="77777777" w:rsidR="006F5DDE" w:rsidRPr="00097E60" w:rsidRDefault="006F5DDE" w:rsidP="002731ED">
            <w:pPr>
              <w:spacing w:after="0" w:line="240" w:lineRule="auto"/>
              <w:rPr>
                <w:sz w:val="20"/>
                <w:szCs w:val="20"/>
                <w:lang w:val="en-GB"/>
              </w:rPr>
            </w:pPr>
            <w:r w:rsidRPr="00097E60">
              <w:rPr>
                <w:sz w:val="20"/>
                <w:szCs w:val="20"/>
                <w:lang w:val="en-GB"/>
              </w:rPr>
              <w:t>46.9</w:t>
            </w:r>
          </w:p>
        </w:tc>
        <w:tc>
          <w:tcPr>
            <w:tcW w:w="519" w:type="pct"/>
          </w:tcPr>
          <w:p w14:paraId="460E831B" w14:textId="77777777" w:rsidR="006F5DDE" w:rsidRPr="00097E60" w:rsidRDefault="006F5DDE" w:rsidP="002731ED">
            <w:pPr>
              <w:spacing w:after="0" w:line="240" w:lineRule="auto"/>
              <w:rPr>
                <w:sz w:val="20"/>
                <w:szCs w:val="20"/>
                <w:lang w:val="en-GB"/>
              </w:rPr>
            </w:pPr>
          </w:p>
          <w:p w14:paraId="35C87262" w14:textId="77777777" w:rsidR="006F5DDE" w:rsidRPr="00097E60" w:rsidRDefault="006F5DDE" w:rsidP="002731ED">
            <w:pPr>
              <w:spacing w:after="0" w:line="240" w:lineRule="auto"/>
              <w:rPr>
                <w:sz w:val="20"/>
                <w:szCs w:val="20"/>
                <w:lang w:val="en-GB"/>
              </w:rPr>
            </w:pPr>
            <w:r w:rsidRPr="00097E60">
              <w:rPr>
                <w:sz w:val="20"/>
                <w:szCs w:val="20"/>
                <w:lang w:val="en-GB"/>
              </w:rPr>
              <w:t>69.2</w:t>
            </w:r>
          </w:p>
          <w:p w14:paraId="65D8EFB1" w14:textId="77777777" w:rsidR="006F5DDE" w:rsidRPr="00097E60" w:rsidRDefault="006F5DDE" w:rsidP="002731ED">
            <w:pPr>
              <w:spacing w:after="0" w:line="240" w:lineRule="auto"/>
              <w:rPr>
                <w:sz w:val="20"/>
                <w:szCs w:val="20"/>
                <w:lang w:val="en-GB"/>
              </w:rPr>
            </w:pPr>
            <w:r w:rsidRPr="00097E60">
              <w:rPr>
                <w:sz w:val="20"/>
                <w:szCs w:val="20"/>
                <w:lang w:val="en-GB"/>
              </w:rPr>
              <w:t>30.8</w:t>
            </w:r>
          </w:p>
        </w:tc>
      </w:tr>
      <w:tr w:rsidR="006F5DDE" w:rsidRPr="009D6381" w14:paraId="7E5EF255" w14:textId="77777777" w:rsidTr="002731ED">
        <w:trPr>
          <w:trHeight w:val="1134"/>
        </w:trPr>
        <w:tc>
          <w:tcPr>
            <w:tcW w:w="1361" w:type="pct"/>
          </w:tcPr>
          <w:p w14:paraId="45746F10" w14:textId="77777777" w:rsidR="006F5DDE" w:rsidRPr="00097E60" w:rsidRDefault="006F5DDE" w:rsidP="002731ED">
            <w:pPr>
              <w:spacing w:after="0" w:line="240" w:lineRule="auto"/>
              <w:rPr>
                <w:b/>
                <w:bCs/>
                <w:sz w:val="20"/>
                <w:szCs w:val="20"/>
                <w:lang w:val="en-GB"/>
              </w:rPr>
            </w:pPr>
            <w:r w:rsidRPr="00097E60">
              <w:rPr>
                <w:b/>
                <w:bCs/>
                <w:sz w:val="20"/>
                <w:szCs w:val="20"/>
                <w:lang w:val="en-GB"/>
              </w:rPr>
              <w:t>Age Categories (%)</w:t>
            </w:r>
          </w:p>
          <w:p w14:paraId="1ED59AAC" w14:textId="77777777" w:rsidR="006F5DDE" w:rsidRPr="00097E60" w:rsidRDefault="006F5DDE" w:rsidP="002731ED">
            <w:pPr>
              <w:spacing w:after="0" w:line="240" w:lineRule="auto"/>
              <w:rPr>
                <w:sz w:val="20"/>
                <w:szCs w:val="20"/>
                <w:lang w:val="en-GB"/>
              </w:rPr>
            </w:pPr>
            <w:r w:rsidRPr="00097E60">
              <w:rPr>
                <w:sz w:val="20"/>
                <w:szCs w:val="20"/>
                <w:lang w:val="en-GB"/>
              </w:rPr>
              <w:t>&lt;20</w:t>
            </w:r>
          </w:p>
          <w:p w14:paraId="039B7482" w14:textId="77777777" w:rsidR="006F5DDE" w:rsidRPr="00097E60" w:rsidRDefault="006F5DDE" w:rsidP="002731ED">
            <w:pPr>
              <w:spacing w:after="0" w:line="240" w:lineRule="auto"/>
              <w:rPr>
                <w:sz w:val="20"/>
                <w:szCs w:val="20"/>
                <w:lang w:val="en-GB"/>
              </w:rPr>
            </w:pPr>
            <w:r w:rsidRPr="00097E60">
              <w:rPr>
                <w:sz w:val="20"/>
                <w:szCs w:val="20"/>
                <w:lang w:val="en-GB"/>
              </w:rPr>
              <w:t>21-25</w:t>
            </w:r>
          </w:p>
          <w:p w14:paraId="7DD13F4B" w14:textId="77777777" w:rsidR="006F5DDE" w:rsidRPr="00097E60" w:rsidRDefault="006F5DDE" w:rsidP="002731ED">
            <w:pPr>
              <w:spacing w:after="0" w:line="240" w:lineRule="auto"/>
              <w:rPr>
                <w:sz w:val="20"/>
                <w:szCs w:val="20"/>
                <w:lang w:val="en-GB"/>
              </w:rPr>
            </w:pPr>
            <w:r w:rsidRPr="00097E60">
              <w:rPr>
                <w:sz w:val="20"/>
                <w:szCs w:val="20"/>
                <w:lang w:val="en-GB"/>
              </w:rPr>
              <w:t>26-30</w:t>
            </w:r>
          </w:p>
          <w:p w14:paraId="5F76168E" w14:textId="77777777" w:rsidR="006F5DDE" w:rsidRPr="00097E60" w:rsidRDefault="006F5DDE" w:rsidP="002731ED">
            <w:pPr>
              <w:spacing w:after="0" w:line="240" w:lineRule="auto"/>
              <w:rPr>
                <w:sz w:val="20"/>
                <w:szCs w:val="20"/>
                <w:lang w:val="en-GB"/>
              </w:rPr>
            </w:pPr>
            <w:r w:rsidRPr="00097E60">
              <w:rPr>
                <w:sz w:val="20"/>
                <w:szCs w:val="20"/>
                <w:lang w:val="en-GB"/>
              </w:rPr>
              <w:t>31+ years</w:t>
            </w:r>
          </w:p>
        </w:tc>
        <w:tc>
          <w:tcPr>
            <w:tcW w:w="520" w:type="pct"/>
          </w:tcPr>
          <w:p w14:paraId="504C3E98" w14:textId="77777777" w:rsidR="006F5DDE" w:rsidRPr="00097E60" w:rsidRDefault="006F5DDE" w:rsidP="002731ED">
            <w:pPr>
              <w:spacing w:after="0" w:line="240" w:lineRule="auto"/>
              <w:rPr>
                <w:sz w:val="20"/>
                <w:szCs w:val="20"/>
                <w:lang w:val="en-GB"/>
              </w:rPr>
            </w:pPr>
          </w:p>
          <w:p w14:paraId="180A3479" w14:textId="77777777" w:rsidR="006F5DDE" w:rsidRPr="00097E60" w:rsidRDefault="006F5DDE" w:rsidP="002731ED">
            <w:pPr>
              <w:spacing w:after="0" w:line="240" w:lineRule="auto"/>
              <w:rPr>
                <w:sz w:val="20"/>
                <w:szCs w:val="20"/>
                <w:lang w:val="en-GB"/>
              </w:rPr>
            </w:pPr>
            <w:r w:rsidRPr="00097E60">
              <w:rPr>
                <w:sz w:val="20"/>
                <w:szCs w:val="20"/>
                <w:lang w:val="en-GB"/>
              </w:rPr>
              <w:t>53.1</w:t>
            </w:r>
          </w:p>
          <w:p w14:paraId="5A8BC4F8" w14:textId="77777777" w:rsidR="006F5DDE" w:rsidRPr="00097E60" w:rsidRDefault="006F5DDE" w:rsidP="002731ED">
            <w:pPr>
              <w:spacing w:after="0" w:line="240" w:lineRule="auto"/>
              <w:rPr>
                <w:sz w:val="20"/>
                <w:szCs w:val="20"/>
                <w:lang w:val="en-GB"/>
              </w:rPr>
            </w:pPr>
            <w:r w:rsidRPr="00097E60">
              <w:rPr>
                <w:sz w:val="20"/>
                <w:szCs w:val="20"/>
                <w:lang w:val="en-GB"/>
              </w:rPr>
              <w:t>38.7</w:t>
            </w:r>
          </w:p>
          <w:p w14:paraId="3F105515" w14:textId="77777777" w:rsidR="006F5DDE" w:rsidRPr="00097E60" w:rsidRDefault="006F5DDE" w:rsidP="002731ED">
            <w:pPr>
              <w:spacing w:after="0" w:line="240" w:lineRule="auto"/>
              <w:rPr>
                <w:sz w:val="20"/>
                <w:szCs w:val="20"/>
                <w:lang w:val="en-GB"/>
              </w:rPr>
            </w:pPr>
            <w:r w:rsidRPr="00097E60">
              <w:rPr>
                <w:sz w:val="20"/>
                <w:szCs w:val="20"/>
                <w:lang w:val="en-GB"/>
              </w:rPr>
              <w:t>4.5</w:t>
            </w:r>
          </w:p>
          <w:p w14:paraId="709CCB30" w14:textId="77777777" w:rsidR="006F5DDE" w:rsidRPr="00097E60" w:rsidRDefault="006F5DDE" w:rsidP="002731ED">
            <w:pPr>
              <w:spacing w:after="0" w:line="240" w:lineRule="auto"/>
              <w:rPr>
                <w:sz w:val="20"/>
                <w:szCs w:val="20"/>
                <w:lang w:val="en-GB"/>
              </w:rPr>
            </w:pPr>
            <w:r w:rsidRPr="00097E60">
              <w:rPr>
                <w:sz w:val="20"/>
                <w:szCs w:val="20"/>
                <w:lang w:val="en-GB"/>
              </w:rPr>
              <w:t>3.8</w:t>
            </w:r>
          </w:p>
        </w:tc>
        <w:tc>
          <w:tcPr>
            <w:tcW w:w="520" w:type="pct"/>
          </w:tcPr>
          <w:p w14:paraId="4A2BD1FE" w14:textId="77777777" w:rsidR="006F5DDE" w:rsidRPr="00097E60" w:rsidRDefault="006F5DDE" w:rsidP="002731ED">
            <w:pPr>
              <w:spacing w:after="0" w:line="240" w:lineRule="auto"/>
              <w:rPr>
                <w:sz w:val="20"/>
                <w:szCs w:val="20"/>
                <w:lang w:val="en-GB"/>
              </w:rPr>
            </w:pPr>
          </w:p>
          <w:p w14:paraId="0E23EA4C" w14:textId="77777777" w:rsidR="006F5DDE" w:rsidRPr="00097E60" w:rsidRDefault="006F5DDE" w:rsidP="002731ED">
            <w:pPr>
              <w:spacing w:after="0" w:line="240" w:lineRule="auto"/>
              <w:rPr>
                <w:sz w:val="20"/>
                <w:szCs w:val="20"/>
                <w:lang w:val="en-GB"/>
              </w:rPr>
            </w:pPr>
            <w:r w:rsidRPr="00097E60">
              <w:rPr>
                <w:sz w:val="20"/>
                <w:szCs w:val="20"/>
                <w:lang w:val="en-GB"/>
              </w:rPr>
              <w:t>11.9</w:t>
            </w:r>
          </w:p>
          <w:p w14:paraId="12E0241A" w14:textId="77777777" w:rsidR="006F5DDE" w:rsidRPr="00097E60" w:rsidRDefault="006F5DDE" w:rsidP="002731ED">
            <w:pPr>
              <w:spacing w:after="0" w:line="240" w:lineRule="auto"/>
              <w:rPr>
                <w:sz w:val="20"/>
                <w:szCs w:val="20"/>
                <w:lang w:val="en-GB"/>
              </w:rPr>
            </w:pPr>
            <w:r w:rsidRPr="00097E60">
              <w:rPr>
                <w:sz w:val="20"/>
                <w:szCs w:val="20"/>
                <w:lang w:val="en-GB"/>
              </w:rPr>
              <w:t>60.1</w:t>
            </w:r>
          </w:p>
          <w:p w14:paraId="3BD5BFA7" w14:textId="77777777" w:rsidR="006F5DDE" w:rsidRPr="00097E60" w:rsidRDefault="006F5DDE" w:rsidP="002731ED">
            <w:pPr>
              <w:spacing w:after="0" w:line="240" w:lineRule="auto"/>
              <w:rPr>
                <w:sz w:val="20"/>
                <w:szCs w:val="20"/>
                <w:lang w:val="en-GB"/>
              </w:rPr>
            </w:pPr>
            <w:r w:rsidRPr="00097E60">
              <w:rPr>
                <w:sz w:val="20"/>
                <w:szCs w:val="20"/>
                <w:lang w:val="en-GB"/>
              </w:rPr>
              <w:t>17.1</w:t>
            </w:r>
          </w:p>
          <w:p w14:paraId="12264B14" w14:textId="77777777" w:rsidR="006F5DDE" w:rsidRPr="00097E60" w:rsidRDefault="006F5DDE" w:rsidP="002731ED">
            <w:pPr>
              <w:spacing w:after="0" w:line="240" w:lineRule="auto"/>
              <w:rPr>
                <w:color w:val="000000"/>
                <w:sz w:val="20"/>
                <w:szCs w:val="20"/>
                <w:lang w:val="en-GB"/>
              </w:rPr>
            </w:pPr>
            <w:r w:rsidRPr="00097E60">
              <w:rPr>
                <w:sz w:val="20"/>
                <w:szCs w:val="20"/>
                <w:lang w:val="en-GB"/>
              </w:rPr>
              <w:t>10.8</w:t>
            </w:r>
          </w:p>
        </w:tc>
        <w:tc>
          <w:tcPr>
            <w:tcW w:w="520" w:type="pct"/>
          </w:tcPr>
          <w:p w14:paraId="621AF6D6" w14:textId="77777777" w:rsidR="006F5DDE" w:rsidRPr="00097E60" w:rsidRDefault="006F5DDE" w:rsidP="002731ED">
            <w:pPr>
              <w:spacing w:after="0" w:line="240" w:lineRule="auto"/>
              <w:rPr>
                <w:sz w:val="20"/>
                <w:szCs w:val="20"/>
                <w:lang w:val="en-GB"/>
              </w:rPr>
            </w:pPr>
          </w:p>
          <w:p w14:paraId="3F7C4EE7" w14:textId="77777777" w:rsidR="006F5DDE" w:rsidRPr="00097E60" w:rsidRDefault="006F5DDE" w:rsidP="002731ED">
            <w:pPr>
              <w:spacing w:after="0" w:line="240" w:lineRule="auto"/>
              <w:rPr>
                <w:sz w:val="20"/>
                <w:szCs w:val="20"/>
                <w:lang w:val="en-GB"/>
              </w:rPr>
            </w:pPr>
            <w:r w:rsidRPr="00097E60">
              <w:rPr>
                <w:sz w:val="20"/>
                <w:szCs w:val="20"/>
                <w:lang w:val="en-GB"/>
              </w:rPr>
              <w:t>11.1</w:t>
            </w:r>
          </w:p>
          <w:p w14:paraId="1EEBC19F" w14:textId="77777777" w:rsidR="006F5DDE" w:rsidRPr="00097E60" w:rsidRDefault="006F5DDE" w:rsidP="002731ED">
            <w:pPr>
              <w:spacing w:after="0" w:line="240" w:lineRule="auto"/>
              <w:rPr>
                <w:sz w:val="20"/>
                <w:szCs w:val="20"/>
                <w:lang w:val="en-GB"/>
              </w:rPr>
            </w:pPr>
            <w:r w:rsidRPr="00097E60">
              <w:rPr>
                <w:sz w:val="20"/>
                <w:szCs w:val="20"/>
                <w:lang w:val="en-GB"/>
              </w:rPr>
              <w:t>57.1</w:t>
            </w:r>
          </w:p>
          <w:p w14:paraId="556FB219" w14:textId="77777777" w:rsidR="006F5DDE" w:rsidRPr="00097E60" w:rsidRDefault="006F5DDE" w:rsidP="002731ED">
            <w:pPr>
              <w:spacing w:after="0" w:line="240" w:lineRule="auto"/>
              <w:rPr>
                <w:sz w:val="20"/>
                <w:szCs w:val="20"/>
                <w:lang w:val="en-GB"/>
              </w:rPr>
            </w:pPr>
            <w:r w:rsidRPr="00097E60">
              <w:rPr>
                <w:sz w:val="20"/>
                <w:szCs w:val="20"/>
                <w:lang w:val="en-GB"/>
              </w:rPr>
              <w:t>23.5</w:t>
            </w:r>
          </w:p>
          <w:p w14:paraId="391051E8" w14:textId="77777777" w:rsidR="006F5DDE" w:rsidRPr="00097E60" w:rsidRDefault="006F5DDE" w:rsidP="002731ED">
            <w:pPr>
              <w:spacing w:after="0" w:line="240" w:lineRule="auto"/>
              <w:rPr>
                <w:color w:val="000000"/>
                <w:sz w:val="20"/>
                <w:szCs w:val="20"/>
                <w:lang w:val="en-GB"/>
              </w:rPr>
            </w:pPr>
            <w:r w:rsidRPr="00097E60">
              <w:rPr>
                <w:sz w:val="20"/>
                <w:szCs w:val="20"/>
                <w:lang w:val="en-GB"/>
              </w:rPr>
              <w:t>8.3</w:t>
            </w:r>
          </w:p>
        </w:tc>
        <w:tc>
          <w:tcPr>
            <w:tcW w:w="520" w:type="pct"/>
          </w:tcPr>
          <w:p w14:paraId="42230F8B" w14:textId="77777777" w:rsidR="006F5DDE" w:rsidRPr="00097E60" w:rsidRDefault="006F5DDE" w:rsidP="002731ED">
            <w:pPr>
              <w:spacing w:after="0" w:line="240" w:lineRule="auto"/>
              <w:rPr>
                <w:sz w:val="20"/>
                <w:szCs w:val="20"/>
                <w:lang w:val="en-GB"/>
              </w:rPr>
            </w:pPr>
          </w:p>
          <w:p w14:paraId="56180E4D" w14:textId="77777777" w:rsidR="006F5DDE" w:rsidRPr="00097E60" w:rsidRDefault="006F5DDE" w:rsidP="002731ED">
            <w:pPr>
              <w:spacing w:after="0" w:line="240" w:lineRule="auto"/>
              <w:rPr>
                <w:sz w:val="20"/>
                <w:szCs w:val="20"/>
                <w:lang w:val="en-GB"/>
              </w:rPr>
            </w:pPr>
            <w:r w:rsidRPr="00097E60">
              <w:rPr>
                <w:sz w:val="20"/>
                <w:szCs w:val="20"/>
                <w:lang w:val="en-GB"/>
              </w:rPr>
              <w:t>30.5</w:t>
            </w:r>
          </w:p>
          <w:p w14:paraId="73E992C3" w14:textId="77777777" w:rsidR="006F5DDE" w:rsidRPr="00097E60" w:rsidRDefault="006F5DDE" w:rsidP="002731ED">
            <w:pPr>
              <w:spacing w:after="0" w:line="240" w:lineRule="auto"/>
              <w:rPr>
                <w:sz w:val="20"/>
                <w:szCs w:val="20"/>
                <w:lang w:val="en-GB"/>
              </w:rPr>
            </w:pPr>
            <w:r w:rsidRPr="00097E60">
              <w:rPr>
                <w:sz w:val="20"/>
                <w:szCs w:val="20"/>
                <w:lang w:val="en-GB"/>
              </w:rPr>
              <w:t>66.7</w:t>
            </w:r>
          </w:p>
          <w:p w14:paraId="62B0272B" w14:textId="77777777" w:rsidR="006F5DDE" w:rsidRPr="00097E60" w:rsidRDefault="006F5DDE" w:rsidP="002731ED">
            <w:pPr>
              <w:spacing w:after="0" w:line="240" w:lineRule="auto"/>
              <w:rPr>
                <w:sz w:val="20"/>
                <w:szCs w:val="20"/>
                <w:lang w:val="en-GB"/>
              </w:rPr>
            </w:pPr>
            <w:r w:rsidRPr="00097E60">
              <w:rPr>
                <w:sz w:val="20"/>
                <w:szCs w:val="20"/>
                <w:lang w:val="en-GB"/>
              </w:rPr>
              <w:t>2.3</w:t>
            </w:r>
          </w:p>
          <w:p w14:paraId="1ADB7EDB" w14:textId="77777777" w:rsidR="006F5DDE" w:rsidRPr="00097E60" w:rsidRDefault="006F5DDE" w:rsidP="002731ED">
            <w:pPr>
              <w:spacing w:after="0" w:line="240" w:lineRule="auto"/>
              <w:rPr>
                <w:sz w:val="20"/>
                <w:szCs w:val="20"/>
                <w:lang w:val="en-GB"/>
              </w:rPr>
            </w:pPr>
            <w:r w:rsidRPr="00097E60">
              <w:rPr>
                <w:sz w:val="20"/>
                <w:szCs w:val="20"/>
                <w:lang w:val="en-GB"/>
              </w:rPr>
              <w:t>0.5</w:t>
            </w:r>
          </w:p>
        </w:tc>
        <w:tc>
          <w:tcPr>
            <w:tcW w:w="520" w:type="pct"/>
          </w:tcPr>
          <w:p w14:paraId="719E500D" w14:textId="77777777" w:rsidR="006F5DDE" w:rsidRPr="00097E60" w:rsidRDefault="006F5DDE" w:rsidP="002731ED">
            <w:pPr>
              <w:spacing w:after="0" w:line="240" w:lineRule="auto"/>
              <w:rPr>
                <w:sz w:val="20"/>
                <w:szCs w:val="20"/>
                <w:lang w:val="en-GB"/>
              </w:rPr>
            </w:pPr>
          </w:p>
          <w:p w14:paraId="61720146" w14:textId="77777777" w:rsidR="006F5DDE" w:rsidRPr="00097E60" w:rsidRDefault="006F5DDE" w:rsidP="002731ED">
            <w:pPr>
              <w:spacing w:after="0" w:line="240" w:lineRule="auto"/>
              <w:rPr>
                <w:sz w:val="20"/>
                <w:szCs w:val="20"/>
                <w:lang w:val="en-GB"/>
              </w:rPr>
            </w:pPr>
            <w:r w:rsidRPr="00097E60">
              <w:rPr>
                <w:sz w:val="20"/>
                <w:szCs w:val="20"/>
                <w:lang w:val="en-GB"/>
              </w:rPr>
              <w:t>38.6</w:t>
            </w:r>
          </w:p>
          <w:p w14:paraId="6DA7D2B0" w14:textId="77777777" w:rsidR="006F5DDE" w:rsidRPr="00097E60" w:rsidRDefault="006F5DDE" w:rsidP="002731ED">
            <w:pPr>
              <w:spacing w:after="0" w:line="240" w:lineRule="auto"/>
              <w:rPr>
                <w:sz w:val="20"/>
                <w:szCs w:val="20"/>
                <w:lang w:val="en-GB"/>
              </w:rPr>
            </w:pPr>
            <w:r w:rsidRPr="00097E60">
              <w:rPr>
                <w:sz w:val="20"/>
                <w:szCs w:val="20"/>
                <w:lang w:val="en-GB"/>
              </w:rPr>
              <w:t>41.8</w:t>
            </w:r>
          </w:p>
          <w:p w14:paraId="5A4A983B" w14:textId="77777777" w:rsidR="006F5DDE" w:rsidRPr="00097E60" w:rsidRDefault="006F5DDE" w:rsidP="002731ED">
            <w:pPr>
              <w:spacing w:after="0" w:line="240" w:lineRule="auto"/>
              <w:rPr>
                <w:sz w:val="20"/>
                <w:szCs w:val="20"/>
                <w:lang w:val="en-GB"/>
              </w:rPr>
            </w:pPr>
            <w:r w:rsidRPr="00097E60">
              <w:rPr>
                <w:sz w:val="20"/>
                <w:szCs w:val="20"/>
                <w:lang w:val="en-GB"/>
              </w:rPr>
              <w:t>9.2</w:t>
            </w:r>
          </w:p>
          <w:p w14:paraId="7ABEF7A8" w14:textId="77777777" w:rsidR="006F5DDE" w:rsidRPr="00097E60" w:rsidRDefault="006F5DDE" w:rsidP="002731ED">
            <w:pPr>
              <w:spacing w:after="0" w:line="240" w:lineRule="auto"/>
              <w:rPr>
                <w:sz w:val="20"/>
                <w:szCs w:val="20"/>
                <w:lang w:val="en-GB"/>
              </w:rPr>
            </w:pPr>
            <w:r w:rsidRPr="00097E60">
              <w:rPr>
                <w:sz w:val="20"/>
                <w:szCs w:val="20"/>
                <w:lang w:val="en-GB"/>
              </w:rPr>
              <w:t>10.3</w:t>
            </w:r>
          </w:p>
        </w:tc>
        <w:tc>
          <w:tcPr>
            <w:tcW w:w="520" w:type="pct"/>
          </w:tcPr>
          <w:p w14:paraId="0B2FDB46" w14:textId="77777777" w:rsidR="006F5DDE" w:rsidRPr="00097E60" w:rsidRDefault="006F5DDE" w:rsidP="002731ED">
            <w:pPr>
              <w:spacing w:after="0" w:line="240" w:lineRule="auto"/>
              <w:rPr>
                <w:sz w:val="20"/>
                <w:szCs w:val="20"/>
                <w:lang w:val="en-GB"/>
              </w:rPr>
            </w:pPr>
          </w:p>
          <w:p w14:paraId="45FBCDFE" w14:textId="77777777" w:rsidR="006F5DDE" w:rsidRPr="00097E60" w:rsidRDefault="006F5DDE" w:rsidP="002731ED">
            <w:pPr>
              <w:spacing w:after="0" w:line="240" w:lineRule="auto"/>
              <w:rPr>
                <w:sz w:val="20"/>
                <w:szCs w:val="20"/>
                <w:lang w:val="en-GB"/>
              </w:rPr>
            </w:pPr>
            <w:r w:rsidRPr="00097E60">
              <w:rPr>
                <w:sz w:val="20"/>
                <w:szCs w:val="20"/>
                <w:lang w:val="en-GB"/>
              </w:rPr>
              <w:t>40.7</w:t>
            </w:r>
          </w:p>
          <w:p w14:paraId="681A60A3" w14:textId="77777777" w:rsidR="006F5DDE" w:rsidRPr="00097E60" w:rsidRDefault="006F5DDE" w:rsidP="002731ED">
            <w:pPr>
              <w:spacing w:after="0" w:line="240" w:lineRule="auto"/>
              <w:rPr>
                <w:sz w:val="20"/>
                <w:szCs w:val="20"/>
                <w:lang w:val="en-GB"/>
              </w:rPr>
            </w:pPr>
            <w:r w:rsidRPr="00097E60">
              <w:rPr>
                <w:sz w:val="20"/>
                <w:szCs w:val="20"/>
                <w:lang w:val="en-GB"/>
              </w:rPr>
              <w:t>54.0</w:t>
            </w:r>
          </w:p>
          <w:p w14:paraId="56FA4579" w14:textId="77777777" w:rsidR="006F5DDE" w:rsidRPr="00097E60" w:rsidRDefault="006F5DDE" w:rsidP="002731ED">
            <w:pPr>
              <w:spacing w:after="0" w:line="240" w:lineRule="auto"/>
              <w:rPr>
                <w:sz w:val="20"/>
                <w:szCs w:val="20"/>
                <w:lang w:val="en-GB"/>
              </w:rPr>
            </w:pPr>
            <w:r w:rsidRPr="00097E60">
              <w:rPr>
                <w:sz w:val="20"/>
                <w:szCs w:val="20"/>
                <w:lang w:val="en-GB"/>
              </w:rPr>
              <w:t>3.9</w:t>
            </w:r>
          </w:p>
          <w:p w14:paraId="5A482140" w14:textId="77777777" w:rsidR="006F5DDE" w:rsidRPr="00097E60" w:rsidRDefault="006F5DDE" w:rsidP="002731ED">
            <w:pPr>
              <w:spacing w:after="0" w:line="240" w:lineRule="auto"/>
              <w:rPr>
                <w:sz w:val="20"/>
                <w:szCs w:val="20"/>
                <w:lang w:val="en-GB"/>
              </w:rPr>
            </w:pPr>
            <w:r w:rsidRPr="00097E60">
              <w:rPr>
                <w:sz w:val="20"/>
                <w:szCs w:val="20"/>
                <w:lang w:val="en-GB"/>
              </w:rPr>
              <w:t>1.4</w:t>
            </w:r>
          </w:p>
        </w:tc>
        <w:tc>
          <w:tcPr>
            <w:tcW w:w="519" w:type="pct"/>
          </w:tcPr>
          <w:p w14:paraId="1C307C7A" w14:textId="77777777" w:rsidR="006F5DDE" w:rsidRPr="00097E60" w:rsidRDefault="006F5DDE" w:rsidP="002731ED">
            <w:pPr>
              <w:spacing w:after="0" w:line="240" w:lineRule="auto"/>
              <w:rPr>
                <w:sz w:val="20"/>
                <w:szCs w:val="20"/>
                <w:lang w:val="en-GB"/>
              </w:rPr>
            </w:pPr>
          </w:p>
          <w:p w14:paraId="0B242133" w14:textId="77777777" w:rsidR="006F5DDE" w:rsidRPr="00097E60" w:rsidRDefault="006F5DDE" w:rsidP="002731ED">
            <w:pPr>
              <w:spacing w:after="0" w:line="240" w:lineRule="auto"/>
              <w:rPr>
                <w:sz w:val="20"/>
                <w:szCs w:val="20"/>
                <w:lang w:val="en-GB"/>
              </w:rPr>
            </w:pPr>
            <w:r w:rsidRPr="00097E60">
              <w:rPr>
                <w:sz w:val="20"/>
                <w:szCs w:val="20"/>
                <w:lang w:val="en-GB"/>
              </w:rPr>
              <w:t>39.3</w:t>
            </w:r>
          </w:p>
          <w:p w14:paraId="041A62F2" w14:textId="77777777" w:rsidR="006F5DDE" w:rsidRPr="00097E60" w:rsidRDefault="006F5DDE" w:rsidP="002731ED">
            <w:pPr>
              <w:spacing w:after="0" w:line="240" w:lineRule="auto"/>
              <w:rPr>
                <w:sz w:val="20"/>
                <w:szCs w:val="20"/>
                <w:lang w:val="en-GB"/>
              </w:rPr>
            </w:pPr>
            <w:r w:rsidRPr="00097E60">
              <w:rPr>
                <w:sz w:val="20"/>
                <w:szCs w:val="20"/>
                <w:lang w:val="en-GB"/>
              </w:rPr>
              <w:t>29.9</w:t>
            </w:r>
          </w:p>
          <w:p w14:paraId="035280FC" w14:textId="77777777" w:rsidR="006F5DDE" w:rsidRPr="00097E60" w:rsidRDefault="006F5DDE" w:rsidP="002731ED">
            <w:pPr>
              <w:spacing w:after="0" w:line="240" w:lineRule="auto"/>
              <w:rPr>
                <w:sz w:val="20"/>
                <w:szCs w:val="20"/>
                <w:lang w:val="en-GB"/>
              </w:rPr>
            </w:pPr>
            <w:r w:rsidRPr="00097E60">
              <w:rPr>
                <w:sz w:val="20"/>
                <w:szCs w:val="20"/>
                <w:lang w:val="en-GB"/>
              </w:rPr>
              <w:t>12.1</w:t>
            </w:r>
          </w:p>
          <w:p w14:paraId="0F2AF753" w14:textId="77777777" w:rsidR="006F5DDE" w:rsidRPr="00097E60" w:rsidRDefault="006F5DDE" w:rsidP="002731ED">
            <w:pPr>
              <w:spacing w:after="0" w:line="240" w:lineRule="auto"/>
              <w:rPr>
                <w:sz w:val="20"/>
                <w:szCs w:val="20"/>
                <w:lang w:val="en-GB"/>
              </w:rPr>
            </w:pPr>
            <w:r w:rsidRPr="00097E60">
              <w:rPr>
                <w:sz w:val="20"/>
                <w:szCs w:val="20"/>
                <w:lang w:val="en-GB"/>
              </w:rPr>
              <w:t>18.7</w:t>
            </w:r>
          </w:p>
        </w:tc>
      </w:tr>
      <w:tr w:rsidR="006F5DDE" w:rsidRPr="009D6381" w14:paraId="27824642" w14:textId="77777777" w:rsidTr="002731ED">
        <w:trPr>
          <w:trHeight w:val="397"/>
        </w:trPr>
        <w:tc>
          <w:tcPr>
            <w:tcW w:w="1361" w:type="pct"/>
          </w:tcPr>
          <w:p w14:paraId="1B83AD27" w14:textId="77777777" w:rsidR="006F5DDE" w:rsidRPr="00097E60" w:rsidRDefault="006F5DDE" w:rsidP="002731ED">
            <w:pPr>
              <w:spacing w:after="0" w:line="240" w:lineRule="auto"/>
              <w:rPr>
                <w:b/>
                <w:bCs/>
                <w:sz w:val="20"/>
                <w:szCs w:val="20"/>
                <w:lang w:val="en-GB"/>
              </w:rPr>
            </w:pPr>
            <w:r w:rsidRPr="00097E60">
              <w:rPr>
                <w:b/>
                <w:bCs/>
                <w:sz w:val="20"/>
                <w:szCs w:val="20"/>
                <w:lang w:val="en-GB"/>
              </w:rPr>
              <w:t>Foreign Student (%)</w:t>
            </w:r>
            <w:r>
              <w:rPr>
                <w:b/>
                <w:bCs/>
                <w:sz w:val="20"/>
                <w:szCs w:val="20"/>
                <w:lang w:val="en-GB"/>
              </w:rPr>
              <w:t xml:space="preserve"> </w:t>
            </w:r>
            <w:r w:rsidRPr="00097E60">
              <w:rPr>
                <w:b/>
                <w:bCs/>
                <w:sz w:val="20"/>
                <w:szCs w:val="20"/>
                <w:lang w:val="en-GB"/>
              </w:rPr>
              <w:t>*</w:t>
            </w:r>
            <w:r>
              <w:rPr>
                <w:b/>
                <w:bCs/>
                <w:sz w:val="20"/>
                <w:szCs w:val="20"/>
                <w:lang w:val="en-GB"/>
              </w:rPr>
              <w:t>*</w:t>
            </w:r>
          </w:p>
        </w:tc>
        <w:tc>
          <w:tcPr>
            <w:tcW w:w="520" w:type="pct"/>
          </w:tcPr>
          <w:p w14:paraId="259677D4" w14:textId="77777777" w:rsidR="006F5DDE" w:rsidRPr="00097E60" w:rsidRDefault="006F5DDE" w:rsidP="002731ED">
            <w:pPr>
              <w:spacing w:after="0" w:line="240" w:lineRule="auto"/>
              <w:rPr>
                <w:sz w:val="20"/>
                <w:szCs w:val="20"/>
                <w:lang w:val="en-GB"/>
              </w:rPr>
            </w:pPr>
            <w:r w:rsidRPr="00097E60">
              <w:rPr>
                <w:sz w:val="20"/>
                <w:szCs w:val="20"/>
                <w:lang w:val="en-GB"/>
              </w:rPr>
              <w:t>7.5</w:t>
            </w:r>
          </w:p>
        </w:tc>
        <w:tc>
          <w:tcPr>
            <w:tcW w:w="520" w:type="pct"/>
          </w:tcPr>
          <w:p w14:paraId="187FBE82" w14:textId="77777777" w:rsidR="006F5DDE" w:rsidRPr="00097E60" w:rsidRDefault="006F5DDE" w:rsidP="002731ED">
            <w:pPr>
              <w:spacing w:after="0" w:line="240" w:lineRule="auto"/>
              <w:rPr>
                <w:sz w:val="20"/>
                <w:szCs w:val="20"/>
                <w:lang w:val="en-GB"/>
              </w:rPr>
            </w:pPr>
            <w:r w:rsidRPr="00097E60">
              <w:rPr>
                <w:sz w:val="20"/>
                <w:szCs w:val="20"/>
                <w:lang w:val="en-GB"/>
              </w:rPr>
              <w:t>11.7</w:t>
            </w:r>
          </w:p>
        </w:tc>
        <w:tc>
          <w:tcPr>
            <w:tcW w:w="520" w:type="pct"/>
          </w:tcPr>
          <w:p w14:paraId="77BC476E" w14:textId="77777777" w:rsidR="006F5DDE" w:rsidRPr="00097E60" w:rsidRDefault="006F5DDE" w:rsidP="002731ED">
            <w:pPr>
              <w:spacing w:after="0" w:line="240" w:lineRule="auto"/>
              <w:rPr>
                <w:sz w:val="20"/>
                <w:szCs w:val="20"/>
                <w:lang w:val="en-GB"/>
              </w:rPr>
            </w:pPr>
            <w:r w:rsidRPr="00097E60">
              <w:rPr>
                <w:sz w:val="20"/>
                <w:szCs w:val="20"/>
                <w:lang w:val="en-GB"/>
              </w:rPr>
              <w:t>7.0</w:t>
            </w:r>
          </w:p>
        </w:tc>
        <w:tc>
          <w:tcPr>
            <w:tcW w:w="520" w:type="pct"/>
          </w:tcPr>
          <w:p w14:paraId="0D0D4EBC" w14:textId="77777777" w:rsidR="006F5DDE" w:rsidRPr="00097E60" w:rsidRDefault="006F5DDE" w:rsidP="002731ED">
            <w:pPr>
              <w:spacing w:after="0" w:line="240" w:lineRule="auto"/>
              <w:rPr>
                <w:sz w:val="20"/>
                <w:szCs w:val="20"/>
                <w:lang w:val="en-GB"/>
              </w:rPr>
            </w:pPr>
            <w:r w:rsidRPr="00097E60">
              <w:rPr>
                <w:sz w:val="20"/>
                <w:szCs w:val="20"/>
                <w:lang w:val="en-GB"/>
              </w:rPr>
              <w:t>1.1</w:t>
            </w:r>
          </w:p>
        </w:tc>
        <w:tc>
          <w:tcPr>
            <w:tcW w:w="520" w:type="pct"/>
          </w:tcPr>
          <w:p w14:paraId="52923ADE" w14:textId="77777777" w:rsidR="006F5DDE" w:rsidRPr="00097E60" w:rsidRDefault="006F5DDE" w:rsidP="002731ED">
            <w:pPr>
              <w:spacing w:after="0" w:line="240" w:lineRule="auto"/>
              <w:rPr>
                <w:sz w:val="20"/>
                <w:szCs w:val="20"/>
                <w:lang w:val="en-GB"/>
              </w:rPr>
            </w:pPr>
            <w:r w:rsidRPr="00097E60">
              <w:rPr>
                <w:sz w:val="20"/>
                <w:szCs w:val="20"/>
                <w:lang w:val="en-GB"/>
              </w:rPr>
              <w:t>9.2</w:t>
            </w:r>
          </w:p>
        </w:tc>
        <w:tc>
          <w:tcPr>
            <w:tcW w:w="520" w:type="pct"/>
          </w:tcPr>
          <w:p w14:paraId="4EE935CF" w14:textId="77777777" w:rsidR="006F5DDE" w:rsidRPr="00097E60" w:rsidRDefault="006F5DDE" w:rsidP="002731ED">
            <w:pPr>
              <w:spacing w:after="0" w:line="240" w:lineRule="auto"/>
              <w:rPr>
                <w:sz w:val="20"/>
                <w:szCs w:val="20"/>
                <w:lang w:val="en-GB"/>
              </w:rPr>
            </w:pPr>
            <w:r w:rsidRPr="00097E60">
              <w:rPr>
                <w:sz w:val="20"/>
                <w:szCs w:val="20"/>
                <w:lang w:val="en-GB"/>
              </w:rPr>
              <w:t>4.2</w:t>
            </w:r>
          </w:p>
        </w:tc>
        <w:tc>
          <w:tcPr>
            <w:tcW w:w="519" w:type="pct"/>
          </w:tcPr>
          <w:p w14:paraId="63C213E6" w14:textId="77777777" w:rsidR="006F5DDE" w:rsidRPr="00097E60" w:rsidRDefault="006F5DDE" w:rsidP="002731ED">
            <w:pPr>
              <w:spacing w:after="0" w:line="240" w:lineRule="auto"/>
              <w:rPr>
                <w:sz w:val="20"/>
                <w:szCs w:val="20"/>
                <w:lang w:val="en-GB"/>
              </w:rPr>
            </w:pPr>
            <w:r w:rsidRPr="00097E60">
              <w:rPr>
                <w:sz w:val="20"/>
                <w:szCs w:val="20"/>
                <w:lang w:val="en-GB"/>
              </w:rPr>
              <w:t>33.6</w:t>
            </w:r>
          </w:p>
        </w:tc>
      </w:tr>
      <w:tr w:rsidR="006F5DDE" w:rsidRPr="009D6381" w14:paraId="691D99F1" w14:textId="77777777" w:rsidTr="002731ED">
        <w:trPr>
          <w:trHeight w:val="20"/>
        </w:trPr>
        <w:tc>
          <w:tcPr>
            <w:tcW w:w="1361" w:type="pct"/>
          </w:tcPr>
          <w:p w14:paraId="4BCE1470" w14:textId="77777777" w:rsidR="006F5DDE" w:rsidRPr="00097E60" w:rsidRDefault="006F5DDE" w:rsidP="002731ED">
            <w:pPr>
              <w:spacing w:after="0" w:line="240" w:lineRule="auto"/>
              <w:rPr>
                <w:b/>
                <w:bCs/>
                <w:sz w:val="20"/>
                <w:szCs w:val="20"/>
                <w:lang w:val="en-GB"/>
              </w:rPr>
            </w:pPr>
            <w:r w:rsidRPr="00097E60">
              <w:rPr>
                <w:b/>
                <w:bCs/>
                <w:sz w:val="20"/>
                <w:szCs w:val="20"/>
                <w:lang w:val="en-GB"/>
              </w:rPr>
              <w:t>Residence (% living with other students)</w:t>
            </w:r>
          </w:p>
        </w:tc>
        <w:tc>
          <w:tcPr>
            <w:tcW w:w="520" w:type="pct"/>
          </w:tcPr>
          <w:p w14:paraId="3BF2EAF3" w14:textId="77777777" w:rsidR="006F5DDE" w:rsidRPr="00097E60" w:rsidRDefault="006F5DDE" w:rsidP="002731ED">
            <w:pPr>
              <w:spacing w:after="0" w:line="240" w:lineRule="auto"/>
              <w:rPr>
                <w:sz w:val="20"/>
                <w:szCs w:val="20"/>
                <w:lang w:val="en-GB"/>
              </w:rPr>
            </w:pPr>
            <w:r w:rsidRPr="00097E60">
              <w:rPr>
                <w:sz w:val="20"/>
                <w:szCs w:val="20"/>
                <w:lang w:val="en-GB"/>
              </w:rPr>
              <w:t>21.6</w:t>
            </w:r>
          </w:p>
        </w:tc>
        <w:tc>
          <w:tcPr>
            <w:tcW w:w="520" w:type="pct"/>
          </w:tcPr>
          <w:p w14:paraId="712C3315" w14:textId="77777777" w:rsidR="006F5DDE" w:rsidRPr="00097E60" w:rsidRDefault="006F5DDE" w:rsidP="002731ED">
            <w:pPr>
              <w:spacing w:after="0" w:line="240" w:lineRule="auto"/>
              <w:rPr>
                <w:sz w:val="20"/>
                <w:szCs w:val="20"/>
                <w:lang w:val="en-GB"/>
              </w:rPr>
            </w:pPr>
            <w:r w:rsidRPr="00097E60">
              <w:rPr>
                <w:sz w:val="20"/>
                <w:szCs w:val="20"/>
                <w:lang w:val="en-GB"/>
              </w:rPr>
              <w:t>12.1</w:t>
            </w:r>
          </w:p>
        </w:tc>
        <w:tc>
          <w:tcPr>
            <w:tcW w:w="520" w:type="pct"/>
          </w:tcPr>
          <w:p w14:paraId="47B09F6B" w14:textId="77777777" w:rsidR="006F5DDE" w:rsidRPr="00097E60" w:rsidRDefault="006F5DDE" w:rsidP="002731ED">
            <w:pPr>
              <w:spacing w:after="0" w:line="240" w:lineRule="auto"/>
              <w:rPr>
                <w:sz w:val="20"/>
                <w:szCs w:val="20"/>
                <w:lang w:val="en-GB"/>
              </w:rPr>
            </w:pPr>
            <w:r w:rsidRPr="00097E60">
              <w:rPr>
                <w:sz w:val="20"/>
                <w:szCs w:val="20"/>
                <w:lang w:val="en-GB"/>
              </w:rPr>
              <w:t>35.8</w:t>
            </w:r>
          </w:p>
        </w:tc>
        <w:tc>
          <w:tcPr>
            <w:tcW w:w="520" w:type="pct"/>
          </w:tcPr>
          <w:p w14:paraId="5DE0B033" w14:textId="77777777" w:rsidR="006F5DDE" w:rsidRPr="00097E60" w:rsidRDefault="006F5DDE" w:rsidP="002731ED">
            <w:pPr>
              <w:spacing w:after="0" w:line="240" w:lineRule="auto"/>
              <w:rPr>
                <w:sz w:val="20"/>
                <w:szCs w:val="20"/>
                <w:lang w:val="en-GB"/>
              </w:rPr>
            </w:pPr>
            <w:r w:rsidRPr="00097E60">
              <w:rPr>
                <w:sz w:val="20"/>
                <w:szCs w:val="20"/>
                <w:lang w:val="en-GB"/>
              </w:rPr>
              <w:t>51.5</w:t>
            </w:r>
          </w:p>
        </w:tc>
        <w:tc>
          <w:tcPr>
            <w:tcW w:w="520" w:type="pct"/>
          </w:tcPr>
          <w:p w14:paraId="0FD476B0" w14:textId="77777777" w:rsidR="006F5DDE" w:rsidRPr="00097E60" w:rsidRDefault="006F5DDE" w:rsidP="002731ED">
            <w:pPr>
              <w:spacing w:after="0" w:line="240" w:lineRule="auto"/>
              <w:rPr>
                <w:sz w:val="20"/>
                <w:szCs w:val="20"/>
                <w:lang w:val="en-GB"/>
              </w:rPr>
            </w:pPr>
            <w:r w:rsidRPr="00097E60">
              <w:rPr>
                <w:sz w:val="20"/>
                <w:szCs w:val="20"/>
                <w:lang w:val="en-GB"/>
              </w:rPr>
              <w:t>22.3</w:t>
            </w:r>
          </w:p>
        </w:tc>
        <w:tc>
          <w:tcPr>
            <w:tcW w:w="520" w:type="pct"/>
          </w:tcPr>
          <w:p w14:paraId="64D9EF77" w14:textId="77777777" w:rsidR="006F5DDE" w:rsidRPr="00097E60" w:rsidRDefault="006F5DDE" w:rsidP="002731ED">
            <w:pPr>
              <w:spacing w:after="0" w:line="240" w:lineRule="auto"/>
              <w:rPr>
                <w:sz w:val="20"/>
                <w:szCs w:val="20"/>
                <w:lang w:val="en-GB"/>
              </w:rPr>
            </w:pPr>
            <w:r w:rsidRPr="00097E60">
              <w:rPr>
                <w:sz w:val="20"/>
                <w:szCs w:val="20"/>
                <w:lang w:val="en-GB"/>
              </w:rPr>
              <w:t>26.2</w:t>
            </w:r>
          </w:p>
        </w:tc>
        <w:tc>
          <w:tcPr>
            <w:tcW w:w="519" w:type="pct"/>
          </w:tcPr>
          <w:p w14:paraId="17C4848B" w14:textId="77777777" w:rsidR="006F5DDE" w:rsidRPr="00097E60" w:rsidRDefault="006F5DDE" w:rsidP="002731ED">
            <w:pPr>
              <w:spacing w:after="0" w:line="240" w:lineRule="auto"/>
              <w:rPr>
                <w:sz w:val="20"/>
                <w:szCs w:val="20"/>
                <w:lang w:val="en-GB"/>
              </w:rPr>
            </w:pPr>
            <w:r w:rsidRPr="00097E60">
              <w:rPr>
                <w:sz w:val="20"/>
                <w:szCs w:val="20"/>
                <w:lang w:val="en-GB"/>
              </w:rPr>
              <w:t>50.5</w:t>
            </w:r>
          </w:p>
        </w:tc>
      </w:tr>
      <w:tr w:rsidR="006F5DDE" w:rsidRPr="009D6381" w14:paraId="4235C4E2" w14:textId="77777777" w:rsidTr="002731ED">
        <w:trPr>
          <w:trHeight w:val="397"/>
        </w:trPr>
        <w:tc>
          <w:tcPr>
            <w:tcW w:w="1361" w:type="pct"/>
          </w:tcPr>
          <w:p w14:paraId="2FA79D66" w14:textId="77777777" w:rsidR="006F5DDE" w:rsidRPr="00097E60" w:rsidRDefault="006F5DDE" w:rsidP="002731ED">
            <w:pPr>
              <w:spacing w:after="0" w:line="240" w:lineRule="auto"/>
              <w:rPr>
                <w:b/>
                <w:bCs/>
                <w:sz w:val="20"/>
                <w:szCs w:val="20"/>
                <w:lang w:val="en-GB"/>
              </w:rPr>
            </w:pPr>
            <w:r w:rsidRPr="00097E60">
              <w:rPr>
                <w:b/>
                <w:bCs/>
                <w:sz w:val="20"/>
                <w:szCs w:val="20"/>
                <w:lang w:val="en-GB"/>
              </w:rPr>
              <w:t>Religion (%)</w:t>
            </w:r>
          </w:p>
        </w:tc>
        <w:tc>
          <w:tcPr>
            <w:tcW w:w="520" w:type="pct"/>
          </w:tcPr>
          <w:p w14:paraId="4C4E2CA4" w14:textId="77777777" w:rsidR="006F5DDE" w:rsidRPr="00097E60" w:rsidRDefault="006F5DDE" w:rsidP="002731ED">
            <w:pPr>
              <w:spacing w:after="0" w:line="240" w:lineRule="auto"/>
              <w:rPr>
                <w:sz w:val="20"/>
                <w:szCs w:val="20"/>
                <w:lang w:val="en-GB"/>
              </w:rPr>
            </w:pPr>
          </w:p>
        </w:tc>
        <w:tc>
          <w:tcPr>
            <w:tcW w:w="520" w:type="pct"/>
          </w:tcPr>
          <w:p w14:paraId="6E138091" w14:textId="77777777" w:rsidR="006F5DDE" w:rsidRPr="00097E60" w:rsidRDefault="006F5DDE" w:rsidP="002731ED">
            <w:pPr>
              <w:spacing w:after="0" w:line="240" w:lineRule="auto"/>
              <w:rPr>
                <w:sz w:val="20"/>
                <w:szCs w:val="20"/>
                <w:lang w:val="en-GB"/>
              </w:rPr>
            </w:pPr>
          </w:p>
        </w:tc>
        <w:tc>
          <w:tcPr>
            <w:tcW w:w="520" w:type="pct"/>
          </w:tcPr>
          <w:p w14:paraId="7D383794" w14:textId="77777777" w:rsidR="006F5DDE" w:rsidRPr="00097E60" w:rsidRDefault="006F5DDE" w:rsidP="002731ED">
            <w:pPr>
              <w:spacing w:after="0" w:line="240" w:lineRule="auto"/>
              <w:rPr>
                <w:sz w:val="20"/>
                <w:szCs w:val="20"/>
                <w:lang w:val="en-GB"/>
              </w:rPr>
            </w:pPr>
          </w:p>
        </w:tc>
        <w:tc>
          <w:tcPr>
            <w:tcW w:w="520" w:type="pct"/>
          </w:tcPr>
          <w:p w14:paraId="70B9212C" w14:textId="77777777" w:rsidR="006F5DDE" w:rsidRPr="00097E60" w:rsidRDefault="006F5DDE" w:rsidP="002731ED">
            <w:pPr>
              <w:spacing w:after="0" w:line="240" w:lineRule="auto"/>
              <w:rPr>
                <w:sz w:val="20"/>
                <w:szCs w:val="20"/>
                <w:lang w:val="en-GB"/>
              </w:rPr>
            </w:pPr>
          </w:p>
        </w:tc>
        <w:tc>
          <w:tcPr>
            <w:tcW w:w="520" w:type="pct"/>
          </w:tcPr>
          <w:p w14:paraId="093A914B" w14:textId="77777777" w:rsidR="006F5DDE" w:rsidRPr="00097E60" w:rsidRDefault="006F5DDE" w:rsidP="002731ED">
            <w:pPr>
              <w:spacing w:after="0" w:line="240" w:lineRule="auto"/>
              <w:rPr>
                <w:sz w:val="20"/>
                <w:szCs w:val="20"/>
                <w:lang w:val="en-GB"/>
              </w:rPr>
            </w:pPr>
          </w:p>
        </w:tc>
        <w:tc>
          <w:tcPr>
            <w:tcW w:w="520" w:type="pct"/>
          </w:tcPr>
          <w:p w14:paraId="26E4AAE9" w14:textId="77777777" w:rsidR="006F5DDE" w:rsidRPr="00097E60" w:rsidRDefault="006F5DDE" w:rsidP="002731ED">
            <w:pPr>
              <w:spacing w:after="0" w:line="240" w:lineRule="auto"/>
              <w:rPr>
                <w:sz w:val="20"/>
                <w:szCs w:val="20"/>
                <w:lang w:val="en-GB"/>
              </w:rPr>
            </w:pPr>
          </w:p>
        </w:tc>
        <w:tc>
          <w:tcPr>
            <w:tcW w:w="519" w:type="pct"/>
          </w:tcPr>
          <w:p w14:paraId="2D7D7D1E" w14:textId="77777777" w:rsidR="006F5DDE" w:rsidRPr="00097E60" w:rsidRDefault="006F5DDE" w:rsidP="002731ED">
            <w:pPr>
              <w:spacing w:after="0" w:line="240" w:lineRule="auto"/>
              <w:rPr>
                <w:sz w:val="20"/>
                <w:szCs w:val="20"/>
                <w:lang w:val="en-GB"/>
              </w:rPr>
            </w:pPr>
          </w:p>
        </w:tc>
      </w:tr>
      <w:tr w:rsidR="006F5DDE" w:rsidRPr="009D6381" w14:paraId="0554B1EF" w14:textId="77777777" w:rsidTr="002731ED">
        <w:trPr>
          <w:trHeight w:val="397"/>
        </w:trPr>
        <w:tc>
          <w:tcPr>
            <w:tcW w:w="1361" w:type="pct"/>
          </w:tcPr>
          <w:p w14:paraId="23CEFBE7" w14:textId="77777777" w:rsidR="006F5DDE" w:rsidRPr="00097E60" w:rsidRDefault="006F5DDE" w:rsidP="002731ED">
            <w:pPr>
              <w:spacing w:after="0" w:line="240" w:lineRule="auto"/>
              <w:rPr>
                <w:sz w:val="20"/>
                <w:szCs w:val="20"/>
                <w:lang w:val="en-GB"/>
              </w:rPr>
            </w:pPr>
            <w:r w:rsidRPr="00097E60">
              <w:rPr>
                <w:sz w:val="20"/>
                <w:szCs w:val="20"/>
                <w:lang w:val="en-GB"/>
              </w:rPr>
              <w:t>Christian</w:t>
            </w:r>
          </w:p>
        </w:tc>
        <w:tc>
          <w:tcPr>
            <w:tcW w:w="520" w:type="pct"/>
          </w:tcPr>
          <w:p w14:paraId="56A292AD" w14:textId="77777777" w:rsidR="006F5DDE" w:rsidRPr="00097E60" w:rsidRDefault="006F5DDE" w:rsidP="002731ED">
            <w:pPr>
              <w:spacing w:after="0" w:line="240" w:lineRule="auto"/>
              <w:rPr>
                <w:sz w:val="20"/>
                <w:szCs w:val="20"/>
                <w:lang w:val="en-GB"/>
              </w:rPr>
            </w:pPr>
            <w:r w:rsidRPr="00097E60">
              <w:rPr>
                <w:sz w:val="20"/>
                <w:szCs w:val="20"/>
                <w:lang w:val="en-GB"/>
              </w:rPr>
              <w:t>58.6</w:t>
            </w:r>
          </w:p>
        </w:tc>
        <w:tc>
          <w:tcPr>
            <w:tcW w:w="520" w:type="pct"/>
          </w:tcPr>
          <w:p w14:paraId="35E1D4CF" w14:textId="77777777" w:rsidR="006F5DDE" w:rsidRPr="00097E60" w:rsidRDefault="006F5DDE" w:rsidP="002731ED">
            <w:pPr>
              <w:spacing w:after="0" w:line="240" w:lineRule="auto"/>
              <w:rPr>
                <w:sz w:val="20"/>
                <w:szCs w:val="20"/>
                <w:lang w:val="en-GB"/>
              </w:rPr>
            </w:pPr>
            <w:r w:rsidRPr="00097E60">
              <w:rPr>
                <w:sz w:val="20"/>
                <w:szCs w:val="20"/>
                <w:lang w:val="en-GB"/>
              </w:rPr>
              <w:t>55.7</w:t>
            </w:r>
          </w:p>
        </w:tc>
        <w:tc>
          <w:tcPr>
            <w:tcW w:w="520" w:type="pct"/>
          </w:tcPr>
          <w:p w14:paraId="33ADDA7F" w14:textId="77777777" w:rsidR="006F5DDE" w:rsidRPr="00097E60" w:rsidRDefault="006F5DDE" w:rsidP="002731ED">
            <w:pPr>
              <w:spacing w:after="0" w:line="240" w:lineRule="auto"/>
              <w:rPr>
                <w:sz w:val="20"/>
                <w:szCs w:val="20"/>
                <w:lang w:val="en-GB"/>
              </w:rPr>
            </w:pPr>
            <w:r w:rsidRPr="00097E60">
              <w:rPr>
                <w:sz w:val="20"/>
                <w:szCs w:val="20"/>
                <w:lang w:val="en-GB"/>
              </w:rPr>
              <w:t>48.3</w:t>
            </w:r>
          </w:p>
        </w:tc>
        <w:tc>
          <w:tcPr>
            <w:tcW w:w="520" w:type="pct"/>
          </w:tcPr>
          <w:p w14:paraId="2FA4170D" w14:textId="77777777" w:rsidR="006F5DDE" w:rsidRPr="00097E60" w:rsidRDefault="006F5DDE" w:rsidP="002731ED">
            <w:pPr>
              <w:spacing w:after="0" w:line="240" w:lineRule="auto"/>
              <w:rPr>
                <w:sz w:val="20"/>
                <w:szCs w:val="20"/>
                <w:lang w:val="en-GB"/>
              </w:rPr>
            </w:pPr>
            <w:r w:rsidRPr="00097E60">
              <w:rPr>
                <w:sz w:val="20"/>
                <w:szCs w:val="20"/>
                <w:lang w:val="en-GB"/>
              </w:rPr>
              <w:t>81.4</w:t>
            </w:r>
          </w:p>
        </w:tc>
        <w:tc>
          <w:tcPr>
            <w:tcW w:w="520" w:type="pct"/>
          </w:tcPr>
          <w:p w14:paraId="45150A31" w14:textId="77777777" w:rsidR="006F5DDE" w:rsidRPr="00097E60" w:rsidRDefault="006F5DDE" w:rsidP="002731ED">
            <w:pPr>
              <w:spacing w:after="0" w:line="240" w:lineRule="auto"/>
              <w:rPr>
                <w:sz w:val="20"/>
                <w:szCs w:val="20"/>
                <w:lang w:val="en-GB"/>
              </w:rPr>
            </w:pPr>
            <w:r w:rsidRPr="00097E60">
              <w:rPr>
                <w:sz w:val="20"/>
                <w:szCs w:val="20"/>
                <w:lang w:val="en-GB"/>
              </w:rPr>
              <w:t>53.3</w:t>
            </w:r>
          </w:p>
        </w:tc>
        <w:tc>
          <w:tcPr>
            <w:tcW w:w="520" w:type="pct"/>
          </w:tcPr>
          <w:p w14:paraId="5334C3AE" w14:textId="77777777" w:rsidR="006F5DDE" w:rsidRPr="00097E60" w:rsidRDefault="006F5DDE" w:rsidP="002731ED">
            <w:pPr>
              <w:spacing w:after="0" w:line="240" w:lineRule="auto"/>
              <w:rPr>
                <w:sz w:val="20"/>
                <w:szCs w:val="20"/>
                <w:lang w:val="en-GB"/>
              </w:rPr>
            </w:pPr>
            <w:r w:rsidRPr="00097E60">
              <w:rPr>
                <w:sz w:val="20"/>
                <w:szCs w:val="20"/>
                <w:lang w:val="en-GB"/>
              </w:rPr>
              <w:t>0.5</w:t>
            </w:r>
          </w:p>
        </w:tc>
        <w:tc>
          <w:tcPr>
            <w:tcW w:w="519" w:type="pct"/>
          </w:tcPr>
          <w:p w14:paraId="2A43C7CC" w14:textId="77777777" w:rsidR="006F5DDE" w:rsidRPr="00097E60" w:rsidRDefault="006F5DDE" w:rsidP="002731ED">
            <w:pPr>
              <w:spacing w:after="0" w:line="240" w:lineRule="auto"/>
              <w:rPr>
                <w:sz w:val="20"/>
                <w:szCs w:val="20"/>
                <w:lang w:val="en-GB"/>
              </w:rPr>
            </w:pPr>
            <w:r w:rsidRPr="00097E60">
              <w:rPr>
                <w:sz w:val="20"/>
                <w:szCs w:val="20"/>
                <w:lang w:val="en-GB"/>
              </w:rPr>
              <w:t>30.2</w:t>
            </w:r>
          </w:p>
        </w:tc>
      </w:tr>
      <w:tr w:rsidR="006F5DDE" w:rsidRPr="009D6381" w14:paraId="3299D7F4" w14:textId="77777777" w:rsidTr="002731ED">
        <w:trPr>
          <w:trHeight w:val="397"/>
        </w:trPr>
        <w:tc>
          <w:tcPr>
            <w:tcW w:w="1361" w:type="pct"/>
          </w:tcPr>
          <w:p w14:paraId="1D3AC29E" w14:textId="77777777" w:rsidR="006F5DDE" w:rsidRPr="00097E60" w:rsidRDefault="006F5DDE" w:rsidP="002731ED">
            <w:pPr>
              <w:spacing w:after="0" w:line="240" w:lineRule="auto"/>
              <w:rPr>
                <w:sz w:val="20"/>
                <w:szCs w:val="20"/>
                <w:lang w:val="en-GB"/>
              </w:rPr>
            </w:pPr>
            <w:r w:rsidRPr="00097E60">
              <w:rPr>
                <w:sz w:val="20"/>
                <w:szCs w:val="20"/>
                <w:lang w:val="en-GB"/>
              </w:rPr>
              <w:t>Muslim</w:t>
            </w:r>
          </w:p>
        </w:tc>
        <w:tc>
          <w:tcPr>
            <w:tcW w:w="520" w:type="pct"/>
          </w:tcPr>
          <w:p w14:paraId="7248E1FD" w14:textId="77777777" w:rsidR="006F5DDE" w:rsidRPr="00097E60" w:rsidRDefault="006F5DDE" w:rsidP="002731ED">
            <w:pPr>
              <w:spacing w:after="0" w:line="240" w:lineRule="auto"/>
              <w:rPr>
                <w:sz w:val="20"/>
                <w:szCs w:val="20"/>
                <w:lang w:val="en-GB"/>
              </w:rPr>
            </w:pPr>
            <w:r w:rsidRPr="00097E60">
              <w:rPr>
                <w:sz w:val="20"/>
                <w:szCs w:val="20"/>
                <w:lang w:val="en-GB"/>
              </w:rPr>
              <w:t>3.1</w:t>
            </w:r>
          </w:p>
        </w:tc>
        <w:tc>
          <w:tcPr>
            <w:tcW w:w="520" w:type="pct"/>
          </w:tcPr>
          <w:p w14:paraId="7112A8C2" w14:textId="77777777" w:rsidR="006F5DDE" w:rsidRPr="00097E60" w:rsidRDefault="006F5DDE" w:rsidP="002731ED">
            <w:pPr>
              <w:spacing w:after="0" w:line="240" w:lineRule="auto"/>
              <w:rPr>
                <w:sz w:val="20"/>
                <w:szCs w:val="20"/>
                <w:lang w:val="en-GB"/>
              </w:rPr>
            </w:pPr>
            <w:r w:rsidRPr="00097E60">
              <w:rPr>
                <w:sz w:val="20"/>
                <w:szCs w:val="20"/>
                <w:lang w:val="en-GB"/>
              </w:rPr>
              <w:t>1.7</w:t>
            </w:r>
          </w:p>
        </w:tc>
        <w:tc>
          <w:tcPr>
            <w:tcW w:w="520" w:type="pct"/>
          </w:tcPr>
          <w:p w14:paraId="73E1126F" w14:textId="77777777" w:rsidR="006F5DDE" w:rsidRPr="00097E60" w:rsidRDefault="006F5DDE" w:rsidP="002731ED">
            <w:pPr>
              <w:spacing w:after="0" w:line="240" w:lineRule="auto"/>
              <w:rPr>
                <w:sz w:val="20"/>
                <w:szCs w:val="20"/>
                <w:lang w:val="en-GB"/>
              </w:rPr>
            </w:pPr>
            <w:r w:rsidRPr="00097E60">
              <w:rPr>
                <w:sz w:val="20"/>
                <w:szCs w:val="20"/>
                <w:lang w:val="en-GB"/>
              </w:rPr>
              <w:t>1.6</w:t>
            </w:r>
          </w:p>
        </w:tc>
        <w:tc>
          <w:tcPr>
            <w:tcW w:w="520" w:type="pct"/>
          </w:tcPr>
          <w:p w14:paraId="1C8D2530" w14:textId="77777777" w:rsidR="006F5DDE" w:rsidRPr="00097E60" w:rsidRDefault="006F5DDE" w:rsidP="002731ED">
            <w:pPr>
              <w:spacing w:after="0" w:line="240" w:lineRule="auto"/>
              <w:rPr>
                <w:sz w:val="20"/>
                <w:szCs w:val="20"/>
                <w:lang w:val="en-GB"/>
              </w:rPr>
            </w:pPr>
            <w:r w:rsidRPr="00097E60">
              <w:rPr>
                <w:sz w:val="20"/>
                <w:szCs w:val="20"/>
                <w:lang w:val="en-GB"/>
              </w:rPr>
              <w:t>0.1</w:t>
            </w:r>
          </w:p>
        </w:tc>
        <w:tc>
          <w:tcPr>
            <w:tcW w:w="520" w:type="pct"/>
          </w:tcPr>
          <w:p w14:paraId="6DD85576" w14:textId="77777777" w:rsidR="006F5DDE" w:rsidRPr="00097E60" w:rsidRDefault="006F5DDE" w:rsidP="002731ED">
            <w:pPr>
              <w:spacing w:after="0" w:line="240" w:lineRule="auto"/>
              <w:rPr>
                <w:sz w:val="20"/>
                <w:szCs w:val="20"/>
                <w:lang w:val="en-GB"/>
              </w:rPr>
            </w:pPr>
            <w:r w:rsidRPr="00097E60">
              <w:rPr>
                <w:sz w:val="20"/>
                <w:szCs w:val="20"/>
                <w:lang w:val="en-GB"/>
              </w:rPr>
              <w:t>0.5</w:t>
            </w:r>
          </w:p>
        </w:tc>
        <w:tc>
          <w:tcPr>
            <w:tcW w:w="520" w:type="pct"/>
          </w:tcPr>
          <w:p w14:paraId="1F538475" w14:textId="77777777" w:rsidR="006F5DDE" w:rsidRPr="00097E60" w:rsidRDefault="006F5DDE" w:rsidP="002731ED">
            <w:pPr>
              <w:spacing w:after="0" w:line="240" w:lineRule="auto"/>
              <w:rPr>
                <w:sz w:val="20"/>
                <w:szCs w:val="20"/>
                <w:lang w:val="en-GB"/>
              </w:rPr>
            </w:pPr>
            <w:r w:rsidRPr="00097E60">
              <w:rPr>
                <w:sz w:val="20"/>
                <w:szCs w:val="20"/>
                <w:lang w:val="en-GB"/>
              </w:rPr>
              <w:t>85.1</w:t>
            </w:r>
          </w:p>
        </w:tc>
        <w:tc>
          <w:tcPr>
            <w:tcW w:w="519" w:type="pct"/>
          </w:tcPr>
          <w:p w14:paraId="620D4841" w14:textId="77777777" w:rsidR="006F5DDE" w:rsidRPr="00097E60" w:rsidRDefault="006F5DDE" w:rsidP="002731ED">
            <w:pPr>
              <w:spacing w:after="0" w:line="240" w:lineRule="auto"/>
              <w:rPr>
                <w:sz w:val="20"/>
                <w:szCs w:val="20"/>
                <w:lang w:val="en-GB"/>
              </w:rPr>
            </w:pPr>
            <w:r w:rsidRPr="00097E60">
              <w:rPr>
                <w:sz w:val="20"/>
                <w:szCs w:val="20"/>
                <w:lang w:val="en-GB"/>
              </w:rPr>
              <w:t>24.5</w:t>
            </w:r>
          </w:p>
        </w:tc>
      </w:tr>
      <w:tr w:rsidR="006F5DDE" w:rsidRPr="009D6381" w14:paraId="1F9BDFC7" w14:textId="77777777" w:rsidTr="002731ED">
        <w:trPr>
          <w:trHeight w:val="397"/>
        </w:trPr>
        <w:tc>
          <w:tcPr>
            <w:tcW w:w="1361" w:type="pct"/>
          </w:tcPr>
          <w:p w14:paraId="52FE8C86" w14:textId="77777777" w:rsidR="006F5DDE" w:rsidRPr="00097E60" w:rsidRDefault="006F5DDE" w:rsidP="002731ED">
            <w:pPr>
              <w:spacing w:after="0" w:line="240" w:lineRule="auto"/>
              <w:rPr>
                <w:sz w:val="20"/>
                <w:szCs w:val="20"/>
                <w:lang w:val="en-GB"/>
              </w:rPr>
            </w:pPr>
            <w:r w:rsidRPr="00097E60">
              <w:rPr>
                <w:sz w:val="20"/>
                <w:szCs w:val="20"/>
                <w:lang w:val="en-GB"/>
              </w:rPr>
              <w:t>Jewish</w:t>
            </w:r>
          </w:p>
        </w:tc>
        <w:tc>
          <w:tcPr>
            <w:tcW w:w="520" w:type="pct"/>
          </w:tcPr>
          <w:p w14:paraId="0A61C534" w14:textId="77777777" w:rsidR="006F5DDE" w:rsidRPr="00097E60" w:rsidRDefault="006F5DDE" w:rsidP="002731ED">
            <w:pPr>
              <w:spacing w:after="0" w:line="240" w:lineRule="auto"/>
              <w:rPr>
                <w:sz w:val="20"/>
                <w:szCs w:val="20"/>
                <w:lang w:val="en-GB"/>
              </w:rPr>
            </w:pPr>
            <w:r w:rsidRPr="00097E60">
              <w:rPr>
                <w:sz w:val="20"/>
                <w:szCs w:val="20"/>
                <w:lang w:val="en-GB"/>
              </w:rPr>
              <w:t>0.7</w:t>
            </w:r>
          </w:p>
        </w:tc>
        <w:tc>
          <w:tcPr>
            <w:tcW w:w="520" w:type="pct"/>
          </w:tcPr>
          <w:p w14:paraId="63D70B2B" w14:textId="77777777" w:rsidR="006F5DDE" w:rsidRPr="00097E60" w:rsidRDefault="006F5DDE" w:rsidP="002731ED">
            <w:pPr>
              <w:spacing w:after="0" w:line="240" w:lineRule="auto"/>
              <w:rPr>
                <w:sz w:val="20"/>
                <w:szCs w:val="20"/>
                <w:lang w:val="en-GB"/>
              </w:rPr>
            </w:pPr>
            <w:r w:rsidRPr="00097E60">
              <w:rPr>
                <w:sz w:val="20"/>
                <w:szCs w:val="20"/>
                <w:lang w:val="en-GB"/>
              </w:rPr>
              <w:t>0.0</w:t>
            </w:r>
          </w:p>
        </w:tc>
        <w:tc>
          <w:tcPr>
            <w:tcW w:w="520" w:type="pct"/>
          </w:tcPr>
          <w:p w14:paraId="4BD46210" w14:textId="77777777" w:rsidR="006F5DDE" w:rsidRPr="00097E60" w:rsidRDefault="006F5DDE" w:rsidP="002731ED">
            <w:pPr>
              <w:spacing w:after="0" w:line="240" w:lineRule="auto"/>
              <w:rPr>
                <w:sz w:val="20"/>
                <w:szCs w:val="20"/>
                <w:lang w:val="en-GB"/>
              </w:rPr>
            </w:pPr>
            <w:r w:rsidRPr="00097E60">
              <w:rPr>
                <w:sz w:val="20"/>
                <w:szCs w:val="20"/>
                <w:lang w:val="en-GB"/>
              </w:rPr>
              <w:t>0.2</w:t>
            </w:r>
          </w:p>
        </w:tc>
        <w:tc>
          <w:tcPr>
            <w:tcW w:w="520" w:type="pct"/>
          </w:tcPr>
          <w:p w14:paraId="2DC2D9CE" w14:textId="77777777" w:rsidR="006F5DDE" w:rsidRPr="00097E60" w:rsidRDefault="006F5DDE" w:rsidP="002731ED">
            <w:pPr>
              <w:spacing w:after="0" w:line="240" w:lineRule="auto"/>
              <w:rPr>
                <w:sz w:val="20"/>
                <w:szCs w:val="20"/>
                <w:lang w:val="en-GB"/>
              </w:rPr>
            </w:pPr>
            <w:r w:rsidRPr="00097E60">
              <w:rPr>
                <w:sz w:val="20"/>
                <w:szCs w:val="20"/>
                <w:lang w:val="en-GB"/>
              </w:rPr>
              <w:t>0.1</w:t>
            </w:r>
          </w:p>
        </w:tc>
        <w:tc>
          <w:tcPr>
            <w:tcW w:w="520" w:type="pct"/>
          </w:tcPr>
          <w:p w14:paraId="272A6D15" w14:textId="77777777" w:rsidR="006F5DDE" w:rsidRPr="00097E60" w:rsidRDefault="006F5DDE" w:rsidP="002731ED">
            <w:pPr>
              <w:spacing w:after="0" w:line="240" w:lineRule="auto"/>
              <w:rPr>
                <w:sz w:val="20"/>
                <w:szCs w:val="20"/>
                <w:lang w:val="en-GB"/>
              </w:rPr>
            </w:pPr>
            <w:r w:rsidRPr="00097E60">
              <w:rPr>
                <w:sz w:val="20"/>
                <w:szCs w:val="20"/>
                <w:lang w:val="en-GB"/>
              </w:rPr>
              <w:t>0.0</w:t>
            </w:r>
          </w:p>
        </w:tc>
        <w:tc>
          <w:tcPr>
            <w:tcW w:w="520" w:type="pct"/>
          </w:tcPr>
          <w:p w14:paraId="21A78FC7" w14:textId="77777777" w:rsidR="006F5DDE" w:rsidRPr="00097E60" w:rsidRDefault="006F5DDE" w:rsidP="002731ED">
            <w:pPr>
              <w:spacing w:after="0" w:line="240" w:lineRule="auto"/>
              <w:rPr>
                <w:sz w:val="20"/>
                <w:szCs w:val="20"/>
                <w:lang w:val="en-GB"/>
              </w:rPr>
            </w:pPr>
            <w:r w:rsidRPr="00097E60">
              <w:rPr>
                <w:sz w:val="20"/>
                <w:szCs w:val="20"/>
                <w:lang w:val="en-GB"/>
              </w:rPr>
              <w:t>0.4</w:t>
            </w:r>
          </w:p>
        </w:tc>
        <w:tc>
          <w:tcPr>
            <w:tcW w:w="519" w:type="pct"/>
          </w:tcPr>
          <w:p w14:paraId="34439445" w14:textId="77777777" w:rsidR="006F5DDE" w:rsidRPr="00097E60" w:rsidRDefault="006F5DDE" w:rsidP="002731ED">
            <w:pPr>
              <w:spacing w:after="0" w:line="240" w:lineRule="auto"/>
              <w:rPr>
                <w:sz w:val="20"/>
                <w:szCs w:val="20"/>
                <w:lang w:val="en-GB"/>
              </w:rPr>
            </w:pPr>
            <w:r w:rsidRPr="00097E60">
              <w:rPr>
                <w:sz w:val="20"/>
                <w:szCs w:val="20"/>
                <w:lang w:val="en-GB"/>
              </w:rPr>
              <w:t>0.0</w:t>
            </w:r>
          </w:p>
        </w:tc>
      </w:tr>
      <w:tr w:rsidR="006F5DDE" w:rsidRPr="009D6381" w14:paraId="12877782" w14:textId="77777777" w:rsidTr="002731ED">
        <w:trPr>
          <w:trHeight w:val="397"/>
        </w:trPr>
        <w:tc>
          <w:tcPr>
            <w:tcW w:w="1361" w:type="pct"/>
          </w:tcPr>
          <w:p w14:paraId="39E49E6C" w14:textId="77777777" w:rsidR="006F5DDE" w:rsidRPr="00097E60" w:rsidRDefault="006F5DDE" w:rsidP="002731ED">
            <w:pPr>
              <w:spacing w:after="0" w:line="240" w:lineRule="auto"/>
              <w:rPr>
                <w:sz w:val="20"/>
                <w:szCs w:val="20"/>
                <w:lang w:val="en-GB"/>
              </w:rPr>
            </w:pPr>
            <w:r w:rsidRPr="00097E60">
              <w:rPr>
                <w:sz w:val="20"/>
                <w:szCs w:val="20"/>
                <w:lang w:val="en-GB"/>
              </w:rPr>
              <w:t>Hindu</w:t>
            </w:r>
          </w:p>
        </w:tc>
        <w:tc>
          <w:tcPr>
            <w:tcW w:w="520" w:type="pct"/>
          </w:tcPr>
          <w:p w14:paraId="129E79DE" w14:textId="77777777" w:rsidR="006F5DDE" w:rsidRPr="00097E60" w:rsidRDefault="006F5DDE" w:rsidP="002731ED">
            <w:pPr>
              <w:spacing w:after="0" w:line="240" w:lineRule="auto"/>
              <w:rPr>
                <w:sz w:val="20"/>
                <w:szCs w:val="20"/>
                <w:lang w:val="en-GB"/>
              </w:rPr>
            </w:pPr>
            <w:r w:rsidRPr="00097E60">
              <w:rPr>
                <w:sz w:val="20"/>
                <w:szCs w:val="20"/>
                <w:lang w:val="en-GB"/>
              </w:rPr>
              <w:t>0.0</w:t>
            </w:r>
          </w:p>
        </w:tc>
        <w:tc>
          <w:tcPr>
            <w:tcW w:w="520" w:type="pct"/>
          </w:tcPr>
          <w:p w14:paraId="64B5EAF3" w14:textId="77777777" w:rsidR="006F5DDE" w:rsidRPr="00097E60" w:rsidRDefault="006F5DDE" w:rsidP="002731ED">
            <w:pPr>
              <w:spacing w:after="0" w:line="240" w:lineRule="auto"/>
              <w:rPr>
                <w:sz w:val="20"/>
                <w:szCs w:val="20"/>
                <w:lang w:val="en-GB"/>
              </w:rPr>
            </w:pPr>
            <w:r w:rsidRPr="00097E60">
              <w:rPr>
                <w:sz w:val="20"/>
                <w:szCs w:val="20"/>
                <w:lang w:val="en-GB"/>
              </w:rPr>
              <w:t>0.2</w:t>
            </w:r>
          </w:p>
        </w:tc>
        <w:tc>
          <w:tcPr>
            <w:tcW w:w="520" w:type="pct"/>
          </w:tcPr>
          <w:p w14:paraId="32035A0C" w14:textId="77777777" w:rsidR="006F5DDE" w:rsidRPr="00097E60" w:rsidRDefault="006F5DDE" w:rsidP="002731ED">
            <w:pPr>
              <w:spacing w:after="0" w:line="240" w:lineRule="auto"/>
              <w:rPr>
                <w:sz w:val="20"/>
                <w:szCs w:val="20"/>
                <w:lang w:val="en-GB"/>
              </w:rPr>
            </w:pPr>
            <w:r w:rsidRPr="00097E60">
              <w:rPr>
                <w:sz w:val="20"/>
                <w:szCs w:val="20"/>
                <w:lang w:val="en-GB"/>
              </w:rPr>
              <w:t>0.0</w:t>
            </w:r>
          </w:p>
        </w:tc>
        <w:tc>
          <w:tcPr>
            <w:tcW w:w="520" w:type="pct"/>
          </w:tcPr>
          <w:p w14:paraId="45A25C2B" w14:textId="77777777" w:rsidR="006F5DDE" w:rsidRPr="00097E60" w:rsidRDefault="006F5DDE" w:rsidP="002731ED">
            <w:pPr>
              <w:spacing w:after="0" w:line="240" w:lineRule="auto"/>
              <w:rPr>
                <w:sz w:val="20"/>
                <w:szCs w:val="20"/>
                <w:lang w:val="en-GB"/>
              </w:rPr>
            </w:pPr>
            <w:r w:rsidRPr="00097E60">
              <w:rPr>
                <w:sz w:val="20"/>
                <w:szCs w:val="20"/>
                <w:lang w:val="en-GB"/>
              </w:rPr>
              <w:t>0.1</w:t>
            </w:r>
          </w:p>
        </w:tc>
        <w:tc>
          <w:tcPr>
            <w:tcW w:w="520" w:type="pct"/>
          </w:tcPr>
          <w:p w14:paraId="00B6C759" w14:textId="77777777" w:rsidR="006F5DDE" w:rsidRPr="00097E60" w:rsidRDefault="006F5DDE" w:rsidP="002731ED">
            <w:pPr>
              <w:spacing w:after="0" w:line="240" w:lineRule="auto"/>
              <w:rPr>
                <w:sz w:val="20"/>
                <w:szCs w:val="20"/>
                <w:lang w:val="en-GB"/>
              </w:rPr>
            </w:pPr>
            <w:r w:rsidRPr="00097E60">
              <w:rPr>
                <w:sz w:val="20"/>
                <w:szCs w:val="20"/>
                <w:lang w:val="en-GB"/>
              </w:rPr>
              <w:t>0.5</w:t>
            </w:r>
          </w:p>
        </w:tc>
        <w:tc>
          <w:tcPr>
            <w:tcW w:w="520" w:type="pct"/>
          </w:tcPr>
          <w:p w14:paraId="7F0A601E" w14:textId="77777777" w:rsidR="006F5DDE" w:rsidRPr="00097E60" w:rsidRDefault="006F5DDE" w:rsidP="002731ED">
            <w:pPr>
              <w:spacing w:after="0" w:line="240" w:lineRule="auto"/>
              <w:rPr>
                <w:sz w:val="20"/>
                <w:szCs w:val="20"/>
                <w:lang w:val="en-GB"/>
              </w:rPr>
            </w:pPr>
            <w:r w:rsidRPr="00097E60">
              <w:rPr>
                <w:sz w:val="20"/>
                <w:szCs w:val="20"/>
                <w:lang w:val="en-GB"/>
              </w:rPr>
              <w:t>0.0</w:t>
            </w:r>
          </w:p>
        </w:tc>
        <w:tc>
          <w:tcPr>
            <w:tcW w:w="519" w:type="pct"/>
          </w:tcPr>
          <w:p w14:paraId="4C166758" w14:textId="77777777" w:rsidR="006F5DDE" w:rsidRPr="00097E60" w:rsidRDefault="006F5DDE" w:rsidP="002731ED">
            <w:pPr>
              <w:spacing w:after="0" w:line="240" w:lineRule="auto"/>
              <w:rPr>
                <w:sz w:val="20"/>
                <w:szCs w:val="20"/>
                <w:lang w:val="en-GB"/>
              </w:rPr>
            </w:pPr>
            <w:r w:rsidRPr="00097E60">
              <w:rPr>
                <w:sz w:val="20"/>
                <w:szCs w:val="20"/>
                <w:lang w:val="en-GB"/>
              </w:rPr>
              <w:t>0.9</w:t>
            </w:r>
          </w:p>
        </w:tc>
      </w:tr>
      <w:tr w:rsidR="006F5DDE" w:rsidRPr="009D6381" w14:paraId="64C2A6E3" w14:textId="77777777" w:rsidTr="002731ED">
        <w:trPr>
          <w:trHeight w:val="397"/>
        </w:trPr>
        <w:tc>
          <w:tcPr>
            <w:tcW w:w="1361" w:type="pct"/>
          </w:tcPr>
          <w:p w14:paraId="72007636" w14:textId="77777777" w:rsidR="006F5DDE" w:rsidRPr="00097E60" w:rsidRDefault="006F5DDE" w:rsidP="002731ED">
            <w:pPr>
              <w:spacing w:after="0" w:line="240" w:lineRule="auto"/>
              <w:rPr>
                <w:sz w:val="20"/>
                <w:szCs w:val="20"/>
                <w:lang w:val="en-GB"/>
              </w:rPr>
            </w:pPr>
            <w:r w:rsidRPr="00097E60">
              <w:rPr>
                <w:sz w:val="20"/>
                <w:szCs w:val="20"/>
                <w:lang w:val="en-GB"/>
              </w:rPr>
              <w:t>Buddhist</w:t>
            </w:r>
          </w:p>
        </w:tc>
        <w:tc>
          <w:tcPr>
            <w:tcW w:w="520" w:type="pct"/>
          </w:tcPr>
          <w:p w14:paraId="16C3FA78" w14:textId="77777777" w:rsidR="006F5DDE" w:rsidRPr="00097E60" w:rsidRDefault="006F5DDE" w:rsidP="002731ED">
            <w:pPr>
              <w:spacing w:after="0" w:line="240" w:lineRule="auto"/>
              <w:rPr>
                <w:sz w:val="20"/>
                <w:szCs w:val="20"/>
                <w:lang w:val="en-GB"/>
              </w:rPr>
            </w:pPr>
            <w:r w:rsidRPr="00097E60">
              <w:rPr>
                <w:sz w:val="20"/>
                <w:szCs w:val="20"/>
                <w:lang w:val="en-GB"/>
              </w:rPr>
              <w:t>1.6</w:t>
            </w:r>
          </w:p>
        </w:tc>
        <w:tc>
          <w:tcPr>
            <w:tcW w:w="520" w:type="pct"/>
          </w:tcPr>
          <w:p w14:paraId="776C8304" w14:textId="77777777" w:rsidR="006F5DDE" w:rsidRPr="00097E60" w:rsidRDefault="006F5DDE" w:rsidP="002731ED">
            <w:pPr>
              <w:spacing w:after="0" w:line="240" w:lineRule="auto"/>
              <w:rPr>
                <w:sz w:val="20"/>
                <w:szCs w:val="20"/>
                <w:lang w:val="en-GB"/>
              </w:rPr>
            </w:pPr>
            <w:r w:rsidRPr="00097E60">
              <w:rPr>
                <w:sz w:val="20"/>
                <w:szCs w:val="20"/>
                <w:lang w:val="en-GB"/>
              </w:rPr>
              <w:t>0.9</w:t>
            </w:r>
          </w:p>
        </w:tc>
        <w:tc>
          <w:tcPr>
            <w:tcW w:w="520" w:type="pct"/>
          </w:tcPr>
          <w:p w14:paraId="18EB1DDA" w14:textId="77777777" w:rsidR="006F5DDE" w:rsidRPr="00097E60" w:rsidRDefault="006F5DDE" w:rsidP="002731ED">
            <w:pPr>
              <w:spacing w:after="0" w:line="240" w:lineRule="auto"/>
              <w:rPr>
                <w:sz w:val="20"/>
                <w:szCs w:val="20"/>
                <w:lang w:val="en-GB"/>
              </w:rPr>
            </w:pPr>
            <w:r w:rsidRPr="00097E60">
              <w:rPr>
                <w:sz w:val="20"/>
                <w:szCs w:val="20"/>
                <w:lang w:val="en-GB"/>
              </w:rPr>
              <w:t>2.2</w:t>
            </w:r>
          </w:p>
        </w:tc>
        <w:tc>
          <w:tcPr>
            <w:tcW w:w="520" w:type="pct"/>
          </w:tcPr>
          <w:p w14:paraId="0EE4EF2B" w14:textId="77777777" w:rsidR="006F5DDE" w:rsidRPr="00097E60" w:rsidRDefault="006F5DDE" w:rsidP="002731ED">
            <w:pPr>
              <w:spacing w:after="0" w:line="240" w:lineRule="auto"/>
              <w:rPr>
                <w:sz w:val="20"/>
                <w:szCs w:val="20"/>
                <w:lang w:val="en-GB"/>
              </w:rPr>
            </w:pPr>
            <w:r w:rsidRPr="00097E60">
              <w:rPr>
                <w:sz w:val="20"/>
                <w:szCs w:val="20"/>
                <w:lang w:val="en-GB"/>
              </w:rPr>
              <w:t>0.7</w:t>
            </w:r>
          </w:p>
        </w:tc>
        <w:tc>
          <w:tcPr>
            <w:tcW w:w="520" w:type="pct"/>
          </w:tcPr>
          <w:p w14:paraId="7FB7F638" w14:textId="77777777" w:rsidR="006F5DDE" w:rsidRPr="00097E60" w:rsidRDefault="006F5DDE" w:rsidP="002731ED">
            <w:pPr>
              <w:spacing w:after="0" w:line="240" w:lineRule="auto"/>
              <w:rPr>
                <w:sz w:val="20"/>
                <w:szCs w:val="20"/>
                <w:lang w:val="en-GB"/>
              </w:rPr>
            </w:pPr>
            <w:r w:rsidRPr="00097E60">
              <w:rPr>
                <w:sz w:val="20"/>
                <w:szCs w:val="20"/>
                <w:lang w:val="en-GB"/>
              </w:rPr>
              <w:t>0.5</w:t>
            </w:r>
          </w:p>
        </w:tc>
        <w:tc>
          <w:tcPr>
            <w:tcW w:w="520" w:type="pct"/>
          </w:tcPr>
          <w:p w14:paraId="4F6DCBFD" w14:textId="77777777" w:rsidR="006F5DDE" w:rsidRPr="00097E60" w:rsidRDefault="006F5DDE" w:rsidP="002731ED">
            <w:pPr>
              <w:spacing w:after="0" w:line="240" w:lineRule="auto"/>
              <w:rPr>
                <w:sz w:val="20"/>
                <w:szCs w:val="20"/>
                <w:lang w:val="en-GB"/>
              </w:rPr>
            </w:pPr>
            <w:r w:rsidRPr="00097E60">
              <w:rPr>
                <w:sz w:val="20"/>
                <w:szCs w:val="20"/>
                <w:lang w:val="en-GB"/>
              </w:rPr>
              <w:t>0.1</w:t>
            </w:r>
          </w:p>
        </w:tc>
        <w:tc>
          <w:tcPr>
            <w:tcW w:w="519" w:type="pct"/>
          </w:tcPr>
          <w:p w14:paraId="42377650" w14:textId="77777777" w:rsidR="006F5DDE" w:rsidRPr="00097E60" w:rsidRDefault="006F5DDE" w:rsidP="002731ED">
            <w:pPr>
              <w:spacing w:after="0" w:line="240" w:lineRule="auto"/>
              <w:rPr>
                <w:sz w:val="20"/>
                <w:szCs w:val="20"/>
                <w:lang w:val="en-GB"/>
              </w:rPr>
            </w:pPr>
            <w:r w:rsidRPr="00097E60">
              <w:rPr>
                <w:sz w:val="20"/>
                <w:szCs w:val="20"/>
                <w:lang w:val="en-GB"/>
              </w:rPr>
              <w:t>2.8</w:t>
            </w:r>
          </w:p>
        </w:tc>
      </w:tr>
      <w:tr w:rsidR="006F5DDE" w:rsidRPr="009D6381" w14:paraId="2D387492" w14:textId="77777777" w:rsidTr="002731ED">
        <w:trPr>
          <w:trHeight w:val="397"/>
        </w:trPr>
        <w:tc>
          <w:tcPr>
            <w:tcW w:w="1361" w:type="pct"/>
          </w:tcPr>
          <w:p w14:paraId="1A894BC7" w14:textId="77777777" w:rsidR="006F5DDE" w:rsidRPr="00097E60" w:rsidRDefault="006F5DDE" w:rsidP="002731ED">
            <w:pPr>
              <w:spacing w:after="0" w:line="240" w:lineRule="auto"/>
              <w:rPr>
                <w:sz w:val="20"/>
                <w:szCs w:val="20"/>
                <w:lang w:val="en-GB"/>
              </w:rPr>
            </w:pPr>
            <w:r w:rsidRPr="00097E60">
              <w:rPr>
                <w:sz w:val="20"/>
                <w:szCs w:val="20"/>
                <w:lang w:val="en-GB"/>
              </w:rPr>
              <w:t>Other</w:t>
            </w:r>
          </w:p>
        </w:tc>
        <w:tc>
          <w:tcPr>
            <w:tcW w:w="520" w:type="pct"/>
          </w:tcPr>
          <w:p w14:paraId="202CC7B1" w14:textId="77777777" w:rsidR="006F5DDE" w:rsidRPr="00097E60" w:rsidRDefault="006F5DDE" w:rsidP="002731ED">
            <w:pPr>
              <w:spacing w:after="0" w:line="240" w:lineRule="auto"/>
              <w:rPr>
                <w:sz w:val="20"/>
                <w:szCs w:val="20"/>
                <w:lang w:val="en-GB"/>
              </w:rPr>
            </w:pPr>
            <w:r w:rsidRPr="00097E60">
              <w:rPr>
                <w:sz w:val="20"/>
                <w:szCs w:val="20"/>
                <w:lang w:val="en-GB"/>
              </w:rPr>
              <w:t>3.1</w:t>
            </w:r>
          </w:p>
        </w:tc>
        <w:tc>
          <w:tcPr>
            <w:tcW w:w="520" w:type="pct"/>
          </w:tcPr>
          <w:p w14:paraId="70F5A631" w14:textId="77777777" w:rsidR="006F5DDE" w:rsidRPr="00097E60" w:rsidRDefault="006F5DDE" w:rsidP="002731ED">
            <w:pPr>
              <w:spacing w:after="0" w:line="240" w:lineRule="auto"/>
              <w:rPr>
                <w:sz w:val="20"/>
                <w:szCs w:val="20"/>
                <w:lang w:val="en-GB"/>
              </w:rPr>
            </w:pPr>
            <w:r w:rsidRPr="00097E60">
              <w:rPr>
                <w:sz w:val="20"/>
                <w:szCs w:val="20"/>
                <w:lang w:val="en-GB"/>
              </w:rPr>
              <w:t>6.0</w:t>
            </w:r>
          </w:p>
        </w:tc>
        <w:tc>
          <w:tcPr>
            <w:tcW w:w="520" w:type="pct"/>
          </w:tcPr>
          <w:p w14:paraId="1AF59E4A" w14:textId="77777777" w:rsidR="006F5DDE" w:rsidRPr="00097E60" w:rsidRDefault="006F5DDE" w:rsidP="002731ED">
            <w:pPr>
              <w:spacing w:after="0" w:line="240" w:lineRule="auto"/>
              <w:rPr>
                <w:sz w:val="20"/>
                <w:szCs w:val="20"/>
                <w:lang w:val="en-GB"/>
              </w:rPr>
            </w:pPr>
            <w:r w:rsidRPr="00097E60">
              <w:rPr>
                <w:sz w:val="20"/>
                <w:szCs w:val="20"/>
                <w:lang w:val="en-GB"/>
              </w:rPr>
              <w:t>4.2</w:t>
            </w:r>
          </w:p>
        </w:tc>
        <w:tc>
          <w:tcPr>
            <w:tcW w:w="520" w:type="pct"/>
          </w:tcPr>
          <w:p w14:paraId="5BC6335B" w14:textId="77777777" w:rsidR="006F5DDE" w:rsidRPr="00097E60" w:rsidRDefault="006F5DDE" w:rsidP="002731ED">
            <w:pPr>
              <w:spacing w:after="0" w:line="240" w:lineRule="auto"/>
              <w:rPr>
                <w:sz w:val="20"/>
                <w:szCs w:val="20"/>
                <w:lang w:val="en-GB"/>
              </w:rPr>
            </w:pPr>
            <w:r w:rsidRPr="00097E60">
              <w:rPr>
                <w:sz w:val="20"/>
                <w:szCs w:val="20"/>
                <w:lang w:val="en-GB"/>
              </w:rPr>
              <w:t>2.7</w:t>
            </w:r>
          </w:p>
        </w:tc>
        <w:tc>
          <w:tcPr>
            <w:tcW w:w="520" w:type="pct"/>
          </w:tcPr>
          <w:p w14:paraId="5DAD05EB" w14:textId="77777777" w:rsidR="006F5DDE" w:rsidRPr="00097E60" w:rsidRDefault="006F5DDE" w:rsidP="002731ED">
            <w:pPr>
              <w:spacing w:after="0" w:line="240" w:lineRule="auto"/>
              <w:rPr>
                <w:sz w:val="20"/>
                <w:szCs w:val="20"/>
                <w:lang w:val="en-GB"/>
              </w:rPr>
            </w:pPr>
            <w:r w:rsidRPr="00097E60">
              <w:rPr>
                <w:sz w:val="20"/>
                <w:szCs w:val="20"/>
                <w:lang w:val="en-GB"/>
              </w:rPr>
              <w:t>3.3</w:t>
            </w:r>
          </w:p>
        </w:tc>
        <w:tc>
          <w:tcPr>
            <w:tcW w:w="520" w:type="pct"/>
          </w:tcPr>
          <w:p w14:paraId="51C8FCBC" w14:textId="77777777" w:rsidR="006F5DDE" w:rsidRPr="00097E60" w:rsidRDefault="006F5DDE" w:rsidP="002731ED">
            <w:pPr>
              <w:spacing w:after="0" w:line="240" w:lineRule="auto"/>
              <w:rPr>
                <w:sz w:val="20"/>
                <w:szCs w:val="20"/>
                <w:lang w:val="en-GB"/>
              </w:rPr>
            </w:pPr>
            <w:r w:rsidRPr="00097E60">
              <w:rPr>
                <w:sz w:val="20"/>
                <w:szCs w:val="20"/>
                <w:lang w:val="en-GB"/>
              </w:rPr>
              <w:t>4.4</w:t>
            </w:r>
          </w:p>
        </w:tc>
        <w:tc>
          <w:tcPr>
            <w:tcW w:w="519" w:type="pct"/>
          </w:tcPr>
          <w:p w14:paraId="26949582" w14:textId="77777777" w:rsidR="006F5DDE" w:rsidRPr="00097E60" w:rsidRDefault="006F5DDE" w:rsidP="002731ED">
            <w:pPr>
              <w:spacing w:after="0" w:line="240" w:lineRule="auto"/>
              <w:rPr>
                <w:sz w:val="20"/>
                <w:szCs w:val="20"/>
                <w:lang w:val="en-GB"/>
              </w:rPr>
            </w:pPr>
            <w:r w:rsidRPr="00097E60">
              <w:rPr>
                <w:sz w:val="20"/>
                <w:szCs w:val="20"/>
                <w:lang w:val="en-GB"/>
              </w:rPr>
              <w:t>9.4</w:t>
            </w:r>
          </w:p>
        </w:tc>
      </w:tr>
      <w:tr w:rsidR="006F5DDE" w:rsidRPr="009D6381" w14:paraId="64191977" w14:textId="77777777" w:rsidTr="002731ED">
        <w:trPr>
          <w:trHeight w:val="397"/>
        </w:trPr>
        <w:tc>
          <w:tcPr>
            <w:tcW w:w="1361" w:type="pct"/>
          </w:tcPr>
          <w:p w14:paraId="69DCBE6F" w14:textId="77777777" w:rsidR="006F5DDE" w:rsidRPr="00097E60" w:rsidRDefault="006F5DDE" w:rsidP="002731ED">
            <w:pPr>
              <w:spacing w:after="0" w:line="240" w:lineRule="auto"/>
              <w:rPr>
                <w:sz w:val="20"/>
                <w:szCs w:val="20"/>
                <w:lang w:val="en-GB"/>
              </w:rPr>
            </w:pPr>
            <w:r w:rsidRPr="00097E60">
              <w:rPr>
                <w:sz w:val="20"/>
                <w:szCs w:val="20"/>
                <w:lang w:val="en-GB"/>
              </w:rPr>
              <w:t>No religious beliefs</w:t>
            </w:r>
          </w:p>
        </w:tc>
        <w:tc>
          <w:tcPr>
            <w:tcW w:w="520" w:type="pct"/>
          </w:tcPr>
          <w:p w14:paraId="54828768" w14:textId="77777777" w:rsidR="006F5DDE" w:rsidRPr="00097E60" w:rsidRDefault="006F5DDE" w:rsidP="002731ED">
            <w:pPr>
              <w:spacing w:after="0" w:line="240" w:lineRule="auto"/>
              <w:rPr>
                <w:sz w:val="20"/>
                <w:szCs w:val="20"/>
                <w:lang w:val="en-GB"/>
              </w:rPr>
            </w:pPr>
            <w:r w:rsidRPr="00097E60">
              <w:rPr>
                <w:sz w:val="20"/>
                <w:szCs w:val="20"/>
                <w:lang w:val="en-GB"/>
              </w:rPr>
              <w:t>32.9</w:t>
            </w:r>
          </w:p>
        </w:tc>
        <w:tc>
          <w:tcPr>
            <w:tcW w:w="520" w:type="pct"/>
          </w:tcPr>
          <w:p w14:paraId="2E918DE1" w14:textId="77777777" w:rsidR="006F5DDE" w:rsidRPr="00097E60" w:rsidRDefault="006F5DDE" w:rsidP="002731ED">
            <w:pPr>
              <w:spacing w:after="0" w:line="240" w:lineRule="auto"/>
              <w:rPr>
                <w:sz w:val="20"/>
                <w:szCs w:val="20"/>
                <w:lang w:val="en-GB"/>
              </w:rPr>
            </w:pPr>
            <w:r w:rsidRPr="00097E60">
              <w:rPr>
                <w:sz w:val="20"/>
                <w:szCs w:val="20"/>
                <w:lang w:val="en-GB"/>
              </w:rPr>
              <w:t>35.4</w:t>
            </w:r>
          </w:p>
        </w:tc>
        <w:tc>
          <w:tcPr>
            <w:tcW w:w="520" w:type="pct"/>
          </w:tcPr>
          <w:p w14:paraId="20FCB633" w14:textId="77777777" w:rsidR="006F5DDE" w:rsidRPr="00097E60" w:rsidRDefault="006F5DDE" w:rsidP="002731ED">
            <w:pPr>
              <w:spacing w:after="0" w:line="240" w:lineRule="auto"/>
              <w:rPr>
                <w:sz w:val="20"/>
                <w:szCs w:val="20"/>
                <w:lang w:val="en-GB"/>
              </w:rPr>
            </w:pPr>
            <w:r w:rsidRPr="00097E60">
              <w:rPr>
                <w:sz w:val="20"/>
                <w:szCs w:val="20"/>
                <w:lang w:val="en-GB"/>
              </w:rPr>
              <w:t>43.5</w:t>
            </w:r>
          </w:p>
        </w:tc>
        <w:tc>
          <w:tcPr>
            <w:tcW w:w="520" w:type="pct"/>
          </w:tcPr>
          <w:p w14:paraId="19E6849E" w14:textId="77777777" w:rsidR="006F5DDE" w:rsidRPr="00097E60" w:rsidRDefault="006F5DDE" w:rsidP="002731ED">
            <w:pPr>
              <w:spacing w:after="0" w:line="240" w:lineRule="auto"/>
              <w:rPr>
                <w:sz w:val="20"/>
                <w:szCs w:val="20"/>
                <w:lang w:val="en-GB"/>
              </w:rPr>
            </w:pPr>
            <w:r w:rsidRPr="00097E60">
              <w:rPr>
                <w:sz w:val="20"/>
                <w:szCs w:val="20"/>
                <w:lang w:val="en-GB"/>
              </w:rPr>
              <w:t>15.0</w:t>
            </w:r>
          </w:p>
        </w:tc>
        <w:tc>
          <w:tcPr>
            <w:tcW w:w="520" w:type="pct"/>
          </w:tcPr>
          <w:p w14:paraId="3B7A5CD1" w14:textId="77777777" w:rsidR="006F5DDE" w:rsidRPr="00097E60" w:rsidRDefault="006F5DDE" w:rsidP="002731ED">
            <w:pPr>
              <w:spacing w:after="0" w:line="240" w:lineRule="auto"/>
              <w:rPr>
                <w:sz w:val="20"/>
                <w:szCs w:val="20"/>
                <w:lang w:val="en-GB"/>
              </w:rPr>
            </w:pPr>
            <w:r w:rsidRPr="00097E60">
              <w:rPr>
                <w:sz w:val="20"/>
                <w:szCs w:val="20"/>
                <w:lang w:val="en-GB"/>
              </w:rPr>
              <w:t>41.8</w:t>
            </w:r>
          </w:p>
        </w:tc>
        <w:tc>
          <w:tcPr>
            <w:tcW w:w="520" w:type="pct"/>
          </w:tcPr>
          <w:p w14:paraId="60479956" w14:textId="77777777" w:rsidR="006F5DDE" w:rsidRPr="00097E60" w:rsidRDefault="006F5DDE" w:rsidP="002731ED">
            <w:pPr>
              <w:spacing w:after="0" w:line="240" w:lineRule="auto"/>
              <w:rPr>
                <w:sz w:val="20"/>
                <w:szCs w:val="20"/>
                <w:lang w:val="en-GB"/>
              </w:rPr>
            </w:pPr>
            <w:r w:rsidRPr="00097E60">
              <w:rPr>
                <w:sz w:val="20"/>
                <w:szCs w:val="20"/>
                <w:lang w:val="en-GB"/>
              </w:rPr>
              <w:t>9.6</w:t>
            </w:r>
          </w:p>
        </w:tc>
        <w:tc>
          <w:tcPr>
            <w:tcW w:w="519" w:type="pct"/>
          </w:tcPr>
          <w:p w14:paraId="35D26929" w14:textId="77777777" w:rsidR="006F5DDE" w:rsidRPr="00097E60" w:rsidRDefault="006F5DDE" w:rsidP="002731ED">
            <w:pPr>
              <w:spacing w:after="0" w:line="240" w:lineRule="auto"/>
              <w:rPr>
                <w:sz w:val="20"/>
                <w:szCs w:val="20"/>
                <w:lang w:val="en-GB"/>
              </w:rPr>
            </w:pPr>
            <w:r w:rsidRPr="00097E60">
              <w:rPr>
                <w:sz w:val="20"/>
                <w:szCs w:val="20"/>
                <w:lang w:val="en-GB"/>
              </w:rPr>
              <w:t>32.1</w:t>
            </w:r>
          </w:p>
        </w:tc>
      </w:tr>
    </w:tbl>
    <w:p w14:paraId="31F2E6B0" w14:textId="77777777" w:rsidR="006F5DDE" w:rsidRPr="002F7330" w:rsidRDefault="006F5DDE" w:rsidP="006F5DDE">
      <w:pPr>
        <w:ind w:left="720"/>
        <w:rPr>
          <w:i/>
          <w:iCs/>
          <w:lang w:val="en-US"/>
        </w:rPr>
      </w:pPr>
      <w:r w:rsidRPr="002F7330">
        <w:rPr>
          <w:b/>
          <w:i/>
          <w:lang w:val="en-US"/>
        </w:rPr>
        <w:t xml:space="preserve">* </w:t>
      </w:r>
      <w:proofErr w:type="gramStart"/>
      <w:r w:rsidRPr="002F7330">
        <w:rPr>
          <w:i/>
          <w:lang w:val="en-US"/>
        </w:rPr>
        <w:t>n</w:t>
      </w:r>
      <w:proofErr w:type="gramEnd"/>
      <w:r w:rsidRPr="002F7330">
        <w:rPr>
          <w:i/>
          <w:lang w:val="en-US"/>
        </w:rPr>
        <w:t xml:space="preserve"> indicates number of participants who have given information on sex.</w:t>
      </w:r>
    </w:p>
    <w:p w14:paraId="4E88BC76" w14:textId="77777777" w:rsidR="006F5DDE" w:rsidRPr="002F7330" w:rsidRDefault="006F5DDE" w:rsidP="006F5DDE">
      <w:pPr>
        <w:ind w:left="720"/>
        <w:rPr>
          <w:i/>
          <w:iCs/>
          <w:lang w:val="en-GB"/>
        </w:rPr>
      </w:pPr>
      <w:r w:rsidRPr="002F7330">
        <w:rPr>
          <w:i/>
          <w:iCs/>
          <w:lang w:val="en-GB"/>
        </w:rPr>
        <w:t>** Measured by the question about country of birth.</w:t>
      </w:r>
    </w:p>
    <w:p w14:paraId="493C1605" w14:textId="09855CF4" w:rsidR="00DE03E7" w:rsidRDefault="00BA4858" w:rsidP="001F223D">
      <w:pPr>
        <w:ind w:firstLine="708"/>
        <w:rPr>
          <w:lang w:val="en-GB"/>
        </w:rPr>
      </w:pPr>
      <w:r>
        <w:rPr>
          <w:lang w:val="en-GB"/>
        </w:rPr>
        <w:t xml:space="preserve">Percentages of </w:t>
      </w:r>
      <w:r w:rsidR="0016136A">
        <w:rPr>
          <w:lang w:val="en-GB"/>
        </w:rPr>
        <w:t>students who never smoked</w:t>
      </w:r>
      <w:r w:rsidR="00B91FDE" w:rsidRPr="009D6381">
        <w:rPr>
          <w:lang w:val="en-GB"/>
        </w:rPr>
        <w:t xml:space="preserve"> varied from </w:t>
      </w:r>
      <w:r w:rsidR="00B91FDE">
        <w:rPr>
          <w:lang w:val="en-GB"/>
        </w:rPr>
        <w:t>30.1</w:t>
      </w:r>
      <w:r w:rsidR="00B91FDE" w:rsidRPr="009D6381">
        <w:rPr>
          <w:lang w:val="en-GB"/>
        </w:rPr>
        <w:t xml:space="preserve">% in </w:t>
      </w:r>
      <w:r w:rsidR="00B91FDE">
        <w:rPr>
          <w:lang w:val="en-GB"/>
        </w:rPr>
        <w:t xml:space="preserve">Germany </w:t>
      </w:r>
      <w:r>
        <w:rPr>
          <w:lang w:val="en-GB"/>
        </w:rPr>
        <w:t>to</w:t>
      </w:r>
      <w:r w:rsidR="00B91FDE">
        <w:rPr>
          <w:lang w:val="en-GB"/>
        </w:rPr>
        <w:t xml:space="preserve"> 60.6% in Belgium. S</w:t>
      </w:r>
      <w:r w:rsidR="00B91FDE" w:rsidRPr="009D6381">
        <w:rPr>
          <w:lang w:val="en-GB"/>
        </w:rPr>
        <w:t xml:space="preserve">tudents from </w:t>
      </w:r>
      <w:r w:rsidR="00B91FDE">
        <w:rPr>
          <w:lang w:val="en-GB"/>
        </w:rPr>
        <w:t>the Slovak Republic (31.1%), Spain (31.0%) and Denmark (30.0%)</w:t>
      </w:r>
      <w:r w:rsidR="00B91FDE" w:rsidRPr="009D6381">
        <w:rPr>
          <w:lang w:val="en-GB"/>
        </w:rPr>
        <w:t xml:space="preserve"> showed the </w:t>
      </w:r>
      <w:r w:rsidR="00B91FDE">
        <w:rPr>
          <w:lang w:val="en-GB"/>
        </w:rPr>
        <w:t>highest</w:t>
      </w:r>
      <w:r w:rsidR="00B91FDE" w:rsidRPr="009D6381">
        <w:rPr>
          <w:lang w:val="en-GB"/>
        </w:rPr>
        <w:t xml:space="preserve"> </w:t>
      </w:r>
      <w:r>
        <w:rPr>
          <w:lang w:val="en-GB"/>
        </w:rPr>
        <w:t xml:space="preserve">percentages </w:t>
      </w:r>
      <w:r w:rsidR="00EC1CF6">
        <w:rPr>
          <w:lang w:val="en-GB"/>
        </w:rPr>
        <w:t>of former s</w:t>
      </w:r>
      <w:r w:rsidR="00B91FDE">
        <w:rPr>
          <w:lang w:val="en-GB"/>
        </w:rPr>
        <w:t xml:space="preserve">mokers. </w:t>
      </w:r>
      <w:r w:rsidR="00383423">
        <w:rPr>
          <w:lang w:val="en-GB"/>
        </w:rPr>
        <w:t xml:space="preserve">As </w:t>
      </w:r>
      <w:r w:rsidR="00721CF7">
        <w:rPr>
          <w:lang w:val="en-GB"/>
        </w:rPr>
        <w:t>shown</w:t>
      </w:r>
      <w:r w:rsidR="00383423">
        <w:rPr>
          <w:lang w:val="en-GB"/>
        </w:rPr>
        <w:t xml:space="preserve"> in Table </w:t>
      </w:r>
      <w:r w:rsidR="00D649DF">
        <w:rPr>
          <w:lang w:val="en-GB"/>
        </w:rPr>
        <w:t>A.2</w:t>
      </w:r>
      <w:r w:rsidR="00383423">
        <w:rPr>
          <w:lang w:val="en-GB"/>
        </w:rPr>
        <w:t>, t</w:t>
      </w:r>
      <w:r w:rsidR="00EC1CF6">
        <w:rPr>
          <w:lang w:val="en-GB"/>
        </w:rPr>
        <w:t>he h</w:t>
      </w:r>
      <w:r w:rsidR="00B91FDE">
        <w:rPr>
          <w:lang w:val="en-GB"/>
        </w:rPr>
        <w:t xml:space="preserve">ighest </w:t>
      </w:r>
      <w:r w:rsidR="00FA1BDD">
        <w:rPr>
          <w:lang w:val="en-GB"/>
        </w:rPr>
        <w:t xml:space="preserve">percentages </w:t>
      </w:r>
      <w:r w:rsidR="00B91FDE">
        <w:rPr>
          <w:lang w:val="en-GB"/>
        </w:rPr>
        <w:t xml:space="preserve">of </w:t>
      </w:r>
      <w:r w:rsidR="00EC1CF6">
        <w:rPr>
          <w:lang w:val="en-GB"/>
        </w:rPr>
        <w:t>regular smokers</w:t>
      </w:r>
      <w:r w:rsidR="00B91FDE">
        <w:rPr>
          <w:lang w:val="en-GB"/>
        </w:rPr>
        <w:t xml:space="preserve"> (</w:t>
      </w:r>
      <w:r w:rsidR="00012C2C">
        <w:rPr>
          <w:lang w:val="en-GB"/>
        </w:rPr>
        <w:t xml:space="preserve">at least </w:t>
      </w:r>
      <w:r w:rsidR="00B91FDE">
        <w:rPr>
          <w:lang w:val="en-GB"/>
        </w:rPr>
        <w:t>thr</w:t>
      </w:r>
      <w:r w:rsidR="00EE19B0">
        <w:rPr>
          <w:lang w:val="en-GB"/>
        </w:rPr>
        <w:t>ee times a</w:t>
      </w:r>
      <w:r w:rsidR="00B91FDE">
        <w:rPr>
          <w:lang w:val="en-GB"/>
        </w:rPr>
        <w:t xml:space="preserve"> week) were found </w:t>
      </w:r>
      <w:r w:rsidR="00EC1CF6">
        <w:rPr>
          <w:lang w:val="en-GB"/>
        </w:rPr>
        <w:t>among Turkish students</w:t>
      </w:r>
      <w:r w:rsidR="00B91FDE">
        <w:rPr>
          <w:lang w:val="en-GB"/>
        </w:rPr>
        <w:t xml:space="preserve"> (27.8%) and </w:t>
      </w:r>
      <w:r w:rsidR="00EC1CF6">
        <w:rPr>
          <w:lang w:val="en-GB"/>
        </w:rPr>
        <w:t xml:space="preserve">the lowest </w:t>
      </w:r>
      <w:r w:rsidR="00B91FDE">
        <w:rPr>
          <w:lang w:val="en-GB"/>
        </w:rPr>
        <w:t xml:space="preserve">among Belgian students </w:t>
      </w:r>
      <w:r w:rsidR="00EC1CF6">
        <w:rPr>
          <w:lang w:val="en-GB"/>
        </w:rPr>
        <w:t>(</w:t>
      </w:r>
      <w:r w:rsidR="00B91FDE">
        <w:rPr>
          <w:lang w:val="en-GB"/>
        </w:rPr>
        <w:t>9.0%)</w:t>
      </w:r>
      <w:r w:rsidR="00B91FDE" w:rsidRPr="009D6381">
        <w:rPr>
          <w:lang w:val="en-GB"/>
        </w:rPr>
        <w:t>.</w:t>
      </w:r>
    </w:p>
    <w:p w14:paraId="40B12C14" w14:textId="51E90822" w:rsidR="003A3F09" w:rsidRDefault="00012C2C" w:rsidP="001F223D">
      <w:pPr>
        <w:ind w:firstLine="708"/>
        <w:rPr>
          <w:lang w:val="en-GB"/>
        </w:rPr>
      </w:pPr>
      <w:r>
        <w:rPr>
          <w:lang w:val="en-GB"/>
        </w:rPr>
        <w:t>T</w:t>
      </w:r>
      <w:r w:rsidR="00963189" w:rsidRPr="00963189">
        <w:rPr>
          <w:lang w:val="en-GB"/>
        </w:rPr>
        <w:t>he approval of tobacco use</w:t>
      </w:r>
      <w:r>
        <w:rPr>
          <w:lang w:val="en-GB"/>
        </w:rPr>
        <w:t xml:space="preserve"> (</w:t>
      </w:r>
      <w:r w:rsidRPr="00A12464">
        <w:rPr>
          <w:i/>
          <w:lang w:val="en-GB"/>
        </w:rPr>
        <w:t>injunctive norm</w:t>
      </w:r>
      <w:r>
        <w:rPr>
          <w:lang w:val="en-GB"/>
        </w:rPr>
        <w:t>)</w:t>
      </w:r>
      <w:r w:rsidR="00963189" w:rsidRPr="00963189">
        <w:rPr>
          <w:lang w:val="en-GB"/>
        </w:rPr>
        <w:t xml:space="preserve"> was highest in Danish</w:t>
      </w:r>
      <w:r w:rsidR="00963189">
        <w:rPr>
          <w:lang w:val="en-GB"/>
        </w:rPr>
        <w:t xml:space="preserve"> and German students with 25.8% and </w:t>
      </w:r>
      <w:r w:rsidR="00963189" w:rsidRPr="00963189">
        <w:rPr>
          <w:lang w:val="en-GB"/>
        </w:rPr>
        <w:t>27.5</w:t>
      </w:r>
      <w:r w:rsidR="00963189">
        <w:rPr>
          <w:lang w:val="en-GB"/>
        </w:rPr>
        <w:t xml:space="preserve">% </w:t>
      </w:r>
      <w:r w:rsidR="00963189" w:rsidRPr="00963189">
        <w:rPr>
          <w:lang w:val="en-GB"/>
        </w:rPr>
        <w:t>of students</w:t>
      </w:r>
      <w:r w:rsidR="00975416">
        <w:rPr>
          <w:lang w:val="en-GB"/>
        </w:rPr>
        <w:t>,</w:t>
      </w:r>
      <w:r>
        <w:rPr>
          <w:lang w:val="en-US"/>
        </w:rPr>
        <w:t xml:space="preserve"> </w:t>
      </w:r>
      <w:r w:rsidR="00963189" w:rsidRPr="00963189">
        <w:rPr>
          <w:lang w:val="en-GB"/>
        </w:rPr>
        <w:t>respectively</w:t>
      </w:r>
      <w:r w:rsidR="00975416">
        <w:rPr>
          <w:lang w:val="en-GB"/>
        </w:rPr>
        <w:t>,</w:t>
      </w:r>
      <w:r w:rsidR="00963189" w:rsidRPr="00963189">
        <w:rPr>
          <w:lang w:val="en-GB"/>
        </w:rPr>
        <w:t xml:space="preserve"> respond</w:t>
      </w:r>
      <w:r w:rsidR="00963189">
        <w:rPr>
          <w:lang w:val="en-GB"/>
        </w:rPr>
        <w:t>ing</w:t>
      </w:r>
      <w:r w:rsidR="00963189" w:rsidRPr="00963189">
        <w:rPr>
          <w:lang w:val="en-GB"/>
        </w:rPr>
        <w:t xml:space="preserve"> that it is ok to use tobacco</w:t>
      </w:r>
      <w:r w:rsidR="00E028CC">
        <w:rPr>
          <w:lang w:val="en-GB"/>
        </w:rPr>
        <w:t>,</w:t>
      </w:r>
      <w:r w:rsidR="00963189" w:rsidRPr="00963189">
        <w:rPr>
          <w:lang w:val="en-GB"/>
        </w:rPr>
        <w:t xml:space="preserve"> even if it does interfere with study or work</w:t>
      </w:r>
      <w:r>
        <w:rPr>
          <w:lang w:val="en-GB"/>
        </w:rPr>
        <w:t xml:space="preserve"> (see Table </w:t>
      </w:r>
      <w:r w:rsidR="00D649DF">
        <w:rPr>
          <w:lang w:val="en-GB"/>
        </w:rPr>
        <w:t>A.</w:t>
      </w:r>
      <w:r w:rsidR="005944CD">
        <w:rPr>
          <w:lang w:val="en-GB"/>
        </w:rPr>
        <w:t>3</w:t>
      </w:r>
      <w:r>
        <w:rPr>
          <w:lang w:val="en-GB"/>
        </w:rPr>
        <w:t>)</w:t>
      </w:r>
      <w:r w:rsidR="00963189" w:rsidRPr="00963189">
        <w:rPr>
          <w:lang w:val="en-GB"/>
        </w:rPr>
        <w:t xml:space="preserve">. </w:t>
      </w:r>
      <w:r w:rsidR="009D4EC7">
        <w:rPr>
          <w:lang w:val="en-GB"/>
        </w:rPr>
        <w:t>D</w:t>
      </w:r>
      <w:r w:rsidR="00E028CC" w:rsidRPr="00E028CC">
        <w:rPr>
          <w:lang w:val="en-GB"/>
        </w:rPr>
        <w:t xml:space="preserve">isapproval rates varied from 48.4% in the Slovak Republic to 25.1% in Denmark. </w:t>
      </w:r>
      <w:r w:rsidR="00B91FDE">
        <w:rPr>
          <w:lang w:val="en-GB"/>
        </w:rPr>
        <w:t>In Turkey, the majority of respondents</w:t>
      </w:r>
      <w:r>
        <w:rPr>
          <w:lang w:val="en-GB"/>
        </w:rPr>
        <w:t xml:space="preserve"> </w:t>
      </w:r>
      <w:r w:rsidR="00093EBF">
        <w:rPr>
          <w:lang w:val="en-GB"/>
        </w:rPr>
        <w:t>(56</w:t>
      </w:r>
      <w:r w:rsidR="00F23C84">
        <w:rPr>
          <w:lang w:val="en-GB"/>
        </w:rPr>
        <w:t>.0</w:t>
      </w:r>
      <w:r w:rsidR="00093EBF">
        <w:rPr>
          <w:lang w:val="en-GB"/>
        </w:rPr>
        <w:t>%)</w:t>
      </w:r>
      <w:r w:rsidR="000B5132">
        <w:rPr>
          <w:lang w:val="en-GB"/>
        </w:rPr>
        <w:t xml:space="preserve"> </w:t>
      </w:r>
      <w:r w:rsidR="00093EBF">
        <w:rPr>
          <w:lang w:val="en-GB"/>
        </w:rPr>
        <w:t>reported</w:t>
      </w:r>
      <w:r w:rsidR="00B91FDE">
        <w:rPr>
          <w:lang w:val="en-GB"/>
        </w:rPr>
        <w:t xml:space="preserve"> that it is never ok to smoke. </w:t>
      </w:r>
    </w:p>
    <w:p w14:paraId="2B179C9A" w14:textId="6CA0E444" w:rsidR="00ED61E6" w:rsidRPr="004F0C33" w:rsidRDefault="00ED61E6" w:rsidP="00ED61E6">
      <w:pPr>
        <w:rPr>
          <w:b/>
          <w:lang w:val="en-US"/>
        </w:rPr>
      </w:pPr>
      <w:r w:rsidRPr="004F0C33">
        <w:rPr>
          <w:b/>
          <w:lang w:val="en-US"/>
        </w:rPr>
        <w:t xml:space="preserve">Table </w:t>
      </w:r>
      <w:r w:rsidR="00D649DF">
        <w:rPr>
          <w:b/>
          <w:lang w:val="en-US"/>
        </w:rPr>
        <w:t>A.</w:t>
      </w:r>
      <w:r w:rsidRPr="004F0C33">
        <w:rPr>
          <w:b/>
          <w:lang w:val="en-US"/>
        </w:rPr>
        <w:t>2</w:t>
      </w:r>
      <w:r w:rsidR="00D649DF">
        <w:rPr>
          <w:b/>
          <w:lang w:val="en-US"/>
        </w:rPr>
        <w:tab/>
      </w:r>
      <w:r>
        <w:rPr>
          <w:b/>
          <w:lang w:val="en-US"/>
        </w:rPr>
        <w:t>F</w:t>
      </w:r>
      <w:r w:rsidRPr="004F0C33">
        <w:rPr>
          <w:b/>
          <w:lang w:val="en-US"/>
        </w:rPr>
        <w:t xml:space="preserve">requency of </w:t>
      </w:r>
      <w:r>
        <w:rPr>
          <w:b/>
          <w:lang w:val="en-US"/>
        </w:rPr>
        <w:t>p</w:t>
      </w:r>
      <w:r w:rsidRPr="004F0C33">
        <w:rPr>
          <w:b/>
          <w:lang w:val="en-US"/>
        </w:rPr>
        <w:t xml:space="preserve">ersonal tobacco use by sex </w:t>
      </w:r>
      <w:r>
        <w:rPr>
          <w:b/>
          <w:lang w:val="en-US"/>
        </w:rPr>
        <w:t>(female%/</w:t>
      </w:r>
      <w:proofErr w:type="gramStart"/>
      <w:r>
        <w:rPr>
          <w:b/>
          <w:lang w:val="en-US"/>
        </w:rPr>
        <w:t>male%</w:t>
      </w:r>
      <w:proofErr w:type="gramEnd"/>
      <w:r>
        <w:rPr>
          <w:b/>
          <w:lang w:val="en-US"/>
        </w:rPr>
        <w:t>)</w:t>
      </w:r>
    </w:p>
    <w:tbl>
      <w:tblPr>
        <w:tblW w:w="3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1024"/>
        <w:gridCol w:w="1162"/>
        <w:gridCol w:w="1162"/>
        <w:gridCol w:w="1214"/>
      </w:tblGrid>
      <w:tr w:rsidR="006C7C8B" w:rsidRPr="000A2DC3" w14:paraId="36BEC06A" w14:textId="77777777" w:rsidTr="006C7C8B">
        <w:trPr>
          <w:trHeight w:val="596"/>
        </w:trPr>
        <w:tc>
          <w:tcPr>
            <w:tcW w:w="953" w:type="pct"/>
            <w:noWrap/>
          </w:tcPr>
          <w:p w14:paraId="43DF8687" w14:textId="77777777" w:rsidR="006C7C8B" w:rsidRPr="002E58A5" w:rsidRDefault="006C7C8B" w:rsidP="002731ED">
            <w:pPr>
              <w:spacing w:after="0" w:line="240" w:lineRule="auto"/>
              <w:rPr>
                <w:sz w:val="20"/>
                <w:szCs w:val="20"/>
                <w:lang w:val="en-GB" w:eastAsia="de-DE"/>
              </w:rPr>
            </w:pPr>
          </w:p>
        </w:tc>
        <w:tc>
          <w:tcPr>
            <w:tcW w:w="4047" w:type="pct"/>
            <w:gridSpan w:val="4"/>
            <w:noWrap/>
          </w:tcPr>
          <w:p w14:paraId="7138C6ED" w14:textId="77777777" w:rsidR="006C7C8B" w:rsidRDefault="006C7C8B" w:rsidP="002731ED">
            <w:pPr>
              <w:spacing w:after="0" w:line="240" w:lineRule="auto"/>
              <w:rPr>
                <w:sz w:val="20"/>
                <w:szCs w:val="20"/>
                <w:lang w:val="en-GB" w:eastAsia="de-DE"/>
              </w:rPr>
            </w:pPr>
            <w:r>
              <w:rPr>
                <w:sz w:val="20"/>
                <w:szCs w:val="20"/>
                <w:lang w:val="en-GB" w:eastAsia="de-DE"/>
              </w:rPr>
              <w:t>Personal tobacco use (%) (f/m)</w:t>
            </w:r>
          </w:p>
        </w:tc>
      </w:tr>
      <w:tr w:rsidR="006C7C8B" w:rsidRPr="000A2DC3" w14:paraId="0F2E01B7" w14:textId="77777777" w:rsidTr="006C7C8B">
        <w:trPr>
          <w:trHeight w:val="840"/>
        </w:trPr>
        <w:tc>
          <w:tcPr>
            <w:tcW w:w="953" w:type="pct"/>
            <w:noWrap/>
          </w:tcPr>
          <w:p w14:paraId="4EE884F7" w14:textId="77777777" w:rsidR="006C7C8B" w:rsidRPr="002E58A5" w:rsidRDefault="006C7C8B" w:rsidP="002731ED">
            <w:pPr>
              <w:spacing w:after="0" w:line="240" w:lineRule="auto"/>
              <w:rPr>
                <w:sz w:val="20"/>
                <w:szCs w:val="20"/>
                <w:lang w:val="en-GB" w:eastAsia="de-DE"/>
              </w:rPr>
            </w:pPr>
          </w:p>
        </w:tc>
        <w:tc>
          <w:tcPr>
            <w:tcW w:w="908" w:type="pct"/>
            <w:noWrap/>
          </w:tcPr>
          <w:p w14:paraId="4941C522"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Never</w:t>
            </w:r>
            <w:r>
              <w:rPr>
                <w:sz w:val="20"/>
                <w:szCs w:val="20"/>
                <w:lang w:val="en-GB" w:eastAsia="de-DE"/>
              </w:rPr>
              <w:t xml:space="preserve"> </w:t>
            </w:r>
          </w:p>
        </w:tc>
        <w:tc>
          <w:tcPr>
            <w:tcW w:w="1031" w:type="pct"/>
            <w:noWrap/>
          </w:tcPr>
          <w:p w14:paraId="7B34752D"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Not in the last two months</w:t>
            </w:r>
            <w:r>
              <w:rPr>
                <w:sz w:val="20"/>
                <w:szCs w:val="20"/>
                <w:lang w:val="en-GB" w:eastAsia="de-DE"/>
              </w:rPr>
              <w:t xml:space="preserve"> </w:t>
            </w:r>
          </w:p>
        </w:tc>
        <w:tc>
          <w:tcPr>
            <w:tcW w:w="1031" w:type="pct"/>
            <w:noWrap/>
          </w:tcPr>
          <w:p w14:paraId="268038A9" w14:textId="77777777" w:rsidR="006C7C8B" w:rsidRPr="002E58A5" w:rsidRDefault="006C7C8B" w:rsidP="002731ED">
            <w:pPr>
              <w:spacing w:after="0" w:line="240" w:lineRule="auto"/>
              <w:rPr>
                <w:sz w:val="20"/>
                <w:szCs w:val="20"/>
                <w:lang w:val="en-GB" w:eastAsia="de-DE"/>
              </w:rPr>
            </w:pPr>
            <w:r>
              <w:rPr>
                <w:sz w:val="20"/>
                <w:szCs w:val="20"/>
                <w:lang w:val="en-GB" w:eastAsia="de-DE"/>
              </w:rPr>
              <w:t>Smoked in the last two months: a</w:t>
            </w:r>
            <w:r w:rsidRPr="000F5771">
              <w:rPr>
                <w:sz w:val="20"/>
                <w:szCs w:val="20"/>
                <w:lang w:val="en-GB" w:eastAsia="de-DE"/>
              </w:rPr>
              <w:t>t most twice a week</w:t>
            </w:r>
            <w:r>
              <w:rPr>
                <w:sz w:val="20"/>
                <w:szCs w:val="20"/>
                <w:lang w:val="en-GB" w:eastAsia="de-DE"/>
              </w:rPr>
              <w:t xml:space="preserve"> </w:t>
            </w:r>
          </w:p>
        </w:tc>
        <w:tc>
          <w:tcPr>
            <w:tcW w:w="1078" w:type="pct"/>
          </w:tcPr>
          <w:p w14:paraId="200A61DF" w14:textId="77777777" w:rsidR="006C7C8B" w:rsidRPr="002E58A5" w:rsidRDefault="006C7C8B" w:rsidP="002731ED">
            <w:pPr>
              <w:spacing w:after="0" w:line="240" w:lineRule="auto"/>
              <w:rPr>
                <w:sz w:val="20"/>
                <w:szCs w:val="20"/>
                <w:lang w:val="en-GB" w:eastAsia="de-DE"/>
              </w:rPr>
            </w:pPr>
            <w:r>
              <w:rPr>
                <w:sz w:val="20"/>
                <w:szCs w:val="20"/>
                <w:lang w:val="en-GB" w:eastAsia="de-DE"/>
              </w:rPr>
              <w:t>Smoked in the last two months: three times</w:t>
            </w:r>
            <w:r w:rsidRPr="000F5771">
              <w:rPr>
                <w:sz w:val="20"/>
                <w:szCs w:val="20"/>
                <w:lang w:val="en-GB" w:eastAsia="de-DE"/>
              </w:rPr>
              <w:t xml:space="preserve"> a week or more often</w:t>
            </w:r>
            <w:r>
              <w:rPr>
                <w:sz w:val="20"/>
                <w:szCs w:val="20"/>
                <w:lang w:val="en-GB" w:eastAsia="de-DE"/>
              </w:rPr>
              <w:t xml:space="preserve"> </w:t>
            </w:r>
          </w:p>
        </w:tc>
      </w:tr>
      <w:tr w:rsidR="006C7C8B" w:rsidRPr="00C21CDA" w14:paraId="562C388E" w14:textId="77777777" w:rsidTr="006C7C8B">
        <w:trPr>
          <w:trHeight w:val="397"/>
        </w:trPr>
        <w:tc>
          <w:tcPr>
            <w:tcW w:w="953" w:type="pct"/>
            <w:noWrap/>
          </w:tcPr>
          <w:p w14:paraId="73048233" w14:textId="77777777" w:rsidR="006C7C8B" w:rsidRPr="002E58A5" w:rsidRDefault="006C7C8B" w:rsidP="002731ED">
            <w:pPr>
              <w:spacing w:after="0" w:line="240" w:lineRule="auto"/>
              <w:rPr>
                <w:sz w:val="20"/>
                <w:szCs w:val="20"/>
                <w:lang w:val="en-GB" w:eastAsia="de-DE"/>
              </w:rPr>
            </w:pPr>
            <w:r>
              <w:rPr>
                <w:sz w:val="20"/>
                <w:szCs w:val="20"/>
                <w:lang w:val="en-GB" w:eastAsia="de-DE"/>
              </w:rPr>
              <w:t xml:space="preserve">Belgium </w:t>
            </w:r>
          </w:p>
        </w:tc>
        <w:tc>
          <w:tcPr>
            <w:tcW w:w="908" w:type="pct"/>
            <w:noWrap/>
          </w:tcPr>
          <w:p w14:paraId="0F03CBA0" w14:textId="77777777" w:rsidR="006C7C8B" w:rsidRPr="002E58A5" w:rsidRDefault="006C7C8B" w:rsidP="002731ED">
            <w:pPr>
              <w:spacing w:after="0" w:line="240" w:lineRule="auto"/>
              <w:rPr>
                <w:sz w:val="20"/>
                <w:szCs w:val="20"/>
                <w:lang w:val="en-GB" w:eastAsia="de-DE"/>
              </w:rPr>
            </w:pPr>
            <w:r>
              <w:rPr>
                <w:sz w:val="20"/>
                <w:szCs w:val="20"/>
                <w:lang w:val="en-GB" w:eastAsia="de-DE"/>
              </w:rPr>
              <w:t>61.4/57.0</w:t>
            </w:r>
          </w:p>
        </w:tc>
        <w:tc>
          <w:tcPr>
            <w:tcW w:w="1031" w:type="pct"/>
            <w:noWrap/>
          </w:tcPr>
          <w:p w14:paraId="1FA77E96" w14:textId="77777777" w:rsidR="006C7C8B" w:rsidRPr="002E58A5" w:rsidRDefault="006C7C8B" w:rsidP="002731ED">
            <w:pPr>
              <w:spacing w:after="0" w:line="240" w:lineRule="auto"/>
              <w:rPr>
                <w:sz w:val="20"/>
                <w:szCs w:val="20"/>
                <w:lang w:val="en-GB" w:eastAsia="de-DE"/>
              </w:rPr>
            </w:pPr>
            <w:r>
              <w:rPr>
                <w:sz w:val="20"/>
                <w:szCs w:val="20"/>
                <w:lang w:val="en-GB" w:eastAsia="de-DE"/>
              </w:rPr>
              <w:t>21.3/20.9</w:t>
            </w:r>
          </w:p>
        </w:tc>
        <w:tc>
          <w:tcPr>
            <w:tcW w:w="1031" w:type="pct"/>
            <w:noWrap/>
          </w:tcPr>
          <w:p w14:paraId="77B00293" w14:textId="77777777" w:rsidR="006C7C8B" w:rsidRPr="002E58A5" w:rsidRDefault="006C7C8B" w:rsidP="002731ED">
            <w:pPr>
              <w:spacing w:after="0" w:line="240" w:lineRule="auto"/>
              <w:rPr>
                <w:sz w:val="20"/>
                <w:szCs w:val="20"/>
                <w:lang w:val="en-GB" w:eastAsia="de-DE"/>
              </w:rPr>
            </w:pPr>
            <w:r>
              <w:rPr>
                <w:sz w:val="20"/>
                <w:szCs w:val="20"/>
                <w:lang w:val="en-GB" w:eastAsia="de-DE"/>
              </w:rPr>
              <w:t>8.6/11.6</w:t>
            </w:r>
          </w:p>
        </w:tc>
        <w:tc>
          <w:tcPr>
            <w:tcW w:w="1078" w:type="pct"/>
          </w:tcPr>
          <w:p w14:paraId="365FC98C" w14:textId="77777777" w:rsidR="006C7C8B" w:rsidRPr="002E58A5" w:rsidRDefault="006C7C8B" w:rsidP="002731ED">
            <w:pPr>
              <w:spacing w:after="0" w:line="240" w:lineRule="auto"/>
              <w:rPr>
                <w:sz w:val="20"/>
                <w:szCs w:val="20"/>
                <w:lang w:val="en-GB" w:eastAsia="de-DE"/>
              </w:rPr>
            </w:pPr>
            <w:r>
              <w:rPr>
                <w:sz w:val="20"/>
                <w:szCs w:val="20"/>
                <w:lang w:val="en-GB" w:eastAsia="de-DE"/>
              </w:rPr>
              <w:t>8.6/10.5</w:t>
            </w:r>
          </w:p>
        </w:tc>
      </w:tr>
      <w:tr w:rsidR="006C7C8B" w:rsidRPr="00C21CDA" w14:paraId="04F9E3EC" w14:textId="77777777" w:rsidTr="006C7C8B">
        <w:trPr>
          <w:trHeight w:val="397"/>
        </w:trPr>
        <w:tc>
          <w:tcPr>
            <w:tcW w:w="953" w:type="pct"/>
            <w:noWrap/>
          </w:tcPr>
          <w:p w14:paraId="798290F3" w14:textId="77777777" w:rsidR="006C7C8B" w:rsidRPr="002E58A5" w:rsidRDefault="006C7C8B" w:rsidP="002731ED">
            <w:pPr>
              <w:spacing w:after="0" w:line="240" w:lineRule="auto"/>
              <w:rPr>
                <w:sz w:val="20"/>
                <w:szCs w:val="20"/>
                <w:lang w:val="en-GB" w:eastAsia="de-DE"/>
              </w:rPr>
            </w:pPr>
            <w:r>
              <w:rPr>
                <w:sz w:val="20"/>
                <w:szCs w:val="20"/>
                <w:lang w:val="en-GB" w:eastAsia="de-DE"/>
              </w:rPr>
              <w:t xml:space="preserve">Denmark </w:t>
            </w:r>
          </w:p>
        </w:tc>
        <w:tc>
          <w:tcPr>
            <w:tcW w:w="908" w:type="pct"/>
            <w:noWrap/>
          </w:tcPr>
          <w:p w14:paraId="20FFB3AA" w14:textId="77777777" w:rsidR="006C7C8B" w:rsidRDefault="006C7C8B" w:rsidP="002731ED">
            <w:pPr>
              <w:spacing w:after="0" w:line="240" w:lineRule="auto"/>
              <w:rPr>
                <w:sz w:val="20"/>
                <w:szCs w:val="20"/>
                <w:lang w:val="en-GB" w:eastAsia="de-DE"/>
              </w:rPr>
            </w:pPr>
            <w:r>
              <w:rPr>
                <w:sz w:val="20"/>
                <w:szCs w:val="20"/>
                <w:lang w:val="en-GB" w:eastAsia="de-DE"/>
              </w:rPr>
              <w:t>47.3/36.0</w:t>
            </w:r>
          </w:p>
          <w:p w14:paraId="0C9C3E21" w14:textId="77777777" w:rsidR="006C7C8B" w:rsidRPr="002E58A5" w:rsidRDefault="006C7C8B" w:rsidP="002731ED">
            <w:pPr>
              <w:spacing w:after="0" w:line="240" w:lineRule="auto"/>
              <w:rPr>
                <w:sz w:val="20"/>
                <w:szCs w:val="20"/>
                <w:lang w:val="en-GB" w:eastAsia="de-DE"/>
              </w:rPr>
            </w:pPr>
          </w:p>
        </w:tc>
        <w:tc>
          <w:tcPr>
            <w:tcW w:w="1031" w:type="pct"/>
            <w:noWrap/>
          </w:tcPr>
          <w:p w14:paraId="61082265" w14:textId="77777777" w:rsidR="006C7C8B" w:rsidRPr="002E58A5" w:rsidRDefault="006C7C8B" w:rsidP="002731ED">
            <w:pPr>
              <w:spacing w:after="0" w:line="240" w:lineRule="auto"/>
              <w:rPr>
                <w:sz w:val="20"/>
                <w:szCs w:val="20"/>
                <w:lang w:val="en-GB" w:eastAsia="de-DE"/>
              </w:rPr>
            </w:pPr>
            <w:r>
              <w:rPr>
                <w:sz w:val="20"/>
                <w:szCs w:val="20"/>
                <w:lang w:val="en-GB" w:eastAsia="de-DE"/>
              </w:rPr>
              <w:t>29.7/31.0</w:t>
            </w:r>
          </w:p>
        </w:tc>
        <w:tc>
          <w:tcPr>
            <w:tcW w:w="1031" w:type="pct"/>
            <w:noWrap/>
          </w:tcPr>
          <w:p w14:paraId="101C758E" w14:textId="77777777" w:rsidR="006C7C8B" w:rsidRPr="002E58A5" w:rsidRDefault="006C7C8B" w:rsidP="002731ED">
            <w:pPr>
              <w:spacing w:after="0" w:line="240" w:lineRule="auto"/>
              <w:rPr>
                <w:sz w:val="20"/>
                <w:szCs w:val="20"/>
                <w:lang w:val="en-GB" w:eastAsia="de-DE"/>
              </w:rPr>
            </w:pPr>
            <w:r>
              <w:rPr>
                <w:sz w:val="20"/>
                <w:szCs w:val="20"/>
                <w:lang w:val="en-GB" w:eastAsia="de-DE"/>
              </w:rPr>
              <w:t>11.9/16.0</w:t>
            </w:r>
          </w:p>
        </w:tc>
        <w:tc>
          <w:tcPr>
            <w:tcW w:w="1078" w:type="pct"/>
          </w:tcPr>
          <w:p w14:paraId="2ED67B8A" w14:textId="77777777" w:rsidR="006C7C8B" w:rsidRPr="002E58A5" w:rsidRDefault="006C7C8B" w:rsidP="002731ED">
            <w:pPr>
              <w:spacing w:after="0" w:line="240" w:lineRule="auto"/>
              <w:rPr>
                <w:sz w:val="20"/>
                <w:szCs w:val="20"/>
                <w:lang w:val="en-GB" w:eastAsia="de-DE"/>
              </w:rPr>
            </w:pPr>
            <w:r>
              <w:rPr>
                <w:sz w:val="20"/>
                <w:szCs w:val="20"/>
                <w:lang w:val="en-GB" w:eastAsia="de-DE"/>
              </w:rPr>
              <w:t>11.0/17.0</w:t>
            </w:r>
          </w:p>
        </w:tc>
      </w:tr>
      <w:tr w:rsidR="006C7C8B" w:rsidRPr="00C21CDA" w14:paraId="27383370" w14:textId="77777777" w:rsidTr="006C7C8B">
        <w:trPr>
          <w:trHeight w:val="397"/>
        </w:trPr>
        <w:tc>
          <w:tcPr>
            <w:tcW w:w="953" w:type="pct"/>
            <w:noWrap/>
          </w:tcPr>
          <w:p w14:paraId="01A98F42"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 xml:space="preserve">Germany </w:t>
            </w:r>
          </w:p>
        </w:tc>
        <w:tc>
          <w:tcPr>
            <w:tcW w:w="908" w:type="pct"/>
            <w:noWrap/>
          </w:tcPr>
          <w:p w14:paraId="60E98521" w14:textId="77777777" w:rsidR="006C7C8B" w:rsidRPr="002E58A5" w:rsidRDefault="006C7C8B" w:rsidP="002731ED">
            <w:pPr>
              <w:spacing w:after="0" w:line="240" w:lineRule="auto"/>
              <w:rPr>
                <w:sz w:val="20"/>
                <w:szCs w:val="20"/>
                <w:lang w:val="en-GB" w:eastAsia="de-DE"/>
              </w:rPr>
            </w:pPr>
            <w:r>
              <w:rPr>
                <w:sz w:val="20"/>
                <w:szCs w:val="20"/>
                <w:lang w:val="en-GB" w:eastAsia="de-DE"/>
              </w:rPr>
              <w:t>34.6/23.7</w:t>
            </w:r>
          </w:p>
        </w:tc>
        <w:tc>
          <w:tcPr>
            <w:tcW w:w="1031" w:type="pct"/>
            <w:noWrap/>
          </w:tcPr>
          <w:p w14:paraId="79A53EFE" w14:textId="77777777" w:rsidR="006C7C8B" w:rsidRPr="002E58A5" w:rsidRDefault="006C7C8B" w:rsidP="002731ED">
            <w:pPr>
              <w:spacing w:after="0" w:line="240" w:lineRule="auto"/>
              <w:rPr>
                <w:sz w:val="20"/>
                <w:szCs w:val="20"/>
                <w:lang w:val="en-GB" w:eastAsia="de-DE"/>
              </w:rPr>
            </w:pPr>
            <w:r>
              <w:rPr>
                <w:sz w:val="20"/>
                <w:szCs w:val="20"/>
                <w:lang w:val="en-GB" w:eastAsia="de-DE"/>
              </w:rPr>
              <w:t>26.8/32.9</w:t>
            </w:r>
          </w:p>
        </w:tc>
        <w:tc>
          <w:tcPr>
            <w:tcW w:w="1031" w:type="pct"/>
            <w:noWrap/>
          </w:tcPr>
          <w:p w14:paraId="536E932E" w14:textId="77777777" w:rsidR="006C7C8B" w:rsidRPr="002E58A5" w:rsidRDefault="006C7C8B" w:rsidP="002731ED">
            <w:pPr>
              <w:spacing w:after="0" w:line="240" w:lineRule="auto"/>
              <w:rPr>
                <w:sz w:val="20"/>
                <w:szCs w:val="20"/>
                <w:lang w:val="en-GB" w:eastAsia="de-DE"/>
              </w:rPr>
            </w:pPr>
            <w:r>
              <w:rPr>
                <w:sz w:val="20"/>
                <w:szCs w:val="20"/>
                <w:lang w:val="en-GB" w:eastAsia="de-DE"/>
              </w:rPr>
              <w:t>16.6/21.7</w:t>
            </w:r>
          </w:p>
        </w:tc>
        <w:tc>
          <w:tcPr>
            <w:tcW w:w="1078" w:type="pct"/>
          </w:tcPr>
          <w:p w14:paraId="54111DC2" w14:textId="77777777" w:rsidR="006C7C8B" w:rsidRPr="002E58A5" w:rsidRDefault="006C7C8B" w:rsidP="002731ED">
            <w:pPr>
              <w:spacing w:after="0" w:line="240" w:lineRule="auto"/>
              <w:rPr>
                <w:sz w:val="20"/>
                <w:szCs w:val="20"/>
                <w:lang w:val="en-GB" w:eastAsia="de-DE"/>
              </w:rPr>
            </w:pPr>
            <w:r>
              <w:rPr>
                <w:sz w:val="20"/>
                <w:szCs w:val="20"/>
                <w:lang w:val="en-GB" w:eastAsia="de-DE"/>
              </w:rPr>
              <w:t>22.0/21.7</w:t>
            </w:r>
          </w:p>
        </w:tc>
      </w:tr>
      <w:tr w:rsidR="006C7C8B" w:rsidRPr="000F5771" w14:paraId="614030FC" w14:textId="77777777" w:rsidTr="006C7C8B">
        <w:trPr>
          <w:trHeight w:val="397"/>
        </w:trPr>
        <w:tc>
          <w:tcPr>
            <w:tcW w:w="953" w:type="pct"/>
            <w:noWrap/>
          </w:tcPr>
          <w:p w14:paraId="321A1645"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 xml:space="preserve">Slovak Republic </w:t>
            </w:r>
          </w:p>
        </w:tc>
        <w:tc>
          <w:tcPr>
            <w:tcW w:w="908" w:type="pct"/>
            <w:noWrap/>
          </w:tcPr>
          <w:p w14:paraId="2DD532F4" w14:textId="77777777" w:rsidR="006C7C8B" w:rsidRPr="002E58A5" w:rsidRDefault="006C7C8B" w:rsidP="002731ED">
            <w:pPr>
              <w:spacing w:after="0" w:line="240" w:lineRule="auto"/>
              <w:rPr>
                <w:sz w:val="20"/>
                <w:szCs w:val="20"/>
                <w:lang w:val="en-GB" w:eastAsia="de-DE"/>
              </w:rPr>
            </w:pPr>
            <w:r>
              <w:rPr>
                <w:sz w:val="20"/>
                <w:szCs w:val="20"/>
                <w:lang w:val="en-GB" w:eastAsia="de-DE"/>
              </w:rPr>
              <w:t>42.8/35.7</w:t>
            </w:r>
          </w:p>
        </w:tc>
        <w:tc>
          <w:tcPr>
            <w:tcW w:w="1031" w:type="pct"/>
            <w:noWrap/>
          </w:tcPr>
          <w:p w14:paraId="671084F8" w14:textId="77777777" w:rsidR="006C7C8B" w:rsidRPr="002E58A5" w:rsidRDefault="006C7C8B" w:rsidP="002731ED">
            <w:pPr>
              <w:spacing w:after="0" w:line="240" w:lineRule="auto"/>
              <w:rPr>
                <w:sz w:val="20"/>
                <w:szCs w:val="20"/>
                <w:lang w:val="en-GB" w:eastAsia="de-DE"/>
              </w:rPr>
            </w:pPr>
            <w:r>
              <w:rPr>
                <w:sz w:val="20"/>
                <w:szCs w:val="20"/>
                <w:lang w:val="en-GB" w:eastAsia="de-DE"/>
              </w:rPr>
              <w:t>31.3/30.1</w:t>
            </w:r>
          </w:p>
        </w:tc>
        <w:tc>
          <w:tcPr>
            <w:tcW w:w="1031" w:type="pct"/>
            <w:noWrap/>
          </w:tcPr>
          <w:p w14:paraId="7FC9FF1F" w14:textId="77777777" w:rsidR="006C7C8B" w:rsidRPr="002E58A5" w:rsidRDefault="006C7C8B" w:rsidP="002731ED">
            <w:pPr>
              <w:spacing w:after="0" w:line="240" w:lineRule="auto"/>
              <w:rPr>
                <w:sz w:val="20"/>
                <w:szCs w:val="20"/>
                <w:lang w:val="en-GB" w:eastAsia="de-DE"/>
              </w:rPr>
            </w:pPr>
            <w:r>
              <w:rPr>
                <w:sz w:val="20"/>
                <w:szCs w:val="20"/>
                <w:lang w:val="en-GB" w:eastAsia="de-DE"/>
              </w:rPr>
              <w:t>13.5/15.7</w:t>
            </w:r>
          </w:p>
        </w:tc>
        <w:tc>
          <w:tcPr>
            <w:tcW w:w="1078" w:type="pct"/>
          </w:tcPr>
          <w:p w14:paraId="034D5116" w14:textId="77777777" w:rsidR="006C7C8B" w:rsidRPr="002E58A5" w:rsidRDefault="006C7C8B" w:rsidP="002731ED">
            <w:pPr>
              <w:spacing w:after="0" w:line="240" w:lineRule="auto"/>
              <w:rPr>
                <w:sz w:val="20"/>
                <w:szCs w:val="20"/>
                <w:lang w:val="en-GB" w:eastAsia="de-DE"/>
              </w:rPr>
            </w:pPr>
            <w:r>
              <w:rPr>
                <w:sz w:val="20"/>
                <w:szCs w:val="20"/>
                <w:lang w:val="en-GB" w:eastAsia="de-DE"/>
              </w:rPr>
              <w:t>12.4/18.5</w:t>
            </w:r>
          </w:p>
        </w:tc>
      </w:tr>
      <w:tr w:rsidR="006C7C8B" w:rsidRPr="000F5771" w14:paraId="352DF68E" w14:textId="77777777" w:rsidTr="006C7C8B">
        <w:trPr>
          <w:trHeight w:val="397"/>
        </w:trPr>
        <w:tc>
          <w:tcPr>
            <w:tcW w:w="953" w:type="pct"/>
            <w:noWrap/>
          </w:tcPr>
          <w:p w14:paraId="76A428A8"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 xml:space="preserve">Spain </w:t>
            </w:r>
          </w:p>
        </w:tc>
        <w:tc>
          <w:tcPr>
            <w:tcW w:w="908" w:type="pct"/>
            <w:noWrap/>
          </w:tcPr>
          <w:p w14:paraId="12B8B191" w14:textId="77777777" w:rsidR="006C7C8B" w:rsidRPr="002E58A5" w:rsidRDefault="006C7C8B" w:rsidP="002731ED">
            <w:pPr>
              <w:spacing w:after="0" w:line="240" w:lineRule="auto"/>
              <w:rPr>
                <w:sz w:val="20"/>
                <w:szCs w:val="20"/>
                <w:lang w:val="en-GB" w:eastAsia="de-DE"/>
              </w:rPr>
            </w:pPr>
            <w:r>
              <w:rPr>
                <w:sz w:val="20"/>
                <w:szCs w:val="20"/>
                <w:lang w:val="en-GB" w:eastAsia="de-DE"/>
              </w:rPr>
              <w:t>44.7/44.2</w:t>
            </w:r>
          </w:p>
        </w:tc>
        <w:tc>
          <w:tcPr>
            <w:tcW w:w="1031" w:type="pct"/>
            <w:noWrap/>
          </w:tcPr>
          <w:p w14:paraId="5280B6F4" w14:textId="77777777" w:rsidR="006C7C8B" w:rsidRPr="002E58A5" w:rsidRDefault="006C7C8B" w:rsidP="002731ED">
            <w:pPr>
              <w:spacing w:after="0" w:line="240" w:lineRule="auto"/>
              <w:rPr>
                <w:sz w:val="20"/>
                <w:szCs w:val="20"/>
                <w:lang w:val="en-GB" w:eastAsia="de-DE"/>
              </w:rPr>
            </w:pPr>
            <w:r>
              <w:rPr>
                <w:sz w:val="20"/>
                <w:szCs w:val="20"/>
                <w:lang w:val="en-GB" w:eastAsia="de-DE"/>
              </w:rPr>
              <w:t>28.8/36.5</w:t>
            </w:r>
          </w:p>
        </w:tc>
        <w:tc>
          <w:tcPr>
            <w:tcW w:w="1031" w:type="pct"/>
            <w:noWrap/>
          </w:tcPr>
          <w:p w14:paraId="2EF7A015" w14:textId="77777777" w:rsidR="006C7C8B" w:rsidRPr="002E58A5" w:rsidRDefault="006C7C8B" w:rsidP="002731ED">
            <w:pPr>
              <w:spacing w:after="0" w:line="240" w:lineRule="auto"/>
              <w:rPr>
                <w:sz w:val="20"/>
                <w:szCs w:val="20"/>
                <w:lang w:val="en-GB" w:eastAsia="de-DE"/>
              </w:rPr>
            </w:pPr>
            <w:r>
              <w:rPr>
                <w:sz w:val="20"/>
                <w:szCs w:val="20"/>
                <w:lang w:val="en-GB" w:eastAsia="de-DE"/>
              </w:rPr>
              <w:t>15.2/1.9</w:t>
            </w:r>
          </w:p>
        </w:tc>
        <w:tc>
          <w:tcPr>
            <w:tcW w:w="1078" w:type="pct"/>
          </w:tcPr>
          <w:p w14:paraId="6CC51F9E" w14:textId="77777777" w:rsidR="006C7C8B" w:rsidRPr="002E58A5" w:rsidRDefault="006C7C8B" w:rsidP="002731ED">
            <w:pPr>
              <w:spacing w:after="0" w:line="240" w:lineRule="auto"/>
              <w:rPr>
                <w:sz w:val="20"/>
                <w:szCs w:val="20"/>
                <w:lang w:val="en-GB" w:eastAsia="de-DE"/>
              </w:rPr>
            </w:pPr>
            <w:r>
              <w:rPr>
                <w:sz w:val="20"/>
                <w:szCs w:val="20"/>
                <w:lang w:val="en-GB" w:eastAsia="de-DE"/>
              </w:rPr>
              <w:t>11.4/17.3</w:t>
            </w:r>
          </w:p>
        </w:tc>
      </w:tr>
      <w:tr w:rsidR="006C7C8B" w:rsidRPr="00A04280" w14:paraId="6AAEA974" w14:textId="77777777" w:rsidTr="006C7C8B">
        <w:trPr>
          <w:trHeight w:val="397"/>
        </w:trPr>
        <w:tc>
          <w:tcPr>
            <w:tcW w:w="953" w:type="pct"/>
            <w:noWrap/>
          </w:tcPr>
          <w:p w14:paraId="3F587CA7"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 xml:space="preserve">Turkey </w:t>
            </w:r>
          </w:p>
        </w:tc>
        <w:tc>
          <w:tcPr>
            <w:tcW w:w="908" w:type="pct"/>
            <w:noWrap/>
          </w:tcPr>
          <w:p w14:paraId="40B2EF0E" w14:textId="77777777" w:rsidR="006C7C8B" w:rsidRPr="002E58A5" w:rsidRDefault="006C7C8B" w:rsidP="002731ED">
            <w:pPr>
              <w:spacing w:after="0" w:line="240" w:lineRule="auto"/>
              <w:rPr>
                <w:sz w:val="20"/>
                <w:szCs w:val="20"/>
                <w:lang w:val="en-GB" w:eastAsia="de-DE"/>
              </w:rPr>
            </w:pPr>
            <w:r>
              <w:rPr>
                <w:sz w:val="20"/>
                <w:szCs w:val="20"/>
                <w:lang w:val="en-GB" w:eastAsia="de-DE"/>
              </w:rPr>
              <w:t>44.3/35.0</w:t>
            </w:r>
          </w:p>
        </w:tc>
        <w:tc>
          <w:tcPr>
            <w:tcW w:w="1031" w:type="pct"/>
            <w:noWrap/>
          </w:tcPr>
          <w:p w14:paraId="2B89C481" w14:textId="77777777" w:rsidR="006C7C8B" w:rsidRPr="002E58A5" w:rsidRDefault="006C7C8B" w:rsidP="002731ED">
            <w:pPr>
              <w:spacing w:after="0" w:line="240" w:lineRule="auto"/>
              <w:rPr>
                <w:sz w:val="20"/>
                <w:szCs w:val="20"/>
                <w:lang w:val="en-GB" w:eastAsia="de-DE"/>
              </w:rPr>
            </w:pPr>
            <w:r>
              <w:rPr>
                <w:sz w:val="20"/>
                <w:szCs w:val="20"/>
                <w:lang w:val="en-GB" w:eastAsia="de-DE"/>
              </w:rPr>
              <w:t>18.0/15.3</w:t>
            </w:r>
          </w:p>
        </w:tc>
        <w:tc>
          <w:tcPr>
            <w:tcW w:w="1031" w:type="pct"/>
            <w:noWrap/>
          </w:tcPr>
          <w:p w14:paraId="5F44493A" w14:textId="77777777" w:rsidR="006C7C8B" w:rsidRPr="002E58A5" w:rsidRDefault="006C7C8B" w:rsidP="002731ED">
            <w:pPr>
              <w:spacing w:after="0" w:line="240" w:lineRule="auto"/>
              <w:rPr>
                <w:sz w:val="20"/>
                <w:szCs w:val="20"/>
                <w:lang w:val="en-GB" w:eastAsia="de-DE"/>
              </w:rPr>
            </w:pPr>
            <w:r>
              <w:rPr>
                <w:sz w:val="20"/>
                <w:szCs w:val="20"/>
                <w:lang w:val="en-GB" w:eastAsia="de-DE"/>
              </w:rPr>
              <w:t>15.4/15.8</w:t>
            </w:r>
          </w:p>
        </w:tc>
        <w:tc>
          <w:tcPr>
            <w:tcW w:w="1078" w:type="pct"/>
          </w:tcPr>
          <w:p w14:paraId="59BA1108" w14:textId="77777777" w:rsidR="006C7C8B" w:rsidRPr="002E58A5" w:rsidRDefault="006C7C8B" w:rsidP="002731ED">
            <w:pPr>
              <w:spacing w:after="0" w:line="240" w:lineRule="auto"/>
              <w:rPr>
                <w:sz w:val="20"/>
                <w:szCs w:val="20"/>
                <w:lang w:val="en-GB" w:eastAsia="de-DE"/>
              </w:rPr>
            </w:pPr>
            <w:r>
              <w:rPr>
                <w:sz w:val="20"/>
                <w:szCs w:val="20"/>
                <w:lang w:val="en-GB" w:eastAsia="de-DE"/>
              </w:rPr>
              <w:t>22.3/34.0</w:t>
            </w:r>
          </w:p>
        </w:tc>
      </w:tr>
      <w:tr w:rsidR="006C7C8B" w:rsidRPr="00A04280" w14:paraId="68B14A2E" w14:textId="77777777" w:rsidTr="006C7C8B">
        <w:trPr>
          <w:trHeight w:val="397"/>
        </w:trPr>
        <w:tc>
          <w:tcPr>
            <w:tcW w:w="953" w:type="pct"/>
            <w:noWrap/>
          </w:tcPr>
          <w:p w14:paraId="49A7B74F" w14:textId="77777777" w:rsidR="006C7C8B" w:rsidRPr="002E58A5" w:rsidRDefault="006C7C8B" w:rsidP="002731ED">
            <w:pPr>
              <w:spacing w:after="0" w:line="240" w:lineRule="auto"/>
              <w:rPr>
                <w:sz w:val="20"/>
                <w:szCs w:val="20"/>
                <w:lang w:val="en-GB" w:eastAsia="de-DE"/>
              </w:rPr>
            </w:pPr>
            <w:r w:rsidRPr="002E58A5">
              <w:rPr>
                <w:sz w:val="20"/>
                <w:szCs w:val="20"/>
                <w:lang w:val="en-GB" w:eastAsia="de-DE"/>
              </w:rPr>
              <w:t xml:space="preserve">UK </w:t>
            </w:r>
          </w:p>
        </w:tc>
        <w:tc>
          <w:tcPr>
            <w:tcW w:w="908" w:type="pct"/>
            <w:noWrap/>
          </w:tcPr>
          <w:p w14:paraId="42302851" w14:textId="77777777" w:rsidR="006C7C8B" w:rsidRPr="002E58A5" w:rsidRDefault="006C7C8B" w:rsidP="002731ED">
            <w:pPr>
              <w:spacing w:after="0" w:line="240" w:lineRule="auto"/>
              <w:rPr>
                <w:sz w:val="20"/>
                <w:szCs w:val="20"/>
                <w:lang w:val="en-GB" w:eastAsia="de-DE"/>
              </w:rPr>
            </w:pPr>
            <w:r>
              <w:rPr>
                <w:sz w:val="20"/>
                <w:szCs w:val="20"/>
                <w:lang w:val="en-GB" w:eastAsia="de-DE"/>
              </w:rPr>
              <w:t>61.1/39.4</w:t>
            </w:r>
          </w:p>
        </w:tc>
        <w:tc>
          <w:tcPr>
            <w:tcW w:w="1031" w:type="pct"/>
            <w:noWrap/>
          </w:tcPr>
          <w:p w14:paraId="4C87845D" w14:textId="77777777" w:rsidR="006C7C8B" w:rsidRPr="002E58A5" w:rsidRDefault="006C7C8B" w:rsidP="002731ED">
            <w:pPr>
              <w:spacing w:after="0" w:line="240" w:lineRule="auto"/>
              <w:rPr>
                <w:sz w:val="20"/>
                <w:szCs w:val="20"/>
                <w:lang w:val="en-GB" w:eastAsia="de-DE"/>
              </w:rPr>
            </w:pPr>
            <w:r>
              <w:rPr>
                <w:sz w:val="20"/>
                <w:szCs w:val="20"/>
                <w:lang w:val="en-GB" w:eastAsia="de-DE"/>
              </w:rPr>
              <w:t>16.7/21.2</w:t>
            </w:r>
          </w:p>
        </w:tc>
        <w:tc>
          <w:tcPr>
            <w:tcW w:w="1031" w:type="pct"/>
            <w:noWrap/>
          </w:tcPr>
          <w:p w14:paraId="05EDD4EE" w14:textId="77777777" w:rsidR="006C7C8B" w:rsidRPr="002E58A5" w:rsidRDefault="006C7C8B" w:rsidP="002731ED">
            <w:pPr>
              <w:spacing w:after="0" w:line="240" w:lineRule="auto"/>
              <w:rPr>
                <w:sz w:val="20"/>
                <w:szCs w:val="20"/>
                <w:lang w:val="en-GB" w:eastAsia="de-DE"/>
              </w:rPr>
            </w:pPr>
            <w:r>
              <w:rPr>
                <w:sz w:val="20"/>
                <w:szCs w:val="20"/>
                <w:lang w:val="en-GB" w:eastAsia="de-DE"/>
              </w:rPr>
              <w:t>12.5/9.1</w:t>
            </w:r>
          </w:p>
        </w:tc>
        <w:tc>
          <w:tcPr>
            <w:tcW w:w="1078" w:type="pct"/>
          </w:tcPr>
          <w:p w14:paraId="100E6C94" w14:textId="77777777" w:rsidR="006C7C8B" w:rsidRPr="002E58A5" w:rsidRDefault="006C7C8B" w:rsidP="002731ED">
            <w:pPr>
              <w:spacing w:after="0" w:line="240" w:lineRule="auto"/>
              <w:rPr>
                <w:sz w:val="20"/>
                <w:szCs w:val="20"/>
                <w:lang w:val="en-GB" w:eastAsia="de-DE"/>
              </w:rPr>
            </w:pPr>
            <w:r>
              <w:rPr>
                <w:sz w:val="20"/>
                <w:szCs w:val="20"/>
                <w:lang w:val="en-GB" w:eastAsia="de-DE"/>
              </w:rPr>
              <w:t>9.7/30.3</w:t>
            </w:r>
          </w:p>
        </w:tc>
      </w:tr>
    </w:tbl>
    <w:p w14:paraId="28891233" w14:textId="77777777" w:rsidR="006C7C8B" w:rsidRDefault="006C7C8B" w:rsidP="006C7C8B">
      <w:pPr>
        <w:rPr>
          <w:b/>
          <w:lang w:val="en-US"/>
        </w:rPr>
      </w:pPr>
    </w:p>
    <w:p w14:paraId="13BF2F5F" w14:textId="6F3E22C4" w:rsidR="006C7C8B" w:rsidRPr="004F0C33" w:rsidRDefault="006C7C8B" w:rsidP="006C7C8B">
      <w:pPr>
        <w:rPr>
          <w:b/>
          <w:lang w:val="en-US"/>
        </w:rPr>
      </w:pPr>
      <w:r w:rsidRPr="004F0C33">
        <w:rPr>
          <w:b/>
          <w:lang w:val="en-US"/>
        </w:rPr>
        <w:t xml:space="preserve">Table </w:t>
      </w:r>
      <w:r>
        <w:rPr>
          <w:b/>
          <w:lang w:val="en-US"/>
        </w:rPr>
        <w:t>A.</w:t>
      </w:r>
      <w:r w:rsidR="004244F5">
        <w:rPr>
          <w:b/>
          <w:lang w:val="en-US"/>
        </w:rPr>
        <w:t>3</w:t>
      </w:r>
      <w:r>
        <w:rPr>
          <w:b/>
          <w:lang w:val="en-US"/>
        </w:rPr>
        <w:tab/>
        <w:t xml:space="preserve">Personal </w:t>
      </w:r>
      <w:r w:rsidRPr="004F0C33">
        <w:rPr>
          <w:b/>
          <w:lang w:val="en-US"/>
        </w:rPr>
        <w:t xml:space="preserve">attitude towards tobacco use by sex </w:t>
      </w:r>
      <w:r>
        <w:rPr>
          <w:b/>
          <w:lang w:val="en-US"/>
        </w:rPr>
        <w:t>(female%/</w:t>
      </w:r>
      <w:proofErr w:type="gramStart"/>
      <w:r>
        <w:rPr>
          <w:b/>
          <w:lang w:val="en-US"/>
        </w:rPr>
        <w:t>male%</w:t>
      </w:r>
      <w:proofErr w:type="gramEnd"/>
      <w:r>
        <w:rPr>
          <w:b/>
          <w:lang w:val="en-US"/>
        </w:rPr>
        <w:t>)</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1"/>
        <w:gridCol w:w="1902"/>
        <w:gridCol w:w="1902"/>
        <w:gridCol w:w="1902"/>
      </w:tblGrid>
      <w:tr w:rsidR="006C7C8B" w:rsidRPr="000A2DC3" w14:paraId="6F141BAC" w14:textId="77777777" w:rsidTr="006C7C8B">
        <w:trPr>
          <w:trHeight w:val="596"/>
        </w:trPr>
        <w:tc>
          <w:tcPr>
            <w:tcW w:w="1250" w:type="pct"/>
          </w:tcPr>
          <w:p w14:paraId="5D1EF72D" w14:textId="77777777" w:rsidR="006C7C8B" w:rsidRPr="002E58A5" w:rsidRDefault="006C7C8B" w:rsidP="00AF0257">
            <w:pPr>
              <w:spacing w:after="0" w:line="240" w:lineRule="auto"/>
              <w:rPr>
                <w:sz w:val="20"/>
                <w:szCs w:val="20"/>
                <w:lang w:val="en-GB" w:eastAsia="de-DE"/>
              </w:rPr>
            </w:pPr>
          </w:p>
        </w:tc>
        <w:tc>
          <w:tcPr>
            <w:tcW w:w="3750" w:type="pct"/>
            <w:gridSpan w:val="3"/>
          </w:tcPr>
          <w:p w14:paraId="09E3467F" w14:textId="4F40E0FD" w:rsidR="006C7C8B" w:rsidRPr="002E58A5" w:rsidRDefault="006C7C8B" w:rsidP="00AF0257">
            <w:pPr>
              <w:spacing w:after="0" w:line="240" w:lineRule="auto"/>
              <w:rPr>
                <w:sz w:val="20"/>
                <w:szCs w:val="20"/>
                <w:lang w:val="en-GB" w:eastAsia="de-DE"/>
              </w:rPr>
            </w:pPr>
            <w:r>
              <w:rPr>
                <w:sz w:val="20"/>
                <w:szCs w:val="20"/>
                <w:lang w:val="en-GB" w:eastAsia="de-DE"/>
              </w:rPr>
              <w:t>Personal attitude towards tobacco use (%) (f/m)</w:t>
            </w:r>
          </w:p>
        </w:tc>
      </w:tr>
      <w:tr w:rsidR="006C7C8B" w:rsidRPr="002E58A5" w14:paraId="6D5C327A" w14:textId="77777777" w:rsidTr="006C7C8B">
        <w:trPr>
          <w:trHeight w:val="840"/>
        </w:trPr>
        <w:tc>
          <w:tcPr>
            <w:tcW w:w="1250" w:type="pct"/>
          </w:tcPr>
          <w:p w14:paraId="209A7A01" w14:textId="77777777" w:rsidR="006C7C8B" w:rsidRPr="002E58A5" w:rsidRDefault="006C7C8B" w:rsidP="00AF0257">
            <w:pPr>
              <w:spacing w:after="0" w:line="240" w:lineRule="auto"/>
              <w:rPr>
                <w:sz w:val="20"/>
                <w:szCs w:val="20"/>
                <w:lang w:val="en-GB" w:eastAsia="de-DE"/>
              </w:rPr>
            </w:pPr>
          </w:p>
        </w:tc>
        <w:tc>
          <w:tcPr>
            <w:tcW w:w="1250" w:type="pct"/>
          </w:tcPr>
          <w:p w14:paraId="72784908" w14:textId="77777777" w:rsidR="006C7C8B" w:rsidRPr="00404F3E" w:rsidRDefault="006C7C8B" w:rsidP="00AF0257">
            <w:pPr>
              <w:spacing w:after="0" w:line="240" w:lineRule="auto"/>
              <w:rPr>
                <w:sz w:val="20"/>
                <w:szCs w:val="20"/>
                <w:lang w:val="en-US"/>
              </w:rPr>
            </w:pPr>
            <w:r w:rsidRPr="00404F3E">
              <w:rPr>
                <w:sz w:val="20"/>
                <w:szCs w:val="20"/>
                <w:lang w:val="en-US"/>
              </w:rPr>
              <w:t>Never ok to use</w:t>
            </w:r>
          </w:p>
          <w:p w14:paraId="2CD64D85" w14:textId="07FD6F10" w:rsidR="006C7C8B" w:rsidRPr="002E58A5" w:rsidRDefault="006C7C8B" w:rsidP="00AF0257">
            <w:pPr>
              <w:spacing w:after="0" w:line="240" w:lineRule="auto"/>
              <w:rPr>
                <w:sz w:val="20"/>
                <w:szCs w:val="20"/>
                <w:lang w:val="en-GB" w:eastAsia="de-DE"/>
              </w:rPr>
            </w:pPr>
          </w:p>
        </w:tc>
        <w:tc>
          <w:tcPr>
            <w:tcW w:w="1250" w:type="pct"/>
          </w:tcPr>
          <w:p w14:paraId="7310BE0F" w14:textId="0B96AB00" w:rsidR="006C7C8B" w:rsidRPr="002E58A5" w:rsidRDefault="006C7C8B" w:rsidP="00AF0257">
            <w:pPr>
              <w:spacing w:after="0" w:line="240" w:lineRule="auto"/>
              <w:rPr>
                <w:sz w:val="20"/>
                <w:szCs w:val="20"/>
                <w:lang w:val="en-GB" w:eastAsia="de-DE"/>
              </w:rPr>
            </w:pPr>
            <w:r w:rsidRPr="00404F3E">
              <w:rPr>
                <w:sz w:val="20"/>
                <w:szCs w:val="20"/>
                <w:lang w:val="en-US"/>
              </w:rPr>
              <w:t>Ok to use</w:t>
            </w:r>
            <w:r>
              <w:rPr>
                <w:sz w:val="20"/>
                <w:szCs w:val="20"/>
                <w:lang w:val="en-US"/>
              </w:rPr>
              <w:t xml:space="preserve"> </w:t>
            </w:r>
            <w:r w:rsidRPr="00404F3E">
              <w:rPr>
                <w:sz w:val="20"/>
                <w:szCs w:val="20"/>
                <w:lang w:val="en-US"/>
              </w:rPr>
              <w:t xml:space="preserve">if it </w:t>
            </w:r>
            <w:r>
              <w:rPr>
                <w:sz w:val="20"/>
                <w:szCs w:val="20"/>
                <w:lang w:val="en-US"/>
              </w:rPr>
              <w:t xml:space="preserve">doesn’t </w:t>
            </w:r>
            <w:r w:rsidRPr="00404F3E">
              <w:rPr>
                <w:sz w:val="20"/>
                <w:szCs w:val="20"/>
                <w:lang w:val="en-US"/>
              </w:rPr>
              <w:t>interfere with work or study</w:t>
            </w:r>
            <w:r>
              <w:rPr>
                <w:sz w:val="20"/>
                <w:szCs w:val="20"/>
                <w:lang w:val="en-US"/>
              </w:rPr>
              <w:t xml:space="preserve">* </w:t>
            </w:r>
          </w:p>
        </w:tc>
        <w:tc>
          <w:tcPr>
            <w:tcW w:w="1250" w:type="pct"/>
            <w:noWrap/>
          </w:tcPr>
          <w:p w14:paraId="717695C2" w14:textId="2E2AD27A" w:rsidR="006C7C8B" w:rsidRPr="002E58A5" w:rsidRDefault="006C7C8B" w:rsidP="00AF0257">
            <w:pPr>
              <w:spacing w:after="0" w:line="240" w:lineRule="auto"/>
              <w:rPr>
                <w:sz w:val="20"/>
                <w:szCs w:val="20"/>
                <w:lang w:val="en-GB" w:eastAsia="de-DE"/>
              </w:rPr>
            </w:pPr>
            <w:r w:rsidRPr="00404F3E">
              <w:rPr>
                <w:sz w:val="20"/>
                <w:szCs w:val="20"/>
                <w:lang w:val="en-US"/>
              </w:rPr>
              <w:t>O</w:t>
            </w:r>
            <w:r>
              <w:rPr>
                <w:sz w:val="20"/>
                <w:szCs w:val="20"/>
                <w:lang w:val="en-US"/>
              </w:rPr>
              <w:t>k to</w:t>
            </w:r>
            <w:r w:rsidRPr="00404F3E">
              <w:rPr>
                <w:sz w:val="20"/>
                <w:szCs w:val="20"/>
                <w:lang w:val="en-US"/>
              </w:rPr>
              <w:t xml:space="preserve"> use</w:t>
            </w:r>
            <w:r>
              <w:rPr>
                <w:sz w:val="20"/>
                <w:szCs w:val="20"/>
                <w:lang w:val="en-GB" w:eastAsia="de-DE"/>
              </w:rPr>
              <w:t>**</w:t>
            </w:r>
          </w:p>
        </w:tc>
      </w:tr>
      <w:tr w:rsidR="006C7C8B" w:rsidRPr="002E58A5" w14:paraId="55CED82F" w14:textId="77777777" w:rsidTr="006C7C8B">
        <w:trPr>
          <w:trHeight w:val="397"/>
        </w:trPr>
        <w:tc>
          <w:tcPr>
            <w:tcW w:w="1250" w:type="pct"/>
          </w:tcPr>
          <w:p w14:paraId="0291E6F9" w14:textId="1E8918B1" w:rsidR="006C7C8B" w:rsidRDefault="006C7C8B" w:rsidP="00AF0257">
            <w:pPr>
              <w:spacing w:after="0" w:line="240" w:lineRule="auto"/>
              <w:rPr>
                <w:sz w:val="20"/>
                <w:szCs w:val="20"/>
                <w:lang w:val="en-GB" w:eastAsia="de-DE"/>
              </w:rPr>
            </w:pPr>
            <w:r>
              <w:rPr>
                <w:sz w:val="20"/>
                <w:szCs w:val="20"/>
                <w:lang w:val="en-GB" w:eastAsia="de-DE"/>
              </w:rPr>
              <w:t xml:space="preserve">Belgium </w:t>
            </w:r>
          </w:p>
        </w:tc>
        <w:tc>
          <w:tcPr>
            <w:tcW w:w="1250" w:type="pct"/>
          </w:tcPr>
          <w:p w14:paraId="2CF004F2" w14:textId="3BD963FE" w:rsidR="006C7C8B" w:rsidRDefault="006C7C8B" w:rsidP="00AF0257">
            <w:pPr>
              <w:spacing w:after="0" w:line="240" w:lineRule="auto"/>
              <w:rPr>
                <w:sz w:val="20"/>
                <w:szCs w:val="20"/>
                <w:lang w:val="en-GB" w:eastAsia="de-DE"/>
              </w:rPr>
            </w:pPr>
            <w:r>
              <w:rPr>
                <w:sz w:val="20"/>
                <w:szCs w:val="20"/>
                <w:lang w:val="en-GB" w:eastAsia="de-DE"/>
              </w:rPr>
              <w:t>41.7/40.7</w:t>
            </w:r>
          </w:p>
        </w:tc>
        <w:tc>
          <w:tcPr>
            <w:tcW w:w="1250" w:type="pct"/>
          </w:tcPr>
          <w:p w14:paraId="28DC9058" w14:textId="1DDDE0AA" w:rsidR="006C7C8B" w:rsidRDefault="006C7C8B" w:rsidP="00AF0257">
            <w:pPr>
              <w:spacing w:after="0" w:line="240" w:lineRule="auto"/>
              <w:rPr>
                <w:sz w:val="20"/>
                <w:szCs w:val="20"/>
                <w:lang w:val="en-GB" w:eastAsia="de-DE"/>
              </w:rPr>
            </w:pPr>
            <w:r>
              <w:rPr>
                <w:sz w:val="20"/>
                <w:szCs w:val="20"/>
                <w:lang w:val="en-GB" w:eastAsia="de-DE"/>
              </w:rPr>
              <w:t>43.5/46.5</w:t>
            </w:r>
          </w:p>
        </w:tc>
        <w:tc>
          <w:tcPr>
            <w:tcW w:w="1250" w:type="pct"/>
            <w:noWrap/>
          </w:tcPr>
          <w:p w14:paraId="05096E08" w14:textId="6400A7FB" w:rsidR="006C7C8B" w:rsidRPr="002E58A5" w:rsidRDefault="006C7C8B" w:rsidP="00AF0257">
            <w:pPr>
              <w:spacing w:after="0" w:line="240" w:lineRule="auto"/>
              <w:rPr>
                <w:sz w:val="20"/>
                <w:szCs w:val="20"/>
                <w:lang w:val="en-GB" w:eastAsia="de-DE"/>
              </w:rPr>
            </w:pPr>
            <w:r>
              <w:rPr>
                <w:sz w:val="20"/>
                <w:szCs w:val="20"/>
                <w:lang w:val="en-GB" w:eastAsia="de-DE"/>
              </w:rPr>
              <w:t>14.8/</w:t>
            </w:r>
            <w:r>
              <w:rPr>
                <w:sz w:val="20"/>
                <w:szCs w:val="20"/>
                <w:lang w:val="en-GB"/>
              </w:rPr>
              <w:t>12.8</w:t>
            </w:r>
          </w:p>
        </w:tc>
      </w:tr>
      <w:tr w:rsidR="006C7C8B" w:rsidRPr="002E58A5" w14:paraId="25AAC5F2" w14:textId="77777777" w:rsidTr="006C7C8B">
        <w:trPr>
          <w:trHeight w:val="397"/>
        </w:trPr>
        <w:tc>
          <w:tcPr>
            <w:tcW w:w="1250" w:type="pct"/>
          </w:tcPr>
          <w:p w14:paraId="3B3271A4" w14:textId="0C84FAB3" w:rsidR="006C7C8B" w:rsidRDefault="006C7C8B" w:rsidP="00AF0257">
            <w:pPr>
              <w:spacing w:after="0" w:line="240" w:lineRule="auto"/>
              <w:rPr>
                <w:sz w:val="20"/>
                <w:szCs w:val="20"/>
                <w:lang w:val="en-GB" w:eastAsia="de-DE"/>
              </w:rPr>
            </w:pPr>
            <w:r>
              <w:rPr>
                <w:sz w:val="20"/>
                <w:szCs w:val="20"/>
                <w:lang w:val="en-GB" w:eastAsia="de-DE"/>
              </w:rPr>
              <w:t xml:space="preserve">Denmark </w:t>
            </w:r>
          </w:p>
        </w:tc>
        <w:tc>
          <w:tcPr>
            <w:tcW w:w="1250" w:type="pct"/>
          </w:tcPr>
          <w:p w14:paraId="399D39FD" w14:textId="08393A4E" w:rsidR="006C7C8B" w:rsidRDefault="006C7C8B" w:rsidP="00AF0257">
            <w:pPr>
              <w:spacing w:after="0" w:line="240" w:lineRule="auto"/>
              <w:rPr>
                <w:sz w:val="20"/>
                <w:szCs w:val="20"/>
                <w:lang w:val="en-GB" w:eastAsia="de-DE"/>
              </w:rPr>
            </w:pPr>
            <w:r>
              <w:rPr>
                <w:sz w:val="20"/>
                <w:szCs w:val="20"/>
                <w:lang w:val="en-GB" w:eastAsia="de-DE"/>
              </w:rPr>
              <w:t>25.5/22.4</w:t>
            </w:r>
          </w:p>
        </w:tc>
        <w:tc>
          <w:tcPr>
            <w:tcW w:w="1250" w:type="pct"/>
          </w:tcPr>
          <w:p w14:paraId="2CB648E6" w14:textId="167E67F4" w:rsidR="006C7C8B" w:rsidRDefault="006C7C8B" w:rsidP="00AF0257">
            <w:pPr>
              <w:spacing w:after="0" w:line="240" w:lineRule="auto"/>
              <w:rPr>
                <w:sz w:val="20"/>
                <w:szCs w:val="20"/>
                <w:lang w:val="en-GB" w:eastAsia="de-DE"/>
              </w:rPr>
            </w:pPr>
            <w:r>
              <w:rPr>
                <w:sz w:val="20"/>
                <w:szCs w:val="20"/>
                <w:lang w:val="en-GB" w:eastAsia="de-DE"/>
              </w:rPr>
              <w:t>49.3/49.0</w:t>
            </w:r>
          </w:p>
        </w:tc>
        <w:tc>
          <w:tcPr>
            <w:tcW w:w="1250" w:type="pct"/>
            <w:noWrap/>
          </w:tcPr>
          <w:p w14:paraId="7B487483" w14:textId="0A66B62A" w:rsidR="006C7C8B" w:rsidRPr="002E58A5" w:rsidRDefault="006C7C8B" w:rsidP="00AF0257">
            <w:pPr>
              <w:spacing w:after="0" w:line="240" w:lineRule="auto"/>
              <w:rPr>
                <w:sz w:val="20"/>
                <w:szCs w:val="20"/>
                <w:lang w:val="en-GB" w:eastAsia="de-DE"/>
              </w:rPr>
            </w:pPr>
            <w:r>
              <w:rPr>
                <w:sz w:val="20"/>
                <w:szCs w:val="20"/>
                <w:lang w:val="en-GB" w:eastAsia="de-DE"/>
              </w:rPr>
              <w:t>25.2/28.6</w:t>
            </w:r>
          </w:p>
        </w:tc>
      </w:tr>
      <w:tr w:rsidR="006C7C8B" w:rsidRPr="002E58A5" w14:paraId="62F56BE9" w14:textId="77777777" w:rsidTr="006C7C8B">
        <w:trPr>
          <w:trHeight w:val="397"/>
        </w:trPr>
        <w:tc>
          <w:tcPr>
            <w:tcW w:w="1250" w:type="pct"/>
          </w:tcPr>
          <w:p w14:paraId="0C9D900A" w14:textId="64924D13" w:rsidR="006C7C8B" w:rsidRPr="002E58A5" w:rsidRDefault="006C7C8B" w:rsidP="00AF0257">
            <w:pPr>
              <w:spacing w:after="0" w:line="240" w:lineRule="auto"/>
              <w:rPr>
                <w:sz w:val="20"/>
                <w:szCs w:val="20"/>
                <w:lang w:val="en-GB" w:eastAsia="de-DE"/>
              </w:rPr>
            </w:pPr>
            <w:r w:rsidRPr="002E58A5">
              <w:rPr>
                <w:sz w:val="20"/>
                <w:szCs w:val="20"/>
                <w:lang w:val="en-GB" w:eastAsia="de-DE"/>
              </w:rPr>
              <w:t xml:space="preserve">Germany </w:t>
            </w:r>
          </w:p>
        </w:tc>
        <w:tc>
          <w:tcPr>
            <w:tcW w:w="1250" w:type="pct"/>
          </w:tcPr>
          <w:p w14:paraId="5D35825C" w14:textId="2167176A" w:rsidR="006C7C8B" w:rsidRPr="002E58A5" w:rsidRDefault="006C7C8B" w:rsidP="00AF0257">
            <w:pPr>
              <w:spacing w:after="0" w:line="240" w:lineRule="auto"/>
              <w:rPr>
                <w:sz w:val="20"/>
                <w:szCs w:val="20"/>
                <w:lang w:val="en-GB" w:eastAsia="de-DE"/>
              </w:rPr>
            </w:pPr>
            <w:r>
              <w:rPr>
                <w:sz w:val="20"/>
                <w:szCs w:val="20"/>
                <w:lang w:val="en-GB" w:eastAsia="de-DE"/>
              </w:rPr>
              <w:t>24.5/27.9</w:t>
            </w:r>
          </w:p>
        </w:tc>
        <w:tc>
          <w:tcPr>
            <w:tcW w:w="1250" w:type="pct"/>
          </w:tcPr>
          <w:p w14:paraId="64D2E94E" w14:textId="0AFA1328" w:rsidR="006C7C8B" w:rsidRPr="002E58A5" w:rsidRDefault="006C7C8B" w:rsidP="00AF0257">
            <w:pPr>
              <w:spacing w:after="0" w:line="240" w:lineRule="auto"/>
              <w:rPr>
                <w:sz w:val="20"/>
                <w:szCs w:val="20"/>
                <w:lang w:val="en-GB" w:eastAsia="de-DE"/>
              </w:rPr>
            </w:pPr>
            <w:r>
              <w:rPr>
                <w:sz w:val="20"/>
                <w:szCs w:val="20"/>
                <w:lang w:val="en-GB" w:eastAsia="de-DE"/>
              </w:rPr>
              <w:t>45.9/47.5</w:t>
            </w:r>
          </w:p>
        </w:tc>
        <w:tc>
          <w:tcPr>
            <w:tcW w:w="1250" w:type="pct"/>
            <w:noWrap/>
          </w:tcPr>
          <w:p w14:paraId="23788E3C" w14:textId="36BD8A3F" w:rsidR="006C7C8B" w:rsidRPr="002E58A5" w:rsidRDefault="006C7C8B" w:rsidP="00AF0257">
            <w:pPr>
              <w:spacing w:after="0" w:line="240" w:lineRule="auto"/>
              <w:rPr>
                <w:sz w:val="20"/>
                <w:szCs w:val="20"/>
                <w:lang w:val="en-GB" w:eastAsia="de-DE"/>
              </w:rPr>
            </w:pPr>
            <w:r>
              <w:rPr>
                <w:sz w:val="20"/>
                <w:szCs w:val="20"/>
                <w:lang w:val="en-GB" w:eastAsia="de-DE"/>
              </w:rPr>
              <w:t>29.6/24.5</w:t>
            </w:r>
          </w:p>
        </w:tc>
      </w:tr>
      <w:tr w:rsidR="006C7C8B" w:rsidRPr="002E58A5" w14:paraId="4DC2755E" w14:textId="77777777" w:rsidTr="006C7C8B">
        <w:trPr>
          <w:trHeight w:val="397"/>
        </w:trPr>
        <w:tc>
          <w:tcPr>
            <w:tcW w:w="1250" w:type="pct"/>
          </w:tcPr>
          <w:p w14:paraId="352DC237" w14:textId="5BA3C242" w:rsidR="006C7C8B" w:rsidRPr="002E58A5" w:rsidRDefault="006C7C8B" w:rsidP="00AF0257">
            <w:pPr>
              <w:spacing w:after="0" w:line="240" w:lineRule="auto"/>
              <w:rPr>
                <w:sz w:val="20"/>
                <w:szCs w:val="20"/>
                <w:lang w:val="en-GB" w:eastAsia="de-DE"/>
              </w:rPr>
            </w:pPr>
            <w:r w:rsidRPr="002E58A5">
              <w:rPr>
                <w:sz w:val="20"/>
                <w:szCs w:val="20"/>
                <w:lang w:val="en-GB" w:eastAsia="de-DE"/>
              </w:rPr>
              <w:t xml:space="preserve">Slovak Republic </w:t>
            </w:r>
          </w:p>
        </w:tc>
        <w:tc>
          <w:tcPr>
            <w:tcW w:w="1250" w:type="pct"/>
          </w:tcPr>
          <w:p w14:paraId="16BF3BD5" w14:textId="206D6CE1" w:rsidR="006C7C8B" w:rsidRPr="002E58A5" w:rsidRDefault="006C7C8B" w:rsidP="00AF0257">
            <w:pPr>
              <w:spacing w:after="0" w:line="240" w:lineRule="auto"/>
              <w:rPr>
                <w:sz w:val="20"/>
                <w:szCs w:val="20"/>
                <w:lang w:val="en-GB" w:eastAsia="de-DE"/>
              </w:rPr>
            </w:pPr>
            <w:r>
              <w:rPr>
                <w:sz w:val="20"/>
                <w:szCs w:val="20"/>
                <w:lang w:val="en-GB" w:eastAsia="de-DE"/>
              </w:rPr>
              <w:t>47.7/50.6</w:t>
            </w:r>
          </w:p>
        </w:tc>
        <w:tc>
          <w:tcPr>
            <w:tcW w:w="1250" w:type="pct"/>
          </w:tcPr>
          <w:p w14:paraId="5117207D" w14:textId="20F6ACFC" w:rsidR="006C7C8B" w:rsidRPr="002E58A5" w:rsidRDefault="006C7C8B" w:rsidP="00AF0257">
            <w:pPr>
              <w:spacing w:after="0" w:line="240" w:lineRule="auto"/>
              <w:rPr>
                <w:sz w:val="20"/>
                <w:szCs w:val="20"/>
                <w:lang w:val="en-GB" w:eastAsia="de-DE"/>
              </w:rPr>
            </w:pPr>
            <w:r>
              <w:rPr>
                <w:sz w:val="20"/>
                <w:szCs w:val="20"/>
                <w:lang w:val="en-GB" w:eastAsia="de-DE"/>
              </w:rPr>
              <w:t>41.5/36.7</w:t>
            </w:r>
          </w:p>
        </w:tc>
        <w:tc>
          <w:tcPr>
            <w:tcW w:w="1250" w:type="pct"/>
            <w:noWrap/>
          </w:tcPr>
          <w:p w14:paraId="7C39BADC" w14:textId="325710B2" w:rsidR="006C7C8B" w:rsidRPr="002E58A5" w:rsidRDefault="006C7C8B" w:rsidP="00AF0257">
            <w:pPr>
              <w:spacing w:after="0" w:line="240" w:lineRule="auto"/>
              <w:rPr>
                <w:sz w:val="20"/>
                <w:szCs w:val="20"/>
                <w:lang w:val="en-GB" w:eastAsia="de-DE"/>
              </w:rPr>
            </w:pPr>
            <w:r>
              <w:rPr>
                <w:sz w:val="20"/>
                <w:szCs w:val="20"/>
                <w:lang w:val="en-GB" w:eastAsia="de-DE"/>
              </w:rPr>
              <w:t>10.8/12.7</w:t>
            </w:r>
          </w:p>
        </w:tc>
      </w:tr>
      <w:tr w:rsidR="006C7C8B" w:rsidRPr="002E58A5" w14:paraId="5F41CC06" w14:textId="77777777" w:rsidTr="006C7C8B">
        <w:trPr>
          <w:trHeight w:val="397"/>
        </w:trPr>
        <w:tc>
          <w:tcPr>
            <w:tcW w:w="1250" w:type="pct"/>
          </w:tcPr>
          <w:p w14:paraId="5B0ACF97" w14:textId="346032CC" w:rsidR="006C7C8B" w:rsidRPr="002E58A5" w:rsidRDefault="006C7C8B" w:rsidP="00AF0257">
            <w:pPr>
              <w:spacing w:after="0" w:line="240" w:lineRule="auto"/>
              <w:rPr>
                <w:sz w:val="20"/>
                <w:szCs w:val="20"/>
                <w:lang w:val="en-GB" w:eastAsia="de-DE"/>
              </w:rPr>
            </w:pPr>
            <w:r w:rsidRPr="002E58A5">
              <w:rPr>
                <w:sz w:val="20"/>
                <w:szCs w:val="20"/>
                <w:lang w:val="en-GB" w:eastAsia="de-DE"/>
              </w:rPr>
              <w:t xml:space="preserve">Spain </w:t>
            </w:r>
          </w:p>
        </w:tc>
        <w:tc>
          <w:tcPr>
            <w:tcW w:w="1250" w:type="pct"/>
          </w:tcPr>
          <w:p w14:paraId="2B9F244F" w14:textId="51284BA3" w:rsidR="006C7C8B" w:rsidRPr="002E58A5" w:rsidRDefault="006C7C8B" w:rsidP="00AF0257">
            <w:pPr>
              <w:spacing w:after="0" w:line="240" w:lineRule="auto"/>
              <w:rPr>
                <w:sz w:val="20"/>
                <w:szCs w:val="20"/>
                <w:lang w:val="en-GB" w:eastAsia="de-DE"/>
              </w:rPr>
            </w:pPr>
            <w:r>
              <w:rPr>
                <w:sz w:val="20"/>
                <w:szCs w:val="20"/>
                <w:lang w:val="en-GB" w:eastAsia="de-DE"/>
              </w:rPr>
              <w:t>46.0/41.2</w:t>
            </w:r>
          </w:p>
        </w:tc>
        <w:tc>
          <w:tcPr>
            <w:tcW w:w="1250" w:type="pct"/>
          </w:tcPr>
          <w:p w14:paraId="4538F59E" w14:textId="11EA974A" w:rsidR="006C7C8B" w:rsidRPr="002E58A5" w:rsidRDefault="006C7C8B" w:rsidP="00AF0257">
            <w:pPr>
              <w:spacing w:after="0" w:line="240" w:lineRule="auto"/>
              <w:rPr>
                <w:sz w:val="20"/>
                <w:szCs w:val="20"/>
                <w:lang w:val="en-GB" w:eastAsia="de-DE"/>
              </w:rPr>
            </w:pPr>
            <w:r>
              <w:rPr>
                <w:sz w:val="20"/>
                <w:szCs w:val="20"/>
                <w:lang w:val="en-GB" w:eastAsia="de-DE"/>
              </w:rPr>
              <w:t>42.9/45.1</w:t>
            </w:r>
          </w:p>
        </w:tc>
        <w:tc>
          <w:tcPr>
            <w:tcW w:w="1250" w:type="pct"/>
            <w:noWrap/>
          </w:tcPr>
          <w:p w14:paraId="381D8345" w14:textId="6FBABB03" w:rsidR="006C7C8B" w:rsidRPr="002E58A5" w:rsidRDefault="006C7C8B" w:rsidP="00AF0257">
            <w:pPr>
              <w:spacing w:after="0" w:line="240" w:lineRule="auto"/>
              <w:rPr>
                <w:sz w:val="20"/>
                <w:szCs w:val="20"/>
                <w:lang w:val="en-GB" w:eastAsia="de-DE"/>
              </w:rPr>
            </w:pPr>
            <w:r>
              <w:rPr>
                <w:sz w:val="20"/>
                <w:szCs w:val="20"/>
                <w:lang w:val="en-GB" w:eastAsia="de-DE"/>
              </w:rPr>
              <w:t>11.1/13.7</w:t>
            </w:r>
          </w:p>
        </w:tc>
      </w:tr>
      <w:tr w:rsidR="006C7C8B" w:rsidRPr="002E58A5" w14:paraId="10498A05" w14:textId="77777777" w:rsidTr="006C7C8B">
        <w:trPr>
          <w:trHeight w:val="397"/>
        </w:trPr>
        <w:tc>
          <w:tcPr>
            <w:tcW w:w="1250" w:type="pct"/>
          </w:tcPr>
          <w:p w14:paraId="21B00043" w14:textId="69898743" w:rsidR="006C7C8B" w:rsidRPr="002E58A5" w:rsidRDefault="006C7C8B" w:rsidP="00AF0257">
            <w:pPr>
              <w:spacing w:after="0" w:line="240" w:lineRule="auto"/>
              <w:rPr>
                <w:sz w:val="20"/>
                <w:szCs w:val="20"/>
                <w:lang w:val="en-GB" w:eastAsia="de-DE"/>
              </w:rPr>
            </w:pPr>
            <w:r w:rsidRPr="002E58A5">
              <w:rPr>
                <w:sz w:val="20"/>
                <w:szCs w:val="20"/>
                <w:lang w:val="en-GB" w:eastAsia="de-DE"/>
              </w:rPr>
              <w:t xml:space="preserve">Turkey </w:t>
            </w:r>
          </w:p>
        </w:tc>
        <w:tc>
          <w:tcPr>
            <w:tcW w:w="1250" w:type="pct"/>
          </w:tcPr>
          <w:p w14:paraId="31AA8E64" w14:textId="69A546B7" w:rsidR="006C7C8B" w:rsidRPr="002E58A5" w:rsidRDefault="006C7C8B" w:rsidP="00AF0257">
            <w:pPr>
              <w:spacing w:after="0" w:line="240" w:lineRule="auto"/>
              <w:rPr>
                <w:sz w:val="20"/>
                <w:szCs w:val="20"/>
                <w:lang w:val="en-GB" w:eastAsia="de-DE"/>
              </w:rPr>
            </w:pPr>
            <w:r>
              <w:rPr>
                <w:sz w:val="20"/>
                <w:szCs w:val="20"/>
                <w:lang w:val="en-GB" w:eastAsia="de-DE"/>
              </w:rPr>
              <w:t>53.2/58.8</w:t>
            </w:r>
          </w:p>
        </w:tc>
        <w:tc>
          <w:tcPr>
            <w:tcW w:w="1250" w:type="pct"/>
          </w:tcPr>
          <w:p w14:paraId="15B6558F" w14:textId="0496D897" w:rsidR="006C7C8B" w:rsidRPr="002E58A5" w:rsidRDefault="006C7C8B" w:rsidP="00AF0257">
            <w:pPr>
              <w:spacing w:after="0" w:line="240" w:lineRule="auto"/>
              <w:rPr>
                <w:sz w:val="20"/>
                <w:szCs w:val="20"/>
                <w:lang w:val="en-GB" w:eastAsia="de-DE"/>
              </w:rPr>
            </w:pPr>
            <w:r>
              <w:rPr>
                <w:sz w:val="20"/>
                <w:szCs w:val="20"/>
                <w:lang w:val="en-GB" w:eastAsia="de-DE"/>
              </w:rPr>
              <w:t>33.6/25.3</w:t>
            </w:r>
          </w:p>
        </w:tc>
        <w:tc>
          <w:tcPr>
            <w:tcW w:w="1250" w:type="pct"/>
            <w:noWrap/>
          </w:tcPr>
          <w:p w14:paraId="7A3CF9D6" w14:textId="29FFC0DE" w:rsidR="006C7C8B" w:rsidRPr="002E58A5" w:rsidRDefault="006C7C8B" w:rsidP="00AF0257">
            <w:pPr>
              <w:spacing w:after="0" w:line="240" w:lineRule="auto"/>
              <w:rPr>
                <w:sz w:val="20"/>
                <w:szCs w:val="20"/>
                <w:lang w:val="en-GB" w:eastAsia="de-DE"/>
              </w:rPr>
            </w:pPr>
            <w:r>
              <w:rPr>
                <w:sz w:val="20"/>
                <w:szCs w:val="20"/>
                <w:lang w:val="en-GB" w:eastAsia="de-DE"/>
              </w:rPr>
              <w:t>13.2/15.8</w:t>
            </w:r>
          </w:p>
        </w:tc>
      </w:tr>
      <w:tr w:rsidR="006C7C8B" w:rsidRPr="002E58A5" w14:paraId="7A052065" w14:textId="77777777" w:rsidTr="006C7C8B">
        <w:trPr>
          <w:trHeight w:val="397"/>
        </w:trPr>
        <w:tc>
          <w:tcPr>
            <w:tcW w:w="1250" w:type="pct"/>
          </w:tcPr>
          <w:p w14:paraId="37FA1216" w14:textId="5C16F64C" w:rsidR="006C7C8B" w:rsidRPr="002E58A5" w:rsidRDefault="006C7C8B" w:rsidP="00AF0257">
            <w:pPr>
              <w:spacing w:after="0" w:line="240" w:lineRule="auto"/>
              <w:rPr>
                <w:sz w:val="20"/>
                <w:szCs w:val="20"/>
                <w:lang w:val="en-GB" w:eastAsia="de-DE"/>
              </w:rPr>
            </w:pPr>
            <w:r w:rsidRPr="002E58A5">
              <w:rPr>
                <w:sz w:val="20"/>
                <w:szCs w:val="20"/>
                <w:lang w:val="en-GB" w:eastAsia="de-DE"/>
              </w:rPr>
              <w:t xml:space="preserve">UK </w:t>
            </w:r>
          </w:p>
        </w:tc>
        <w:tc>
          <w:tcPr>
            <w:tcW w:w="1250" w:type="pct"/>
          </w:tcPr>
          <w:p w14:paraId="6FB0F671" w14:textId="5396DE56" w:rsidR="006C7C8B" w:rsidRPr="002E58A5" w:rsidRDefault="006C7C8B" w:rsidP="00AF0257">
            <w:pPr>
              <w:spacing w:after="0" w:line="240" w:lineRule="auto"/>
              <w:rPr>
                <w:sz w:val="20"/>
                <w:szCs w:val="20"/>
                <w:lang w:val="en-GB" w:eastAsia="de-DE"/>
              </w:rPr>
            </w:pPr>
            <w:r>
              <w:rPr>
                <w:sz w:val="20"/>
                <w:szCs w:val="20"/>
                <w:lang w:val="en-GB" w:eastAsia="de-DE"/>
              </w:rPr>
              <w:t>44.4/37.5</w:t>
            </w:r>
          </w:p>
        </w:tc>
        <w:tc>
          <w:tcPr>
            <w:tcW w:w="1250" w:type="pct"/>
          </w:tcPr>
          <w:p w14:paraId="1BF999C5" w14:textId="5DDC7357" w:rsidR="006C7C8B" w:rsidRPr="002E58A5" w:rsidRDefault="006C7C8B" w:rsidP="00AF0257">
            <w:pPr>
              <w:spacing w:after="0" w:line="240" w:lineRule="auto"/>
              <w:rPr>
                <w:sz w:val="20"/>
                <w:szCs w:val="20"/>
                <w:lang w:val="en-GB" w:eastAsia="de-DE"/>
              </w:rPr>
            </w:pPr>
            <w:r>
              <w:rPr>
                <w:sz w:val="20"/>
                <w:szCs w:val="20"/>
                <w:lang w:val="en-GB" w:eastAsia="de-DE"/>
              </w:rPr>
              <w:t>38.9/43.8</w:t>
            </w:r>
          </w:p>
        </w:tc>
        <w:tc>
          <w:tcPr>
            <w:tcW w:w="1250" w:type="pct"/>
            <w:noWrap/>
          </w:tcPr>
          <w:p w14:paraId="70409E48" w14:textId="6D41B23C" w:rsidR="006C7C8B" w:rsidRPr="002E58A5" w:rsidRDefault="006C7C8B" w:rsidP="00AF0257">
            <w:pPr>
              <w:spacing w:after="0" w:line="240" w:lineRule="auto"/>
              <w:rPr>
                <w:sz w:val="20"/>
                <w:szCs w:val="20"/>
                <w:lang w:val="en-GB" w:eastAsia="de-DE"/>
              </w:rPr>
            </w:pPr>
            <w:r>
              <w:rPr>
                <w:sz w:val="20"/>
                <w:szCs w:val="20"/>
                <w:lang w:val="en-GB" w:eastAsia="de-DE"/>
              </w:rPr>
              <w:t>16.7/18.8</w:t>
            </w:r>
          </w:p>
        </w:tc>
      </w:tr>
    </w:tbl>
    <w:p w14:paraId="0C5D8678" w14:textId="77777777" w:rsidR="006C7C8B" w:rsidRPr="009F0D27" w:rsidRDefault="006C7C8B" w:rsidP="006C7C8B">
      <w:pPr>
        <w:spacing w:after="0" w:line="240" w:lineRule="auto"/>
        <w:rPr>
          <w:i/>
          <w:lang w:val="en-GB"/>
        </w:rPr>
      </w:pPr>
      <w:r w:rsidRPr="009F0D27">
        <w:rPr>
          <w:i/>
          <w:lang w:val="en-GB"/>
        </w:rPr>
        <w:t>* Response options ‘Ok to use occasionally if it doesn’t interfere with study or work’ and ‘Ok to use frequently if it doesn’t interfere with study or work’ were combined into ‘Ok to use if it doesn’t interfere with work or study’</w:t>
      </w:r>
    </w:p>
    <w:p w14:paraId="7AFC519A" w14:textId="6209A201" w:rsidR="006C7C8B" w:rsidRPr="009F0D27" w:rsidRDefault="006C7C8B" w:rsidP="006C7C8B">
      <w:pPr>
        <w:spacing w:after="0" w:line="240" w:lineRule="auto"/>
        <w:rPr>
          <w:i/>
          <w:lang w:val="en-GB"/>
        </w:rPr>
      </w:pPr>
      <w:r w:rsidRPr="009F0D27">
        <w:rPr>
          <w:i/>
          <w:lang w:val="en-GB"/>
        </w:rPr>
        <w:t>**‘Ok to use occasionally even if it does interfere with study or work’ and ‘Ok to use frequently if that is what the person wants to do’ were combined into ‘Ok to use’</w:t>
      </w:r>
    </w:p>
    <w:p w14:paraId="36927176" w14:textId="77777777" w:rsidR="00ED61E6" w:rsidRPr="006C7C8B" w:rsidRDefault="00ED61E6" w:rsidP="003A3F09">
      <w:pPr>
        <w:rPr>
          <w:lang w:val="en-GB"/>
        </w:rPr>
      </w:pPr>
    </w:p>
    <w:p w14:paraId="1ACC58D2" w14:textId="6246B48F" w:rsidR="00B91FDE" w:rsidRDefault="00012C2C" w:rsidP="001F223D">
      <w:pPr>
        <w:ind w:firstLine="708"/>
        <w:rPr>
          <w:rFonts w:cs="Arial"/>
          <w:lang w:val="en-US"/>
        </w:rPr>
      </w:pPr>
      <w:r>
        <w:rPr>
          <w:rFonts w:cs="Arial"/>
          <w:lang w:val="en-US"/>
        </w:rPr>
        <w:t>T</w:t>
      </w:r>
      <w:r w:rsidR="00B91FDE">
        <w:rPr>
          <w:rFonts w:cs="Arial"/>
          <w:lang w:val="en-US"/>
        </w:rPr>
        <w:t>he majority of students (74.9%) viewed</w:t>
      </w:r>
      <w:r w:rsidR="00B91FDE" w:rsidRPr="000A3DA6">
        <w:rPr>
          <w:rFonts w:cs="Arial"/>
          <w:lang w:val="en-US"/>
        </w:rPr>
        <w:t xml:space="preserve"> their peers to </w:t>
      </w:r>
      <w:r w:rsidR="00BD74ED">
        <w:rPr>
          <w:rFonts w:cs="Arial"/>
          <w:lang w:val="en-US"/>
        </w:rPr>
        <w:t>be</w:t>
      </w:r>
      <w:r w:rsidR="00B91FDE" w:rsidRPr="00036960">
        <w:rPr>
          <w:rFonts w:cs="Arial"/>
          <w:lang w:val="en-US"/>
        </w:rPr>
        <w:t xml:space="preserve"> more frequent </w:t>
      </w:r>
      <w:r w:rsidR="00BD74ED">
        <w:rPr>
          <w:rFonts w:cs="Arial"/>
          <w:lang w:val="en-US"/>
        </w:rPr>
        <w:t>users of tobacco</w:t>
      </w:r>
      <w:r w:rsidR="00B91FDE" w:rsidRPr="000A3DA6">
        <w:rPr>
          <w:rFonts w:cs="Arial"/>
          <w:lang w:val="en-US"/>
        </w:rPr>
        <w:t xml:space="preserve"> than themselves</w:t>
      </w:r>
      <w:r>
        <w:rPr>
          <w:rFonts w:cs="Arial"/>
          <w:lang w:val="en-US"/>
        </w:rPr>
        <w:t xml:space="preserve"> </w:t>
      </w:r>
      <w:r w:rsidR="0078565E">
        <w:rPr>
          <w:rFonts w:cs="Arial"/>
          <w:lang w:val="en-US"/>
        </w:rPr>
        <w:t>(</w:t>
      </w:r>
      <w:r w:rsidR="009C0F2B">
        <w:rPr>
          <w:rFonts w:cs="Arial"/>
          <w:lang w:val="en-US"/>
        </w:rPr>
        <w:t>78</w:t>
      </w:r>
      <w:r w:rsidR="00E630CB">
        <w:rPr>
          <w:rFonts w:cs="Arial"/>
          <w:lang w:val="en-US"/>
        </w:rPr>
        <w:t>.</w:t>
      </w:r>
      <w:r w:rsidR="009C0F2B">
        <w:rPr>
          <w:rFonts w:cs="Arial"/>
          <w:lang w:val="en-US"/>
        </w:rPr>
        <w:t>5% female, 66</w:t>
      </w:r>
      <w:r w:rsidR="00E630CB">
        <w:rPr>
          <w:rFonts w:cs="Arial"/>
          <w:lang w:val="en-US"/>
        </w:rPr>
        <w:t>.</w:t>
      </w:r>
      <w:r w:rsidR="009C0F2B">
        <w:rPr>
          <w:rFonts w:cs="Arial"/>
          <w:lang w:val="en-US"/>
        </w:rPr>
        <w:t>1% male</w:t>
      </w:r>
      <w:r>
        <w:rPr>
          <w:rFonts w:cs="Arial"/>
          <w:lang w:val="en-US"/>
        </w:rPr>
        <w:t>)</w:t>
      </w:r>
      <w:r w:rsidR="00431ECD">
        <w:rPr>
          <w:rFonts w:cs="Arial"/>
          <w:lang w:val="en-US"/>
        </w:rPr>
        <w:t xml:space="preserve"> </w:t>
      </w:r>
      <w:r w:rsidR="00431ECD" w:rsidRPr="00431ECD">
        <w:rPr>
          <w:rFonts w:cs="Arial"/>
          <w:i/>
          <w:lang w:val="en-US"/>
        </w:rPr>
        <w:t>(descriptive norm)</w:t>
      </w:r>
      <w:r w:rsidR="00971F87">
        <w:rPr>
          <w:rFonts w:cs="Arial"/>
          <w:lang w:val="en-US"/>
        </w:rPr>
        <w:t xml:space="preserve">. Fifteen percent </w:t>
      </w:r>
      <w:r w:rsidR="009C0F2B">
        <w:rPr>
          <w:rFonts w:cs="Arial"/>
          <w:lang w:val="en-US"/>
        </w:rPr>
        <w:t>(13% female, 20</w:t>
      </w:r>
      <w:r w:rsidR="00E630CB">
        <w:rPr>
          <w:rFonts w:cs="Arial"/>
          <w:lang w:val="en-US"/>
        </w:rPr>
        <w:t>.</w:t>
      </w:r>
      <w:r w:rsidR="009C0F2B">
        <w:rPr>
          <w:rFonts w:cs="Arial"/>
          <w:lang w:val="en-US"/>
        </w:rPr>
        <w:t xml:space="preserve">1% male) </w:t>
      </w:r>
      <w:r w:rsidR="00971F87">
        <w:rPr>
          <w:rFonts w:cs="Arial"/>
          <w:lang w:val="en-US"/>
        </w:rPr>
        <w:t xml:space="preserve">thought that their peers behaved similar to themselves and 10% </w:t>
      </w:r>
      <w:r w:rsidR="009C0F2B">
        <w:rPr>
          <w:rFonts w:cs="Arial"/>
          <w:lang w:val="en-US"/>
        </w:rPr>
        <w:t>(8</w:t>
      </w:r>
      <w:r w:rsidR="00E630CB">
        <w:rPr>
          <w:rFonts w:cs="Arial"/>
          <w:lang w:val="en-US"/>
        </w:rPr>
        <w:t>.</w:t>
      </w:r>
      <w:r w:rsidR="009C0F2B">
        <w:rPr>
          <w:rFonts w:cs="Arial"/>
          <w:lang w:val="en-US"/>
        </w:rPr>
        <w:t>5% female, 13</w:t>
      </w:r>
      <w:r w:rsidR="00E630CB">
        <w:rPr>
          <w:rFonts w:cs="Arial"/>
          <w:lang w:val="en-US"/>
        </w:rPr>
        <w:t>.</w:t>
      </w:r>
      <w:r w:rsidR="009C0F2B">
        <w:rPr>
          <w:rFonts w:cs="Arial"/>
          <w:lang w:val="en-US"/>
        </w:rPr>
        <w:t>8</w:t>
      </w:r>
      <w:r w:rsidR="00E630CB">
        <w:rPr>
          <w:rFonts w:cs="Arial"/>
          <w:lang w:val="en-US"/>
        </w:rPr>
        <w:t>%</w:t>
      </w:r>
      <w:r w:rsidR="009C0F2B">
        <w:rPr>
          <w:rFonts w:cs="Arial"/>
          <w:lang w:val="en-US"/>
        </w:rPr>
        <w:t xml:space="preserve"> male)</w:t>
      </w:r>
      <w:r w:rsidR="00E630CB">
        <w:rPr>
          <w:rFonts w:cs="Arial"/>
          <w:lang w:val="en-US"/>
        </w:rPr>
        <w:t xml:space="preserve"> </w:t>
      </w:r>
      <w:r w:rsidR="00971F87">
        <w:rPr>
          <w:rFonts w:cs="Arial"/>
          <w:lang w:val="en-US"/>
        </w:rPr>
        <w:t xml:space="preserve">believed that </w:t>
      </w:r>
      <w:r w:rsidR="00417132">
        <w:rPr>
          <w:rFonts w:cs="Arial"/>
          <w:lang w:val="en-US"/>
        </w:rPr>
        <w:t>students in their peer group consumed tobacco less frequent</w:t>
      </w:r>
      <w:r w:rsidR="00EF33B7">
        <w:rPr>
          <w:rFonts w:cs="Arial"/>
          <w:lang w:val="en-US"/>
        </w:rPr>
        <w:t>ly</w:t>
      </w:r>
      <w:r w:rsidR="00417132">
        <w:rPr>
          <w:rFonts w:cs="Arial"/>
          <w:lang w:val="en-US"/>
        </w:rPr>
        <w:t xml:space="preserve"> than themselves. </w:t>
      </w:r>
      <w:r>
        <w:rPr>
          <w:rFonts w:cs="Arial"/>
          <w:lang w:val="en-US"/>
        </w:rPr>
        <w:t>In addition</w:t>
      </w:r>
      <w:r w:rsidR="00B91FDE">
        <w:rPr>
          <w:rFonts w:cs="Arial"/>
          <w:lang w:val="en-US"/>
        </w:rPr>
        <w:t xml:space="preserve">, </w:t>
      </w:r>
      <w:r w:rsidR="00B91FDE">
        <w:rPr>
          <w:lang w:val="en-GB"/>
        </w:rPr>
        <w:t>more than half of the students (58.2%</w:t>
      </w:r>
      <w:r w:rsidR="004D2CEA">
        <w:rPr>
          <w:lang w:val="en-GB"/>
        </w:rPr>
        <w:t>;</w:t>
      </w:r>
      <w:r w:rsidR="007D42E7">
        <w:rPr>
          <w:lang w:val="en-GB"/>
        </w:rPr>
        <w:t xml:space="preserve"> 58</w:t>
      </w:r>
      <w:r w:rsidR="00E630CB">
        <w:rPr>
          <w:lang w:val="en-GB"/>
        </w:rPr>
        <w:t>.</w:t>
      </w:r>
      <w:r w:rsidR="007D42E7">
        <w:rPr>
          <w:lang w:val="en-GB"/>
        </w:rPr>
        <w:t>3% female, 57</w:t>
      </w:r>
      <w:r w:rsidR="00E630CB">
        <w:rPr>
          <w:lang w:val="en-GB"/>
        </w:rPr>
        <w:t>.</w:t>
      </w:r>
      <w:r w:rsidR="007D42E7">
        <w:rPr>
          <w:lang w:val="en-GB"/>
        </w:rPr>
        <w:t>9% male</w:t>
      </w:r>
      <w:r w:rsidR="00B91FDE">
        <w:rPr>
          <w:lang w:val="en-GB"/>
        </w:rPr>
        <w:t>)</w:t>
      </w:r>
      <w:r w:rsidR="00B91FDE">
        <w:rPr>
          <w:rFonts w:ascii="Cambria Math" w:hAnsi="Cambria Math" w:cs="Cambria Math"/>
          <w:lang w:val="en-US"/>
        </w:rPr>
        <w:t xml:space="preserve"> </w:t>
      </w:r>
      <w:r w:rsidR="00B91FDE">
        <w:rPr>
          <w:lang w:val="en-GB"/>
        </w:rPr>
        <w:t>perceived</w:t>
      </w:r>
      <w:r w:rsidR="00B91FDE" w:rsidRPr="009D6381">
        <w:rPr>
          <w:lang w:val="en-GB"/>
        </w:rPr>
        <w:t xml:space="preserve"> their peers to be more </w:t>
      </w:r>
      <w:r w:rsidR="00F06C47">
        <w:rPr>
          <w:lang w:val="en-GB"/>
        </w:rPr>
        <w:t>accepting</w:t>
      </w:r>
      <w:r w:rsidR="00B91FDE" w:rsidRPr="009D6381">
        <w:rPr>
          <w:lang w:val="en-GB"/>
        </w:rPr>
        <w:t xml:space="preserve"> of </w:t>
      </w:r>
      <w:r w:rsidR="00B91FDE">
        <w:rPr>
          <w:lang w:val="en-GB"/>
        </w:rPr>
        <w:t>smoking than themselves</w:t>
      </w:r>
      <w:r w:rsidR="00B91FDE" w:rsidRPr="009D6381">
        <w:rPr>
          <w:lang w:val="en-GB"/>
        </w:rPr>
        <w:t>.</w:t>
      </w:r>
      <w:r w:rsidR="00B91FDE">
        <w:rPr>
          <w:rFonts w:cs="Arial"/>
          <w:lang w:val="en-US"/>
        </w:rPr>
        <w:t xml:space="preserve"> </w:t>
      </w:r>
      <w:r w:rsidR="00F173AC">
        <w:rPr>
          <w:rFonts w:cs="Arial"/>
          <w:lang w:val="en-US"/>
        </w:rPr>
        <w:t xml:space="preserve">Thirty-two percent believed approval to be equal </w:t>
      </w:r>
      <w:r w:rsidR="007D42E7">
        <w:rPr>
          <w:rFonts w:cs="Arial"/>
          <w:lang w:val="en-US"/>
        </w:rPr>
        <w:t>(32</w:t>
      </w:r>
      <w:r w:rsidR="00E630CB">
        <w:rPr>
          <w:rFonts w:cs="Arial"/>
          <w:lang w:val="en-US"/>
        </w:rPr>
        <w:t>.</w:t>
      </w:r>
      <w:r w:rsidR="007D42E7">
        <w:rPr>
          <w:rFonts w:cs="Arial"/>
          <w:lang w:val="en-US"/>
        </w:rPr>
        <w:t xml:space="preserve">6% female, 31% male) </w:t>
      </w:r>
      <w:r w:rsidR="00F173AC">
        <w:rPr>
          <w:rFonts w:cs="Arial"/>
          <w:lang w:val="en-US"/>
        </w:rPr>
        <w:t xml:space="preserve">and 9.7% </w:t>
      </w:r>
      <w:r w:rsidR="007D42E7">
        <w:rPr>
          <w:rFonts w:cs="Arial"/>
          <w:lang w:val="en-US"/>
        </w:rPr>
        <w:t>(9</w:t>
      </w:r>
      <w:r w:rsidR="00E630CB">
        <w:rPr>
          <w:rFonts w:cs="Arial"/>
          <w:lang w:val="en-US"/>
        </w:rPr>
        <w:t>.</w:t>
      </w:r>
      <w:r w:rsidR="007D42E7">
        <w:rPr>
          <w:rFonts w:cs="Arial"/>
          <w:lang w:val="en-US"/>
        </w:rPr>
        <w:t>1% female, 11</w:t>
      </w:r>
      <w:r w:rsidR="00E630CB">
        <w:rPr>
          <w:rFonts w:cs="Arial"/>
          <w:lang w:val="en-US"/>
        </w:rPr>
        <w:t>.</w:t>
      </w:r>
      <w:r w:rsidR="007D42E7">
        <w:rPr>
          <w:rFonts w:cs="Arial"/>
          <w:lang w:val="en-US"/>
        </w:rPr>
        <w:t xml:space="preserve">2% male) </w:t>
      </w:r>
      <w:r w:rsidR="00F173AC">
        <w:rPr>
          <w:rFonts w:cs="Arial"/>
          <w:lang w:val="en-US"/>
        </w:rPr>
        <w:t>thought that the peer group approved of tobacco use less than themselves</w:t>
      </w:r>
      <w:r w:rsidR="00634356">
        <w:rPr>
          <w:rFonts w:cs="Arial"/>
          <w:lang w:val="en-US"/>
        </w:rPr>
        <w:t xml:space="preserve"> (</w:t>
      </w:r>
      <w:r w:rsidR="00634356" w:rsidRPr="00634356">
        <w:rPr>
          <w:rFonts w:cs="Arial"/>
          <w:i/>
          <w:lang w:val="en-US"/>
        </w:rPr>
        <w:t>injunctive norm</w:t>
      </w:r>
      <w:r w:rsidR="00634356">
        <w:rPr>
          <w:rFonts w:cs="Arial"/>
          <w:lang w:val="en-US"/>
        </w:rPr>
        <w:t>)</w:t>
      </w:r>
      <w:r w:rsidR="00F173AC">
        <w:rPr>
          <w:rFonts w:cs="Arial"/>
          <w:lang w:val="en-US"/>
        </w:rPr>
        <w:t>.</w:t>
      </w:r>
    </w:p>
    <w:p w14:paraId="2C783154" w14:textId="57C9B279" w:rsidR="00B135FE" w:rsidRDefault="00E463B8" w:rsidP="001F223D">
      <w:pPr>
        <w:ind w:firstLine="708"/>
        <w:rPr>
          <w:lang w:val="en-GB"/>
        </w:rPr>
      </w:pPr>
      <w:r>
        <w:rPr>
          <w:lang w:val="en-GB"/>
        </w:rPr>
        <w:t>Perceived</w:t>
      </w:r>
      <w:r w:rsidR="00B91FDE">
        <w:rPr>
          <w:lang w:val="en-GB"/>
        </w:rPr>
        <w:t xml:space="preserve"> peer use</w:t>
      </w:r>
      <w:r w:rsidR="00B91FDE" w:rsidRPr="009D6381">
        <w:rPr>
          <w:lang w:val="en-GB"/>
        </w:rPr>
        <w:t xml:space="preserve"> </w:t>
      </w:r>
      <w:r w:rsidR="003B67B6">
        <w:rPr>
          <w:lang w:val="en-GB"/>
        </w:rPr>
        <w:t xml:space="preserve">of tobacco </w:t>
      </w:r>
      <w:r w:rsidR="00B91FDE" w:rsidRPr="009D6381">
        <w:rPr>
          <w:lang w:val="en-GB"/>
        </w:rPr>
        <w:t>was associat</w:t>
      </w:r>
      <w:r w:rsidR="00B91FDE">
        <w:rPr>
          <w:lang w:val="en-GB"/>
        </w:rPr>
        <w:t xml:space="preserve">ed with a higher likelihood for </w:t>
      </w:r>
      <w:r w:rsidR="00765C65">
        <w:rPr>
          <w:lang w:val="en-GB"/>
        </w:rPr>
        <w:t>regular personal smoking</w:t>
      </w:r>
      <w:r w:rsidR="00012C2C">
        <w:rPr>
          <w:lang w:val="en-GB"/>
        </w:rPr>
        <w:t xml:space="preserve"> (see Table </w:t>
      </w:r>
      <w:r w:rsidR="00C26488">
        <w:rPr>
          <w:lang w:val="en-GB"/>
        </w:rPr>
        <w:t>A.</w:t>
      </w:r>
      <w:r w:rsidR="005944CD">
        <w:rPr>
          <w:lang w:val="en-GB"/>
        </w:rPr>
        <w:t>4</w:t>
      </w:r>
      <w:r w:rsidR="00012C2C">
        <w:rPr>
          <w:lang w:val="en-GB"/>
        </w:rPr>
        <w:t>)</w:t>
      </w:r>
      <w:r w:rsidR="00765C65">
        <w:rPr>
          <w:lang w:val="en-GB"/>
        </w:rPr>
        <w:t xml:space="preserve">. </w:t>
      </w:r>
      <w:r w:rsidR="00B91FDE">
        <w:rPr>
          <w:lang w:val="en-GB"/>
        </w:rPr>
        <w:t>Students who th</w:t>
      </w:r>
      <w:r w:rsidR="00F51E32">
        <w:rPr>
          <w:lang w:val="en-GB"/>
        </w:rPr>
        <w:t>ought</w:t>
      </w:r>
      <w:r w:rsidR="00B91FDE">
        <w:rPr>
          <w:lang w:val="en-GB"/>
        </w:rPr>
        <w:t xml:space="preserve"> that the majority of </w:t>
      </w:r>
      <w:r w:rsidR="00F51E32">
        <w:rPr>
          <w:lang w:val="en-GB"/>
        </w:rPr>
        <w:t xml:space="preserve">their </w:t>
      </w:r>
      <w:r w:rsidR="00B91FDE">
        <w:rPr>
          <w:lang w:val="en-GB"/>
        </w:rPr>
        <w:t>peers smoke</w:t>
      </w:r>
      <w:r w:rsidR="00F51E32">
        <w:rPr>
          <w:lang w:val="en-GB"/>
        </w:rPr>
        <w:t>d</w:t>
      </w:r>
      <w:r w:rsidR="00B91FDE">
        <w:rPr>
          <w:lang w:val="en-GB"/>
        </w:rPr>
        <w:t xml:space="preserve"> </w:t>
      </w:r>
      <w:r w:rsidR="00C1362A">
        <w:rPr>
          <w:lang w:val="en-GB"/>
        </w:rPr>
        <w:t xml:space="preserve">at least three times a week </w:t>
      </w:r>
      <w:r w:rsidR="00B91FDE">
        <w:rPr>
          <w:lang w:val="en-GB"/>
        </w:rPr>
        <w:t>ha</w:t>
      </w:r>
      <w:r w:rsidR="00F51E32">
        <w:rPr>
          <w:lang w:val="en-GB"/>
        </w:rPr>
        <w:t>d</w:t>
      </w:r>
      <w:r w:rsidR="00B91FDE">
        <w:rPr>
          <w:lang w:val="en-GB"/>
        </w:rPr>
        <w:t xml:space="preserve"> a 2.66 (95% CI: 1.90-3.73) times higher likelihood to </w:t>
      </w:r>
      <w:r w:rsidR="00C1362A">
        <w:rPr>
          <w:lang w:val="en-GB"/>
        </w:rPr>
        <w:t xml:space="preserve">smoke at least </w:t>
      </w:r>
      <w:r w:rsidR="00FF60CB" w:rsidRPr="009F0F54">
        <w:rPr>
          <w:rFonts w:eastAsia="SimSun"/>
          <w:lang w:val="en-GB" w:eastAsia="zh-CN"/>
        </w:rPr>
        <w:t xml:space="preserve">three times every week </w:t>
      </w:r>
      <w:r w:rsidR="0047774F">
        <w:rPr>
          <w:rFonts w:eastAsia="SimSun"/>
          <w:lang w:val="en-GB" w:eastAsia="zh-CN"/>
        </w:rPr>
        <w:t>(</w:t>
      </w:r>
      <w:r w:rsidR="00FF60CB" w:rsidRPr="009F0F54">
        <w:rPr>
          <w:rFonts w:eastAsia="SimSun"/>
          <w:lang w:val="en-GB" w:eastAsia="zh-CN"/>
        </w:rPr>
        <w:t xml:space="preserve">in the </w:t>
      </w:r>
      <w:r w:rsidR="0047774F">
        <w:rPr>
          <w:rFonts w:eastAsia="SimSun"/>
          <w:lang w:val="en-GB" w:eastAsia="zh-CN"/>
        </w:rPr>
        <w:t>past</w:t>
      </w:r>
      <w:r w:rsidR="00FF60CB" w:rsidRPr="009F0F54">
        <w:rPr>
          <w:rFonts w:eastAsia="SimSun"/>
          <w:lang w:val="en-GB" w:eastAsia="zh-CN"/>
        </w:rPr>
        <w:t xml:space="preserve"> two </w:t>
      </w:r>
      <w:r w:rsidR="00E06D21">
        <w:rPr>
          <w:rFonts w:eastAsia="SimSun"/>
          <w:lang w:val="en-GB" w:eastAsia="zh-CN"/>
        </w:rPr>
        <w:t>months</w:t>
      </w:r>
      <w:r w:rsidR="0047774F">
        <w:rPr>
          <w:rFonts w:eastAsia="SimSun"/>
          <w:lang w:val="en-GB" w:eastAsia="zh-CN"/>
        </w:rPr>
        <w:t>)</w:t>
      </w:r>
      <w:r w:rsidR="00E06D21">
        <w:rPr>
          <w:rFonts w:eastAsia="SimSun"/>
          <w:lang w:val="en-GB" w:eastAsia="zh-CN"/>
        </w:rPr>
        <w:t xml:space="preserve"> </w:t>
      </w:r>
      <w:r w:rsidR="00F51E32">
        <w:rPr>
          <w:lang w:val="en-GB"/>
        </w:rPr>
        <w:t>themselves</w:t>
      </w:r>
      <w:r w:rsidR="00B91FDE">
        <w:rPr>
          <w:lang w:val="en-GB"/>
        </w:rPr>
        <w:t xml:space="preserve"> compared with </w:t>
      </w:r>
      <w:r w:rsidR="0047774F">
        <w:rPr>
          <w:lang w:val="en-GB"/>
        </w:rPr>
        <w:t>students who never smoked</w:t>
      </w:r>
      <w:r w:rsidR="00B91FDE" w:rsidRPr="009D6381">
        <w:rPr>
          <w:lang w:val="en-GB"/>
        </w:rPr>
        <w:t>.</w:t>
      </w:r>
      <w:r w:rsidR="00B91FDE">
        <w:rPr>
          <w:lang w:val="en-GB"/>
        </w:rPr>
        <w:t xml:space="preserve"> The odds for reporting tobacco use </w:t>
      </w:r>
      <w:r w:rsidR="00C1362A">
        <w:rPr>
          <w:lang w:val="en-GB"/>
        </w:rPr>
        <w:t xml:space="preserve">at most twice a week </w:t>
      </w:r>
      <w:r w:rsidR="00B91FDE">
        <w:rPr>
          <w:lang w:val="en-GB"/>
        </w:rPr>
        <w:t xml:space="preserve">instead of </w:t>
      </w:r>
      <w:r w:rsidR="00C1362A">
        <w:rPr>
          <w:lang w:val="en-GB"/>
        </w:rPr>
        <w:t>never</w:t>
      </w:r>
      <w:r w:rsidR="00B91FDE">
        <w:rPr>
          <w:lang w:val="en-GB"/>
        </w:rPr>
        <w:t xml:space="preserve"> </w:t>
      </w:r>
      <w:r w:rsidR="00447111">
        <w:rPr>
          <w:lang w:val="en-GB"/>
        </w:rPr>
        <w:t xml:space="preserve">use </w:t>
      </w:r>
      <w:r w:rsidR="00F51E32">
        <w:rPr>
          <w:lang w:val="en-GB"/>
        </w:rPr>
        <w:t>was</w:t>
      </w:r>
      <w:r w:rsidR="00B91FDE">
        <w:rPr>
          <w:lang w:val="en-GB"/>
        </w:rPr>
        <w:t xml:space="preserve"> 2.52 (95% CI: 1.68-3.79) if students perceive</w:t>
      </w:r>
      <w:r w:rsidR="00F51E32">
        <w:rPr>
          <w:lang w:val="en-GB"/>
        </w:rPr>
        <w:t>d</w:t>
      </w:r>
      <w:r w:rsidR="00B91FDE">
        <w:rPr>
          <w:lang w:val="en-GB"/>
        </w:rPr>
        <w:t xml:space="preserve"> that the majority of students </w:t>
      </w:r>
      <w:r w:rsidR="00C1362A">
        <w:rPr>
          <w:lang w:val="en-GB"/>
        </w:rPr>
        <w:t>smoked at most twice a week</w:t>
      </w:r>
      <w:r w:rsidR="00B91FDE">
        <w:rPr>
          <w:lang w:val="en-GB"/>
        </w:rPr>
        <w:t xml:space="preserve">. </w:t>
      </w:r>
      <w:r w:rsidR="00012C2C">
        <w:rPr>
          <w:lang w:val="en-GB"/>
        </w:rPr>
        <w:t>M</w:t>
      </w:r>
      <w:r w:rsidR="00B91FDE" w:rsidRPr="009D6381">
        <w:rPr>
          <w:lang w:val="en-GB"/>
        </w:rPr>
        <w:t xml:space="preserve">ale </w:t>
      </w:r>
      <w:r w:rsidR="00B91FDE">
        <w:rPr>
          <w:lang w:val="en-GB"/>
        </w:rPr>
        <w:t>(OR: 1.77,</w:t>
      </w:r>
      <w:r w:rsidR="002F693C">
        <w:rPr>
          <w:lang w:val="en-GB"/>
        </w:rPr>
        <w:t xml:space="preserve"> 95%</w:t>
      </w:r>
      <w:r w:rsidR="00B91FDE">
        <w:rPr>
          <w:lang w:val="en-GB"/>
        </w:rPr>
        <w:t xml:space="preserve"> CI: 1.45-2.15) </w:t>
      </w:r>
      <w:r w:rsidR="00B91FDE" w:rsidRPr="009D6381">
        <w:rPr>
          <w:lang w:val="en-GB"/>
        </w:rPr>
        <w:t>and older students</w:t>
      </w:r>
      <w:r w:rsidR="00B91FDE">
        <w:rPr>
          <w:lang w:val="en-GB"/>
        </w:rPr>
        <w:t xml:space="preserve"> (OR: 1.02, </w:t>
      </w:r>
      <w:r w:rsidR="002F693C">
        <w:rPr>
          <w:lang w:val="en-GB"/>
        </w:rPr>
        <w:t xml:space="preserve">95% </w:t>
      </w:r>
      <w:r w:rsidR="00B91FDE">
        <w:rPr>
          <w:lang w:val="en-GB"/>
        </w:rPr>
        <w:t>CI: 1.00-1.05)</w:t>
      </w:r>
      <w:r w:rsidR="00B91FDE" w:rsidRPr="009D6381">
        <w:rPr>
          <w:lang w:val="en-GB"/>
        </w:rPr>
        <w:t xml:space="preserve"> were more likely to </w:t>
      </w:r>
      <w:r w:rsidR="00B91FDE">
        <w:rPr>
          <w:lang w:val="en-GB"/>
        </w:rPr>
        <w:t xml:space="preserve">report </w:t>
      </w:r>
      <w:r w:rsidR="00C1362A">
        <w:rPr>
          <w:lang w:val="en-GB"/>
        </w:rPr>
        <w:t>smok</w:t>
      </w:r>
      <w:r w:rsidR="00447111">
        <w:rPr>
          <w:lang w:val="en-GB"/>
        </w:rPr>
        <w:t>ing</w:t>
      </w:r>
      <w:r w:rsidR="00C1362A">
        <w:rPr>
          <w:lang w:val="en-GB"/>
        </w:rPr>
        <w:t xml:space="preserve"> at least three times a week</w:t>
      </w:r>
      <w:r w:rsidR="00B91FDE">
        <w:rPr>
          <w:lang w:val="en-GB"/>
        </w:rPr>
        <w:t xml:space="preserve"> compared to </w:t>
      </w:r>
      <w:r w:rsidR="00447111">
        <w:rPr>
          <w:lang w:val="en-GB"/>
        </w:rPr>
        <w:t>those reporting that they never smoked</w:t>
      </w:r>
      <w:r w:rsidR="00D2319E">
        <w:rPr>
          <w:lang w:val="en-GB"/>
        </w:rPr>
        <w:t>.</w:t>
      </w:r>
      <w:r w:rsidR="00B91FDE">
        <w:rPr>
          <w:lang w:val="en-GB"/>
        </w:rPr>
        <w:t xml:space="preserve"> </w:t>
      </w:r>
    </w:p>
    <w:p w14:paraId="1A85D675" w14:textId="32E84F9C" w:rsidR="009807F1" w:rsidRPr="005A314D" w:rsidRDefault="009807F1" w:rsidP="009807F1">
      <w:pPr>
        <w:spacing w:after="0" w:line="240" w:lineRule="auto"/>
        <w:rPr>
          <w:b/>
          <w:lang w:val="en-US"/>
        </w:rPr>
      </w:pPr>
      <w:r>
        <w:rPr>
          <w:b/>
          <w:lang w:val="en-US"/>
        </w:rPr>
        <w:t xml:space="preserve">Table </w:t>
      </w:r>
      <w:r w:rsidR="00C26488">
        <w:rPr>
          <w:b/>
          <w:lang w:val="en-US"/>
        </w:rPr>
        <w:t>A.</w:t>
      </w:r>
      <w:r w:rsidR="004244F5">
        <w:rPr>
          <w:b/>
          <w:lang w:val="en-US"/>
        </w:rPr>
        <w:t>4</w:t>
      </w:r>
      <w:r w:rsidR="00C26488">
        <w:rPr>
          <w:b/>
          <w:lang w:val="en-US"/>
        </w:rPr>
        <w:tab/>
      </w:r>
      <w:r w:rsidRPr="005A314D">
        <w:rPr>
          <w:b/>
          <w:lang w:val="en-US"/>
        </w:rPr>
        <w:t>Association between perceived behavior of peers and own tobacco use adjusted for country, age, sex, study year and living situation – Results of a multinomial logistic regression</w:t>
      </w:r>
      <w:r w:rsidR="005B7F32">
        <w:rPr>
          <w:b/>
          <w:lang w:val="en-US"/>
        </w:rPr>
        <w:t>*</w:t>
      </w:r>
      <w:r w:rsidRPr="005A314D">
        <w:rPr>
          <w:b/>
          <w:lang w:val="en-US"/>
        </w:rPr>
        <w:t>.</w:t>
      </w:r>
    </w:p>
    <w:tbl>
      <w:tblPr>
        <w:tblW w:w="0" w:type="auto"/>
        <w:tblInd w:w="93" w:type="dxa"/>
        <w:tblLayout w:type="fixed"/>
        <w:tblLook w:val="00A0" w:firstRow="1" w:lastRow="0" w:firstColumn="1" w:lastColumn="0" w:noHBand="0" w:noVBand="0"/>
      </w:tblPr>
      <w:tblGrid>
        <w:gridCol w:w="2343"/>
        <w:gridCol w:w="1233"/>
        <w:gridCol w:w="1575"/>
        <w:gridCol w:w="1576"/>
        <w:gridCol w:w="2234"/>
      </w:tblGrid>
      <w:tr w:rsidR="009807F1" w:rsidRPr="000A2DC3" w14:paraId="10E8B34C"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1B80FEDA" w14:textId="77777777" w:rsidR="009807F1" w:rsidRPr="00EC7850" w:rsidRDefault="009807F1" w:rsidP="002731ED">
            <w:pPr>
              <w:spacing w:after="0" w:line="240" w:lineRule="auto"/>
              <w:rPr>
                <w:sz w:val="20"/>
                <w:szCs w:val="20"/>
                <w:lang w:val="en-US"/>
              </w:rPr>
            </w:pPr>
            <w:r>
              <w:rPr>
                <w:sz w:val="20"/>
                <w:szCs w:val="20"/>
                <w:lang w:val="en-US"/>
              </w:rPr>
              <w:t>Variables</w:t>
            </w:r>
          </w:p>
        </w:tc>
        <w:tc>
          <w:tcPr>
            <w:tcW w:w="1233" w:type="dxa"/>
            <w:tcBorders>
              <w:top w:val="single" w:sz="8" w:space="0" w:color="auto"/>
              <w:left w:val="nil"/>
              <w:bottom w:val="single" w:sz="8" w:space="0" w:color="auto"/>
              <w:right w:val="single" w:sz="8" w:space="0" w:color="auto"/>
            </w:tcBorders>
            <w:vAlign w:val="center"/>
          </w:tcPr>
          <w:p w14:paraId="3EBDBB73" w14:textId="77777777" w:rsidR="009807F1" w:rsidRPr="00EC7850" w:rsidRDefault="009807F1" w:rsidP="002731ED">
            <w:pPr>
              <w:spacing w:after="0" w:line="240" w:lineRule="auto"/>
              <w:rPr>
                <w:sz w:val="20"/>
                <w:szCs w:val="20"/>
                <w:lang w:val="en-US"/>
              </w:rPr>
            </w:pPr>
          </w:p>
        </w:tc>
        <w:tc>
          <w:tcPr>
            <w:tcW w:w="1575" w:type="dxa"/>
            <w:tcBorders>
              <w:top w:val="single" w:sz="8" w:space="0" w:color="auto"/>
              <w:left w:val="nil"/>
              <w:bottom w:val="single" w:sz="8" w:space="0" w:color="auto"/>
              <w:right w:val="single" w:sz="8" w:space="0" w:color="000000"/>
            </w:tcBorders>
            <w:vAlign w:val="center"/>
          </w:tcPr>
          <w:p w14:paraId="0FCD04D8" w14:textId="77777777" w:rsidR="009807F1" w:rsidRPr="002E58A5" w:rsidRDefault="009807F1" w:rsidP="002731ED">
            <w:pPr>
              <w:spacing w:after="0" w:line="240" w:lineRule="auto"/>
              <w:rPr>
                <w:sz w:val="20"/>
                <w:szCs w:val="20"/>
                <w:lang w:val="en-GB" w:eastAsia="de-DE"/>
              </w:rPr>
            </w:pPr>
            <w:r>
              <w:rPr>
                <w:sz w:val="20"/>
                <w:szCs w:val="20"/>
                <w:lang w:val="en-GB" w:eastAsia="de-DE"/>
              </w:rPr>
              <w:t>Smoked in the last two months: three times</w:t>
            </w:r>
            <w:r w:rsidRPr="000F5771">
              <w:rPr>
                <w:sz w:val="20"/>
                <w:szCs w:val="20"/>
                <w:lang w:val="en-GB" w:eastAsia="de-DE"/>
              </w:rPr>
              <w:t xml:space="preserve"> a week or more often</w:t>
            </w:r>
            <w:r>
              <w:rPr>
                <w:sz w:val="20"/>
                <w:szCs w:val="20"/>
                <w:lang w:val="en-GB" w:eastAsia="de-DE"/>
              </w:rPr>
              <w:t xml:space="preserve"> vs. Never </w:t>
            </w:r>
          </w:p>
        </w:tc>
        <w:tc>
          <w:tcPr>
            <w:tcW w:w="1576" w:type="dxa"/>
            <w:tcBorders>
              <w:top w:val="single" w:sz="8" w:space="0" w:color="auto"/>
              <w:left w:val="nil"/>
              <w:bottom w:val="single" w:sz="8" w:space="0" w:color="auto"/>
              <w:right w:val="single" w:sz="8" w:space="0" w:color="000000"/>
            </w:tcBorders>
            <w:vAlign w:val="center"/>
          </w:tcPr>
          <w:p w14:paraId="473F92AF" w14:textId="77777777" w:rsidR="009807F1" w:rsidRPr="00EC7850" w:rsidRDefault="009807F1" w:rsidP="002731ED">
            <w:pPr>
              <w:spacing w:after="0" w:line="240" w:lineRule="auto"/>
              <w:rPr>
                <w:sz w:val="20"/>
                <w:szCs w:val="20"/>
                <w:lang w:val="en-US"/>
              </w:rPr>
            </w:pPr>
            <w:r>
              <w:rPr>
                <w:sz w:val="20"/>
                <w:szCs w:val="20"/>
                <w:lang w:val="en-GB" w:eastAsia="de-DE"/>
              </w:rPr>
              <w:t>Smoked in the last two months: a</w:t>
            </w:r>
            <w:r w:rsidRPr="000F5771">
              <w:rPr>
                <w:sz w:val="20"/>
                <w:szCs w:val="20"/>
                <w:lang w:val="en-GB" w:eastAsia="de-DE"/>
              </w:rPr>
              <w:t>t most twice a week</w:t>
            </w:r>
            <w:r>
              <w:rPr>
                <w:sz w:val="20"/>
                <w:szCs w:val="20"/>
                <w:lang w:val="en-GB" w:eastAsia="de-DE"/>
              </w:rPr>
              <w:t xml:space="preserve"> vs. Never </w:t>
            </w:r>
          </w:p>
        </w:tc>
        <w:tc>
          <w:tcPr>
            <w:tcW w:w="2234" w:type="dxa"/>
            <w:tcBorders>
              <w:top w:val="single" w:sz="8" w:space="0" w:color="auto"/>
              <w:left w:val="nil"/>
              <w:bottom w:val="single" w:sz="8" w:space="0" w:color="auto"/>
              <w:right w:val="single" w:sz="8" w:space="0" w:color="000000"/>
            </w:tcBorders>
            <w:vAlign w:val="center"/>
          </w:tcPr>
          <w:p w14:paraId="6CEB1099" w14:textId="77777777" w:rsidR="009807F1" w:rsidRPr="00EC7850" w:rsidRDefault="009807F1" w:rsidP="002731ED">
            <w:pPr>
              <w:spacing w:after="0" w:line="240" w:lineRule="auto"/>
              <w:rPr>
                <w:sz w:val="20"/>
                <w:szCs w:val="20"/>
                <w:lang w:val="en-US"/>
              </w:rPr>
            </w:pPr>
            <w:r w:rsidRPr="002E58A5">
              <w:rPr>
                <w:sz w:val="20"/>
                <w:szCs w:val="20"/>
                <w:lang w:val="en-GB" w:eastAsia="de-DE"/>
              </w:rPr>
              <w:t>Not in the last two months</w:t>
            </w:r>
            <w:r>
              <w:rPr>
                <w:sz w:val="20"/>
                <w:szCs w:val="20"/>
                <w:lang w:val="en-US"/>
              </w:rPr>
              <w:t xml:space="preserve"> vs. Never </w:t>
            </w:r>
          </w:p>
        </w:tc>
      </w:tr>
      <w:tr w:rsidR="009807F1" w:rsidRPr="000A46F4" w14:paraId="2B3B0E3C" w14:textId="77777777" w:rsidTr="002731ED">
        <w:trPr>
          <w:trHeight w:val="275"/>
        </w:trPr>
        <w:tc>
          <w:tcPr>
            <w:tcW w:w="2343" w:type="dxa"/>
            <w:tcBorders>
              <w:top w:val="single" w:sz="8" w:space="0" w:color="auto"/>
              <w:left w:val="single" w:sz="8" w:space="0" w:color="auto"/>
              <w:bottom w:val="single" w:sz="8" w:space="0" w:color="auto"/>
              <w:right w:val="single" w:sz="8" w:space="0" w:color="000000"/>
            </w:tcBorders>
            <w:vAlign w:val="center"/>
          </w:tcPr>
          <w:p w14:paraId="4A332BDF" w14:textId="77777777" w:rsidR="009807F1" w:rsidRPr="00EC7850" w:rsidRDefault="009807F1" w:rsidP="002731ED">
            <w:pPr>
              <w:spacing w:after="0" w:line="240" w:lineRule="auto"/>
              <w:rPr>
                <w:sz w:val="20"/>
                <w:szCs w:val="20"/>
                <w:lang w:val="en-US"/>
              </w:rPr>
            </w:pPr>
          </w:p>
        </w:tc>
        <w:tc>
          <w:tcPr>
            <w:tcW w:w="1233" w:type="dxa"/>
            <w:tcBorders>
              <w:top w:val="nil"/>
              <w:left w:val="nil"/>
              <w:bottom w:val="single" w:sz="8" w:space="0" w:color="auto"/>
              <w:right w:val="single" w:sz="8" w:space="0" w:color="auto"/>
            </w:tcBorders>
            <w:vAlign w:val="center"/>
          </w:tcPr>
          <w:p w14:paraId="2826EBDF" w14:textId="77777777" w:rsidR="009807F1" w:rsidRPr="00EC7850" w:rsidRDefault="009807F1" w:rsidP="002731ED">
            <w:pPr>
              <w:spacing w:after="0" w:line="240" w:lineRule="auto"/>
              <w:rPr>
                <w:sz w:val="20"/>
                <w:szCs w:val="20"/>
                <w:lang w:val="en-US"/>
              </w:rPr>
            </w:pPr>
            <w:r w:rsidRPr="00EC7850">
              <w:rPr>
                <w:sz w:val="20"/>
                <w:szCs w:val="20"/>
                <w:lang w:val="en-US"/>
              </w:rPr>
              <w:t xml:space="preserve">Proportion </w:t>
            </w:r>
            <w:r>
              <w:rPr>
                <w:sz w:val="20"/>
                <w:szCs w:val="20"/>
                <w:lang w:val="en-US"/>
              </w:rPr>
              <w:t xml:space="preserve">n </w:t>
            </w:r>
            <w:r w:rsidRPr="00EC7850">
              <w:rPr>
                <w:sz w:val="20"/>
                <w:szCs w:val="20"/>
                <w:lang w:val="en-US"/>
              </w:rPr>
              <w:t>(%)</w:t>
            </w:r>
          </w:p>
        </w:tc>
        <w:tc>
          <w:tcPr>
            <w:tcW w:w="1575" w:type="dxa"/>
            <w:tcBorders>
              <w:top w:val="nil"/>
              <w:left w:val="nil"/>
              <w:bottom w:val="single" w:sz="8" w:space="0" w:color="auto"/>
              <w:right w:val="single" w:sz="8" w:space="0" w:color="000000"/>
            </w:tcBorders>
            <w:vAlign w:val="center"/>
          </w:tcPr>
          <w:p w14:paraId="78338607" w14:textId="77777777" w:rsidR="009807F1" w:rsidRPr="00EC7850" w:rsidRDefault="009807F1" w:rsidP="002731ED">
            <w:pPr>
              <w:spacing w:after="0" w:line="240" w:lineRule="auto"/>
              <w:rPr>
                <w:sz w:val="20"/>
                <w:szCs w:val="20"/>
                <w:lang w:val="en-US"/>
              </w:rPr>
            </w:pPr>
            <w:r>
              <w:rPr>
                <w:sz w:val="20"/>
                <w:szCs w:val="20"/>
                <w:lang w:val="en-US"/>
              </w:rPr>
              <w:t>OR (</w:t>
            </w:r>
            <w:r w:rsidRPr="00EC7850">
              <w:rPr>
                <w:sz w:val="20"/>
                <w:szCs w:val="20"/>
                <w:lang w:val="en-US"/>
              </w:rPr>
              <w:t>95% C.I.</w:t>
            </w:r>
            <w:r>
              <w:rPr>
                <w:sz w:val="20"/>
                <w:szCs w:val="20"/>
                <w:lang w:val="en-US"/>
              </w:rPr>
              <w:t>)</w:t>
            </w:r>
          </w:p>
        </w:tc>
        <w:tc>
          <w:tcPr>
            <w:tcW w:w="1576" w:type="dxa"/>
            <w:tcBorders>
              <w:top w:val="single" w:sz="8" w:space="0" w:color="auto"/>
              <w:left w:val="nil"/>
              <w:bottom w:val="single" w:sz="8" w:space="0" w:color="auto"/>
              <w:right w:val="single" w:sz="8" w:space="0" w:color="000000"/>
            </w:tcBorders>
            <w:vAlign w:val="center"/>
          </w:tcPr>
          <w:p w14:paraId="6BA9A756" w14:textId="77777777" w:rsidR="009807F1" w:rsidRPr="00EC7850" w:rsidRDefault="009807F1" w:rsidP="002731ED">
            <w:pPr>
              <w:spacing w:after="0" w:line="240" w:lineRule="auto"/>
              <w:rPr>
                <w:sz w:val="20"/>
                <w:szCs w:val="20"/>
                <w:lang w:val="en-US"/>
              </w:rPr>
            </w:pPr>
            <w:r>
              <w:rPr>
                <w:sz w:val="20"/>
                <w:szCs w:val="20"/>
                <w:lang w:val="en-US"/>
              </w:rPr>
              <w:t>OR (</w:t>
            </w:r>
            <w:r w:rsidRPr="00EC7850">
              <w:rPr>
                <w:sz w:val="20"/>
                <w:szCs w:val="20"/>
                <w:lang w:val="en-US"/>
              </w:rPr>
              <w:t>95% C.I.</w:t>
            </w:r>
            <w:r>
              <w:rPr>
                <w:sz w:val="20"/>
                <w:szCs w:val="20"/>
                <w:lang w:val="en-US"/>
              </w:rPr>
              <w:t>)</w:t>
            </w:r>
          </w:p>
        </w:tc>
        <w:tc>
          <w:tcPr>
            <w:tcW w:w="2234" w:type="dxa"/>
            <w:tcBorders>
              <w:top w:val="single" w:sz="8" w:space="0" w:color="auto"/>
              <w:left w:val="nil"/>
              <w:bottom w:val="single" w:sz="8" w:space="0" w:color="auto"/>
              <w:right w:val="single" w:sz="8" w:space="0" w:color="000000"/>
            </w:tcBorders>
            <w:vAlign w:val="center"/>
          </w:tcPr>
          <w:p w14:paraId="6685848D" w14:textId="77777777" w:rsidR="009807F1" w:rsidRPr="00EC7850" w:rsidRDefault="009807F1" w:rsidP="002731ED">
            <w:pPr>
              <w:spacing w:after="0" w:line="240" w:lineRule="auto"/>
              <w:rPr>
                <w:sz w:val="20"/>
                <w:szCs w:val="20"/>
                <w:lang w:val="en-US"/>
              </w:rPr>
            </w:pPr>
            <w:r>
              <w:rPr>
                <w:sz w:val="20"/>
                <w:szCs w:val="20"/>
                <w:lang w:val="en-US"/>
              </w:rPr>
              <w:t>OR (</w:t>
            </w:r>
            <w:r w:rsidRPr="00EC7850">
              <w:rPr>
                <w:sz w:val="20"/>
                <w:szCs w:val="20"/>
                <w:lang w:val="en-US"/>
              </w:rPr>
              <w:t>95% C.I.</w:t>
            </w:r>
            <w:r>
              <w:rPr>
                <w:sz w:val="20"/>
                <w:szCs w:val="20"/>
                <w:lang w:val="en-US"/>
              </w:rPr>
              <w:t>)</w:t>
            </w:r>
          </w:p>
        </w:tc>
      </w:tr>
      <w:tr w:rsidR="009807F1" w:rsidRPr="000A46F4" w14:paraId="3BD9A110"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139DD4B0" w14:textId="77777777" w:rsidR="009807F1" w:rsidRPr="000A46F4" w:rsidRDefault="009807F1" w:rsidP="002731ED">
            <w:pPr>
              <w:spacing w:after="0" w:line="240" w:lineRule="auto"/>
              <w:rPr>
                <w:b/>
                <w:sz w:val="20"/>
                <w:szCs w:val="20"/>
                <w:lang w:val="en-US"/>
              </w:rPr>
            </w:pPr>
            <w:r w:rsidRPr="000A46F4">
              <w:rPr>
                <w:b/>
                <w:sz w:val="20"/>
                <w:szCs w:val="20"/>
                <w:lang w:val="en-US"/>
              </w:rPr>
              <w:t>Perceived peer tobacco use</w:t>
            </w:r>
          </w:p>
        </w:tc>
        <w:tc>
          <w:tcPr>
            <w:tcW w:w="1233" w:type="dxa"/>
            <w:tcBorders>
              <w:top w:val="nil"/>
              <w:left w:val="nil"/>
              <w:bottom w:val="single" w:sz="8" w:space="0" w:color="auto"/>
              <w:right w:val="single" w:sz="8" w:space="0" w:color="auto"/>
            </w:tcBorders>
            <w:vAlign w:val="center"/>
          </w:tcPr>
          <w:p w14:paraId="28F522F4" w14:textId="77777777" w:rsidR="009807F1" w:rsidRPr="00EC7850" w:rsidRDefault="009807F1" w:rsidP="002731ED">
            <w:pPr>
              <w:spacing w:after="0" w:line="240" w:lineRule="auto"/>
              <w:rPr>
                <w:sz w:val="20"/>
                <w:szCs w:val="20"/>
                <w:lang w:val="en-US"/>
              </w:rPr>
            </w:pPr>
          </w:p>
        </w:tc>
        <w:tc>
          <w:tcPr>
            <w:tcW w:w="1575" w:type="dxa"/>
            <w:tcBorders>
              <w:top w:val="nil"/>
              <w:left w:val="nil"/>
              <w:bottom w:val="single" w:sz="8" w:space="0" w:color="auto"/>
              <w:right w:val="single" w:sz="8" w:space="0" w:color="auto"/>
            </w:tcBorders>
            <w:vAlign w:val="center"/>
          </w:tcPr>
          <w:p w14:paraId="5F4ABB43" w14:textId="77777777" w:rsidR="009807F1" w:rsidRPr="00EC7850" w:rsidRDefault="009807F1" w:rsidP="002731ED">
            <w:pPr>
              <w:spacing w:after="0" w:line="240" w:lineRule="auto"/>
              <w:rPr>
                <w:sz w:val="20"/>
                <w:szCs w:val="20"/>
                <w:lang w:val="en-US"/>
              </w:rPr>
            </w:pPr>
          </w:p>
        </w:tc>
        <w:tc>
          <w:tcPr>
            <w:tcW w:w="1576" w:type="dxa"/>
            <w:tcBorders>
              <w:top w:val="nil"/>
              <w:left w:val="nil"/>
              <w:bottom w:val="single" w:sz="8" w:space="0" w:color="auto"/>
              <w:right w:val="single" w:sz="8" w:space="0" w:color="auto"/>
            </w:tcBorders>
            <w:vAlign w:val="center"/>
          </w:tcPr>
          <w:p w14:paraId="50FEE443" w14:textId="77777777" w:rsidR="009807F1" w:rsidRPr="00EC7850" w:rsidRDefault="009807F1" w:rsidP="002731ED">
            <w:pPr>
              <w:spacing w:after="0" w:line="240" w:lineRule="auto"/>
              <w:rPr>
                <w:sz w:val="20"/>
                <w:szCs w:val="20"/>
                <w:lang w:val="en-US"/>
              </w:rPr>
            </w:pPr>
          </w:p>
        </w:tc>
        <w:tc>
          <w:tcPr>
            <w:tcW w:w="2234" w:type="dxa"/>
            <w:tcBorders>
              <w:top w:val="nil"/>
              <w:left w:val="nil"/>
              <w:bottom w:val="single" w:sz="8" w:space="0" w:color="auto"/>
              <w:right w:val="single" w:sz="8" w:space="0" w:color="auto"/>
            </w:tcBorders>
            <w:vAlign w:val="center"/>
          </w:tcPr>
          <w:p w14:paraId="5D87BFE5" w14:textId="77777777" w:rsidR="009807F1" w:rsidRPr="00EC7850" w:rsidRDefault="009807F1" w:rsidP="002731ED">
            <w:pPr>
              <w:spacing w:after="0" w:line="240" w:lineRule="auto"/>
              <w:rPr>
                <w:sz w:val="20"/>
                <w:szCs w:val="20"/>
                <w:lang w:val="en-US"/>
              </w:rPr>
            </w:pPr>
          </w:p>
        </w:tc>
      </w:tr>
      <w:tr w:rsidR="009807F1" w:rsidRPr="000A46F4" w14:paraId="6CC3E20A"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2704B9BB" w14:textId="77777777" w:rsidR="009807F1" w:rsidRPr="00800CFA" w:rsidRDefault="009807F1" w:rsidP="002731ED">
            <w:pPr>
              <w:spacing w:after="0" w:line="240" w:lineRule="auto"/>
              <w:rPr>
                <w:sz w:val="20"/>
                <w:szCs w:val="20"/>
                <w:lang w:val="en-GB" w:eastAsia="de-DE"/>
              </w:rPr>
            </w:pPr>
            <w:r w:rsidRPr="00800CFA">
              <w:rPr>
                <w:sz w:val="20"/>
                <w:szCs w:val="20"/>
                <w:lang w:val="en-GB" w:eastAsia="de-DE"/>
              </w:rPr>
              <w:t>Not in the last two months/Never</w:t>
            </w:r>
          </w:p>
        </w:tc>
        <w:tc>
          <w:tcPr>
            <w:tcW w:w="1233" w:type="dxa"/>
            <w:tcBorders>
              <w:top w:val="nil"/>
              <w:left w:val="nil"/>
              <w:bottom w:val="single" w:sz="8" w:space="0" w:color="auto"/>
              <w:right w:val="single" w:sz="8" w:space="0" w:color="auto"/>
            </w:tcBorders>
            <w:vAlign w:val="center"/>
          </w:tcPr>
          <w:p w14:paraId="7B560961" w14:textId="77777777" w:rsidR="009807F1" w:rsidRPr="00800CFA" w:rsidRDefault="009807F1" w:rsidP="002731ED">
            <w:pPr>
              <w:spacing w:after="0" w:line="240" w:lineRule="auto"/>
              <w:rPr>
                <w:sz w:val="20"/>
                <w:szCs w:val="20"/>
                <w:lang w:val="en-GB" w:eastAsia="de-DE"/>
              </w:rPr>
            </w:pPr>
            <w:r w:rsidRPr="00800CFA">
              <w:rPr>
                <w:sz w:val="20"/>
                <w:szCs w:val="20"/>
                <w:lang w:val="en-GB" w:eastAsia="de-DE"/>
              </w:rPr>
              <w:t>440 (10.1)</w:t>
            </w:r>
          </w:p>
        </w:tc>
        <w:tc>
          <w:tcPr>
            <w:tcW w:w="1575" w:type="dxa"/>
            <w:tcBorders>
              <w:top w:val="nil"/>
              <w:left w:val="nil"/>
              <w:bottom w:val="single" w:sz="8" w:space="0" w:color="auto"/>
              <w:right w:val="single" w:sz="8" w:space="0" w:color="auto"/>
            </w:tcBorders>
            <w:vAlign w:val="center"/>
          </w:tcPr>
          <w:p w14:paraId="2EB2D543" w14:textId="77777777" w:rsidR="009807F1" w:rsidRPr="00800CFA" w:rsidRDefault="009807F1" w:rsidP="002731ED">
            <w:pPr>
              <w:spacing w:after="0" w:line="240" w:lineRule="auto"/>
              <w:rPr>
                <w:sz w:val="20"/>
                <w:szCs w:val="20"/>
                <w:lang w:val="en-GB" w:eastAsia="de-DE"/>
              </w:rPr>
            </w:pPr>
            <w:r w:rsidRPr="00800CFA">
              <w:rPr>
                <w:sz w:val="20"/>
                <w:szCs w:val="20"/>
                <w:lang w:val="en-GB" w:eastAsia="de-DE"/>
              </w:rPr>
              <w:t>1.00</w:t>
            </w:r>
          </w:p>
        </w:tc>
        <w:tc>
          <w:tcPr>
            <w:tcW w:w="1576" w:type="dxa"/>
            <w:tcBorders>
              <w:top w:val="nil"/>
              <w:left w:val="nil"/>
              <w:bottom w:val="single" w:sz="8" w:space="0" w:color="auto"/>
              <w:right w:val="single" w:sz="8" w:space="0" w:color="auto"/>
            </w:tcBorders>
            <w:vAlign w:val="center"/>
          </w:tcPr>
          <w:p w14:paraId="1DAC2B1B" w14:textId="77777777" w:rsidR="009807F1" w:rsidRPr="00800CFA" w:rsidRDefault="009807F1" w:rsidP="002731ED">
            <w:pPr>
              <w:spacing w:after="0" w:line="240" w:lineRule="auto"/>
              <w:rPr>
                <w:sz w:val="20"/>
                <w:szCs w:val="20"/>
                <w:lang w:val="en-GB" w:eastAsia="de-DE"/>
              </w:rPr>
            </w:pPr>
            <w:r w:rsidRPr="00800CFA">
              <w:rPr>
                <w:sz w:val="20"/>
                <w:szCs w:val="20"/>
                <w:lang w:val="en-GB" w:eastAsia="de-DE"/>
              </w:rPr>
              <w:t>1.00</w:t>
            </w:r>
          </w:p>
        </w:tc>
        <w:tc>
          <w:tcPr>
            <w:tcW w:w="2234" w:type="dxa"/>
            <w:tcBorders>
              <w:top w:val="nil"/>
              <w:left w:val="nil"/>
              <w:bottom w:val="single" w:sz="8" w:space="0" w:color="auto"/>
              <w:right w:val="single" w:sz="8" w:space="0" w:color="auto"/>
            </w:tcBorders>
            <w:vAlign w:val="center"/>
          </w:tcPr>
          <w:p w14:paraId="70FE7463" w14:textId="77777777" w:rsidR="009807F1" w:rsidRPr="00800CFA" w:rsidRDefault="009807F1" w:rsidP="002731ED">
            <w:pPr>
              <w:spacing w:after="0" w:line="240" w:lineRule="auto"/>
              <w:rPr>
                <w:sz w:val="20"/>
                <w:szCs w:val="20"/>
                <w:lang w:val="en-GB" w:eastAsia="de-DE"/>
              </w:rPr>
            </w:pPr>
            <w:r w:rsidRPr="00800CFA">
              <w:rPr>
                <w:sz w:val="20"/>
                <w:szCs w:val="20"/>
                <w:lang w:val="en-GB" w:eastAsia="de-DE"/>
              </w:rPr>
              <w:t>1.00</w:t>
            </w:r>
          </w:p>
        </w:tc>
      </w:tr>
      <w:tr w:rsidR="009807F1" w:rsidRPr="00EC7850" w14:paraId="417DCEFC" w14:textId="77777777" w:rsidTr="002731ED">
        <w:trPr>
          <w:trHeight w:val="272"/>
        </w:trPr>
        <w:tc>
          <w:tcPr>
            <w:tcW w:w="2343" w:type="dxa"/>
            <w:tcBorders>
              <w:top w:val="single" w:sz="8" w:space="0" w:color="auto"/>
              <w:left w:val="single" w:sz="8" w:space="0" w:color="auto"/>
              <w:bottom w:val="single" w:sz="8" w:space="0" w:color="auto"/>
              <w:right w:val="single" w:sz="8" w:space="0" w:color="000000"/>
            </w:tcBorders>
            <w:vAlign w:val="center"/>
          </w:tcPr>
          <w:p w14:paraId="31C37F03" w14:textId="77777777" w:rsidR="009807F1" w:rsidRPr="002E58A5" w:rsidRDefault="009807F1" w:rsidP="002731ED">
            <w:pPr>
              <w:spacing w:after="0" w:line="240" w:lineRule="auto"/>
              <w:rPr>
                <w:sz w:val="20"/>
                <w:szCs w:val="20"/>
                <w:lang w:val="en-GB" w:eastAsia="de-DE"/>
              </w:rPr>
            </w:pPr>
            <w:r>
              <w:rPr>
                <w:sz w:val="20"/>
                <w:szCs w:val="20"/>
                <w:lang w:val="en-GB" w:eastAsia="de-DE"/>
              </w:rPr>
              <w:t>Smoked in the last two months: A</w:t>
            </w:r>
            <w:r w:rsidRPr="000F5771">
              <w:rPr>
                <w:sz w:val="20"/>
                <w:szCs w:val="20"/>
                <w:lang w:val="en-GB" w:eastAsia="de-DE"/>
              </w:rPr>
              <w:t>t most twice a week</w:t>
            </w:r>
          </w:p>
        </w:tc>
        <w:tc>
          <w:tcPr>
            <w:tcW w:w="1233" w:type="dxa"/>
            <w:tcBorders>
              <w:top w:val="nil"/>
              <w:left w:val="nil"/>
              <w:bottom w:val="single" w:sz="8" w:space="0" w:color="auto"/>
              <w:right w:val="single" w:sz="8" w:space="0" w:color="auto"/>
            </w:tcBorders>
            <w:vAlign w:val="center"/>
          </w:tcPr>
          <w:p w14:paraId="33EC66CA" w14:textId="77777777" w:rsidR="009807F1" w:rsidRPr="00EC7850" w:rsidRDefault="009807F1" w:rsidP="002731ED">
            <w:pPr>
              <w:spacing w:after="0" w:line="240" w:lineRule="auto"/>
              <w:rPr>
                <w:sz w:val="20"/>
                <w:szCs w:val="20"/>
                <w:lang w:val="en-US"/>
              </w:rPr>
            </w:pPr>
            <w:r>
              <w:rPr>
                <w:sz w:val="20"/>
                <w:szCs w:val="20"/>
                <w:lang w:val="en-US"/>
              </w:rPr>
              <w:t>1235 (28.4)</w:t>
            </w:r>
          </w:p>
        </w:tc>
        <w:tc>
          <w:tcPr>
            <w:tcW w:w="1575" w:type="dxa"/>
            <w:tcBorders>
              <w:top w:val="nil"/>
              <w:left w:val="nil"/>
              <w:bottom w:val="single" w:sz="8" w:space="0" w:color="auto"/>
              <w:right w:val="single" w:sz="8" w:space="0" w:color="auto"/>
            </w:tcBorders>
            <w:vAlign w:val="center"/>
          </w:tcPr>
          <w:p w14:paraId="0F301EEA" w14:textId="77777777" w:rsidR="009807F1" w:rsidRPr="007C5788" w:rsidRDefault="009807F1" w:rsidP="002731ED">
            <w:pPr>
              <w:spacing w:after="0" w:line="240" w:lineRule="auto"/>
              <w:rPr>
                <w:sz w:val="20"/>
                <w:szCs w:val="20"/>
                <w:lang w:val="en-US"/>
              </w:rPr>
            </w:pPr>
            <w:r>
              <w:rPr>
                <w:sz w:val="20"/>
                <w:szCs w:val="20"/>
                <w:lang w:val="en-US"/>
              </w:rPr>
              <w:t>1.82  (1.25-2.64)</w:t>
            </w:r>
          </w:p>
        </w:tc>
        <w:tc>
          <w:tcPr>
            <w:tcW w:w="1576" w:type="dxa"/>
            <w:tcBorders>
              <w:top w:val="nil"/>
              <w:left w:val="nil"/>
              <w:bottom w:val="single" w:sz="8" w:space="0" w:color="auto"/>
              <w:right w:val="single" w:sz="8" w:space="0" w:color="auto"/>
            </w:tcBorders>
            <w:vAlign w:val="center"/>
          </w:tcPr>
          <w:p w14:paraId="441EAE15" w14:textId="77777777" w:rsidR="009807F1" w:rsidRPr="002D262B" w:rsidRDefault="009807F1" w:rsidP="002731ED">
            <w:pPr>
              <w:spacing w:after="0" w:line="240" w:lineRule="auto"/>
              <w:rPr>
                <w:sz w:val="20"/>
                <w:szCs w:val="20"/>
                <w:lang w:val="en-US"/>
              </w:rPr>
            </w:pPr>
            <w:r>
              <w:rPr>
                <w:sz w:val="20"/>
                <w:szCs w:val="20"/>
                <w:lang w:val="en-US"/>
              </w:rPr>
              <w:t>4.07 (2.68-6.18)</w:t>
            </w:r>
          </w:p>
        </w:tc>
        <w:tc>
          <w:tcPr>
            <w:tcW w:w="2234" w:type="dxa"/>
            <w:tcBorders>
              <w:top w:val="nil"/>
              <w:left w:val="nil"/>
              <w:bottom w:val="single" w:sz="8" w:space="0" w:color="auto"/>
              <w:right w:val="single" w:sz="8" w:space="0" w:color="auto"/>
            </w:tcBorders>
            <w:vAlign w:val="center"/>
          </w:tcPr>
          <w:p w14:paraId="68092282" w14:textId="77777777" w:rsidR="009807F1" w:rsidRPr="00EC7850" w:rsidRDefault="009807F1" w:rsidP="002731ED">
            <w:pPr>
              <w:spacing w:after="0" w:line="240" w:lineRule="auto"/>
              <w:rPr>
                <w:sz w:val="20"/>
                <w:szCs w:val="20"/>
                <w:lang w:val="en-US"/>
              </w:rPr>
            </w:pPr>
            <w:r>
              <w:rPr>
                <w:sz w:val="20"/>
                <w:szCs w:val="20"/>
                <w:lang w:val="en-US"/>
              </w:rPr>
              <w:t>1.24 (0.95-1.61)</w:t>
            </w:r>
          </w:p>
        </w:tc>
      </w:tr>
      <w:tr w:rsidR="009807F1" w:rsidRPr="00EC7850" w14:paraId="5C40867C" w14:textId="77777777" w:rsidTr="002731ED">
        <w:trPr>
          <w:trHeight w:val="272"/>
        </w:trPr>
        <w:tc>
          <w:tcPr>
            <w:tcW w:w="2343" w:type="dxa"/>
            <w:tcBorders>
              <w:top w:val="single" w:sz="8" w:space="0" w:color="auto"/>
              <w:left w:val="single" w:sz="8" w:space="0" w:color="auto"/>
              <w:bottom w:val="single" w:sz="8" w:space="0" w:color="auto"/>
              <w:right w:val="single" w:sz="8" w:space="0" w:color="000000"/>
            </w:tcBorders>
            <w:vAlign w:val="center"/>
          </w:tcPr>
          <w:p w14:paraId="127A79C2" w14:textId="77777777" w:rsidR="009807F1" w:rsidRPr="005E56EB" w:rsidRDefault="009807F1" w:rsidP="002731ED">
            <w:pPr>
              <w:spacing w:after="0" w:line="240" w:lineRule="auto"/>
              <w:rPr>
                <w:sz w:val="20"/>
                <w:szCs w:val="20"/>
                <w:lang w:val="en-US"/>
              </w:rPr>
            </w:pPr>
            <w:r>
              <w:rPr>
                <w:sz w:val="20"/>
                <w:szCs w:val="20"/>
                <w:lang w:val="en-GB" w:eastAsia="de-DE"/>
              </w:rPr>
              <w:t>Smoked in the last two months: Three times</w:t>
            </w:r>
            <w:r w:rsidRPr="000F5771">
              <w:rPr>
                <w:sz w:val="20"/>
                <w:szCs w:val="20"/>
                <w:lang w:val="en-GB" w:eastAsia="de-DE"/>
              </w:rPr>
              <w:t xml:space="preserve"> a week or more often</w:t>
            </w:r>
          </w:p>
        </w:tc>
        <w:tc>
          <w:tcPr>
            <w:tcW w:w="1233" w:type="dxa"/>
            <w:tcBorders>
              <w:top w:val="nil"/>
              <w:left w:val="nil"/>
              <w:bottom w:val="single" w:sz="8" w:space="0" w:color="auto"/>
              <w:right w:val="single" w:sz="8" w:space="0" w:color="auto"/>
            </w:tcBorders>
            <w:vAlign w:val="center"/>
          </w:tcPr>
          <w:p w14:paraId="7F9DC3A4" w14:textId="77777777" w:rsidR="009807F1" w:rsidRPr="00EC7850" w:rsidRDefault="009807F1" w:rsidP="002731ED">
            <w:pPr>
              <w:spacing w:after="0" w:line="240" w:lineRule="auto"/>
              <w:rPr>
                <w:sz w:val="20"/>
                <w:szCs w:val="20"/>
                <w:lang w:val="en-US"/>
              </w:rPr>
            </w:pPr>
            <w:r>
              <w:rPr>
                <w:sz w:val="20"/>
                <w:szCs w:val="20"/>
                <w:lang w:val="en-US"/>
              </w:rPr>
              <w:t>2673 (61.5)</w:t>
            </w:r>
          </w:p>
        </w:tc>
        <w:tc>
          <w:tcPr>
            <w:tcW w:w="1575" w:type="dxa"/>
            <w:tcBorders>
              <w:top w:val="nil"/>
              <w:left w:val="nil"/>
              <w:bottom w:val="single" w:sz="8" w:space="0" w:color="auto"/>
              <w:right w:val="single" w:sz="8" w:space="0" w:color="auto"/>
            </w:tcBorders>
            <w:vAlign w:val="center"/>
          </w:tcPr>
          <w:p w14:paraId="6267654F" w14:textId="77777777" w:rsidR="009807F1" w:rsidRPr="001F223D" w:rsidRDefault="009807F1" w:rsidP="002731ED">
            <w:pPr>
              <w:spacing w:after="0" w:line="240" w:lineRule="auto"/>
              <w:rPr>
                <w:b/>
                <w:sz w:val="20"/>
                <w:szCs w:val="20"/>
                <w:lang w:val="en-US"/>
              </w:rPr>
            </w:pPr>
            <w:r w:rsidRPr="001F223D">
              <w:rPr>
                <w:b/>
                <w:sz w:val="20"/>
                <w:szCs w:val="20"/>
                <w:lang w:val="en-US"/>
              </w:rPr>
              <w:t>2.66 (1.90-3.73)</w:t>
            </w:r>
          </w:p>
        </w:tc>
        <w:tc>
          <w:tcPr>
            <w:tcW w:w="1576" w:type="dxa"/>
            <w:tcBorders>
              <w:top w:val="nil"/>
              <w:left w:val="nil"/>
              <w:bottom w:val="single" w:sz="8" w:space="0" w:color="auto"/>
              <w:right w:val="single" w:sz="8" w:space="0" w:color="auto"/>
            </w:tcBorders>
            <w:vAlign w:val="center"/>
          </w:tcPr>
          <w:p w14:paraId="33A675EB" w14:textId="77777777" w:rsidR="009807F1" w:rsidRPr="002D262B" w:rsidRDefault="009807F1" w:rsidP="002731ED">
            <w:pPr>
              <w:spacing w:after="0" w:line="240" w:lineRule="auto"/>
              <w:rPr>
                <w:sz w:val="20"/>
                <w:szCs w:val="20"/>
                <w:lang w:val="en-US"/>
              </w:rPr>
            </w:pPr>
            <w:r>
              <w:rPr>
                <w:sz w:val="20"/>
                <w:szCs w:val="20"/>
                <w:lang w:val="en-US"/>
              </w:rPr>
              <w:t>2.52 (1.68-3.</w:t>
            </w:r>
            <w:r w:rsidRPr="002D262B">
              <w:rPr>
                <w:sz w:val="20"/>
                <w:szCs w:val="20"/>
                <w:lang w:val="en-US"/>
              </w:rPr>
              <w:t>7</w:t>
            </w:r>
            <w:r>
              <w:rPr>
                <w:sz w:val="20"/>
                <w:szCs w:val="20"/>
                <w:lang w:val="en-US"/>
              </w:rPr>
              <w:t>9)</w:t>
            </w:r>
          </w:p>
        </w:tc>
        <w:tc>
          <w:tcPr>
            <w:tcW w:w="2234" w:type="dxa"/>
            <w:tcBorders>
              <w:top w:val="nil"/>
              <w:left w:val="nil"/>
              <w:bottom w:val="single" w:sz="8" w:space="0" w:color="auto"/>
              <w:right w:val="single" w:sz="8" w:space="0" w:color="auto"/>
            </w:tcBorders>
            <w:vAlign w:val="center"/>
          </w:tcPr>
          <w:p w14:paraId="140699A2" w14:textId="77777777" w:rsidR="009807F1" w:rsidRPr="00EC7850" w:rsidRDefault="009807F1" w:rsidP="002731ED">
            <w:pPr>
              <w:spacing w:after="0" w:line="240" w:lineRule="auto"/>
              <w:rPr>
                <w:sz w:val="20"/>
                <w:szCs w:val="20"/>
                <w:lang w:val="en-US"/>
              </w:rPr>
            </w:pPr>
            <w:r>
              <w:rPr>
                <w:sz w:val="20"/>
                <w:szCs w:val="20"/>
                <w:lang w:val="en-US"/>
              </w:rPr>
              <w:t>1.05 (0.82-1.34)</w:t>
            </w:r>
          </w:p>
        </w:tc>
      </w:tr>
      <w:tr w:rsidR="009807F1" w:rsidRPr="00EC7850" w14:paraId="4DA8B539"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32742A73" w14:textId="77777777" w:rsidR="009807F1" w:rsidRPr="00EC7850" w:rsidRDefault="009807F1" w:rsidP="002731ED">
            <w:pPr>
              <w:spacing w:after="0" w:line="240" w:lineRule="auto"/>
              <w:rPr>
                <w:b/>
                <w:bCs/>
                <w:sz w:val="20"/>
                <w:szCs w:val="20"/>
                <w:lang w:val="en-US"/>
              </w:rPr>
            </w:pPr>
            <w:r w:rsidRPr="00EC7850">
              <w:rPr>
                <w:b/>
                <w:bCs/>
                <w:sz w:val="20"/>
                <w:szCs w:val="20"/>
              </w:rPr>
              <w:t>Country</w:t>
            </w:r>
          </w:p>
        </w:tc>
        <w:tc>
          <w:tcPr>
            <w:tcW w:w="1233" w:type="dxa"/>
            <w:tcBorders>
              <w:top w:val="nil"/>
              <w:left w:val="nil"/>
              <w:bottom w:val="single" w:sz="8" w:space="0" w:color="auto"/>
              <w:right w:val="single" w:sz="8" w:space="0" w:color="auto"/>
            </w:tcBorders>
            <w:vAlign w:val="center"/>
          </w:tcPr>
          <w:p w14:paraId="2D8D4ABB" w14:textId="77777777" w:rsidR="009807F1" w:rsidRPr="00EC7850" w:rsidRDefault="009807F1" w:rsidP="002731ED">
            <w:pPr>
              <w:spacing w:after="0" w:line="240" w:lineRule="auto"/>
              <w:rPr>
                <w:sz w:val="20"/>
                <w:szCs w:val="20"/>
                <w:lang w:val="en-US"/>
              </w:rPr>
            </w:pPr>
          </w:p>
        </w:tc>
        <w:tc>
          <w:tcPr>
            <w:tcW w:w="1575" w:type="dxa"/>
            <w:tcBorders>
              <w:top w:val="nil"/>
              <w:left w:val="nil"/>
              <w:bottom w:val="single" w:sz="8" w:space="0" w:color="auto"/>
              <w:right w:val="single" w:sz="8" w:space="0" w:color="auto"/>
            </w:tcBorders>
            <w:vAlign w:val="center"/>
          </w:tcPr>
          <w:p w14:paraId="2078B051" w14:textId="77777777" w:rsidR="009807F1" w:rsidRPr="00EC7850" w:rsidRDefault="009807F1" w:rsidP="002731ED">
            <w:pPr>
              <w:spacing w:after="0" w:line="240" w:lineRule="auto"/>
              <w:rPr>
                <w:sz w:val="20"/>
                <w:szCs w:val="20"/>
                <w:lang w:val="en-US"/>
              </w:rPr>
            </w:pPr>
          </w:p>
        </w:tc>
        <w:tc>
          <w:tcPr>
            <w:tcW w:w="1576" w:type="dxa"/>
            <w:tcBorders>
              <w:top w:val="nil"/>
              <w:left w:val="nil"/>
              <w:bottom w:val="single" w:sz="8" w:space="0" w:color="auto"/>
              <w:right w:val="single" w:sz="8" w:space="0" w:color="auto"/>
            </w:tcBorders>
            <w:vAlign w:val="center"/>
          </w:tcPr>
          <w:p w14:paraId="5110D8BC" w14:textId="77777777" w:rsidR="009807F1" w:rsidRPr="00EC7850" w:rsidRDefault="009807F1" w:rsidP="002731ED">
            <w:pPr>
              <w:spacing w:after="0" w:line="240" w:lineRule="auto"/>
              <w:rPr>
                <w:sz w:val="20"/>
                <w:szCs w:val="20"/>
                <w:lang w:val="en-US"/>
              </w:rPr>
            </w:pPr>
          </w:p>
        </w:tc>
        <w:tc>
          <w:tcPr>
            <w:tcW w:w="2234" w:type="dxa"/>
            <w:tcBorders>
              <w:top w:val="nil"/>
              <w:left w:val="nil"/>
              <w:bottom w:val="single" w:sz="8" w:space="0" w:color="auto"/>
              <w:right w:val="single" w:sz="8" w:space="0" w:color="auto"/>
            </w:tcBorders>
            <w:vAlign w:val="center"/>
          </w:tcPr>
          <w:p w14:paraId="0E577ED0" w14:textId="77777777" w:rsidR="009807F1" w:rsidRPr="00EC7850" w:rsidRDefault="009807F1" w:rsidP="002731ED">
            <w:pPr>
              <w:spacing w:after="0" w:line="240" w:lineRule="auto"/>
              <w:rPr>
                <w:sz w:val="20"/>
                <w:szCs w:val="20"/>
                <w:lang w:val="en-US"/>
              </w:rPr>
            </w:pPr>
          </w:p>
        </w:tc>
      </w:tr>
      <w:tr w:rsidR="009807F1" w:rsidRPr="00EC7850" w14:paraId="57176795"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5C3D265E" w14:textId="77777777" w:rsidR="009807F1" w:rsidRPr="00EC7850" w:rsidRDefault="009807F1" w:rsidP="002731ED">
            <w:pPr>
              <w:spacing w:after="0" w:line="240" w:lineRule="auto"/>
              <w:rPr>
                <w:i/>
                <w:iCs/>
                <w:sz w:val="20"/>
                <w:szCs w:val="20"/>
                <w:lang w:val="en-US"/>
              </w:rPr>
            </w:pPr>
            <w:r>
              <w:rPr>
                <w:i/>
                <w:iCs/>
                <w:sz w:val="20"/>
                <w:szCs w:val="20"/>
              </w:rPr>
              <w:t>Slovak Republic</w:t>
            </w:r>
          </w:p>
        </w:tc>
        <w:tc>
          <w:tcPr>
            <w:tcW w:w="1233" w:type="dxa"/>
            <w:tcBorders>
              <w:top w:val="nil"/>
              <w:left w:val="nil"/>
              <w:bottom w:val="single" w:sz="8" w:space="0" w:color="auto"/>
              <w:right w:val="single" w:sz="8" w:space="0" w:color="auto"/>
            </w:tcBorders>
            <w:vAlign w:val="center"/>
          </w:tcPr>
          <w:p w14:paraId="30F5DC1C" w14:textId="77777777" w:rsidR="009807F1" w:rsidRPr="00EC7850" w:rsidRDefault="009807F1" w:rsidP="002731ED">
            <w:pPr>
              <w:spacing w:after="0" w:line="240" w:lineRule="auto"/>
              <w:rPr>
                <w:sz w:val="20"/>
                <w:szCs w:val="20"/>
                <w:lang w:val="en-US"/>
              </w:rPr>
            </w:pPr>
            <w:r>
              <w:rPr>
                <w:sz w:val="20"/>
                <w:szCs w:val="20"/>
                <w:lang w:val="en-US"/>
              </w:rPr>
              <w:t>1894 (</w:t>
            </w:r>
            <w:r w:rsidRPr="00EC7850">
              <w:rPr>
                <w:sz w:val="20"/>
                <w:szCs w:val="20"/>
                <w:lang w:val="en-US"/>
              </w:rPr>
              <w:t>43.6</w:t>
            </w:r>
            <w:r>
              <w:rPr>
                <w:sz w:val="20"/>
                <w:szCs w:val="20"/>
                <w:lang w:val="en-US"/>
              </w:rPr>
              <w:t>)</w:t>
            </w:r>
          </w:p>
        </w:tc>
        <w:tc>
          <w:tcPr>
            <w:tcW w:w="1575" w:type="dxa"/>
            <w:tcBorders>
              <w:top w:val="nil"/>
              <w:left w:val="nil"/>
              <w:bottom w:val="single" w:sz="8" w:space="0" w:color="auto"/>
              <w:right w:val="single" w:sz="8" w:space="0" w:color="auto"/>
            </w:tcBorders>
            <w:vAlign w:val="center"/>
          </w:tcPr>
          <w:p w14:paraId="6309F097" w14:textId="77777777" w:rsidR="009807F1" w:rsidRPr="00EC7850" w:rsidRDefault="009807F1" w:rsidP="002731ED">
            <w:pPr>
              <w:spacing w:after="0" w:line="240" w:lineRule="auto"/>
              <w:rPr>
                <w:sz w:val="20"/>
                <w:szCs w:val="20"/>
                <w:lang w:val="en-US"/>
              </w:rPr>
            </w:pPr>
            <w:r w:rsidRPr="00EC7850">
              <w:rPr>
                <w:sz w:val="20"/>
                <w:szCs w:val="20"/>
                <w:lang w:val="en-US"/>
              </w:rPr>
              <w:t>1.00</w:t>
            </w:r>
          </w:p>
        </w:tc>
        <w:tc>
          <w:tcPr>
            <w:tcW w:w="1576" w:type="dxa"/>
            <w:tcBorders>
              <w:top w:val="nil"/>
              <w:left w:val="nil"/>
              <w:bottom w:val="single" w:sz="8" w:space="0" w:color="auto"/>
              <w:right w:val="single" w:sz="8" w:space="0" w:color="auto"/>
            </w:tcBorders>
            <w:vAlign w:val="center"/>
          </w:tcPr>
          <w:p w14:paraId="0F5FC991" w14:textId="77777777" w:rsidR="009807F1" w:rsidRPr="00EC7850" w:rsidRDefault="009807F1" w:rsidP="002731ED">
            <w:pPr>
              <w:spacing w:after="0" w:line="240" w:lineRule="auto"/>
              <w:rPr>
                <w:sz w:val="20"/>
                <w:szCs w:val="20"/>
                <w:lang w:val="en-US"/>
              </w:rPr>
            </w:pPr>
            <w:r>
              <w:rPr>
                <w:sz w:val="20"/>
                <w:szCs w:val="20"/>
                <w:lang w:val="en-US"/>
              </w:rPr>
              <w:t>1.00</w:t>
            </w:r>
          </w:p>
        </w:tc>
        <w:tc>
          <w:tcPr>
            <w:tcW w:w="2234" w:type="dxa"/>
            <w:tcBorders>
              <w:top w:val="nil"/>
              <w:left w:val="nil"/>
              <w:bottom w:val="single" w:sz="8" w:space="0" w:color="auto"/>
              <w:right w:val="single" w:sz="8" w:space="0" w:color="auto"/>
            </w:tcBorders>
            <w:vAlign w:val="center"/>
          </w:tcPr>
          <w:p w14:paraId="68C48B0D" w14:textId="77777777" w:rsidR="009807F1" w:rsidRPr="00EC7850" w:rsidRDefault="009807F1" w:rsidP="002731ED">
            <w:pPr>
              <w:spacing w:after="0" w:line="240" w:lineRule="auto"/>
              <w:rPr>
                <w:sz w:val="20"/>
                <w:szCs w:val="20"/>
                <w:lang w:val="en-US"/>
              </w:rPr>
            </w:pPr>
            <w:r>
              <w:rPr>
                <w:sz w:val="20"/>
                <w:szCs w:val="20"/>
                <w:lang w:val="en-US"/>
              </w:rPr>
              <w:t>1.00</w:t>
            </w:r>
          </w:p>
        </w:tc>
      </w:tr>
      <w:tr w:rsidR="009807F1" w:rsidRPr="00EC7850" w14:paraId="6C9F2313"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37EDB49E" w14:textId="77777777" w:rsidR="009807F1" w:rsidRPr="00EC7850" w:rsidRDefault="009807F1" w:rsidP="002731ED">
            <w:pPr>
              <w:spacing w:after="0" w:line="240" w:lineRule="auto"/>
              <w:rPr>
                <w:i/>
                <w:iCs/>
                <w:sz w:val="20"/>
                <w:szCs w:val="20"/>
                <w:lang w:val="en-US"/>
              </w:rPr>
            </w:pPr>
            <w:r w:rsidRPr="00EC7850">
              <w:rPr>
                <w:i/>
                <w:iCs/>
                <w:sz w:val="20"/>
                <w:szCs w:val="20"/>
              </w:rPr>
              <w:t>Belgium</w:t>
            </w:r>
          </w:p>
        </w:tc>
        <w:tc>
          <w:tcPr>
            <w:tcW w:w="1233" w:type="dxa"/>
            <w:tcBorders>
              <w:top w:val="nil"/>
              <w:left w:val="nil"/>
              <w:bottom w:val="single" w:sz="8" w:space="0" w:color="auto"/>
              <w:right w:val="single" w:sz="8" w:space="0" w:color="auto"/>
            </w:tcBorders>
            <w:vAlign w:val="center"/>
          </w:tcPr>
          <w:p w14:paraId="3536E40C" w14:textId="77777777" w:rsidR="009807F1" w:rsidRPr="00EC7850" w:rsidRDefault="009807F1" w:rsidP="002731ED">
            <w:pPr>
              <w:spacing w:after="0" w:line="240" w:lineRule="auto"/>
              <w:rPr>
                <w:sz w:val="20"/>
                <w:szCs w:val="20"/>
                <w:lang w:val="en-US"/>
              </w:rPr>
            </w:pPr>
            <w:r>
              <w:rPr>
                <w:sz w:val="20"/>
                <w:szCs w:val="20"/>
                <w:lang w:val="en-US"/>
              </w:rPr>
              <w:t>401 (9.3)</w:t>
            </w:r>
          </w:p>
        </w:tc>
        <w:tc>
          <w:tcPr>
            <w:tcW w:w="1575" w:type="dxa"/>
            <w:tcBorders>
              <w:top w:val="nil"/>
              <w:left w:val="nil"/>
              <w:bottom w:val="single" w:sz="8" w:space="0" w:color="auto"/>
              <w:right w:val="single" w:sz="8" w:space="0" w:color="auto"/>
            </w:tcBorders>
            <w:vAlign w:val="center"/>
          </w:tcPr>
          <w:p w14:paraId="15D76140" w14:textId="77777777" w:rsidR="009807F1" w:rsidRPr="00DB3343" w:rsidRDefault="009807F1" w:rsidP="002731ED">
            <w:pPr>
              <w:spacing w:after="0" w:line="240" w:lineRule="auto"/>
              <w:rPr>
                <w:sz w:val="20"/>
                <w:szCs w:val="20"/>
                <w:lang w:val="en-US"/>
              </w:rPr>
            </w:pPr>
            <w:r>
              <w:rPr>
                <w:sz w:val="20"/>
                <w:szCs w:val="20"/>
                <w:lang w:val="en-US"/>
              </w:rPr>
              <w:t>0.52 (0.35-0.77)</w:t>
            </w:r>
          </w:p>
        </w:tc>
        <w:tc>
          <w:tcPr>
            <w:tcW w:w="1576" w:type="dxa"/>
            <w:tcBorders>
              <w:top w:val="nil"/>
              <w:left w:val="nil"/>
              <w:bottom w:val="single" w:sz="8" w:space="0" w:color="auto"/>
              <w:right w:val="single" w:sz="8" w:space="0" w:color="auto"/>
            </w:tcBorders>
            <w:vAlign w:val="center"/>
          </w:tcPr>
          <w:p w14:paraId="02BA9345" w14:textId="77777777" w:rsidR="009807F1" w:rsidRPr="002D262B" w:rsidRDefault="009807F1" w:rsidP="002731ED">
            <w:pPr>
              <w:spacing w:after="0" w:line="240" w:lineRule="auto"/>
              <w:rPr>
                <w:sz w:val="20"/>
                <w:szCs w:val="20"/>
                <w:lang w:val="en-US"/>
              </w:rPr>
            </w:pPr>
            <w:r>
              <w:rPr>
                <w:sz w:val="20"/>
                <w:szCs w:val="20"/>
                <w:lang w:val="en-US"/>
              </w:rPr>
              <w:t>0.39 (0.27-0.58)</w:t>
            </w:r>
          </w:p>
        </w:tc>
        <w:tc>
          <w:tcPr>
            <w:tcW w:w="2234" w:type="dxa"/>
            <w:tcBorders>
              <w:top w:val="nil"/>
              <w:left w:val="nil"/>
              <w:bottom w:val="single" w:sz="8" w:space="0" w:color="auto"/>
              <w:right w:val="single" w:sz="8" w:space="0" w:color="auto"/>
            </w:tcBorders>
            <w:vAlign w:val="center"/>
          </w:tcPr>
          <w:p w14:paraId="4AB06853" w14:textId="77777777" w:rsidR="009807F1" w:rsidRPr="00EC7850" w:rsidRDefault="009807F1" w:rsidP="002731ED">
            <w:pPr>
              <w:spacing w:after="0" w:line="240" w:lineRule="auto"/>
              <w:rPr>
                <w:sz w:val="20"/>
                <w:szCs w:val="20"/>
                <w:lang w:val="en-US"/>
              </w:rPr>
            </w:pPr>
            <w:r>
              <w:rPr>
                <w:sz w:val="20"/>
                <w:szCs w:val="20"/>
                <w:lang w:val="en-US"/>
              </w:rPr>
              <w:t>0.47 (0.35-0.62)</w:t>
            </w:r>
          </w:p>
        </w:tc>
      </w:tr>
      <w:tr w:rsidR="009807F1" w:rsidRPr="00EC7850" w14:paraId="3EAE60EA"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30118877" w14:textId="77777777" w:rsidR="009807F1" w:rsidRPr="00EC7850" w:rsidRDefault="009807F1" w:rsidP="002731ED">
            <w:pPr>
              <w:spacing w:after="0" w:line="240" w:lineRule="auto"/>
              <w:rPr>
                <w:i/>
                <w:iCs/>
                <w:sz w:val="20"/>
                <w:szCs w:val="20"/>
                <w:lang w:val="en-US"/>
              </w:rPr>
            </w:pPr>
            <w:r w:rsidRPr="00EC7850">
              <w:rPr>
                <w:i/>
                <w:iCs/>
                <w:sz w:val="20"/>
                <w:szCs w:val="20"/>
              </w:rPr>
              <w:t>Denmark</w:t>
            </w:r>
          </w:p>
        </w:tc>
        <w:tc>
          <w:tcPr>
            <w:tcW w:w="1233" w:type="dxa"/>
            <w:tcBorders>
              <w:top w:val="nil"/>
              <w:left w:val="nil"/>
              <w:bottom w:val="single" w:sz="8" w:space="0" w:color="auto"/>
              <w:right w:val="single" w:sz="8" w:space="0" w:color="auto"/>
            </w:tcBorders>
            <w:vAlign w:val="center"/>
          </w:tcPr>
          <w:p w14:paraId="2BACFAC0" w14:textId="77777777" w:rsidR="009807F1" w:rsidRPr="00EC7850" w:rsidRDefault="009807F1" w:rsidP="002731ED">
            <w:pPr>
              <w:spacing w:after="0" w:line="240" w:lineRule="auto"/>
              <w:rPr>
                <w:sz w:val="20"/>
                <w:szCs w:val="20"/>
                <w:lang w:val="en-US"/>
              </w:rPr>
            </w:pPr>
            <w:r>
              <w:rPr>
                <w:sz w:val="20"/>
                <w:szCs w:val="20"/>
                <w:lang w:val="en-US"/>
              </w:rPr>
              <w:t>448 (10.3)</w:t>
            </w:r>
          </w:p>
        </w:tc>
        <w:tc>
          <w:tcPr>
            <w:tcW w:w="1575" w:type="dxa"/>
            <w:tcBorders>
              <w:top w:val="nil"/>
              <w:left w:val="nil"/>
              <w:bottom w:val="single" w:sz="8" w:space="0" w:color="auto"/>
              <w:right w:val="single" w:sz="8" w:space="0" w:color="auto"/>
            </w:tcBorders>
            <w:vAlign w:val="center"/>
          </w:tcPr>
          <w:p w14:paraId="261C5019" w14:textId="77777777" w:rsidR="009807F1" w:rsidRPr="00DB3343" w:rsidRDefault="009807F1" w:rsidP="002731ED">
            <w:pPr>
              <w:spacing w:after="0" w:line="240" w:lineRule="auto"/>
              <w:rPr>
                <w:sz w:val="20"/>
                <w:szCs w:val="20"/>
                <w:lang w:val="en-US"/>
              </w:rPr>
            </w:pPr>
            <w:r>
              <w:rPr>
                <w:sz w:val="20"/>
                <w:szCs w:val="20"/>
                <w:lang w:val="en-US"/>
              </w:rPr>
              <w:t>0.68 (0.46-0.99)</w:t>
            </w:r>
          </w:p>
        </w:tc>
        <w:tc>
          <w:tcPr>
            <w:tcW w:w="1576" w:type="dxa"/>
            <w:tcBorders>
              <w:top w:val="nil"/>
              <w:left w:val="nil"/>
              <w:bottom w:val="single" w:sz="8" w:space="0" w:color="auto"/>
              <w:right w:val="single" w:sz="8" w:space="0" w:color="auto"/>
            </w:tcBorders>
            <w:vAlign w:val="center"/>
          </w:tcPr>
          <w:p w14:paraId="27399956" w14:textId="77777777" w:rsidR="009807F1" w:rsidRPr="002D262B" w:rsidRDefault="009807F1" w:rsidP="002731ED">
            <w:pPr>
              <w:spacing w:after="0" w:line="240" w:lineRule="auto"/>
              <w:rPr>
                <w:sz w:val="20"/>
                <w:szCs w:val="20"/>
                <w:lang w:val="en-US"/>
              </w:rPr>
            </w:pPr>
            <w:r>
              <w:rPr>
                <w:sz w:val="20"/>
                <w:szCs w:val="20"/>
                <w:lang w:val="en-US"/>
              </w:rPr>
              <w:t>0.72 (0.48-1.06)</w:t>
            </w:r>
          </w:p>
        </w:tc>
        <w:tc>
          <w:tcPr>
            <w:tcW w:w="2234" w:type="dxa"/>
            <w:tcBorders>
              <w:top w:val="nil"/>
              <w:left w:val="nil"/>
              <w:bottom w:val="single" w:sz="8" w:space="0" w:color="auto"/>
              <w:right w:val="single" w:sz="8" w:space="0" w:color="auto"/>
            </w:tcBorders>
            <w:vAlign w:val="center"/>
          </w:tcPr>
          <w:p w14:paraId="67BC524E" w14:textId="77777777" w:rsidR="009807F1" w:rsidRPr="00EC7850" w:rsidRDefault="009807F1" w:rsidP="002731ED">
            <w:pPr>
              <w:spacing w:after="0" w:line="240" w:lineRule="auto"/>
              <w:rPr>
                <w:sz w:val="20"/>
                <w:szCs w:val="20"/>
                <w:lang w:val="en-US"/>
              </w:rPr>
            </w:pPr>
            <w:r>
              <w:rPr>
                <w:sz w:val="20"/>
                <w:szCs w:val="20"/>
                <w:lang w:val="en-US"/>
              </w:rPr>
              <w:t>0.74 (0.54-0.99)</w:t>
            </w:r>
          </w:p>
        </w:tc>
      </w:tr>
      <w:tr w:rsidR="009807F1" w:rsidRPr="00EC7850" w14:paraId="42694AC5"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42C8BE09" w14:textId="77777777" w:rsidR="009807F1" w:rsidRPr="00EC7850" w:rsidRDefault="009807F1" w:rsidP="002731ED">
            <w:pPr>
              <w:spacing w:after="0" w:line="240" w:lineRule="auto"/>
              <w:rPr>
                <w:i/>
                <w:iCs/>
                <w:sz w:val="20"/>
                <w:szCs w:val="20"/>
                <w:lang w:val="en-US"/>
              </w:rPr>
            </w:pPr>
            <w:r w:rsidRPr="00EC7850">
              <w:rPr>
                <w:i/>
                <w:iCs/>
                <w:sz w:val="20"/>
                <w:szCs w:val="20"/>
              </w:rPr>
              <w:t>Germany</w:t>
            </w:r>
          </w:p>
        </w:tc>
        <w:tc>
          <w:tcPr>
            <w:tcW w:w="1233" w:type="dxa"/>
            <w:tcBorders>
              <w:top w:val="nil"/>
              <w:left w:val="nil"/>
              <w:bottom w:val="single" w:sz="8" w:space="0" w:color="auto"/>
              <w:right w:val="single" w:sz="8" w:space="0" w:color="auto"/>
            </w:tcBorders>
            <w:vAlign w:val="center"/>
          </w:tcPr>
          <w:p w14:paraId="2A2F2E9F" w14:textId="77777777" w:rsidR="009807F1" w:rsidRPr="00EC7850" w:rsidRDefault="009807F1" w:rsidP="002731ED">
            <w:pPr>
              <w:spacing w:after="0" w:line="240" w:lineRule="auto"/>
              <w:rPr>
                <w:sz w:val="20"/>
                <w:szCs w:val="20"/>
                <w:lang w:val="en-US"/>
              </w:rPr>
            </w:pPr>
            <w:r>
              <w:rPr>
                <w:sz w:val="20"/>
                <w:szCs w:val="20"/>
                <w:lang w:val="en-US"/>
              </w:rPr>
              <w:t>492 (11.3)</w:t>
            </w:r>
          </w:p>
        </w:tc>
        <w:tc>
          <w:tcPr>
            <w:tcW w:w="1575" w:type="dxa"/>
            <w:tcBorders>
              <w:top w:val="nil"/>
              <w:left w:val="nil"/>
              <w:bottom w:val="single" w:sz="8" w:space="0" w:color="auto"/>
              <w:right w:val="single" w:sz="8" w:space="0" w:color="auto"/>
            </w:tcBorders>
            <w:vAlign w:val="center"/>
          </w:tcPr>
          <w:p w14:paraId="6F1C4AF2" w14:textId="77777777" w:rsidR="009807F1" w:rsidRPr="00DB3343" w:rsidRDefault="009807F1" w:rsidP="002731ED">
            <w:pPr>
              <w:spacing w:after="0" w:line="240" w:lineRule="auto"/>
              <w:rPr>
                <w:sz w:val="20"/>
                <w:szCs w:val="20"/>
                <w:lang w:val="en-US"/>
              </w:rPr>
            </w:pPr>
            <w:r>
              <w:rPr>
                <w:sz w:val="20"/>
                <w:szCs w:val="20"/>
                <w:lang w:val="en-US"/>
              </w:rPr>
              <w:t>1.70 (1.25-2.33)</w:t>
            </w:r>
          </w:p>
        </w:tc>
        <w:tc>
          <w:tcPr>
            <w:tcW w:w="1576" w:type="dxa"/>
            <w:tcBorders>
              <w:top w:val="nil"/>
              <w:left w:val="nil"/>
              <w:bottom w:val="single" w:sz="8" w:space="0" w:color="auto"/>
              <w:right w:val="single" w:sz="8" w:space="0" w:color="auto"/>
            </w:tcBorders>
            <w:vAlign w:val="center"/>
          </w:tcPr>
          <w:p w14:paraId="2B74272B" w14:textId="77777777" w:rsidR="009807F1" w:rsidRPr="002D262B" w:rsidRDefault="009807F1" w:rsidP="002731ED">
            <w:pPr>
              <w:spacing w:after="0" w:line="240" w:lineRule="auto"/>
              <w:rPr>
                <w:sz w:val="20"/>
                <w:szCs w:val="20"/>
                <w:lang w:val="en-US"/>
              </w:rPr>
            </w:pPr>
            <w:r>
              <w:rPr>
                <w:sz w:val="20"/>
                <w:szCs w:val="20"/>
                <w:lang w:val="en-US"/>
              </w:rPr>
              <w:t>1.65 (1.20-2.29)</w:t>
            </w:r>
          </w:p>
        </w:tc>
        <w:tc>
          <w:tcPr>
            <w:tcW w:w="2234" w:type="dxa"/>
            <w:tcBorders>
              <w:top w:val="nil"/>
              <w:left w:val="nil"/>
              <w:bottom w:val="single" w:sz="8" w:space="0" w:color="auto"/>
              <w:right w:val="single" w:sz="8" w:space="0" w:color="auto"/>
            </w:tcBorders>
            <w:vAlign w:val="center"/>
          </w:tcPr>
          <w:p w14:paraId="220F5CD6" w14:textId="77777777" w:rsidR="009807F1" w:rsidRPr="00EC7850" w:rsidRDefault="009807F1" w:rsidP="002731ED">
            <w:pPr>
              <w:spacing w:after="0" w:line="240" w:lineRule="auto"/>
              <w:rPr>
                <w:sz w:val="20"/>
                <w:szCs w:val="20"/>
                <w:lang w:val="en-US"/>
              </w:rPr>
            </w:pPr>
            <w:r>
              <w:rPr>
                <w:sz w:val="20"/>
                <w:szCs w:val="20"/>
                <w:lang w:val="en-US"/>
              </w:rPr>
              <w:t>1.01 (0.77-1.33)</w:t>
            </w:r>
          </w:p>
        </w:tc>
      </w:tr>
      <w:tr w:rsidR="009807F1" w:rsidRPr="00EC7850" w14:paraId="44D24B63"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5C6636EA" w14:textId="77777777" w:rsidR="009807F1" w:rsidRPr="00EC7850" w:rsidRDefault="009807F1" w:rsidP="002731ED">
            <w:pPr>
              <w:spacing w:after="0" w:line="240" w:lineRule="auto"/>
              <w:rPr>
                <w:i/>
                <w:iCs/>
                <w:sz w:val="20"/>
                <w:szCs w:val="20"/>
                <w:lang w:val="en-US"/>
              </w:rPr>
            </w:pPr>
            <w:r w:rsidRPr="00EC7850">
              <w:rPr>
                <w:i/>
                <w:iCs/>
                <w:sz w:val="20"/>
                <w:szCs w:val="20"/>
              </w:rPr>
              <w:t>Spain</w:t>
            </w:r>
          </w:p>
        </w:tc>
        <w:tc>
          <w:tcPr>
            <w:tcW w:w="1233" w:type="dxa"/>
            <w:tcBorders>
              <w:top w:val="nil"/>
              <w:left w:val="nil"/>
              <w:bottom w:val="single" w:sz="8" w:space="0" w:color="auto"/>
              <w:right w:val="single" w:sz="8" w:space="0" w:color="auto"/>
            </w:tcBorders>
            <w:vAlign w:val="center"/>
          </w:tcPr>
          <w:p w14:paraId="5855968F" w14:textId="77777777" w:rsidR="009807F1" w:rsidRPr="00EC7850" w:rsidRDefault="009807F1" w:rsidP="002731ED">
            <w:pPr>
              <w:spacing w:after="0" w:line="240" w:lineRule="auto"/>
              <w:rPr>
                <w:sz w:val="20"/>
                <w:szCs w:val="20"/>
                <w:lang w:val="en-US"/>
              </w:rPr>
            </w:pPr>
            <w:r>
              <w:rPr>
                <w:sz w:val="20"/>
                <w:szCs w:val="20"/>
                <w:lang w:val="en-US"/>
              </w:rPr>
              <w:t>181 (4.2)</w:t>
            </w:r>
          </w:p>
        </w:tc>
        <w:tc>
          <w:tcPr>
            <w:tcW w:w="1575" w:type="dxa"/>
            <w:tcBorders>
              <w:top w:val="nil"/>
              <w:left w:val="nil"/>
              <w:bottom w:val="single" w:sz="8" w:space="0" w:color="auto"/>
              <w:right w:val="single" w:sz="8" w:space="0" w:color="auto"/>
            </w:tcBorders>
            <w:vAlign w:val="center"/>
          </w:tcPr>
          <w:p w14:paraId="667DC6D6" w14:textId="77777777" w:rsidR="009807F1" w:rsidRPr="00DB3343" w:rsidRDefault="009807F1" w:rsidP="002731ED">
            <w:pPr>
              <w:spacing w:after="0" w:line="240" w:lineRule="auto"/>
              <w:rPr>
                <w:sz w:val="20"/>
                <w:szCs w:val="20"/>
                <w:lang w:val="en-US"/>
              </w:rPr>
            </w:pPr>
            <w:r>
              <w:rPr>
                <w:sz w:val="20"/>
                <w:szCs w:val="20"/>
                <w:lang w:val="en-US"/>
              </w:rPr>
              <w:t>0.82 (0.50-1.34)</w:t>
            </w:r>
          </w:p>
        </w:tc>
        <w:tc>
          <w:tcPr>
            <w:tcW w:w="1576" w:type="dxa"/>
            <w:tcBorders>
              <w:top w:val="nil"/>
              <w:left w:val="nil"/>
              <w:bottom w:val="single" w:sz="8" w:space="0" w:color="auto"/>
              <w:right w:val="single" w:sz="8" w:space="0" w:color="auto"/>
            </w:tcBorders>
            <w:vAlign w:val="center"/>
          </w:tcPr>
          <w:p w14:paraId="0241E640" w14:textId="77777777" w:rsidR="009807F1" w:rsidRPr="002D262B" w:rsidRDefault="009807F1" w:rsidP="002731ED">
            <w:pPr>
              <w:spacing w:after="0" w:line="240" w:lineRule="auto"/>
              <w:rPr>
                <w:sz w:val="20"/>
                <w:szCs w:val="20"/>
                <w:lang w:val="en-US"/>
              </w:rPr>
            </w:pPr>
            <w:r>
              <w:rPr>
                <w:sz w:val="20"/>
                <w:szCs w:val="20"/>
                <w:lang w:val="en-US"/>
              </w:rPr>
              <w:t>0.69 (0.41-1.15)</w:t>
            </w:r>
          </w:p>
        </w:tc>
        <w:tc>
          <w:tcPr>
            <w:tcW w:w="2234" w:type="dxa"/>
            <w:tcBorders>
              <w:top w:val="nil"/>
              <w:left w:val="nil"/>
              <w:bottom w:val="single" w:sz="8" w:space="0" w:color="auto"/>
              <w:right w:val="single" w:sz="8" w:space="0" w:color="auto"/>
            </w:tcBorders>
            <w:vAlign w:val="center"/>
          </w:tcPr>
          <w:p w14:paraId="352AC4F2" w14:textId="77777777" w:rsidR="009807F1" w:rsidRPr="00EC7850" w:rsidRDefault="009807F1" w:rsidP="002731ED">
            <w:pPr>
              <w:spacing w:after="0" w:line="240" w:lineRule="auto"/>
              <w:rPr>
                <w:sz w:val="20"/>
                <w:szCs w:val="20"/>
                <w:lang w:val="en-US"/>
              </w:rPr>
            </w:pPr>
            <w:r>
              <w:rPr>
                <w:sz w:val="20"/>
                <w:szCs w:val="20"/>
                <w:lang w:val="en-US"/>
              </w:rPr>
              <w:t>0.81 (0.56-1.17)</w:t>
            </w:r>
          </w:p>
        </w:tc>
      </w:tr>
      <w:tr w:rsidR="009807F1" w:rsidRPr="00EC7850" w14:paraId="00CD433F"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52A2ECC8" w14:textId="77777777" w:rsidR="009807F1" w:rsidRPr="00EC7850" w:rsidRDefault="009807F1" w:rsidP="002731ED">
            <w:pPr>
              <w:spacing w:after="0" w:line="240" w:lineRule="auto"/>
              <w:rPr>
                <w:i/>
                <w:iCs/>
                <w:sz w:val="20"/>
                <w:szCs w:val="20"/>
                <w:lang w:val="en-US"/>
              </w:rPr>
            </w:pPr>
            <w:r w:rsidRPr="00EC7850">
              <w:rPr>
                <w:i/>
                <w:iCs/>
                <w:sz w:val="20"/>
                <w:szCs w:val="20"/>
              </w:rPr>
              <w:t>Turkey</w:t>
            </w:r>
          </w:p>
        </w:tc>
        <w:tc>
          <w:tcPr>
            <w:tcW w:w="1233" w:type="dxa"/>
            <w:tcBorders>
              <w:top w:val="nil"/>
              <w:left w:val="nil"/>
              <w:bottom w:val="single" w:sz="8" w:space="0" w:color="auto"/>
              <w:right w:val="single" w:sz="8" w:space="0" w:color="auto"/>
            </w:tcBorders>
            <w:vAlign w:val="center"/>
          </w:tcPr>
          <w:p w14:paraId="4F628A00" w14:textId="77777777" w:rsidR="009807F1" w:rsidRPr="00EC7850" w:rsidRDefault="009807F1" w:rsidP="002731ED">
            <w:pPr>
              <w:spacing w:after="0" w:line="240" w:lineRule="auto"/>
              <w:rPr>
                <w:sz w:val="20"/>
                <w:szCs w:val="20"/>
                <w:lang w:val="en-US"/>
              </w:rPr>
            </w:pPr>
            <w:r>
              <w:rPr>
                <w:sz w:val="20"/>
                <w:szCs w:val="20"/>
                <w:lang w:val="en-US"/>
              </w:rPr>
              <w:t>827 (19.0)</w:t>
            </w:r>
          </w:p>
        </w:tc>
        <w:tc>
          <w:tcPr>
            <w:tcW w:w="1575" w:type="dxa"/>
            <w:tcBorders>
              <w:top w:val="nil"/>
              <w:left w:val="nil"/>
              <w:bottom w:val="single" w:sz="8" w:space="0" w:color="auto"/>
              <w:right w:val="single" w:sz="8" w:space="0" w:color="auto"/>
            </w:tcBorders>
            <w:vAlign w:val="center"/>
          </w:tcPr>
          <w:p w14:paraId="1254F792" w14:textId="77777777" w:rsidR="009807F1" w:rsidRPr="00DB3343" w:rsidRDefault="009807F1" w:rsidP="002731ED">
            <w:pPr>
              <w:spacing w:after="0" w:line="240" w:lineRule="auto"/>
              <w:rPr>
                <w:sz w:val="20"/>
                <w:szCs w:val="20"/>
                <w:lang w:val="en-US"/>
              </w:rPr>
            </w:pPr>
            <w:r>
              <w:rPr>
                <w:sz w:val="20"/>
                <w:szCs w:val="20"/>
                <w:lang w:val="en-US"/>
              </w:rPr>
              <w:t>1.84 (1.45-2.34)</w:t>
            </w:r>
          </w:p>
        </w:tc>
        <w:tc>
          <w:tcPr>
            <w:tcW w:w="1576" w:type="dxa"/>
            <w:tcBorders>
              <w:top w:val="nil"/>
              <w:left w:val="nil"/>
              <w:bottom w:val="single" w:sz="8" w:space="0" w:color="auto"/>
              <w:right w:val="single" w:sz="8" w:space="0" w:color="auto"/>
            </w:tcBorders>
            <w:vAlign w:val="center"/>
          </w:tcPr>
          <w:p w14:paraId="60AA6026" w14:textId="77777777" w:rsidR="009807F1" w:rsidRPr="002D262B" w:rsidRDefault="009807F1" w:rsidP="002731ED">
            <w:pPr>
              <w:spacing w:after="0" w:line="240" w:lineRule="auto"/>
              <w:rPr>
                <w:sz w:val="20"/>
                <w:szCs w:val="20"/>
                <w:lang w:val="en-US"/>
              </w:rPr>
            </w:pPr>
            <w:r>
              <w:rPr>
                <w:sz w:val="20"/>
                <w:szCs w:val="20"/>
                <w:lang w:val="en-US"/>
              </w:rPr>
              <w:t>1.11 (0.85-1.45)</w:t>
            </w:r>
          </w:p>
        </w:tc>
        <w:tc>
          <w:tcPr>
            <w:tcW w:w="2234" w:type="dxa"/>
            <w:tcBorders>
              <w:top w:val="nil"/>
              <w:left w:val="nil"/>
              <w:bottom w:val="single" w:sz="8" w:space="0" w:color="auto"/>
              <w:right w:val="single" w:sz="8" w:space="0" w:color="auto"/>
            </w:tcBorders>
            <w:vAlign w:val="center"/>
          </w:tcPr>
          <w:p w14:paraId="03376FEB" w14:textId="77777777" w:rsidR="009807F1" w:rsidRPr="00EC7850" w:rsidRDefault="009807F1" w:rsidP="002731ED">
            <w:pPr>
              <w:spacing w:after="0" w:line="240" w:lineRule="auto"/>
              <w:rPr>
                <w:sz w:val="20"/>
                <w:szCs w:val="20"/>
                <w:lang w:val="en-US"/>
              </w:rPr>
            </w:pPr>
            <w:r>
              <w:rPr>
                <w:sz w:val="20"/>
                <w:szCs w:val="20"/>
                <w:lang w:val="en-US"/>
              </w:rPr>
              <w:t>0.53 (0.42-0.68)</w:t>
            </w:r>
          </w:p>
        </w:tc>
      </w:tr>
      <w:tr w:rsidR="009807F1" w:rsidRPr="00EC7850" w14:paraId="3EEF6878"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5D997631" w14:textId="77777777" w:rsidR="009807F1" w:rsidRPr="00EC7850" w:rsidRDefault="009807F1" w:rsidP="002731ED">
            <w:pPr>
              <w:spacing w:after="0" w:line="240" w:lineRule="auto"/>
              <w:rPr>
                <w:i/>
                <w:iCs/>
                <w:sz w:val="20"/>
                <w:szCs w:val="20"/>
                <w:lang w:val="en-US"/>
              </w:rPr>
            </w:pPr>
            <w:r w:rsidRPr="00EC7850">
              <w:rPr>
                <w:i/>
                <w:iCs/>
                <w:sz w:val="20"/>
                <w:szCs w:val="20"/>
              </w:rPr>
              <w:t>United Kingdom</w:t>
            </w:r>
          </w:p>
        </w:tc>
        <w:tc>
          <w:tcPr>
            <w:tcW w:w="1233" w:type="dxa"/>
            <w:tcBorders>
              <w:top w:val="nil"/>
              <w:left w:val="nil"/>
              <w:bottom w:val="single" w:sz="8" w:space="0" w:color="auto"/>
              <w:right w:val="single" w:sz="8" w:space="0" w:color="auto"/>
            </w:tcBorders>
            <w:vAlign w:val="center"/>
          </w:tcPr>
          <w:p w14:paraId="63583060" w14:textId="77777777" w:rsidR="009807F1" w:rsidRPr="001059F7" w:rsidRDefault="009807F1" w:rsidP="002731ED">
            <w:pPr>
              <w:spacing w:after="0" w:line="240" w:lineRule="auto"/>
              <w:rPr>
                <w:sz w:val="20"/>
                <w:szCs w:val="20"/>
                <w:lang w:val="en-US"/>
              </w:rPr>
            </w:pPr>
            <w:r w:rsidRPr="001059F7">
              <w:rPr>
                <w:sz w:val="20"/>
                <w:szCs w:val="20"/>
                <w:lang w:val="en-US"/>
              </w:rPr>
              <w:t>103 (2.4)</w:t>
            </w:r>
          </w:p>
        </w:tc>
        <w:tc>
          <w:tcPr>
            <w:tcW w:w="1575" w:type="dxa"/>
            <w:tcBorders>
              <w:top w:val="nil"/>
              <w:left w:val="nil"/>
              <w:bottom w:val="single" w:sz="8" w:space="0" w:color="auto"/>
              <w:right w:val="single" w:sz="8" w:space="0" w:color="auto"/>
            </w:tcBorders>
            <w:vAlign w:val="center"/>
          </w:tcPr>
          <w:p w14:paraId="4944C644" w14:textId="77777777" w:rsidR="009807F1" w:rsidRPr="00DB3343" w:rsidRDefault="009807F1" w:rsidP="002731ED">
            <w:pPr>
              <w:spacing w:after="0" w:line="240" w:lineRule="auto"/>
              <w:rPr>
                <w:sz w:val="20"/>
                <w:szCs w:val="20"/>
                <w:lang w:val="en-US"/>
              </w:rPr>
            </w:pPr>
            <w:r>
              <w:rPr>
                <w:sz w:val="20"/>
                <w:szCs w:val="20"/>
                <w:lang w:val="en-US"/>
              </w:rPr>
              <w:t>0.80 (0.45-1.45)</w:t>
            </w:r>
          </w:p>
        </w:tc>
        <w:tc>
          <w:tcPr>
            <w:tcW w:w="1576" w:type="dxa"/>
            <w:tcBorders>
              <w:top w:val="nil"/>
              <w:left w:val="nil"/>
              <w:bottom w:val="single" w:sz="8" w:space="0" w:color="auto"/>
              <w:right w:val="single" w:sz="8" w:space="0" w:color="auto"/>
            </w:tcBorders>
            <w:vAlign w:val="center"/>
          </w:tcPr>
          <w:p w14:paraId="6E76EE0D" w14:textId="77777777" w:rsidR="009807F1" w:rsidRPr="002D262B" w:rsidRDefault="009807F1" w:rsidP="002731ED">
            <w:pPr>
              <w:spacing w:after="0" w:line="240" w:lineRule="auto"/>
              <w:rPr>
                <w:sz w:val="20"/>
                <w:szCs w:val="20"/>
                <w:lang w:val="en-US"/>
              </w:rPr>
            </w:pPr>
            <w:r>
              <w:rPr>
                <w:sz w:val="20"/>
                <w:szCs w:val="20"/>
                <w:lang w:val="en-US"/>
              </w:rPr>
              <w:t>0.58 (0.30-1.12)</w:t>
            </w:r>
          </w:p>
        </w:tc>
        <w:tc>
          <w:tcPr>
            <w:tcW w:w="2234" w:type="dxa"/>
            <w:tcBorders>
              <w:top w:val="nil"/>
              <w:left w:val="nil"/>
              <w:bottom w:val="single" w:sz="8" w:space="0" w:color="auto"/>
              <w:right w:val="single" w:sz="8" w:space="0" w:color="auto"/>
            </w:tcBorders>
            <w:vAlign w:val="center"/>
          </w:tcPr>
          <w:p w14:paraId="63975046" w14:textId="77777777" w:rsidR="009807F1" w:rsidRPr="00EC7850" w:rsidRDefault="009807F1" w:rsidP="002731ED">
            <w:pPr>
              <w:spacing w:after="0" w:line="240" w:lineRule="auto"/>
              <w:rPr>
                <w:sz w:val="20"/>
                <w:szCs w:val="20"/>
                <w:lang w:val="en-US"/>
              </w:rPr>
            </w:pPr>
            <w:r>
              <w:rPr>
                <w:sz w:val="20"/>
                <w:szCs w:val="20"/>
                <w:lang w:val="en-US"/>
              </w:rPr>
              <w:t>0.38 (0.22-0.66)</w:t>
            </w:r>
          </w:p>
        </w:tc>
      </w:tr>
      <w:tr w:rsidR="009807F1" w:rsidRPr="00EC7850" w14:paraId="115679BB"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018791AC" w14:textId="77777777" w:rsidR="009807F1" w:rsidRPr="00EC7850" w:rsidRDefault="009807F1" w:rsidP="002731ED">
            <w:pPr>
              <w:spacing w:after="0" w:line="240" w:lineRule="auto"/>
              <w:rPr>
                <w:b/>
                <w:bCs/>
                <w:sz w:val="20"/>
                <w:szCs w:val="20"/>
                <w:lang w:val="en-US"/>
              </w:rPr>
            </w:pPr>
            <w:r w:rsidRPr="00EC7850">
              <w:rPr>
                <w:b/>
                <w:bCs/>
                <w:sz w:val="20"/>
                <w:szCs w:val="20"/>
              </w:rPr>
              <w:t>Age</w:t>
            </w:r>
            <w:r>
              <w:rPr>
                <w:b/>
                <w:bCs/>
                <w:sz w:val="20"/>
                <w:szCs w:val="20"/>
              </w:rPr>
              <w:t xml:space="preserve"> [per year]</w:t>
            </w:r>
          </w:p>
        </w:tc>
        <w:tc>
          <w:tcPr>
            <w:tcW w:w="1233" w:type="dxa"/>
            <w:tcBorders>
              <w:top w:val="nil"/>
              <w:left w:val="nil"/>
              <w:bottom w:val="single" w:sz="8" w:space="0" w:color="auto"/>
              <w:right w:val="single" w:sz="8" w:space="0" w:color="auto"/>
            </w:tcBorders>
            <w:vAlign w:val="center"/>
          </w:tcPr>
          <w:p w14:paraId="48EC314D" w14:textId="77777777" w:rsidR="009807F1" w:rsidRPr="00EC7850" w:rsidRDefault="009807F1" w:rsidP="002731ED">
            <w:pPr>
              <w:spacing w:after="0" w:line="240" w:lineRule="auto"/>
              <w:rPr>
                <w:sz w:val="20"/>
                <w:szCs w:val="20"/>
                <w:lang w:val="en-US"/>
              </w:rPr>
            </w:pPr>
          </w:p>
        </w:tc>
        <w:tc>
          <w:tcPr>
            <w:tcW w:w="1575" w:type="dxa"/>
            <w:tcBorders>
              <w:top w:val="nil"/>
              <w:left w:val="nil"/>
              <w:bottom w:val="single" w:sz="8" w:space="0" w:color="auto"/>
              <w:right w:val="single" w:sz="8" w:space="0" w:color="auto"/>
            </w:tcBorders>
            <w:vAlign w:val="center"/>
          </w:tcPr>
          <w:p w14:paraId="282C2B32" w14:textId="77777777" w:rsidR="009807F1" w:rsidRPr="00DB3343" w:rsidRDefault="009807F1" w:rsidP="002731ED">
            <w:pPr>
              <w:spacing w:after="0" w:line="240" w:lineRule="auto"/>
              <w:rPr>
                <w:sz w:val="20"/>
                <w:szCs w:val="20"/>
                <w:lang w:val="en-US"/>
              </w:rPr>
            </w:pPr>
            <w:r>
              <w:rPr>
                <w:sz w:val="20"/>
                <w:szCs w:val="20"/>
                <w:lang w:val="en-US"/>
              </w:rPr>
              <w:t>1.02 (1.00-1.05)</w:t>
            </w:r>
          </w:p>
        </w:tc>
        <w:tc>
          <w:tcPr>
            <w:tcW w:w="1576" w:type="dxa"/>
            <w:tcBorders>
              <w:top w:val="nil"/>
              <w:left w:val="nil"/>
              <w:bottom w:val="single" w:sz="8" w:space="0" w:color="auto"/>
              <w:right w:val="single" w:sz="8" w:space="0" w:color="auto"/>
            </w:tcBorders>
            <w:vAlign w:val="center"/>
          </w:tcPr>
          <w:p w14:paraId="4181E266" w14:textId="77777777" w:rsidR="009807F1" w:rsidRPr="00EC7850" w:rsidRDefault="009807F1" w:rsidP="002731ED">
            <w:pPr>
              <w:spacing w:after="0" w:line="240" w:lineRule="auto"/>
              <w:rPr>
                <w:sz w:val="20"/>
                <w:szCs w:val="20"/>
                <w:lang w:val="en-US"/>
              </w:rPr>
            </w:pPr>
            <w:r>
              <w:rPr>
                <w:sz w:val="20"/>
                <w:szCs w:val="20"/>
                <w:lang w:val="en-US"/>
              </w:rPr>
              <w:t>0.97 (0.94-1.01)</w:t>
            </w:r>
          </w:p>
        </w:tc>
        <w:tc>
          <w:tcPr>
            <w:tcW w:w="2234" w:type="dxa"/>
            <w:tcBorders>
              <w:top w:val="nil"/>
              <w:left w:val="nil"/>
              <w:bottom w:val="single" w:sz="8" w:space="0" w:color="auto"/>
              <w:right w:val="single" w:sz="8" w:space="0" w:color="auto"/>
            </w:tcBorders>
            <w:vAlign w:val="center"/>
          </w:tcPr>
          <w:p w14:paraId="2ED7369A" w14:textId="77777777" w:rsidR="009807F1" w:rsidRPr="00EC7850" w:rsidRDefault="009807F1" w:rsidP="002731ED">
            <w:pPr>
              <w:spacing w:after="0" w:line="240" w:lineRule="auto"/>
              <w:rPr>
                <w:sz w:val="20"/>
                <w:szCs w:val="20"/>
                <w:lang w:val="en-US"/>
              </w:rPr>
            </w:pPr>
            <w:r>
              <w:rPr>
                <w:sz w:val="20"/>
                <w:szCs w:val="20"/>
                <w:lang w:val="en-US"/>
              </w:rPr>
              <w:t>1.04 (1.02-1.06)</w:t>
            </w:r>
          </w:p>
        </w:tc>
      </w:tr>
      <w:tr w:rsidR="009807F1" w:rsidRPr="00EC7850" w14:paraId="1BBE19A7"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3D88AEDC" w14:textId="77777777" w:rsidR="009807F1" w:rsidRPr="00EC7850" w:rsidRDefault="009807F1" w:rsidP="002731ED">
            <w:pPr>
              <w:spacing w:after="0" w:line="240" w:lineRule="auto"/>
              <w:rPr>
                <w:b/>
                <w:bCs/>
                <w:sz w:val="20"/>
                <w:szCs w:val="20"/>
                <w:lang w:val="en-US"/>
              </w:rPr>
            </w:pPr>
            <w:r>
              <w:rPr>
                <w:b/>
                <w:bCs/>
                <w:sz w:val="20"/>
                <w:szCs w:val="20"/>
              </w:rPr>
              <w:t>Sex</w:t>
            </w:r>
          </w:p>
        </w:tc>
        <w:tc>
          <w:tcPr>
            <w:tcW w:w="1233" w:type="dxa"/>
            <w:tcBorders>
              <w:top w:val="nil"/>
              <w:left w:val="nil"/>
              <w:bottom w:val="single" w:sz="8" w:space="0" w:color="auto"/>
              <w:right w:val="single" w:sz="8" w:space="0" w:color="auto"/>
            </w:tcBorders>
            <w:vAlign w:val="center"/>
          </w:tcPr>
          <w:p w14:paraId="3FA9030A" w14:textId="77777777" w:rsidR="009807F1" w:rsidRPr="00EC7850" w:rsidRDefault="009807F1" w:rsidP="002731ED">
            <w:pPr>
              <w:spacing w:after="0" w:line="240" w:lineRule="auto"/>
              <w:rPr>
                <w:sz w:val="20"/>
                <w:szCs w:val="20"/>
                <w:lang w:val="en-US"/>
              </w:rPr>
            </w:pPr>
          </w:p>
        </w:tc>
        <w:tc>
          <w:tcPr>
            <w:tcW w:w="1575" w:type="dxa"/>
            <w:tcBorders>
              <w:top w:val="nil"/>
              <w:left w:val="nil"/>
              <w:bottom w:val="single" w:sz="8" w:space="0" w:color="auto"/>
              <w:right w:val="single" w:sz="8" w:space="0" w:color="auto"/>
            </w:tcBorders>
            <w:vAlign w:val="center"/>
          </w:tcPr>
          <w:p w14:paraId="51E67DA9" w14:textId="77777777" w:rsidR="009807F1" w:rsidRPr="00EC7850" w:rsidRDefault="009807F1" w:rsidP="002731ED">
            <w:pPr>
              <w:spacing w:after="0" w:line="240" w:lineRule="auto"/>
              <w:rPr>
                <w:sz w:val="20"/>
                <w:szCs w:val="20"/>
                <w:lang w:val="en-US"/>
              </w:rPr>
            </w:pPr>
          </w:p>
        </w:tc>
        <w:tc>
          <w:tcPr>
            <w:tcW w:w="1576" w:type="dxa"/>
            <w:tcBorders>
              <w:top w:val="nil"/>
              <w:left w:val="nil"/>
              <w:bottom w:val="single" w:sz="8" w:space="0" w:color="auto"/>
              <w:right w:val="single" w:sz="8" w:space="0" w:color="auto"/>
            </w:tcBorders>
            <w:vAlign w:val="center"/>
          </w:tcPr>
          <w:p w14:paraId="126F8CDF" w14:textId="77777777" w:rsidR="009807F1" w:rsidRPr="00EC7850" w:rsidRDefault="009807F1" w:rsidP="002731ED">
            <w:pPr>
              <w:spacing w:after="0" w:line="240" w:lineRule="auto"/>
              <w:rPr>
                <w:sz w:val="20"/>
                <w:szCs w:val="20"/>
                <w:lang w:val="en-US"/>
              </w:rPr>
            </w:pPr>
          </w:p>
        </w:tc>
        <w:tc>
          <w:tcPr>
            <w:tcW w:w="2234" w:type="dxa"/>
            <w:tcBorders>
              <w:top w:val="nil"/>
              <w:left w:val="nil"/>
              <w:bottom w:val="single" w:sz="8" w:space="0" w:color="auto"/>
              <w:right w:val="single" w:sz="8" w:space="0" w:color="auto"/>
            </w:tcBorders>
            <w:vAlign w:val="center"/>
          </w:tcPr>
          <w:p w14:paraId="5C7BFDA2" w14:textId="77777777" w:rsidR="009807F1" w:rsidRPr="00EC7850" w:rsidRDefault="009807F1" w:rsidP="002731ED">
            <w:pPr>
              <w:spacing w:after="0" w:line="240" w:lineRule="auto"/>
              <w:rPr>
                <w:sz w:val="20"/>
                <w:szCs w:val="20"/>
                <w:lang w:val="en-US"/>
              </w:rPr>
            </w:pPr>
          </w:p>
        </w:tc>
      </w:tr>
      <w:tr w:rsidR="009807F1" w:rsidRPr="00EC7850" w14:paraId="467AAB6E"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66EAE16D" w14:textId="77777777" w:rsidR="009807F1" w:rsidRPr="00EC7850" w:rsidRDefault="009807F1" w:rsidP="002731ED">
            <w:pPr>
              <w:spacing w:after="0" w:line="240" w:lineRule="auto"/>
              <w:rPr>
                <w:i/>
                <w:iCs/>
                <w:sz w:val="20"/>
                <w:szCs w:val="20"/>
                <w:lang w:val="en-US"/>
              </w:rPr>
            </w:pPr>
            <w:r w:rsidRPr="00EC7850">
              <w:rPr>
                <w:i/>
                <w:iCs/>
                <w:sz w:val="20"/>
                <w:szCs w:val="20"/>
              </w:rPr>
              <w:t>Female</w:t>
            </w:r>
          </w:p>
        </w:tc>
        <w:tc>
          <w:tcPr>
            <w:tcW w:w="1233" w:type="dxa"/>
            <w:tcBorders>
              <w:top w:val="nil"/>
              <w:left w:val="nil"/>
              <w:bottom w:val="single" w:sz="8" w:space="0" w:color="auto"/>
              <w:right w:val="single" w:sz="8" w:space="0" w:color="auto"/>
            </w:tcBorders>
            <w:vAlign w:val="center"/>
          </w:tcPr>
          <w:p w14:paraId="5BD6F08E" w14:textId="77777777" w:rsidR="009807F1" w:rsidRPr="00EC7850" w:rsidRDefault="009807F1" w:rsidP="002731ED">
            <w:pPr>
              <w:spacing w:after="0" w:line="240" w:lineRule="auto"/>
              <w:rPr>
                <w:sz w:val="20"/>
                <w:szCs w:val="20"/>
                <w:lang w:val="en-US"/>
              </w:rPr>
            </w:pPr>
            <w:r>
              <w:rPr>
                <w:sz w:val="20"/>
                <w:szCs w:val="20"/>
                <w:lang w:val="en-US"/>
              </w:rPr>
              <w:t>3104 (</w:t>
            </w:r>
            <w:r w:rsidRPr="00EC7850">
              <w:rPr>
                <w:sz w:val="20"/>
                <w:szCs w:val="20"/>
                <w:lang w:val="en-US"/>
              </w:rPr>
              <w:t>71.4</w:t>
            </w:r>
            <w:r>
              <w:rPr>
                <w:sz w:val="20"/>
                <w:szCs w:val="20"/>
                <w:lang w:val="en-US"/>
              </w:rPr>
              <w:t>)</w:t>
            </w:r>
          </w:p>
        </w:tc>
        <w:tc>
          <w:tcPr>
            <w:tcW w:w="1575" w:type="dxa"/>
            <w:tcBorders>
              <w:top w:val="nil"/>
              <w:left w:val="nil"/>
              <w:bottom w:val="single" w:sz="8" w:space="0" w:color="auto"/>
              <w:right w:val="single" w:sz="8" w:space="0" w:color="auto"/>
            </w:tcBorders>
            <w:vAlign w:val="center"/>
          </w:tcPr>
          <w:p w14:paraId="5FD76F3F" w14:textId="77777777" w:rsidR="009807F1" w:rsidRPr="00EC7850" w:rsidRDefault="009807F1" w:rsidP="002731ED">
            <w:pPr>
              <w:spacing w:after="0" w:line="240" w:lineRule="auto"/>
              <w:rPr>
                <w:sz w:val="20"/>
                <w:szCs w:val="20"/>
                <w:lang w:val="en-US"/>
              </w:rPr>
            </w:pPr>
            <w:r w:rsidRPr="00EC7850">
              <w:rPr>
                <w:sz w:val="20"/>
                <w:szCs w:val="20"/>
                <w:lang w:val="en-US"/>
              </w:rPr>
              <w:t>1.00</w:t>
            </w:r>
          </w:p>
        </w:tc>
        <w:tc>
          <w:tcPr>
            <w:tcW w:w="1576" w:type="dxa"/>
            <w:tcBorders>
              <w:top w:val="nil"/>
              <w:left w:val="nil"/>
              <w:bottom w:val="single" w:sz="8" w:space="0" w:color="auto"/>
              <w:right w:val="single" w:sz="8" w:space="0" w:color="auto"/>
            </w:tcBorders>
            <w:vAlign w:val="center"/>
          </w:tcPr>
          <w:p w14:paraId="66D3A0CC" w14:textId="77777777" w:rsidR="009807F1" w:rsidRPr="00EC7850" w:rsidRDefault="009807F1" w:rsidP="002731ED">
            <w:pPr>
              <w:spacing w:after="0" w:line="240" w:lineRule="auto"/>
              <w:rPr>
                <w:sz w:val="20"/>
                <w:szCs w:val="20"/>
                <w:lang w:val="en-US"/>
              </w:rPr>
            </w:pPr>
            <w:r>
              <w:rPr>
                <w:sz w:val="20"/>
                <w:szCs w:val="20"/>
                <w:lang w:val="en-US"/>
              </w:rPr>
              <w:t>1.00</w:t>
            </w:r>
          </w:p>
        </w:tc>
        <w:tc>
          <w:tcPr>
            <w:tcW w:w="2234" w:type="dxa"/>
            <w:tcBorders>
              <w:top w:val="nil"/>
              <w:left w:val="nil"/>
              <w:bottom w:val="single" w:sz="8" w:space="0" w:color="auto"/>
              <w:right w:val="single" w:sz="8" w:space="0" w:color="auto"/>
            </w:tcBorders>
            <w:vAlign w:val="center"/>
          </w:tcPr>
          <w:p w14:paraId="5FCC94F0" w14:textId="77777777" w:rsidR="009807F1" w:rsidRPr="00EC7850" w:rsidRDefault="009807F1" w:rsidP="002731ED">
            <w:pPr>
              <w:spacing w:after="0" w:line="240" w:lineRule="auto"/>
              <w:rPr>
                <w:sz w:val="20"/>
                <w:szCs w:val="20"/>
                <w:lang w:val="en-US"/>
              </w:rPr>
            </w:pPr>
            <w:r>
              <w:rPr>
                <w:sz w:val="20"/>
                <w:szCs w:val="20"/>
                <w:lang w:val="en-US"/>
              </w:rPr>
              <w:t>1.00</w:t>
            </w:r>
          </w:p>
        </w:tc>
      </w:tr>
      <w:tr w:rsidR="009807F1" w:rsidRPr="00EC7850" w14:paraId="68C673DA" w14:textId="77777777" w:rsidTr="002731ED">
        <w:trPr>
          <w:trHeight w:val="270"/>
        </w:trPr>
        <w:tc>
          <w:tcPr>
            <w:tcW w:w="2343" w:type="dxa"/>
            <w:tcBorders>
              <w:top w:val="single" w:sz="8" w:space="0" w:color="auto"/>
              <w:left w:val="single" w:sz="8" w:space="0" w:color="auto"/>
              <w:bottom w:val="single" w:sz="8" w:space="0" w:color="auto"/>
              <w:right w:val="single" w:sz="8" w:space="0" w:color="000000"/>
            </w:tcBorders>
            <w:vAlign w:val="center"/>
          </w:tcPr>
          <w:p w14:paraId="6B0F788B" w14:textId="77777777" w:rsidR="009807F1" w:rsidRPr="00EC7850" w:rsidRDefault="009807F1" w:rsidP="002731ED">
            <w:pPr>
              <w:spacing w:after="0" w:line="240" w:lineRule="auto"/>
              <w:rPr>
                <w:i/>
                <w:iCs/>
                <w:sz w:val="20"/>
                <w:szCs w:val="20"/>
                <w:lang w:val="en-US"/>
              </w:rPr>
            </w:pPr>
            <w:r w:rsidRPr="00EC7850">
              <w:rPr>
                <w:i/>
                <w:iCs/>
                <w:sz w:val="20"/>
                <w:szCs w:val="20"/>
              </w:rPr>
              <w:t>Male</w:t>
            </w:r>
          </w:p>
        </w:tc>
        <w:tc>
          <w:tcPr>
            <w:tcW w:w="1233" w:type="dxa"/>
            <w:tcBorders>
              <w:top w:val="nil"/>
              <w:left w:val="nil"/>
              <w:bottom w:val="single" w:sz="8" w:space="0" w:color="auto"/>
              <w:right w:val="single" w:sz="8" w:space="0" w:color="auto"/>
            </w:tcBorders>
            <w:vAlign w:val="center"/>
          </w:tcPr>
          <w:p w14:paraId="4B9067AE" w14:textId="77777777" w:rsidR="009807F1" w:rsidRPr="00EC7850" w:rsidRDefault="009807F1" w:rsidP="002731ED">
            <w:pPr>
              <w:spacing w:after="0" w:line="240" w:lineRule="auto"/>
              <w:rPr>
                <w:sz w:val="20"/>
                <w:szCs w:val="20"/>
                <w:lang w:val="en-US"/>
              </w:rPr>
            </w:pPr>
            <w:r>
              <w:rPr>
                <w:sz w:val="20"/>
                <w:szCs w:val="20"/>
                <w:lang w:val="en-US"/>
              </w:rPr>
              <w:t>1244 (</w:t>
            </w:r>
            <w:r w:rsidRPr="00EC7850">
              <w:rPr>
                <w:sz w:val="20"/>
                <w:szCs w:val="20"/>
                <w:lang w:val="en-US"/>
              </w:rPr>
              <w:t>28.6</w:t>
            </w:r>
            <w:r>
              <w:rPr>
                <w:sz w:val="20"/>
                <w:szCs w:val="20"/>
                <w:lang w:val="en-US"/>
              </w:rPr>
              <w:t>)</w:t>
            </w:r>
          </w:p>
        </w:tc>
        <w:tc>
          <w:tcPr>
            <w:tcW w:w="1575" w:type="dxa"/>
            <w:tcBorders>
              <w:top w:val="nil"/>
              <w:left w:val="nil"/>
              <w:bottom w:val="single" w:sz="8" w:space="0" w:color="auto"/>
              <w:right w:val="single" w:sz="8" w:space="0" w:color="auto"/>
            </w:tcBorders>
            <w:vAlign w:val="center"/>
          </w:tcPr>
          <w:p w14:paraId="7DE6495C" w14:textId="77777777" w:rsidR="009807F1" w:rsidRPr="00EC7850" w:rsidRDefault="009807F1" w:rsidP="002731ED">
            <w:pPr>
              <w:spacing w:after="0" w:line="240" w:lineRule="auto"/>
              <w:rPr>
                <w:sz w:val="20"/>
                <w:szCs w:val="20"/>
                <w:lang w:val="en-US"/>
              </w:rPr>
            </w:pPr>
            <w:r>
              <w:rPr>
                <w:sz w:val="20"/>
                <w:szCs w:val="20"/>
                <w:lang w:val="en-US"/>
              </w:rPr>
              <w:t>1.77 (1.45-2.15)</w:t>
            </w:r>
          </w:p>
        </w:tc>
        <w:tc>
          <w:tcPr>
            <w:tcW w:w="1576" w:type="dxa"/>
            <w:tcBorders>
              <w:top w:val="nil"/>
              <w:left w:val="nil"/>
              <w:bottom w:val="single" w:sz="8" w:space="0" w:color="auto"/>
              <w:right w:val="single" w:sz="8" w:space="0" w:color="auto"/>
            </w:tcBorders>
            <w:vAlign w:val="center"/>
          </w:tcPr>
          <w:p w14:paraId="069955BF" w14:textId="77777777" w:rsidR="009807F1" w:rsidRPr="00EC7850" w:rsidRDefault="009807F1" w:rsidP="002731ED">
            <w:pPr>
              <w:spacing w:after="0" w:line="240" w:lineRule="auto"/>
              <w:rPr>
                <w:sz w:val="20"/>
                <w:szCs w:val="20"/>
                <w:lang w:val="en-US"/>
              </w:rPr>
            </w:pPr>
            <w:r>
              <w:rPr>
                <w:sz w:val="20"/>
                <w:szCs w:val="20"/>
                <w:lang w:val="en-US"/>
              </w:rPr>
              <w:t>1.42 (1.15-1.75)</w:t>
            </w:r>
          </w:p>
        </w:tc>
        <w:tc>
          <w:tcPr>
            <w:tcW w:w="2234" w:type="dxa"/>
            <w:tcBorders>
              <w:top w:val="nil"/>
              <w:left w:val="nil"/>
              <w:bottom w:val="single" w:sz="8" w:space="0" w:color="auto"/>
              <w:right w:val="single" w:sz="8" w:space="0" w:color="auto"/>
            </w:tcBorders>
            <w:vAlign w:val="center"/>
          </w:tcPr>
          <w:p w14:paraId="437B35A9" w14:textId="77777777" w:rsidR="009807F1" w:rsidRPr="00EC7850" w:rsidRDefault="009807F1" w:rsidP="002731ED">
            <w:pPr>
              <w:spacing w:after="0" w:line="240" w:lineRule="auto"/>
              <w:rPr>
                <w:sz w:val="20"/>
                <w:szCs w:val="20"/>
                <w:lang w:val="en-US"/>
              </w:rPr>
            </w:pPr>
            <w:r>
              <w:rPr>
                <w:sz w:val="20"/>
                <w:szCs w:val="20"/>
                <w:lang w:val="en-US"/>
              </w:rPr>
              <w:t>1.20 (1.01-1.43)</w:t>
            </w:r>
          </w:p>
        </w:tc>
      </w:tr>
    </w:tbl>
    <w:p w14:paraId="5D30AB95" w14:textId="6F6E19CD" w:rsidR="009807F1" w:rsidRDefault="005B7F32" w:rsidP="001F223D">
      <w:pPr>
        <w:jc w:val="right"/>
        <w:rPr>
          <w:lang w:val="en-GB"/>
        </w:rPr>
      </w:pPr>
      <w:r>
        <w:rPr>
          <w:lang w:val="en-GB"/>
        </w:rPr>
        <w:tab/>
      </w:r>
      <w:r>
        <w:rPr>
          <w:lang w:val="en-GB"/>
        </w:rPr>
        <w:tab/>
      </w:r>
      <w:r>
        <w:rPr>
          <w:lang w:val="en-GB"/>
        </w:rPr>
        <w:tab/>
        <w:t>*Results for year of study and living situation are not shown in the table</w:t>
      </w:r>
      <w:r w:rsidR="00B8489D">
        <w:rPr>
          <w:lang w:val="en-GB"/>
        </w:rPr>
        <w:t>.</w:t>
      </w:r>
    </w:p>
    <w:p w14:paraId="30FA54FF" w14:textId="1542E1D3" w:rsidR="00B91FDE" w:rsidRDefault="00B91FDE" w:rsidP="001F223D">
      <w:pPr>
        <w:ind w:firstLine="708"/>
        <w:rPr>
          <w:lang w:val="en-GB"/>
        </w:rPr>
      </w:pPr>
      <w:r>
        <w:rPr>
          <w:lang w:val="en-GB"/>
        </w:rPr>
        <w:t>P</w:t>
      </w:r>
      <w:r w:rsidRPr="009D6381">
        <w:rPr>
          <w:lang w:val="en-GB"/>
        </w:rPr>
        <w:t xml:space="preserve">erceived approval </w:t>
      </w:r>
      <w:r>
        <w:rPr>
          <w:lang w:val="en-GB"/>
        </w:rPr>
        <w:t>of tobacco use of peers (OR: 6.49, CI: 4.54-9.28</w:t>
      </w:r>
      <w:r w:rsidRPr="009D6381">
        <w:rPr>
          <w:lang w:val="en-GB"/>
        </w:rPr>
        <w:t>)</w:t>
      </w:r>
      <w:r>
        <w:rPr>
          <w:lang w:val="en-GB"/>
        </w:rPr>
        <w:t xml:space="preserve"> </w:t>
      </w:r>
      <w:r w:rsidRPr="009D6381">
        <w:rPr>
          <w:lang w:val="en-GB"/>
        </w:rPr>
        <w:t xml:space="preserve">was associated with own approval of </w:t>
      </w:r>
      <w:r w:rsidR="00EF6B7D">
        <w:rPr>
          <w:lang w:val="en-GB"/>
        </w:rPr>
        <w:t>tobacco</w:t>
      </w:r>
      <w:r w:rsidRPr="009D6381">
        <w:rPr>
          <w:lang w:val="en-GB"/>
        </w:rPr>
        <w:t xml:space="preserve"> use</w:t>
      </w:r>
      <w:r w:rsidR="00E133D0">
        <w:rPr>
          <w:lang w:val="en-GB"/>
        </w:rPr>
        <w:t>.</w:t>
      </w:r>
      <w:r w:rsidR="006D69EC">
        <w:rPr>
          <w:lang w:val="en-GB"/>
        </w:rPr>
        <w:t xml:space="preserve"> </w:t>
      </w:r>
      <w:r w:rsidR="00EF6B7D">
        <w:rPr>
          <w:lang w:val="en-GB"/>
        </w:rPr>
        <w:t xml:space="preserve">Personal </w:t>
      </w:r>
      <w:r w:rsidR="00A95EB7">
        <w:rPr>
          <w:lang w:val="en-GB"/>
        </w:rPr>
        <w:t>s</w:t>
      </w:r>
      <w:r>
        <w:rPr>
          <w:lang w:val="en-GB"/>
        </w:rPr>
        <w:t xml:space="preserve">moking in the last two months (OR: 7.85, </w:t>
      </w:r>
      <w:r w:rsidR="002F693C">
        <w:rPr>
          <w:lang w:val="en-GB"/>
        </w:rPr>
        <w:t xml:space="preserve">95% CI </w:t>
      </w:r>
      <w:r>
        <w:rPr>
          <w:lang w:val="en-GB"/>
        </w:rPr>
        <w:t xml:space="preserve">6.55-9.41) </w:t>
      </w:r>
      <w:r w:rsidRPr="009D6381">
        <w:rPr>
          <w:lang w:val="en-GB"/>
        </w:rPr>
        <w:t xml:space="preserve">was associated with a higher likelihood of personal approval regarding </w:t>
      </w:r>
      <w:r w:rsidR="00EF6B7D">
        <w:rPr>
          <w:lang w:val="en-GB"/>
        </w:rPr>
        <w:t>tobacco use</w:t>
      </w:r>
      <w:r>
        <w:rPr>
          <w:lang w:val="en-GB"/>
        </w:rPr>
        <w:t xml:space="preserve"> (Table </w:t>
      </w:r>
      <w:r w:rsidR="00BC4AFF">
        <w:rPr>
          <w:lang w:val="en-GB"/>
        </w:rPr>
        <w:t>A.</w:t>
      </w:r>
      <w:r w:rsidR="009C13D2">
        <w:rPr>
          <w:lang w:val="en-GB"/>
        </w:rPr>
        <w:t>5</w:t>
      </w:r>
      <w:r>
        <w:rPr>
          <w:lang w:val="en-GB"/>
        </w:rPr>
        <w:t xml:space="preserve">). </w:t>
      </w:r>
      <w:r w:rsidR="00C34A6C">
        <w:rPr>
          <w:lang w:val="en-GB"/>
        </w:rPr>
        <w:t>Assessment of interaction</w:t>
      </w:r>
      <w:r w:rsidRPr="009D6381">
        <w:rPr>
          <w:lang w:val="en-GB"/>
        </w:rPr>
        <w:t xml:space="preserve"> in both models showed</w:t>
      </w:r>
      <w:r>
        <w:rPr>
          <w:lang w:val="en-GB"/>
        </w:rPr>
        <w:t xml:space="preserve"> </w:t>
      </w:r>
      <w:r w:rsidRPr="009D6381">
        <w:rPr>
          <w:lang w:val="en-GB"/>
        </w:rPr>
        <w:t xml:space="preserve">that the effect of perception on the outcome variable was </w:t>
      </w:r>
      <w:r>
        <w:rPr>
          <w:lang w:val="en-GB"/>
        </w:rPr>
        <w:t xml:space="preserve">not </w:t>
      </w:r>
      <w:r w:rsidRPr="009D6381">
        <w:rPr>
          <w:lang w:val="en-GB"/>
        </w:rPr>
        <w:t>modified by country</w:t>
      </w:r>
      <w:r>
        <w:rPr>
          <w:lang w:val="en-GB"/>
        </w:rPr>
        <w:t xml:space="preserve"> or</w:t>
      </w:r>
      <w:r w:rsidRPr="009D6381">
        <w:rPr>
          <w:lang w:val="en-GB"/>
        </w:rPr>
        <w:t xml:space="preserve"> sex. </w:t>
      </w:r>
    </w:p>
    <w:p w14:paraId="7ACB78F9" w14:textId="77777777" w:rsidR="000B2487" w:rsidRDefault="000B2487" w:rsidP="000B2487">
      <w:pPr>
        <w:spacing w:after="0" w:line="240" w:lineRule="auto"/>
        <w:rPr>
          <w:b/>
          <w:lang w:val="en-US"/>
        </w:rPr>
      </w:pPr>
    </w:p>
    <w:p w14:paraId="6AECDCAB" w14:textId="41DE2070" w:rsidR="000B2487" w:rsidRPr="005A314D" w:rsidRDefault="000B2487" w:rsidP="000B2487">
      <w:pPr>
        <w:spacing w:after="0" w:line="240" w:lineRule="auto"/>
        <w:rPr>
          <w:b/>
          <w:lang w:val="en-US"/>
        </w:rPr>
      </w:pPr>
      <w:r>
        <w:rPr>
          <w:b/>
          <w:lang w:val="en-US"/>
        </w:rPr>
        <w:t xml:space="preserve">Table </w:t>
      </w:r>
      <w:r w:rsidR="00BC4AFF">
        <w:rPr>
          <w:b/>
          <w:lang w:val="en-US"/>
        </w:rPr>
        <w:t>A.</w:t>
      </w:r>
      <w:r w:rsidR="004244F5">
        <w:rPr>
          <w:b/>
          <w:lang w:val="en-US"/>
        </w:rPr>
        <w:t>5</w:t>
      </w:r>
      <w:r w:rsidR="00BC4AFF">
        <w:rPr>
          <w:b/>
          <w:lang w:val="en-US"/>
        </w:rPr>
        <w:tab/>
      </w:r>
      <w:r w:rsidRPr="005A314D">
        <w:rPr>
          <w:b/>
          <w:lang w:val="en-US"/>
        </w:rPr>
        <w:t>Association between perceived attitudes of peers and own attitudes towards tobacco use adjusted for personal tobacco use, country, age, sex, study year and living situation- Results of a binary logistic regression</w:t>
      </w:r>
      <w:r w:rsidR="005B7F32">
        <w:rPr>
          <w:b/>
          <w:lang w:val="en-US"/>
        </w:rPr>
        <w:t>*</w:t>
      </w:r>
      <w:r w:rsidRPr="005A314D">
        <w:rPr>
          <w:b/>
          <w:lang w:val="en-US"/>
        </w:rPr>
        <w:t xml:space="preserve">. </w:t>
      </w:r>
    </w:p>
    <w:tbl>
      <w:tblPr>
        <w:tblpPr w:leftFromText="180" w:rightFromText="180" w:vertAnchor="text" w:tblpY="1"/>
        <w:tblOverlap w:val="never"/>
        <w:tblW w:w="6760" w:type="dxa"/>
        <w:tblLook w:val="00A0" w:firstRow="1" w:lastRow="0" w:firstColumn="1" w:lastColumn="0" w:noHBand="0" w:noVBand="0"/>
      </w:tblPr>
      <w:tblGrid>
        <w:gridCol w:w="1960"/>
        <w:gridCol w:w="1200"/>
        <w:gridCol w:w="3600"/>
      </w:tblGrid>
      <w:tr w:rsidR="000B2487" w:rsidRPr="000A2DC3" w14:paraId="4C065EB9" w14:textId="77777777" w:rsidTr="002731ED">
        <w:trPr>
          <w:trHeight w:val="765"/>
        </w:trPr>
        <w:tc>
          <w:tcPr>
            <w:tcW w:w="1960" w:type="dxa"/>
            <w:tcBorders>
              <w:top w:val="single" w:sz="8" w:space="0" w:color="auto"/>
              <w:left w:val="single" w:sz="8" w:space="0" w:color="auto"/>
              <w:bottom w:val="single" w:sz="8" w:space="0" w:color="auto"/>
              <w:right w:val="single" w:sz="8" w:space="0" w:color="auto"/>
            </w:tcBorders>
            <w:vAlign w:val="center"/>
          </w:tcPr>
          <w:p w14:paraId="1BDA81D6" w14:textId="77777777" w:rsidR="000B2487" w:rsidRPr="001F223D" w:rsidRDefault="000B2487" w:rsidP="002731ED">
            <w:pPr>
              <w:spacing w:after="0" w:line="240" w:lineRule="auto"/>
              <w:rPr>
                <w:b/>
                <w:sz w:val="20"/>
                <w:szCs w:val="20"/>
                <w:lang w:val="en-US"/>
              </w:rPr>
            </w:pPr>
            <w:r w:rsidRPr="001F223D">
              <w:rPr>
                <w:b/>
                <w:sz w:val="20"/>
                <w:szCs w:val="20"/>
                <w:lang w:val="en-US"/>
              </w:rPr>
              <w:t>Variables</w:t>
            </w:r>
          </w:p>
        </w:tc>
        <w:tc>
          <w:tcPr>
            <w:tcW w:w="1200" w:type="dxa"/>
            <w:tcBorders>
              <w:top w:val="single" w:sz="8" w:space="0" w:color="auto"/>
              <w:left w:val="nil"/>
              <w:bottom w:val="single" w:sz="8" w:space="0" w:color="auto"/>
              <w:right w:val="single" w:sz="8" w:space="0" w:color="auto"/>
            </w:tcBorders>
            <w:vAlign w:val="center"/>
          </w:tcPr>
          <w:p w14:paraId="28B3B002" w14:textId="77777777" w:rsidR="000B2487" w:rsidRPr="001F223D" w:rsidRDefault="000B2487" w:rsidP="002731ED">
            <w:pPr>
              <w:spacing w:after="0" w:line="240" w:lineRule="auto"/>
              <w:rPr>
                <w:b/>
                <w:sz w:val="20"/>
                <w:szCs w:val="20"/>
                <w:lang w:val="en-US"/>
              </w:rPr>
            </w:pPr>
            <w:r w:rsidRPr="001F223D">
              <w:rPr>
                <w:b/>
                <w:sz w:val="20"/>
                <w:szCs w:val="20"/>
                <w:lang w:val="en-US"/>
              </w:rPr>
              <w:t> </w:t>
            </w:r>
          </w:p>
        </w:tc>
        <w:tc>
          <w:tcPr>
            <w:tcW w:w="3600" w:type="dxa"/>
            <w:tcBorders>
              <w:top w:val="single" w:sz="8" w:space="0" w:color="auto"/>
              <w:left w:val="nil"/>
              <w:bottom w:val="single" w:sz="8" w:space="0" w:color="auto"/>
              <w:right w:val="single" w:sz="8" w:space="0" w:color="000000"/>
            </w:tcBorders>
            <w:vAlign w:val="center"/>
          </w:tcPr>
          <w:p w14:paraId="1073F839" w14:textId="77777777" w:rsidR="000B2487" w:rsidRPr="001F223D" w:rsidRDefault="000B2487" w:rsidP="002731ED">
            <w:pPr>
              <w:spacing w:after="0" w:line="240" w:lineRule="auto"/>
              <w:rPr>
                <w:b/>
                <w:sz w:val="20"/>
                <w:szCs w:val="20"/>
                <w:lang w:val="en-US"/>
              </w:rPr>
            </w:pPr>
            <w:r w:rsidRPr="001F223D">
              <w:rPr>
                <w:b/>
                <w:sz w:val="20"/>
                <w:szCs w:val="20"/>
                <w:lang w:val="en-US"/>
              </w:rPr>
              <w:t>Positive attitude towards tobacco use (okay to use even if it does interfere with study or work)</w:t>
            </w:r>
          </w:p>
        </w:tc>
      </w:tr>
      <w:tr w:rsidR="000B2487" w:rsidRPr="00D25204" w14:paraId="772D7C22" w14:textId="77777777" w:rsidTr="002731ED">
        <w:trPr>
          <w:trHeight w:val="525"/>
        </w:trPr>
        <w:tc>
          <w:tcPr>
            <w:tcW w:w="1960" w:type="dxa"/>
            <w:tcBorders>
              <w:top w:val="nil"/>
              <w:left w:val="single" w:sz="8" w:space="0" w:color="auto"/>
              <w:bottom w:val="single" w:sz="8" w:space="0" w:color="auto"/>
              <w:right w:val="single" w:sz="8" w:space="0" w:color="auto"/>
            </w:tcBorders>
            <w:vAlign w:val="center"/>
          </w:tcPr>
          <w:p w14:paraId="2B6CCC01" w14:textId="77777777" w:rsidR="000B2487" w:rsidRPr="00D25204" w:rsidRDefault="000B2487" w:rsidP="002731ED">
            <w:pPr>
              <w:spacing w:after="0" w:line="240" w:lineRule="auto"/>
              <w:rPr>
                <w:sz w:val="20"/>
                <w:szCs w:val="20"/>
                <w:lang w:val="en-US"/>
              </w:rPr>
            </w:pPr>
            <w:r w:rsidRPr="00D25204">
              <w:rPr>
                <w:sz w:val="20"/>
                <w:szCs w:val="20"/>
                <w:lang w:val="en-US"/>
              </w:rPr>
              <w:t> </w:t>
            </w:r>
          </w:p>
        </w:tc>
        <w:tc>
          <w:tcPr>
            <w:tcW w:w="1200" w:type="dxa"/>
            <w:tcBorders>
              <w:top w:val="nil"/>
              <w:left w:val="nil"/>
              <w:bottom w:val="single" w:sz="8" w:space="0" w:color="auto"/>
              <w:right w:val="single" w:sz="8" w:space="0" w:color="auto"/>
            </w:tcBorders>
            <w:vAlign w:val="center"/>
          </w:tcPr>
          <w:p w14:paraId="07DB1251" w14:textId="77777777" w:rsidR="000B2487" w:rsidRPr="00D25204" w:rsidRDefault="000B2487" w:rsidP="002731ED">
            <w:pPr>
              <w:spacing w:after="0" w:line="240" w:lineRule="auto"/>
              <w:rPr>
                <w:sz w:val="20"/>
                <w:szCs w:val="20"/>
                <w:lang w:val="en-US"/>
              </w:rPr>
            </w:pPr>
            <w:r w:rsidRPr="00F24068">
              <w:rPr>
                <w:sz w:val="20"/>
                <w:szCs w:val="20"/>
                <w:lang w:val="en-US"/>
              </w:rPr>
              <w:t xml:space="preserve">Proportion </w:t>
            </w:r>
            <w:r>
              <w:rPr>
                <w:sz w:val="20"/>
                <w:szCs w:val="20"/>
                <w:lang w:val="en-US"/>
              </w:rPr>
              <w:t xml:space="preserve">n </w:t>
            </w:r>
            <w:r w:rsidRPr="00F24068">
              <w:rPr>
                <w:sz w:val="20"/>
                <w:szCs w:val="20"/>
                <w:lang w:val="en-US"/>
              </w:rPr>
              <w:t>(%</w:t>
            </w:r>
            <w:r w:rsidRPr="00D25204">
              <w:rPr>
                <w:sz w:val="20"/>
                <w:szCs w:val="20"/>
              </w:rPr>
              <w:t>)</w:t>
            </w:r>
          </w:p>
        </w:tc>
        <w:tc>
          <w:tcPr>
            <w:tcW w:w="3600" w:type="dxa"/>
            <w:tcBorders>
              <w:top w:val="nil"/>
              <w:left w:val="nil"/>
              <w:bottom w:val="single" w:sz="8" w:space="0" w:color="auto"/>
              <w:right w:val="single" w:sz="8" w:space="0" w:color="000000"/>
            </w:tcBorders>
            <w:vAlign w:val="center"/>
          </w:tcPr>
          <w:p w14:paraId="7A5A59A1" w14:textId="77777777" w:rsidR="000B2487" w:rsidRPr="00D25204" w:rsidRDefault="000B2487" w:rsidP="002731ED">
            <w:pPr>
              <w:spacing w:after="0" w:line="240" w:lineRule="auto"/>
              <w:rPr>
                <w:sz w:val="20"/>
                <w:szCs w:val="20"/>
                <w:lang w:val="en-US"/>
              </w:rPr>
            </w:pPr>
            <w:r>
              <w:rPr>
                <w:sz w:val="20"/>
                <w:szCs w:val="20"/>
              </w:rPr>
              <w:t>OR</w:t>
            </w:r>
            <w:r>
              <w:rPr>
                <w:sz w:val="20"/>
                <w:szCs w:val="20"/>
                <w:lang w:val="en-US"/>
              </w:rPr>
              <w:t xml:space="preserve"> (</w:t>
            </w:r>
            <w:r w:rsidRPr="00D25204">
              <w:rPr>
                <w:sz w:val="20"/>
                <w:szCs w:val="20"/>
              </w:rPr>
              <w:t>95% C.I.</w:t>
            </w:r>
            <w:r>
              <w:rPr>
                <w:sz w:val="20"/>
                <w:szCs w:val="20"/>
              </w:rPr>
              <w:t>)</w:t>
            </w:r>
          </w:p>
        </w:tc>
      </w:tr>
      <w:tr w:rsidR="000B2487" w:rsidRPr="000A2DC3" w14:paraId="0906AF08" w14:textId="77777777" w:rsidTr="002731ED">
        <w:trPr>
          <w:trHeight w:val="562"/>
        </w:trPr>
        <w:tc>
          <w:tcPr>
            <w:tcW w:w="1960" w:type="dxa"/>
            <w:tcBorders>
              <w:top w:val="nil"/>
              <w:left w:val="single" w:sz="8" w:space="0" w:color="auto"/>
              <w:bottom w:val="single" w:sz="8" w:space="0" w:color="auto"/>
              <w:right w:val="single" w:sz="8" w:space="0" w:color="auto"/>
            </w:tcBorders>
            <w:vAlign w:val="center"/>
          </w:tcPr>
          <w:p w14:paraId="27000DED" w14:textId="77777777" w:rsidR="000B2487" w:rsidRPr="00D25204" w:rsidRDefault="000B2487" w:rsidP="002731ED">
            <w:pPr>
              <w:spacing w:after="0" w:line="240" w:lineRule="auto"/>
              <w:rPr>
                <w:b/>
                <w:bCs/>
                <w:sz w:val="20"/>
                <w:szCs w:val="20"/>
                <w:lang w:val="en-US"/>
              </w:rPr>
            </w:pPr>
            <w:r w:rsidRPr="00CE5598">
              <w:rPr>
                <w:b/>
                <w:bCs/>
                <w:sz w:val="20"/>
                <w:szCs w:val="20"/>
                <w:lang w:val="en-US"/>
              </w:rPr>
              <w:t>Perceived peer attitude to tobacco use</w:t>
            </w:r>
          </w:p>
        </w:tc>
        <w:tc>
          <w:tcPr>
            <w:tcW w:w="1200" w:type="dxa"/>
            <w:tcBorders>
              <w:top w:val="nil"/>
              <w:left w:val="nil"/>
              <w:bottom w:val="single" w:sz="8" w:space="0" w:color="auto"/>
              <w:right w:val="single" w:sz="8" w:space="0" w:color="auto"/>
            </w:tcBorders>
            <w:vAlign w:val="center"/>
          </w:tcPr>
          <w:p w14:paraId="48231464" w14:textId="77777777" w:rsidR="000B2487" w:rsidRPr="00D25204" w:rsidRDefault="000B2487" w:rsidP="002731ED">
            <w:pPr>
              <w:spacing w:after="0" w:line="240" w:lineRule="auto"/>
              <w:jc w:val="right"/>
              <w:rPr>
                <w:sz w:val="20"/>
                <w:szCs w:val="20"/>
                <w:lang w:val="en-US"/>
              </w:rPr>
            </w:pPr>
          </w:p>
        </w:tc>
        <w:tc>
          <w:tcPr>
            <w:tcW w:w="3600" w:type="dxa"/>
            <w:tcBorders>
              <w:top w:val="nil"/>
              <w:left w:val="nil"/>
              <w:bottom w:val="single" w:sz="8" w:space="0" w:color="auto"/>
              <w:right w:val="single" w:sz="8" w:space="0" w:color="auto"/>
            </w:tcBorders>
            <w:vAlign w:val="center"/>
          </w:tcPr>
          <w:p w14:paraId="04D20B43" w14:textId="77777777" w:rsidR="000B2487" w:rsidRPr="00D25204" w:rsidRDefault="000B2487" w:rsidP="002731ED">
            <w:pPr>
              <w:spacing w:after="0" w:line="240" w:lineRule="auto"/>
              <w:rPr>
                <w:sz w:val="20"/>
                <w:szCs w:val="20"/>
                <w:lang w:val="en-US"/>
              </w:rPr>
            </w:pPr>
          </w:p>
        </w:tc>
      </w:tr>
      <w:tr w:rsidR="000B2487" w:rsidRPr="00D25204" w14:paraId="0BD1C06F" w14:textId="77777777" w:rsidTr="002731ED">
        <w:trPr>
          <w:trHeight w:val="363"/>
        </w:trPr>
        <w:tc>
          <w:tcPr>
            <w:tcW w:w="1960" w:type="dxa"/>
            <w:tcBorders>
              <w:top w:val="nil"/>
              <w:left w:val="single" w:sz="8" w:space="0" w:color="auto"/>
              <w:bottom w:val="single" w:sz="8" w:space="0" w:color="auto"/>
              <w:right w:val="single" w:sz="8" w:space="0" w:color="auto"/>
            </w:tcBorders>
            <w:vAlign w:val="center"/>
          </w:tcPr>
          <w:p w14:paraId="60758764" w14:textId="77777777" w:rsidR="000B2487" w:rsidRPr="00CE5598" w:rsidRDefault="000B2487" w:rsidP="002731ED">
            <w:pPr>
              <w:spacing w:after="0" w:line="240" w:lineRule="auto"/>
              <w:rPr>
                <w:bCs/>
                <w:sz w:val="20"/>
                <w:szCs w:val="20"/>
                <w:lang w:val="en-US"/>
              </w:rPr>
            </w:pPr>
            <w:r w:rsidRPr="00CE5598">
              <w:rPr>
                <w:bCs/>
                <w:sz w:val="20"/>
                <w:szCs w:val="20"/>
                <w:lang w:val="en-US"/>
              </w:rPr>
              <w:t>Never okay to use</w:t>
            </w:r>
          </w:p>
        </w:tc>
        <w:tc>
          <w:tcPr>
            <w:tcW w:w="1200" w:type="dxa"/>
            <w:tcBorders>
              <w:top w:val="nil"/>
              <w:left w:val="nil"/>
              <w:bottom w:val="single" w:sz="8" w:space="0" w:color="auto"/>
              <w:right w:val="single" w:sz="8" w:space="0" w:color="auto"/>
            </w:tcBorders>
            <w:vAlign w:val="center"/>
          </w:tcPr>
          <w:p w14:paraId="17D7FE18" w14:textId="77777777" w:rsidR="000B2487" w:rsidRPr="00D25204" w:rsidRDefault="000B2487" w:rsidP="002731ED">
            <w:pPr>
              <w:spacing w:after="0" w:line="240" w:lineRule="auto"/>
              <w:jc w:val="right"/>
              <w:rPr>
                <w:sz w:val="20"/>
                <w:szCs w:val="20"/>
                <w:lang w:val="en-US"/>
              </w:rPr>
            </w:pPr>
            <w:r>
              <w:rPr>
                <w:sz w:val="20"/>
                <w:szCs w:val="20"/>
                <w:lang w:val="en-US"/>
              </w:rPr>
              <w:t>266 (6.3)</w:t>
            </w:r>
          </w:p>
        </w:tc>
        <w:tc>
          <w:tcPr>
            <w:tcW w:w="3600" w:type="dxa"/>
            <w:tcBorders>
              <w:top w:val="nil"/>
              <w:left w:val="nil"/>
              <w:bottom w:val="single" w:sz="8" w:space="0" w:color="auto"/>
              <w:right w:val="single" w:sz="8" w:space="0" w:color="auto"/>
            </w:tcBorders>
            <w:vAlign w:val="center"/>
          </w:tcPr>
          <w:p w14:paraId="543B8E5F" w14:textId="77777777" w:rsidR="000B2487" w:rsidRPr="00D25204" w:rsidRDefault="000B2487" w:rsidP="002731ED">
            <w:pPr>
              <w:spacing w:after="0" w:line="240" w:lineRule="auto"/>
              <w:rPr>
                <w:sz w:val="20"/>
                <w:szCs w:val="20"/>
                <w:lang w:val="en-US"/>
              </w:rPr>
            </w:pPr>
            <w:r w:rsidRPr="00D25204">
              <w:rPr>
                <w:sz w:val="20"/>
                <w:szCs w:val="20"/>
                <w:lang w:val="en-US"/>
              </w:rPr>
              <w:t>1.00</w:t>
            </w:r>
          </w:p>
        </w:tc>
      </w:tr>
      <w:tr w:rsidR="000B2487" w:rsidRPr="00D25204" w14:paraId="3B7BB111" w14:textId="77777777" w:rsidTr="002731ED">
        <w:trPr>
          <w:trHeight w:val="280"/>
        </w:trPr>
        <w:tc>
          <w:tcPr>
            <w:tcW w:w="1960" w:type="dxa"/>
            <w:tcBorders>
              <w:top w:val="nil"/>
              <w:left w:val="single" w:sz="8" w:space="0" w:color="auto"/>
              <w:bottom w:val="single" w:sz="8" w:space="0" w:color="auto"/>
              <w:right w:val="single" w:sz="8" w:space="0" w:color="auto"/>
            </w:tcBorders>
            <w:vAlign w:val="center"/>
          </w:tcPr>
          <w:p w14:paraId="08D027B6" w14:textId="77777777" w:rsidR="000B2487" w:rsidRPr="00D25204" w:rsidRDefault="000B2487" w:rsidP="002731ED">
            <w:pPr>
              <w:spacing w:after="0" w:line="240" w:lineRule="auto"/>
              <w:rPr>
                <w:sz w:val="20"/>
                <w:szCs w:val="20"/>
                <w:lang w:val="en-US"/>
              </w:rPr>
            </w:pPr>
            <w:r>
              <w:rPr>
                <w:sz w:val="20"/>
                <w:szCs w:val="20"/>
                <w:lang w:val="en-US"/>
              </w:rPr>
              <w:t>Okay to use</w:t>
            </w:r>
          </w:p>
        </w:tc>
        <w:tc>
          <w:tcPr>
            <w:tcW w:w="1200" w:type="dxa"/>
            <w:tcBorders>
              <w:top w:val="nil"/>
              <w:left w:val="nil"/>
              <w:bottom w:val="single" w:sz="8" w:space="0" w:color="auto"/>
              <w:right w:val="single" w:sz="8" w:space="0" w:color="auto"/>
            </w:tcBorders>
            <w:vAlign w:val="center"/>
          </w:tcPr>
          <w:p w14:paraId="34902C3D" w14:textId="77777777" w:rsidR="000B2487" w:rsidRPr="00D25204" w:rsidRDefault="000B2487" w:rsidP="002731ED">
            <w:pPr>
              <w:spacing w:after="0" w:line="240" w:lineRule="auto"/>
              <w:jc w:val="right"/>
              <w:rPr>
                <w:sz w:val="20"/>
                <w:szCs w:val="20"/>
                <w:lang w:val="en-US"/>
              </w:rPr>
            </w:pPr>
            <w:r>
              <w:rPr>
                <w:sz w:val="20"/>
                <w:szCs w:val="20"/>
                <w:lang w:val="en-US"/>
              </w:rPr>
              <w:t>3932 (93.7)</w:t>
            </w:r>
          </w:p>
        </w:tc>
        <w:tc>
          <w:tcPr>
            <w:tcW w:w="3600" w:type="dxa"/>
            <w:tcBorders>
              <w:top w:val="nil"/>
              <w:left w:val="nil"/>
              <w:bottom w:val="single" w:sz="8" w:space="0" w:color="auto"/>
              <w:right w:val="single" w:sz="8" w:space="0" w:color="auto"/>
            </w:tcBorders>
            <w:vAlign w:val="center"/>
          </w:tcPr>
          <w:p w14:paraId="19FDDFB4" w14:textId="77777777" w:rsidR="000B2487" w:rsidRPr="001F223D" w:rsidRDefault="000B2487" w:rsidP="002731ED">
            <w:pPr>
              <w:spacing w:after="0" w:line="240" w:lineRule="auto"/>
              <w:rPr>
                <w:b/>
                <w:sz w:val="20"/>
                <w:szCs w:val="20"/>
                <w:lang w:val="en-US"/>
              </w:rPr>
            </w:pPr>
            <w:r w:rsidRPr="001F223D">
              <w:rPr>
                <w:b/>
                <w:sz w:val="20"/>
                <w:szCs w:val="20"/>
                <w:lang w:val="en-US"/>
              </w:rPr>
              <w:t>6.49 (4.54-9.28)</w:t>
            </w:r>
          </w:p>
        </w:tc>
      </w:tr>
      <w:tr w:rsidR="000B2487" w:rsidRPr="00D25204" w14:paraId="18DEAAD9" w14:textId="77777777" w:rsidTr="002731ED">
        <w:trPr>
          <w:trHeight w:val="525"/>
        </w:trPr>
        <w:tc>
          <w:tcPr>
            <w:tcW w:w="1960" w:type="dxa"/>
            <w:tcBorders>
              <w:top w:val="nil"/>
              <w:left w:val="single" w:sz="8" w:space="0" w:color="auto"/>
              <w:bottom w:val="single" w:sz="8" w:space="0" w:color="auto"/>
              <w:right w:val="single" w:sz="8" w:space="0" w:color="auto"/>
            </w:tcBorders>
            <w:vAlign w:val="center"/>
          </w:tcPr>
          <w:p w14:paraId="1344A741" w14:textId="77777777" w:rsidR="000B2487" w:rsidRPr="00D25204" w:rsidRDefault="000B2487" w:rsidP="002731ED">
            <w:pPr>
              <w:spacing w:after="0" w:line="240" w:lineRule="auto"/>
              <w:rPr>
                <w:b/>
                <w:bCs/>
                <w:sz w:val="20"/>
                <w:szCs w:val="20"/>
                <w:lang w:val="en-US"/>
              </w:rPr>
            </w:pPr>
            <w:r>
              <w:rPr>
                <w:b/>
                <w:bCs/>
                <w:sz w:val="20"/>
                <w:szCs w:val="20"/>
                <w:lang w:val="en-US"/>
              </w:rPr>
              <w:t>Personal tobacco use</w:t>
            </w:r>
          </w:p>
        </w:tc>
        <w:tc>
          <w:tcPr>
            <w:tcW w:w="1200" w:type="dxa"/>
            <w:tcBorders>
              <w:top w:val="nil"/>
              <w:left w:val="nil"/>
              <w:bottom w:val="single" w:sz="8" w:space="0" w:color="auto"/>
              <w:right w:val="single" w:sz="8" w:space="0" w:color="auto"/>
            </w:tcBorders>
            <w:vAlign w:val="center"/>
          </w:tcPr>
          <w:p w14:paraId="4BD1266E" w14:textId="77777777" w:rsidR="000B2487" w:rsidRPr="00D25204" w:rsidRDefault="000B2487" w:rsidP="002731ED">
            <w:pPr>
              <w:spacing w:after="0" w:line="240" w:lineRule="auto"/>
              <w:jc w:val="right"/>
              <w:rPr>
                <w:sz w:val="20"/>
                <w:szCs w:val="20"/>
                <w:lang w:val="en-US"/>
              </w:rPr>
            </w:pPr>
          </w:p>
        </w:tc>
        <w:tc>
          <w:tcPr>
            <w:tcW w:w="3600" w:type="dxa"/>
            <w:tcBorders>
              <w:top w:val="nil"/>
              <w:left w:val="nil"/>
              <w:bottom w:val="single" w:sz="8" w:space="0" w:color="auto"/>
              <w:right w:val="single" w:sz="8" w:space="0" w:color="auto"/>
            </w:tcBorders>
            <w:vAlign w:val="center"/>
          </w:tcPr>
          <w:p w14:paraId="31BC1E2E" w14:textId="77777777" w:rsidR="000B2487" w:rsidRPr="00D25204" w:rsidRDefault="000B2487" w:rsidP="002731ED">
            <w:pPr>
              <w:spacing w:after="0" w:line="240" w:lineRule="auto"/>
              <w:rPr>
                <w:sz w:val="20"/>
                <w:szCs w:val="20"/>
                <w:lang w:val="en-US"/>
              </w:rPr>
            </w:pPr>
          </w:p>
        </w:tc>
      </w:tr>
      <w:tr w:rsidR="000B2487" w:rsidRPr="00D25204" w14:paraId="3F340BCF" w14:textId="77777777" w:rsidTr="002731ED">
        <w:trPr>
          <w:trHeight w:val="525"/>
        </w:trPr>
        <w:tc>
          <w:tcPr>
            <w:tcW w:w="1960" w:type="dxa"/>
            <w:tcBorders>
              <w:top w:val="nil"/>
              <w:left w:val="single" w:sz="8" w:space="0" w:color="auto"/>
              <w:bottom w:val="single" w:sz="8" w:space="0" w:color="auto"/>
              <w:right w:val="single" w:sz="8" w:space="0" w:color="auto"/>
            </w:tcBorders>
            <w:vAlign w:val="center"/>
          </w:tcPr>
          <w:p w14:paraId="314CFC08" w14:textId="77777777" w:rsidR="000B2487" w:rsidRPr="00286770" w:rsidRDefault="000B2487" w:rsidP="002731ED">
            <w:pPr>
              <w:spacing w:after="0" w:line="240" w:lineRule="auto"/>
              <w:rPr>
                <w:bCs/>
                <w:sz w:val="20"/>
                <w:szCs w:val="20"/>
                <w:lang w:val="en-US"/>
              </w:rPr>
            </w:pPr>
            <w:r>
              <w:rPr>
                <w:bCs/>
                <w:sz w:val="20"/>
                <w:szCs w:val="20"/>
                <w:lang w:val="en-US"/>
              </w:rPr>
              <w:t>Not in the last two months/Never</w:t>
            </w:r>
          </w:p>
        </w:tc>
        <w:tc>
          <w:tcPr>
            <w:tcW w:w="1200" w:type="dxa"/>
            <w:tcBorders>
              <w:top w:val="nil"/>
              <w:left w:val="nil"/>
              <w:bottom w:val="single" w:sz="8" w:space="0" w:color="auto"/>
              <w:right w:val="single" w:sz="8" w:space="0" w:color="auto"/>
            </w:tcBorders>
            <w:vAlign w:val="center"/>
          </w:tcPr>
          <w:p w14:paraId="716D9765" w14:textId="77777777" w:rsidR="000B2487" w:rsidRDefault="000B2487" w:rsidP="002731ED">
            <w:pPr>
              <w:spacing w:after="0" w:line="240" w:lineRule="auto"/>
              <w:jc w:val="right"/>
              <w:rPr>
                <w:sz w:val="20"/>
                <w:szCs w:val="20"/>
                <w:lang w:val="en-US"/>
              </w:rPr>
            </w:pPr>
            <w:r>
              <w:rPr>
                <w:sz w:val="20"/>
                <w:szCs w:val="20"/>
                <w:lang w:val="en-US"/>
              </w:rPr>
              <w:t>2909 (69.3)</w:t>
            </w:r>
          </w:p>
        </w:tc>
        <w:tc>
          <w:tcPr>
            <w:tcW w:w="3600" w:type="dxa"/>
            <w:tcBorders>
              <w:top w:val="nil"/>
              <w:left w:val="nil"/>
              <w:bottom w:val="single" w:sz="8" w:space="0" w:color="auto"/>
              <w:right w:val="single" w:sz="8" w:space="0" w:color="auto"/>
            </w:tcBorders>
            <w:vAlign w:val="center"/>
          </w:tcPr>
          <w:p w14:paraId="1455EB64" w14:textId="77777777" w:rsidR="000B2487" w:rsidRPr="00D25204" w:rsidRDefault="000B2487" w:rsidP="002731ED">
            <w:pPr>
              <w:spacing w:after="0" w:line="240" w:lineRule="auto"/>
              <w:rPr>
                <w:sz w:val="20"/>
                <w:szCs w:val="20"/>
                <w:lang w:val="en-US"/>
              </w:rPr>
            </w:pPr>
            <w:r w:rsidRPr="00D25204">
              <w:rPr>
                <w:sz w:val="20"/>
                <w:szCs w:val="20"/>
                <w:lang w:val="en-US"/>
              </w:rPr>
              <w:t>1.00</w:t>
            </w:r>
          </w:p>
        </w:tc>
      </w:tr>
      <w:tr w:rsidR="000B2487" w:rsidRPr="00D25204" w14:paraId="3367A01E"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4AB5CBAE" w14:textId="77777777" w:rsidR="000B2487" w:rsidRPr="00D25204" w:rsidRDefault="000B2487" w:rsidP="002731ED">
            <w:pPr>
              <w:spacing w:after="0" w:line="240" w:lineRule="auto"/>
              <w:rPr>
                <w:sz w:val="20"/>
                <w:szCs w:val="20"/>
                <w:lang w:val="en-US"/>
              </w:rPr>
            </w:pPr>
            <w:r>
              <w:rPr>
                <w:sz w:val="20"/>
                <w:szCs w:val="20"/>
                <w:lang w:val="en-US"/>
              </w:rPr>
              <w:t>Smoked in the last two months</w:t>
            </w:r>
            <w:r w:rsidRPr="00D25204">
              <w:rPr>
                <w:sz w:val="20"/>
                <w:szCs w:val="20"/>
                <w:lang w:val="en-US"/>
              </w:rPr>
              <w:t xml:space="preserve"> </w:t>
            </w:r>
          </w:p>
        </w:tc>
        <w:tc>
          <w:tcPr>
            <w:tcW w:w="1200" w:type="dxa"/>
            <w:tcBorders>
              <w:top w:val="nil"/>
              <w:left w:val="nil"/>
              <w:bottom w:val="single" w:sz="8" w:space="0" w:color="auto"/>
              <w:right w:val="single" w:sz="8" w:space="0" w:color="auto"/>
            </w:tcBorders>
            <w:vAlign w:val="center"/>
          </w:tcPr>
          <w:p w14:paraId="3B53B6FD" w14:textId="77777777" w:rsidR="000B2487" w:rsidRPr="00D25204" w:rsidRDefault="000B2487" w:rsidP="002731ED">
            <w:pPr>
              <w:spacing w:after="0" w:line="240" w:lineRule="auto"/>
              <w:jc w:val="right"/>
              <w:rPr>
                <w:sz w:val="20"/>
                <w:szCs w:val="20"/>
                <w:lang w:val="en-US"/>
              </w:rPr>
            </w:pPr>
            <w:r>
              <w:rPr>
                <w:sz w:val="20"/>
                <w:szCs w:val="20"/>
                <w:lang w:val="en-US"/>
              </w:rPr>
              <w:t>1289 (30.7)</w:t>
            </w:r>
          </w:p>
        </w:tc>
        <w:tc>
          <w:tcPr>
            <w:tcW w:w="3600" w:type="dxa"/>
            <w:tcBorders>
              <w:top w:val="nil"/>
              <w:left w:val="nil"/>
              <w:bottom w:val="single" w:sz="8" w:space="0" w:color="auto"/>
              <w:right w:val="single" w:sz="8" w:space="0" w:color="auto"/>
            </w:tcBorders>
            <w:vAlign w:val="center"/>
          </w:tcPr>
          <w:p w14:paraId="159FED84" w14:textId="77777777" w:rsidR="000B2487" w:rsidRPr="001F223D" w:rsidRDefault="000B2487" w:rsidP="002731ED">
            <w:pPr>
              <w:spacing w:after="0" w:line="240" w:lineRule="auto"/>
              <w:rPr>
                <w:b/>
                <w:sz w:val="20"/>
                <w:szCs w:val="20"/>
                <w:lang w:val="en-US"/>
              </w:rPr>
            </w:pPr>
            <w:r w:rsidRPr="001F223D">
              <w:rPr>
                <w:b/>
                <w:sz w:val="20"/>
                <w:szCs w:val="20"/>
                <w:lang w:val="en-US"/>
              </w:rPr>
              <w:t>7.85 (6.55-9.41)</w:t>
            </w:r>
          </w:p>
        </w:tc>
      </w:tr>
      <w:tr w:rsidR="000B2487" w:rsidRPr="00D25204" w14:paraId="635FFC10"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29767D76" w14:textId="77777777" w:rsidR="000B2487" w:rsidRPr="00D25204" w:rsidRDefault="000B2487" w:rsidP="002731ED">
            <w:pPr>
              <w:spacing w:after="0" w:line="240" w:lineRule="auto"/>
              <w:rPr>
                <w:b/>
                <w:bCs/>
                <w:sz w:val="20"/>
                <w:szCs w:val="20"/>
                <w:lang w:val="en-US"/>
              </w:rPr>
            </w:pPr>
            <w:r w:rsidRPr="00D25204">
              <w:rPr>
                <w:b/>
                <w:bCs/>
                <w:sz w:val="20"/>
                <w:szCs w:val="20"/>
              </w:rPr>
              <w:t>Country</w:t>
            </w:r>
          </w:p>
        </w:tc>
        <w:tc>
          <w:tcPr>
            <w:tcW w:w="1200" w:type="dxa"/>
            <w:tcBorders>
              <w:top w:val="nil"/>
              <w:left w:val="nil"/>
              <w:bottom w:val="single" w:sz="8" w:space="0" w:color="auto"/>
              <w:right w:val="single" w:sz="8" w:space="0" w:color="auto"/>
            </w:tcBorders>
            <w:vAlign w:val="center"/>
          </w:tcPr>
          <w:p w14:paraId="41B7D42F" w14:textId="77777777" w:rsidR="000B2487" w:rsidRPr="00D25204" w:rsidRDefault="000B2487" w:rsidP="002731ED">
            <w:pPr>
              <w:spacing w:after="0" w:line="240" w:lineRule="auto"/>
              <w:rPr>
                <w:sz w:val="20"/>
                <w:szCs w:val="20"/>
                <w:lang w:val="en-US"/>
              </w:rPr>
            </w:pPr>
            <w:r w:rsidRPr="00D25204">
              <w:rPr>
                <w:sz w:val="20"/>
                <w:szCs w:val="20"/>
                <w:lang w:val="en-US"/>
              </w:rPr>
              <w:t> </w:t>
            </w:r>
          </w:p>
        </w:tc>
        <w:tc>
          <w:tcPr>
            <w:tcW w:w="3600" w:type="dxa"/>
            <w:tcBorders>
              <w:top w:val="nil"/>
              <w:left w:val="nil"/>
              <w:bottom w:val="single" w:sz="8" w:space="0" w:color="auto"/>
              <w:right w:val="single" w:sz="8" w:space="0" w:color="auto"/>
            </w:tcBorders>
            <w:vAlign w:val="center"/>
          </w:tcPr>
          <w:p w14:paraId="4453F161" w14:textId="77777777" w:rsidR="000B2487" w:rsidRPr="00D25204" w:rsidRDefault="000B2487" w:rsidP="002731ED">
            <w:pPr>
              <w:spacing w:after="0" w:line="240" w:lineRule="auto"/>
              <w:rPr>
                <w:sz w:val="20"/>
                <w:szCs w:val="20"/>
                <w:lang w:val="en-US"/>
              </w:rPr>
            </w:pPr>
            <w:r w:rsidRPr="00D25204">
              <w:rPr>
                <w:sz w:val="20"/>
                <w:szCs w:val="20"/>
                <w:lang w:val="en-US"/>
              </w:rPr>
              <w:t> </w:t>
            </w:r>
          </w:p>
        </w:tc>
      </w:tr>
      <w:tr w:rsidR="000B2487" w:rsidRPr="00D25204" w14:paraId="6C48D5EF"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7455EC3E" w14:textId="77777777" w:rsidR="000B2487" w:rsidRPr="00D25204" w:rsidRDefault="000B2487" w:rsidP="002731ED">
            <w:pPr>
              <w:spacing w:after="0" w:line="240" w:lineRule="auto"/>
              <w:rPr>
                <w:i/>
                <w:iCs/>
                <w:sz w:val="20"/>
                <w:szCs w:val="20"/>
                <w:lang w:val="en-US"/>
              </w:rPr>
            </w:pPr>
            <w:r w:rsidRPr="00D25204">
              <w:rPr>
                <w:i/>
                <w:iCs/>
                <w:sz w:val="20"/>
                <w:szCs w:val="20"/>
              </w:rPr>
              <w:t>Slovak Republic</w:t>
            </w:r>
          </w:p>
        </w:tc>
        <w:tc>
          <w:tcPr>
            <w:tcW w:w="1200" w:type="dxa"/>
            <w:tcBorders>
              <w:top w:val="nil"/>
              <w:left w:val="nil"/>
              <w:bottom w:val="single" w:sz="8" w:space="0" w:color="auto"/>
              <w:right w:val="single" w:sz="8" w:space="0" w:color="auto"/>
            </w:tcBorders>
            <w:vAlign w:val="center"/>
          </w:tcPr>
          <w:p w14:paraId="1F54FF16" w14:textId="77777777" w:rsidR="000B2487" w:rsidRPr="00D25204" w:rsidRDefault="000B2487" w:rsidP="002731ED">
            <w:pPr>
              <w:spacing w:after="0" w:line="240" w:lineRule="auto"/>
              <w:jc w:val="right"/>
              <w:rPr>
                <w:sz w:val="20"/>
                <w:szCs w:val="20"/>
                <w:lang w:val="en-US"/>
              </w:rPr>
            </w:pPr>
            <w:r>
              <w:rPr>
                <w:sz w:val="20"/>
                <w:szCs w:val="20"/>
                <w:lang w:val="en-US"/>
              </w:rPr>
              <w:t>1843 (43.9)</w:t>
            </w:r>
          </w:p>
        </w:tc>
        <w:tc>
          <w:tcPr>
            <w:tcW w:w="3600" w:type="dxa"/>
            <w:tcBorders>
              <w:top w:val="nil"/>
              <w:left w:val="nil"/>
              <w:bottom w:val="single" w:sz="8" w:space="0" w:color="auto"/>
              <w:right w:val="single" w:sz="8" w:space="0" w:color="auto"/>
            </w:tcBorders>
            <w:vAlign w:val="center"/>
          </w:tcPr>
          <w:p w14:paraId="1ACAAC83" w14:textId="77777777" w:rsidR="000B2487" w:rsidRPr="00D25204" w:rsidRDefault="000B2487" w:rsidP="002731ED">
            <w:pPr>
              <w:spacing w:after="0" w:line="240" w:lineRule="auto"/>
              <w:rPr>
                <w:sz w:val="20"/>
                <w:szCs w:val="20"/>
                <w:lang w:val="en-US"/>
              </w:rPr>
            </w:pPr>
            <w:r w:rsidRPr="00D25204">
              <w:rPr>
                <w:sz w:val="20"/>
                <w:szCs w:val="20"/>
                <w:lang w:val="en-US"/>
              </w:rPr>
              <w:t>1.00 </w:t>
            </w:r>
          </w:p>
        </w:tc>
      </w:tr>
      <w:tr w:rsidR="000B2487" w:rsidRPr="00D25204" w14:paraId="33A1ED9A"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41442271" w14:textId="77777777" w:rsidR="000B2487" w:rsidRPr="00D25204" w:rsidRDefault="000B2487" w:rsidP="002731ED">
            <w:pPr>
              <w:spacing w:after="0" w:line="240" w:lineRule="auto"/>
              <w:rPr>
                <w:i/>
                <w:iCs/>
                <w:sz w:val="20"/>
                <w:szCs w:val="20"/>
                <w:lang w:val="en-US"/>
              </w:rPr>
            </w:pPr>
            <w:r w:rsidRPr="00D25204">
              <w:rPr>
                <w:i/>
                <w:iCs/>
                <w:sz w:val="20"/>
                <w:szCs w:val="20"/>
              </w:rPr>
              <w:t>Belgium</w:t>
            </w:r>
          </w:p>
        </w:tc>
        <w:tc>
          <w:tcPr>
            <w:tcW w:w="1200" w:type="dxa"/>
            <w:tcBorders>
              <w:top w:val="nil"/>
              <w:left w:val="nil"/>
              <w:bottom w:val="single" w:sz="8" w:space="0" w:color="auto"/>
              <w:right w:val="single" w:sz="8" w:space="0" w:color="auto"/>
            </w:tcBorders>
            <w:vAlign w:val="center"/>
          </w:tcPr>
          <w:p w14:paraId="6DEA2330" w14:textId="77777777" w:rsidR="000B2487" w:rsidRPr="00D25204" w:rsidRDefault="000B2487" w:rsidP="002731ED">
            <w:pPr>
              <w:spacing w:after="0" w:line="240" w:lineRule="auto"/>
              <w:jc w:val="right"/>
              <w:rPr>
                <w:sz w:val="20"/>
                <w:szCs w:val="20"/>
                <w:lang w:val="en-US"/>
              </w:rPr>
            </w:pPr>
            <w:r>
              <w:rPr>
                <w:sz w:val="20"/>
                <w:szCs w:val="20"/>
                <w:lang w:val="en-US"/>
              </w:rPr>
              <w:t>396 (9.4)</w:t>
            </w:r>
          </w:p>
        </w:tc>
        <w:tc>
          <w:tcPr>
            <w:tcW w:w="3600" w:type="dxa"/>
            <w:tcBorders>
              <w:top w:val="nil"/>
              <w:left w:val="nil"/>
              <w:bottom w:val="single" w:sz="8" w:space="0" w:color="auto"/>
              <w:right w:val="single" w:sz="8" w:space="0" w:color="auto"/>
            </w:tcBorders>
            <w:vAlign w:val="center"/>
          </w:tcPr>
          <w:p w14:paraId="4A54D5FB" w14:textId="77777777" w:rsidR="000B2487" w:rsidRPr="00D25204" w:rsidRDefault="000B2487" w:rsidP="002731ED">
            <w:pPr>
              <w:spacing w:after="0" w:line="240" w:lineRule="auto"/>
              <w:rPr>
                <w:sz w:val="20"/>
                <w:szCs w:val="20"/>
                <w:lang w:val="en-US"/>
              </w:rPr>
            </w:pPr>
            <w:r w:rsidRPr="00D25204">
              <w:rPr>
                <w:sz w:val="20"/>
                <w:szCs w:val="20"/>
                <w:lang w:val="en-US"/>
              </w:rPr>
              <w:t>1.61</w:t>
            </w:r>
            <w:r>
              <w:rPr>
                <w:sz w:val="20"/>
                <w:szCs w:val="20"/>
                <w:lang w:val="en-US"/>
              </w:rPr>
              <w:t xml:space="preserve"> (</w:t>
            </w:r>
            <w:r w:rsidRPr="00D25204">
              <w:rPr>
                <w:sz w:val="20"/>
                <w:szCs w:val="20"/>
                <w:lang w:val="en-US"/>
              </w:rPr>
              <w:t>1.26</w:t>
            </w:r>
            <w:r>
              <w:rPr>
                <w:sz w:val="20"/>
                <w:szCs w:val="20"/>
                <w:lang w:val="en-US"/>
              </w:rPr>
              <w:t>-</w:t>
            </w:r>
            <w:r w:rsidRPr="00D25204">
              <w:rPr>
                <w:sz w:val="20"/>
                <w:szCs w:val="20"/>
                <w:lang w:val="en-US"/>
              </w:rPr>
              <w:t>2.05</w:t>
            </w:r>
            <w:r>
              <w:rPr>
                <w:sz w:val="20"/>
                <w:szCs w:val="20"/>
                <w:lang w:val="en-US"/>
              </w:rPr>
              <w:t>)</w:t>
            </w:r>
          </w:p>
        </w:tc>
      </w:tr>
      <w:tr w:rsidR="000B2487" w:rsidRPr="00D25204" w14:paraId="6E125FDD"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66250A9B" w14:textId="77777777" w:rsidR="000B2487" w:rsidRPr="00D25204" w:rsidRDefault="000B2487" w:rsidP="002731ED">
            <w:pPr>
              <w:spacing w:after="0" w:line="240" w:lineRule="auto"/>
              <w:rPr>
                <w:i/>
                <w:iCs/>
                <w:sz w:val="20"/>
                <w:szCs w:val="20"/>
                <w:lang w:val="en-US"/>
              </w:rPr>
            </w:pPr>
            <w:r w:rsidRPr="00D25204">
              <w:rPr>
                <w:i/>
                <w:iCs/>
                <w:sz w:val="20"/>
                <w:szCs w:val="20"/>
              </w:rPr>
              <w:t>Denmark</w:t>
            </w:r>
          </w:p>
        </w:tc>
        <w:tc>
          <w:tcPr>
            <w:tcW w:w="1200" w:type="dxa"/>
            <w:tcBorders>
              <w:top w:val="nil"/>
              <w:left w:val="nil"/>
              <w:bottom w:val="single" w:sz="8" w:space="0" w:color="auto"/>
              <w:right w:val="single" w:sz="8" w:space="0" w:color="auto"/>
            </w:tcBorders>
            <w:vAlign w:val="center"/>
          </w:tcPr>
          <w:p w14:paraId="3614B819" w14:textId="77777777" w:rsidR="000B2487" w:rsidRPr="00D25204" w:rsidRDefault="000B2487" w:rsidP="002731ED">
            <w:pPr>
              <w:spacing w:after="0" w:line="240" w:lineRule="auto"/>
              <w:jc w:val="right"/>
              <w:rPr>
                <w:sz w:val="20"/>
                <w:szCs w:val="20"/>
                <w:lang w:val="en-US"/>
              </w:rPr>
            </w:pPr>
            <w:r>
              <w:rPr>
                <w:sz w:val="20"/>
                <w:szCs w:val="20"/>
                <w:lang w:val="en-US"/>
              </w:rPr>
              <w:t>442 (10.5)</w:t>
            </w:r>
          </w:p>
        </w:tc>
        <w:tc>
          <w:tcPr>
            <w:tcW w:w="3600" w:type="dxa"/>
            <w:tcBorders>
              <w:top w:val="nil"/>
              <w:left w:val="nil"/>
              <w:bottom w:val="single" w:sz="8" w:space="0" w:color="auto"/>
              <w:right w:val="single" w:sz="8" w:space="0" w:color="auto"/>
            </w:tcBorders>
            <w:vAlign w:val="center"/>
          </w:tcPr>
          <w:p w14:paraId="53E75E1D" w14:textId="77777777" w:rsidR="000B2487" w:rsidRPr="00D25204" w:rsidRDefault="000B2487" w:rsidP="002731ED">
            <w:pPr>
              <w:spacing w:after="0" w:line="240" w:lineRule="auto"/>
              <w:rPr>
                <w:sz w:val="20"/>
                <w:szCs w:val="20"/>
                <w:lang w:val="en-US"/>
              </w:rPr>
            </w:pPr>
            <w:r w:rsidRPr="00D25204">
              <w:rPr>
                <w:sz w:val="20"/>
                <w:szCs w:val="20"/>
                <w:lang w:val="en-US"/>
              </w:rPr>
              <w:t>3.29</w:t>
            </w:r>
            <w:r>
              <w:rPr>
                <w:sz w:val="20"/>
                <w:szCs w:val="20"/>
                <w:lang w:val="en-US"/>
              </w:rPr>
              <w:t xml:space="preserve"> (</w:t>
            </w:r>
            <w:r w:rsidRPr="00D25204">
              <w:rPr>
                <w:sz w:val="20"/>
                <w:szCs w:val="20"/>
                <w:lang w:val="en-US"/>
              </w:rPr>
              <w:t>2.46</w:t>
            </w:r>
            <w:r>
              <w:rPr>
                <w:sz w:val="20"/>
                <w:szCs w:val="20"/>
                <w:lang w:val="en-US"/>
              </w:rPr>
              <w:t>-</w:t>
            </w:r>
            <w:r w:rsidRPr="00D25204">
              <w:rPr>
                <w:sz w:val="20"/>
                <w:szCs w:val="20"/>
                <w:lang w:val="en-US"/>
              </w:rPr>
              <w:t>4.41</w:t>
            </w:r>
            <w:r>
              <w:rPr>
                <w:sz w:val="20"/>
                <w:szCs w:val="20"/>
                <w:lang w:val="en-US"/>
              </w:rPr>
              <w:t>)</w:t>
            </w:r>
          </w:p>
        </w:tc>
      </w:tr>
      <w:tr w:rsidR="000B2487" w:rsidRPr="00D25204" w14:paraId="0E3E09C2"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51F49F9D" w14:textId="77777777" w:rsidR="000B2487" w:rsidRPr="00D25204" w:rsidRDefault="000B2487" w:rsidP="002731ED">
            <w:pPr>
              <w:spacing w:after="0" w:line="240" w:lineRule="auto"/>
              <w:rPr>
                <w:i/>
                <w:iCs/>
                <w:sz w:val="20"/>
                <w:szCs w:val="20"/>
                <w:lang w:val="en-US"/>
              </w:rPr>
            </w:pPr>
            <w:r w:rsidRPr="00D25204">
              <w:rPr>
                <w:i/>
                <w:iCs/>
                <w:sz w:val="20"/>
                <w:szCs w:val="20"/>
              </w:rPr>
              <w:t>Germany</w:t>
            </w:r>
          </w:p>
        </w:tc>
        <w:tc>
          <w:tcPr>
            <w:tcW w:w="1200" w:type="dxa"/>
            <w:tcBorders>
              <w:top w:val="nil"/>
              <w:left w:val="nil"/>
              <w:bottom w:val="single" w:sz="8" w:space="0" w:color="auto"/>
              <w:right w:val="single" w:sz="8" w:space="0" w:color="auto"/>
            </w:tcBorders>
            <w:vAlign w:val="center"/>
          </w:tcPr>
          <w:p w14:paraId="309C2D77" w14:textId="77777777" w:rsidR="000B2487" w:rsidRPr="00D25204" w:rsidRDefault="000B2487" w:rsidP="002731ED">
            <w:pPr>
              <w:spacing w:after="0" w:line="240" w:lineRule="auto"/>
              <w:jc w:val="right"/>
              <w:rPr>
                <w:sz w:val="20"/>
                <w:szCs w:val="20"/>
                <w:lang w:val="en-US"/>
              </w:rPr>
            </w:pPr>
            <w:r>
              <w:rPr>
                <w:sz w:val="20"/>
                <w:szCs w:val="20"/>
                <w:lang w:val="en-US"/>
              </w:rPr>
              <w:t>485 (11.6)</w:t>
            </w:r>
          </w:p>
        </w:tc>
        <w:tc>
          <w:tcPr>
            <w:tcW w:w="3600" w:type="dxa"/>
            <w:tcBorders>
              <w:top w:val="nil"/>
              <w:left w:val="nil"/>
              <w:bottom w:val="single" w:sz="8" w:space="0" w:color="auto"/>
              <w:right w:val="single" w:sz="8" w:space="0" w:color="auto"/>
            </w:tcBorders>
            <w:vAlign w:val="center"/>
          </w:tcPr>
          <w:p w14:paraId="7289097E" w14:textId="77777777" w:rsidR="000B2487" w:rsidRPr="00D25204" w:rsidRDefault="000B2487" w:rsidP="002731ED">
            <w:pPr>
              <w:spacing w:after="0" w:line="240" w:lineRule="auto"/>
              <w:rPr>
                <w:sz w:val="20"/>
                <w:szCs w:val="20"/>
                <w:lang w:val="en-US"/>
              </w:rPr>
            </w:pPr>
            <w:r w:rsidRPr="00D25204">
              <w:rPr>
                <w:sz w:val="20"/>
                <w:szCs w:val="20"/>
                <w:lang w:val="en-US"/>
              </w:rPr>
              <w:t>2.45</w:t>
            </w:r>
            <w:r>
              <w:rPr>
                <w:sz w:val="20"/>
                <w:szCs w:val="20"/>
                <w:lang w:val="en-US"/>
              </w:rPr>
              <w:t xml:space="preserve"> (</w:t>
            </w:r>
            <w:r w:rsidRPr="00D25204">
              <w:rPr>
                <w:sz w:val="20"/>
                <w:szCs w:val="20"/>
                <w:lang w:val="en-US"/>
              </w:rPr>
              <w:t>1.89</w:t>
            </w:r>
            <w:r>
              <w:rPr>
                <w:sz w:val="20"/>
                <w:szCs w:val="20"/>
                <w:lang w:val="en-US"/>
              </w:rPr>
              <w:t>-</w:t>
            </w:r>
            <w:r w:rsidRPr="00D25204">
              <w:rPr>
                <w:sz w:val="20"/>
                <w:szCs w:val="20"/>
                <w:lang w:val="en-US"/>
              </w:rPr>
              <w:t>3.16</w:t>
            </w:r>
            <w:r>
              <w:rPr>
                <w:sz w:val="20"/>
                <w:szCs w:val="20"/>
                <w:lang w:val="en-US"/>
              </w:rPr>
              <w:t>)</w:t>
            </w:r>
          </w:p>
        </w:tc>
      </w:tr>
      <w:tr w:rsidR="000B2487" w:rsidRPr="00D25204" w14:paraId="7944ED17"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7D090900" w14:textId="77777777" w:rsidR="000B2487" w:rsidRPr="00D25204" w:rsidRDefault="000B2487" w:rsidP="002731ED">
            <w:pPr>
              <w:spacing w:after="0" w:line="240" w:lineRule="auto"/>
              <w:rPr>
                <w:i/>
                <w:iCs/>
                <w:sz w:val="20"/>
                <w:szCs w:val="20"/>
                <w:lang w:val="en-US"/>
              </w:rPr>
            </w:pPr>
            <w:r w:rsidRPr="00D25204">
              <w:rPr>
                <w:i/>
                <w:iCs/>
                <w:sz w:val="20"/>
                <w:szCs w:val="20"/>
              </w:rPr>
              <w:t>Spain</w:t>
            </w:r>
          </w:p>
        </w:tc>
        <w:tc>
          <w:tcPr>
            <w:tcW w:w="1200" w:type="dxa"/>
            <w:tcBorders>
              <w:top w:val="nil"/>
              <w:left w:val="nil"/>
              <w:bottom w:val="single" w:sz="8" w:space="0" w:color="auto"/>
              <w:right w:val="single" w:sz="8" w:space="0" w:color="auto"/>
            </w:tcBorders>
            <w:vAlign w:val="center"/>
          </w:tcPr>
          <w:p w14:paraId="5EAB47AC" w14:textId="77777777" w:rsidR="000B2487" w:rsidRPr="00D25204" w:rsidRDefault="000B2487" w:rsidP="002731ED">
            <w:pPr>
              <w:spacing w:after="0" w:line="240" w:lineRule="auto"/>
              <w:jc w:val="right"/>
              <w:rPr>
                <w:sz w:val="20"/>
                <w:szCs w:val="20"/>
                <w:lang w:val="en-US"/>
              </w:rPr>
            </w:pPr>
            <w:r>
              <w:rPr>
                <w:sz w:val="20"/>
                <w:szCs w:val="20"/>
                <w:lang w:val="en-US"/>
              </w:rPr>
              <w:t>172 (4.1)</w:t>
            </w:r>
          </w:p>
        </w:tc>
        <w:tc>
          <w:tcPr>
            <w:tcW w:w="3600" w:type="dxa"/>
            <w:tcBorders>
              <w:top w:val="nil"/>
              <w:left w:val="nil"/>
              <w:bottom w:val="single" w:sz="8" w:space="0" w:color="auto"/>
              <w:right w:val="single" w:sz="8" w:space="0" w:color="auto"/>
            </w:tcBorders>
            <w:vAlign w:val="center"/>
          </w:tcPr>
          <w:p w14:paraId="6BE9894B" w14:textId="77777777" w:rsidR="000B2487" w:rsidRPr="00D25204" w:rsidRDefault="000B2487" w:rsidP="002731ED">
            <w:pPr>
              <w:spacing w:after="0" w:line="240" w:lineRule="auto"/>
              <w:rPr>
                <w:sz w:val="20"/>
                <w:szCs w:val="20"/>
                <w:lang w:val="en-US"/>
              </w:rPr>
            </w:pPr>
            <w:r w:rsidRPr="00D25204">
              <w:rPr>
                <w:sz w:val="20"/>
                <w:szCs w:val="20"/>
                <w:lang w:val="en-US"/>
              </w:rPr>
              <w:t>1.29</w:t>
            </w:r>
            <w:r>
              <w:rPr>
                <w:sz w:val="20"/>
                <w:szCs w:val="20"/>
                <w:lang w:val="en-US"/>
              </w:rPr>
              <w:t xml:space="preserve"> (</w:t>
            </w:r>
            <w:r w:rsidRPr="00D25204">
              <w:rPr>
                <w:sz w:val="20"/>
                <w:szCs w:val="20"/>
                <w:lang w:val="en-US"/>
              </w:rPr>
              <w:t>0.91</w:t>
            </w:r>
            <w:r>
              <w:rPr>
                <w:sz w:val="20"/>
                <w:szCs w:val="20"/>
                <w:lang w:val="en-US"/>
              </w:rPr>
              <w:t>-</w:t>
            </w:r>
            <w:r w:rsidRPr="00D25204">
              <w:rPr>
                <w:sz w:val="20"/>
                <w:szCs w:val="20"/>
                <w:lang w:val="en-US"/>
              </w:rPr>
              <w:t>1.81</w:t>
            </w:r>
            <w:r>
              <w:rPr>
                <w:sz w:val="20"/>
                <w:szCs w:val="20"/>
                <w:lang w:val="en-US"/>
              </w:rPr>
              <w:t>)</w:t>
            </w:r>
          </w:p>
        </w:tc>
      </w:tr>
      <w:tr w:rsidR="000B2487" w:rsidRPr="00D25204" w14:paraId="4956D9B7"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64488C74" w14:textId="77777777" w:rsidR="000B2487" w:rsidRPr="00D25204" w:rsidRDefault="000B2487" w:rsidP="002731ED">
            <w:pPr>
              <w:spacing w:after="0" w:line="240" w:lineRule="auto"/>
              <w:rPr>
                <w:i/>
                <w:iCs/>
                <w:sz w:val="20"/>
                <w:szCs w:val="20"/>
                <w:lang w:val="en-US"/>
              </w:rPr>
            </w:pPr>
            <w:r w:rsidRPr="00D25204">
              <w:rPr>
                <w:i/>
                <w:iCs/>
                <w:sz w:val="20"/>
                <w:szCs w:val="20"/>
              </w:rPr>
              <w:t>Turkey</w:t>
            </w:r>
          </w:p>
        </w:tc>
        <w:tc>
          <w:tcPr>
            <w:tcW w:w="1200" w:type="dxa"/>
            <w:tcBorders>
              <w:top w:val="nil"/>
              <w:left w:val="nil"/>
              <w:bottom w:val="single" w:sz="8" w:space="0" w:color="auto"/>
              <w:right w:val="single" w:sz="8" w:space="0" w:color="auto"/>
            </w:tcBorders>
            <w:vAlign w:val="center"/>
          </w:tcPr>
          <w:p w14:paraId="4E413D25" w14:textId="77777777" w:rsidR="000B2487" w:rsidRPr="00D25204" w:rsidRDefault="000B2487" w:rsidP="002731ED">
            <w:pPr>
              <w:spacing w:after="0" w:line="240" w:lineRule="auto"/>
              <w:jc w:val="right"/>
              <w:rPr>
                <w:sz w:val="20"/>
                <w:szCs w:val="20"/>
                <w:lang w:val="en-US"/>
              </w:rPr>
            </w:pPr>
            <w:r>
              <w:rPr>
                <w:sz w:val="20"/>
                <w:szCs w:val="20"/>
                <w:lang w:val="en-US"/>
              </w:rPr>
              <w:t>761 (18.1)</w:t>
            </w:r>
          </w:p>
        </w:tc>
        <w:tc>
          <w:tcPr>
            <w:tcW w:w="3600" w:type="dxa"/>
            <w:tcBorders>
              <w:top w:val="nil"/>
              <w:left w:val="nil"/>
              <w:bottom w:val="single" w:sz="8" w:space="0" w:color="auto"/>
              <w:right w:val="single" w:sz="8" w:space="0" w:color="auto"/>
            </w:tcBorders>
            <w:vAlign w:val="center"/>
          </w:tcPr>
          <w:p w14:paraId="37D389B6" w14:textId="77777777" w:rsidR="000B2487" w:rsidRPr="00D25204" w:rsidRDefault="000B2487" w:rsidP="002731ED">
            <w:pPr>
              <w:spacing w:after="0" w:line="240" w:lineRule="auto"/>
              <w:rPr>
                <w:sz w:val="20"/>
                <w:szCs w:val="20"/>
                <w:lang w:val="en-US"/>
              </w:rPr>
            </w:pPr>
            <w:r w:rsidRPr="00D25204">
              <w:rPr>
                <w:sz w:val="20"/>
                <w:szCs w:val="20"/>
                <w:lang w:val="en-US"/>
              </w:rPr>
              <w:t>0.57</w:t>
            </w:r>
            <w:r>
              <w:rPr>
                <w:sz w:val="20"/>
                <w:szCs w:val="20"/>
                <w:lang w:val="en-US"/>
              </w:rPr>
              <w:t xml:space="preserve"> (</w:t>
            </w:r>
            <w:r w:rsidRPr="00D25204">
              <w:rPr>
                <w:sz w:val="20"/>
                <w:szCs w:val="20"/>
                <w:lang w:val="en-US"/>
              </w:rPr>
              <w:t>0.46</w:t>
            </w:r>
            <w:r>
              <w:rPr>
                <w:sz w:val="20"/>
                <w:szCs w:val="20"/>
                <w:lang w:val="en-US"/>
              </w:rPr>
              <w:t>-</w:t>
            </w:r>
            <w:r w:rsidRPr="00D25204">
              <w:rPr>
                <w:sz w:val="20"/>
                <w:szCs w:val="20"/>
                <w:lang w:val="en-US"/>
              </w:rPr>
              <w:t>0.70</w:t>
            </w:r>
            <w:r>
              <w:rPr>
                <w:sz w:val="20"/>
                <w:szCs w:val="20"/>
                <w:lang w:val="en-US"/>
              </w:rPr>
              <w:t>)</w:t>
            </w:r>
          </w:p>
        </w:tc>
      </w:tr>
      <w:tr w:rsidR="000B2487" w:rsidRPr="00D25204" w14:paraId="25459C5F"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23EB3014" w14:textId="77777777" w:rsidR="000B2487" w:rsidRPr="00D25204" w:rsidRDefault="000B2487" w:rsidP="002731ED">
            <w:pPr>
              <w:spacing w:after="0" w:line="240" w:lineRule="auto"/>
              <w:rPr>
                <w:i/>
                <w:iCs/>
                <w:sz w:val="20"/>
                <w:szCs w:val="20"/>
                <w:lang w:val="en-US"/>
              </w:rPr>
            </w:pPr>
            <w:r w:rsidRPr="00D25204">
              <w:rPr>
                <w:i/>
                <w:iCs/>
                <w:sz w:val="20"/>
                <w:szCs w:val="20"/>
              </w:rPr>
              <w:t>United Kingdom</w:t>
            </w:r>
          </w:p>
        </w:tc>
        <w:tc>
          <w:tcPr>
            <w:tcW w:w="1200" w:type="dxa"/>
            <w:tcBorders>
              <w:top w:val="nil"/>
              <w:left w:val="nil"/>
              <w:bottom w:val="single" w:sz="8" w:space="0" w:color="auto"/>
              <w:right w:val="single" w:sz="8" w:space="0" w:color="auto"/>
            </w:tcBorders>
            <w:vAlign w:val="center"/>
          </w:tcPr>
          <w:p w14:paraId="10A026A4" w14:textId="77777777" w:rsidR="000B2487" w:rsidRPr="00D25204" w:rsidRDefault="000B2487" w:rsidP="002731ED">
            <w:pPr>
              <w:spacing w:after="0" w:line="240" w:lineRule="auto"/>
              <w:jc w:val="right"/>
              <w:rPr>
                <w:sz w:val="20"/>
                <w:szCs w:val="20"/>
                <w:lang w:val="en-US"/>
              </w:rPr>
            </w:pPr>
            <w:r>
              <w:rPr>
                <w:sz w:val="20"/>
                <w:szCs w:val="20"/>
                <w:lang w:val="en-US"/>
              </w:rPr>
              <w:t>99 (2.4)</w:t>
            </w:r>
          </w:p>
        </w:tc>
        <w:tc>
          <w:tcPr>
            <w:tcW w:w="3600" w:type="dxa"/>
            <w:tcBorders>
              <w:top w:val="nil"/>
              <w:left w:val="nil"/>
              <w:bottom w:val="single" w:sz="8" w:space="0" w:color="auto"/>
              <w:right w:val="single" w:sz="8" w:space="0" w:color="auto"/>
            </w:tcBorders>
            <w:vAlign w:val="center"/>
          </w:tcPr>
          <w:p w14:paraId="6AF71DF8" w14:textId="77777777" w:rsidR="000B2487" w:rsidRPr="00D25204" w:rsidRDefault="000B2487" w:rsidP="002731ED">
            <w:pPr>
              <w:spacing w:after="0" w:line="240" w:lineRule="auto"/>
              <w:rPr>
                <w:sz w:val="20"/>
                <w:szCs w:val="20"/>
                <w:lang w:val="en-US"/>
              </w:rPr>
            </w:pPr>
            <w:r w:rsidRPr="00D25204">
              <w:rPr>
                <w:sz w:val="20"/>
                <w:szCs w:val="20"/>
                <w:lang w:val="en-US"/>
              </w:rPr>
              <w:t>1.53</w:t>
            </w:r>
            <w:r>
              <w:rPr>
                <w:sz w:val="20"/>
                <w:szCs w:val="20"/>
                <w:lang w:val="en-US"/>
              </w:rPr>
              <w:t xml:space="preserve"> (</w:t>
            </w:r>
            <w:r w:rsidRPr="00D25204">
              <w:rPr>
                <w:sz w:val="20"/>
                <w:szCs w:val="20"/>
                <w:lang w:val="en-US"/>
              </w:rPr>
              <w:t>0.97</w:t>
            </w:r>
            <w:r>
              <w:rPr>
                <w:sz w:val="20"/>
                <w:szCs w:val="20"/>
                <w:lang w:val="en-US"/>
              </w:rPr>
              <w:t>-</w:t>
            </w:r>
            <w:r w:rsidRPr="00D25204">
              <w:rPr>
                <w:sz w:val="20"/>
                <w:szCs w:val="20"/>
                <w:lang w:val="en-US"/>
              </w:rPr>
              <w:t>2.44</w:t>
            </w:r>
            <w:r>
              <w:rPr>
                <w:sz w:val="20"/>
                <w:szCs w:val="20"/>
                <w:lang w:val="en-US"/>
              </w:rPr>
              <w:t>)</w:t>
            </w:r>
          </w:p>
        </w:tc>
      </w:tr>
      <w:tr w:rsidR="000B2487" w:rsidRPr="00D25204" w14:paraId="5FEA2509"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7A8CA3ED" w14:textId="77777777" w:rsidR="000B2487" w:rsidRPr="00D25204" w:rsidRDefault="000B2487" w:rsidP="002731ED">
            <w:pPr>
              <w:spacing w:after="0" w:line="240" w:lineRule="auto"/>
              <w:rPr>
                <w:b/>
                <w:bCs/>
                <w:sz w:val="20"/>
                <w:szCs w:val="20"/>
                <w:lang w:val="en-US"/>
              </w:rPr>
            </w:pPr>
            <w:r w:rsidRPr="00D25204">
              <w:rPr>
                <w:b/>
                <w:bCs/>
                <w:sz w:val="20"/>
                <w:szCs w:val="20"/>
              </w:rPr>
              <w:t>Age</w:t>
            </w:r>
            <w:r>
              <w:rPr>
                <w:b/>
                <w:bCs/>
                <w:sz w:val="20"/>
                <w:szCs w:val="20"/>
              </w:rPr>
              <w:t xml:space="preserve"> [per year]</w:t>
            </w:r>
          </w:p>
        </w:tc>
        <w:tc>
          <w:tcPr>
            <w:tcW w:w="1200" w:type="dxa"/>
            <w:tcBorders>
              <w:top w:val="nil"/>
              <w:left w:val="nil"/>
              <w:bottom w:val="single" w:sz="8" w:space="0" w:color="auto"/>
              <w:right w:val="single" w:sz="8" w:space="0" w:color="auto"/>
            </w:tcBorders>
            <w:vAlign w:val="center"/>
          </w:tcPr>
          <w:p w14:paraId="0079BCE1" w14:textId="77777777" w:rsidR="000B2487" w:rsidRPr="00D25204" w:rsidRDefault="000B2487" w:rsidP="002731ED">
            <w:pPr>
              <w:spacing w:after="0" w:line="240" w:lineRule="auto"/>
              <w:rPr>
                <w:sz w:val="20"/>
                <w:szCs w:val="20"/>
                <w:lang w:val="en-US"/>
              </w:rPr>
            </w:pPr>
            <w:r w:rsidRPr="00D25204">
              <w:rPr>
                <w:sz w:val="20"/>
                <w:szCs w:val="20"/>
                <w:lang w:val="en-US"/>
              </w:rPr>
              <w:t> </w:t>
            </w:r>
          </w:p>
        </w:tc>
        <w:tc>
          <w:tcPr>
            <w:tcW w:w="3600" w:type="dxa"/>
            <w:tcBorders>
              <w:top w:val="nil"/>
              <w:left w:val="nil"/>
              <w:bottom w:val="single" w:sz="8" w:space="0" w:color="auto"/>
              <w:right w:val="single" w:sz="8" w:space="0" w:color="auto"/>
            </w:tcBorders>
            <w:noWrap/>
            <w:vAlign w:val="center"/>
          </w:tcPr>
          <w:p w14:paraId="594FA7ED" w14:textId="77777777" w:rsidR="000B2487" w:rsidRPr="00D25204" w:rsidRDefault="000B2487" w:rsidP="002731ED">
            <w:pPr>
              <w:spacing w:after="0" w:line="240" w:lineRule="auto"/>
              <w:rPr>
                <w:sz w:val="20"/>
                <w:szCs w:val="20"/>
                <w:lang w:val="en-US"/>
              </w:rPr>
            </w:pPr>
            <w:r>
              <w:rPr>
                <w:sz w:val="20"/>
                <w:szCs w:val="20"/>
                <w:lang w:val="en-US"/>
              </w:rPr>
              <w:t>0.98 (0.96-0.99)</w:t>
            </w:r>
          </w:p>
        </w:tc>
      </w:tr>
      <w:tr w:rsidR="000B2487" w:rsidRPr="00D25204" w14:paraId="5C359508"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349BABD4" w14:textId="77777777" w:rsidR="000B2487" w:rsidRPr="00D25204" w:rsidRDefault="000B2487" w:rsidP="002731ED">
            <w:pPr>
              <w:spacing w:after="0" w:line="240" w:lineRule="auto"/>
              <w:rPr>
                <w:b/>
                <w:bCs/>
                <w:sz w:val="20"/>
                <w:szCs w:val="20"/>
                <w:lang w:val="en-US"/>
              </w:rPr>
            </w:pPr>
            <w:r>
              <w:rPr>
                <w:b/>
                <w:bCs/>
                <w:sz w:val="20"/>
                <w:szCs w:val="20"/>
              </w:rPr>
              <w:t>Sex</w:t>
            </w:r>
          </w:p>
        </w:tc>
        <w:tc>
          <w:tcPr>
            <w:tcW w:w="1200" w:type="dxa"/>
            <w:tcBorders>
              <w:top w:val="nil"/>
              <w:left w:val="nil"/>
              <w:bottom w:val="single" w:sz="8" w:space="0" w:color="auto"/>
              <w:right w:val="single" w:sz="8" w:space="0" w:color="auto"/>
            </w:tcBorders>
            <w:vAlign w:val="center"/>
          </w:tcPr>
          <w:p w14:paraId="531BAA86" w14:textId="77777777" w:rsidR="000B2487" w:rsidRPr="00D25204" w:rsidRDefault="000B2487" w:rsidP="002731ED">
            <w:pPr>
              <w:spacing w:after="0" w:line="240" w:lineRule="auto"/>
              <w:rPr>
                <w:sz w:val="20"/>
                <w:szCs w:val="20"/>
                <w:lang w:val="en-US"/>
              </w:rPr>
            </w:pPr>
            <w:r w:rsidRPr="00D25204">
              <w:rPr>
                <w:sz w:val="20"/>
                <w:szCs w:val="20"/>
                <w:lang w:val="en-US"/>
              </w:rPr>
              <w:t> </w:t>
            </w:r>
          </w:p>
        </w:tc>
        <w:tc>
          <w:tcPr>
            <w:tcW w:w="3600" w:type="dxa"/>
            <w:tcBorders>
              <w:top w:val="nil"/>
              <w:left w:val="nil"/>
              <w:bottom w:val="single" w:sz="8" w:space="0" w:color="auto"/>
              <w:right w:val="single" w:sz="8" w:space="0" w:color="auto"/>
            </w:tcBorders>
            <w:vAlign w:val="center"/>
          </w:tcPr>
          <w:p w14:paraId="6769AD98" w14:textId="77777777" w:rsidR="000B2487" w:rsidRPr="00D25204" w:rsidRDefault="000B2487" w:rsidP="002731ED">
            <w:pPr>
              <w:spacing w:after="0" w:line="240" w:lineRule="auto"/>
              <w:rPr>
                <w:sz w:val="20"/>
                <w:szCs w:val="20"/>
                <w:lang w:val="en-US"/>
              </w:rPr>
            </w:pPr>
            <w:r w:rsidRPr="00D25204">
              <w:rPr>
                <w:sz w:val="20"/>
                <w:szCs w:val="20"/>
                <w:lang w:val="en-US"/>
              </w:rPr>
              <w:t> </w:t>
            </w:r>
          </w:p>
        </w:tc>
      </w:tr>
      <w:tr w:rsidR="000B2487" w:rsidRPr="00D25204" w14:paraId="6FA7DAC8"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0EA33491" w14:textId="77777777" w:rsidR="000B2487" w:rsidRPr="00D25204" w:rsidRDefault="000B2487" w:rsidP="002731ED">
            <w:pPr>
              <w:spacing w:after="0" w:line="240" w:lineRule="auto"/>
              <w:rPr>
                <w:i/>
                <w:iCs/>
                <w:sz w:val="20"/>
                <w:szCs w:val="20"/>
                <w:lang w:val="en-US"/>
              </w:rPr>
            </w:pPr>
            <w:r w:rsidRPr="00D25204">
              <w:rPr>
                <w:i/>
                <w:iCs/>
                <w:sz w:val="20"/>
                <w:szCs w:val="20"/>
              </w:rPr>
              <w:t>Female</w:t>
            </w:r>
          </w:p>
        </w:tc>
        <w:tc>
          <w:tcPr>
            <w:tcW w:w="1200" w:type="dxa"/>
            <w:tcBorders>
              <w:top w:val="nil"/>
              <w:left w:val="nil"/>
              <w:bottom w:val="single" w:sz="8" w:space="0" w:color="auto"/>
              <w:right w:val="single" w:sz="8" w:space="0" w:color="auto"/>
            </w:tcBorders>
            <w:vAlign w:val="center"/>
          </w:tcPr>
          <w:p w14:paraId="26245E4B" w14:textId="77777777" w:rsidR="000B2487" w:rsidRPr="00D25204" w:rsidRDefault="000B2487" w:rsidP="002731ED">
            <w:pPr>
              <w:spacing w:after="0" w:line="240" w:lineRule="auto"/>
              <w:jc w:val="right"/>
              <w:rPr>
                <w:sz w:val="20"/>
                <w:szCs w:val="20"/>
                <w:lang w:val="en-US"/>
              </w:rPr>
            </w:pPr>
            <w:r>
              <w:rPr>
                <w:sz w:val="20"/>
                <w:szCs w:val="20"/>
                <w:lang w:val="en-US"/>
              </w:rPr>
              <w:t>2998 (71.4)</w:t>
            </w:r>
          </w:p>
        </w:tc>
        <w:tc>
          <w:tcPr>
            <w:tcW w:w="3600" w:type="dxa"/>
            <w:tcBorders>
              <w:top w:val="nil"/>
              <w:left w:val="nil"/>
              <w:bottom w:val="single" w:sz="8" w:space="0" w:color="auto"/>
              <w:right w:val="single" w:sz="8" w:space="0" w:color="auto"/>
            </w:tcBorders>
            <w:vAlign w:val="center"/>
          </w:tcPr>
          <w:p w14:paraId="5C421EE3" w14:textId="77777777" w:rsidR="000B2487" w:rsidRPr="00D25204" w:rsidRDefault="000B2487" w:rsidP="002731ED">
            <w:pPr>
              <w:spacing w:after="0" w:line="240" w:lineRule="auto"/>
              <w:rPr>
                <w:sz w:val="20"/>
                <w:szCs w:val="20"/>
                <w:lang w:val="en-US"/>
              </w:rPr>
            </w:pPr>
            <w:r w:rsidRPr="00D25204">
              <w:rPr>
                <w:sz w:val="20"/>
                <w:szCs w:val="20"/>
                <w:lang w:val="en-US"/>
              </w:rPr>
              <w:t>1.00</w:t>
            </w:r>
          </w:p>
        </w:tc>
      </w:tr>
      <w:tr w:rsidR="000B2487" w:rsidRPr="00D25204" w14:paraId="6A102ADB" w14:textId="77777777" w:rsidTr="002731ED">
        <w:trPr>
          <w:trHeight w:val="270"/>
        </w:trPr>
        <w:tc>
          <w:tcPr>
            <w:tcW w:w="1960" w:type="dxa"/>
            <w:tcBorders>
              <w:top w:val="nil"/>
              <w:left w:val="single" w:sz="8" w:space="0" w:color="auto"/>
              <w:bottom w:val="single" w:sz="8" w:space="0" w:color="auto"/>
              <w:right w:val="single" w:sz="8" w:space="0" w:color="auto"/>
            </w:tcBorders>
            <w:vAlign w:val="center"/>
          </w:tcPr>
          <w:p w14:paraId="15810F37" w14:textId="77777777" w:rsidR="000B2487" w:rsidRPr="00D25204" w:rsidRDefault="000B2487" w:rsidP="002731ED">
            <w:pPr>
              <w:spacing w:after="0" w:line="240" w:lineRule="auto"/>
              <w:rPr>
                <w:i/>
                <w:iCs/>
                <w:sz w:val="20"/>
                <w:szCs w:val="20"/>
                <w:lang w:val="en-US"/>
              </w:rPr>
            </w:pPr>
            <w:r w:rsidRPr="00D25204">
              <w:rPr>
                <w:i/>
                <w:iCs/>
                <w:sz w:val="20"/>
                <w:szCs w:val="20"/>
              </w:rPr>
              <w:t>Male</w:t>
            </w:r>
          </w:p>
        </w:tc>
        <w:tc>
          <w:tcPr>
            <w:tcW w:w="1200" w:type="dxa"/>
            <w:tcBorders>
              <w:top w:val="nil"/>
              <w:left w:val="nil"/>
              <w:bottom w:val="single" w:sz="8" w:space="0" w:color="auto"/>
              <w:right w:val="single" w:sz="8" w:space="0" w:color="auto"/>
            </w:tcBorders>
            <w:vAlign w:val="center"/>
          </w:tcPr>
          <w:p w14:paraId="13315B78" w14:textId="77777777" w:rsidR="000B2487" w:rsidRPr="00D25204" w:rsidRDefault="000B2487" w:rsidP="002731ED">
            <w:pPr>
              <w:spacing w:after="0" w:line="240" w:lineRule="auto"/>
              <w:jc w:val="right"/>
              <w:rPr>
                <w:sz w:val="20"/>
                <w:szCs w:val="20"/>
                <w:lang w:val="en-US"/>
              </w:rPr>
            </w:pPr>
            <w:r>
              <w:rPr>
                <w:sz w:val="20"/>
                <w:szCs w:val="20"/>
                <w:lang w:val="en-US"/>
              </w:rPr>
              <w:t>1200 (28.6)</w:t>
            </w:r>
          </w:p>
        </w:tc>
        <w:tc>
          <w:tcPr>
            <w:tcW w:w="3600" w:type="dxa"/>
            <w:tcBorders>
              <w:top w:val="nil"/>
              <w:left w:val="nil"/>
              <w:bottom w:val="single" w:sz="8" w:space="0" w:color="auto"/>
              <w:right w:val="single" w:sz="8" w:space="0" w:color="auto"/>
            </w:tcBorders>
            <w:vAlign w:val="center"/>
          </w:tcPr>
          <w:p w14:paraId="678EBDB1" w14:textId="77777777" w:rsidR="000B2487" w:rsidRPr="00D25204" w:rsidRDefault="000B2487" w:rsidP="002731ED">
            <w:pPr>
              <w:spacing w:after="0" w:line="240" w:lineRule="auto"/>
              <w:rPr>
                <w:sz w:val="20"/>
                <w:szCs w:val="20"/>
                <w:lang w:val="en-US"/>
              </w:rPr>
            </w:pPr>
            <w:r w:rsidRPr="00D25204">
              <w:rPr>
                <w:sz w:val="20"/>
                <w:szCs w:val="20"/>
                <w:lang w:val="en-US"/>
              </w:rPr>
              <w:t>0.79</w:t>
            </w:r>
            <w:r>
              <w:rPr>
                <w:sz w:val="20"/>
                <w:szCs w:val="20"/>
                <w:lang w:val="en-US"/>
              </w:rPr>
              <w:t xml:space="preserve"> (</w:t>
            </w:r>
            <w:r w:rsidRPr="00D25204">
              <w:rPr>
                <w:sz w:val="20"/>
                <w:szCs w:val="20"/>
                <w:lang w:val="en-US"/>
              </w:rPr>
              <w:t>0.67</w:t>
            </w:r>
            <w:r>
              <w:rPr>
                <w:sz w:val="20"/>
                <w:szCs w:val="20"/>
                <w:lang w:val="en-US"/>
              </w:rPr>
              <w:t>-</w:t>
            </w:r>
            <w:r w:rsidRPr="00D25204">
              <w:rPr>
                <w:sz w:val="20"/>
                <w:szCs w:val="20"/>
                <w:lang w:val="en-US"/>
              </w:rPr>
              <w:t>0.93</w:t>
            </w:r>
            <w:r>
              <w:rPr>
                <w:sz w:val="20"/>
                <w:szCs w:val="20"/>
                <w:lang w:val="en-US"/>
              </w:rPr>
              <w:t>)</w:t>
            </w:r>
          </w:p>
        </w:tc>
      </w:tr>
    </w:tbl>
    <w:p w14:paraId="51F37865" w14:textId="77777777" w:rsidR="000B2487" w:rsidRPr="00970A00" w:rsidRDefault="000B2487" w:rsidP="000B2487"/>
    <w:p w14:paraId="6DE0CC79" w14:textId="77777777" w:rsidR="00B8489D" w:rsidRDefault="00B8489D" w:rsidP="001F223D">
      <w:pPr>
        <w:jc w:val="right"/>
        <w:rPr>
          <w:lang w:val="en-GB"/>
        </w:rPr>
      </w:pPr>
    </w:p>
    <w:p w14:paraId="641139A9" w14:textId="77777777" w:rsidR="00B8489D" w:rsidRDefault="00B8489D" w:rsidP="001F223D">
      <w:pPr>
        <w:jc w:val="right"/>
        <w:rPr>
          <w:lang w:val="en-GB"/>
        </w:rPr>
      </w:pPr>
    </w:p>
    <w:p w14:paraId="3B1C96D6" w14:textId="77777777" w:rsidR="00454C2A" w:rsidRDefault="00454C2A" w:rsidP="001F223D">
      <w:pPr>
        <w:jc w:val="right"/>
        <w:rPr>
          <w:lang w:val="en-GB"/>
        </w:rPr>
      </w:pPr>
    </w:p>
    <w:p w14:paraId="52D365E9" w14:textId="77777777" w:rsidR="00454C2A" w:rsidRDefault="00454C2A" w:rsidP="001F223D">
      <w:pPr>
        <w:jc w:val="right"/>
        <w:rPr>
          <w:lang w:val="en-GB"/>
        </w:rPr>
      </w:pPr>
    </w:p>
    <w:p w14:paraId="12F97124" w14:textId="77777777" w:rsidR="00454C2A" w:rsidRDefault="00454C2A" w:rsidP="001F223D">
      <w:pPr>
        <w:jc w:val="right"/>
        <w:rPr>
          <w:lang w:val="en-GB"/>
        </w:rPr>
      </w:pPr>
    </w:p>
    <w:p w14:paraId="06762F39" w14:textId="77777777" w:rsidR="00454C2A" w:rsidRDefault="00454C2A" w:rsidP="001F223D">
      <w:pPr>
        <w:jc w:val="right"/>
        <w:rPr>
          <w:lang w:val="en-GB"/>
        </w:rPr>
      </w:pPr>
    </w:p>
    <w:p w14:paraId="7EFE5992" w14:textId="77777777" w:rsidR="00454C2A" w:rsidRDefault="00454C2A" w:rsidP="001F223D">
      <w:pPr>
        <w:jc w:val="right"/>
        <w:rPr>
          <w:lang w:val="en-GB"/>
        </w:rPr>
      </w:pPr>
    </w:p>
    <w:p w14:paraId="7EBF3B42" w14:textId="77777777" w:rsidR="00454C2A" w:rsidRDefault="00454C2A" w:rsidP="001F223D">
      <w:pPr>
        <w:jc w:val="right"/>
        <w:rPr>
          <w:lang w:val="en-GB"/>
        </w:rPr>
      </w:pPr>
    </w:p>
    <w:p w14:paraId="095151AF" w14:textId="77777777" w:rsidR="00454C2A" w:rsidRDefault="00454C2A" w:rsidP="001F223D">
      <w:pPr>
        <w:jc w:val="right"/>
        <w:rPr>
          <w:lang w:val="en-GB"/>
        </w:rPr>
      </w:pPr>
    </w:p>
    <w:p w14:paraId="0FB7600C" w14:textId="77777777" w:rsidR="00454C2A" w:rsidRDefault="00454C2A" w:rsidP="001F223D">
      <w:pPr>
        <w:jc w:val="right"/>
        <w:rPr>
          <w:lang w:val="en-GB"/>
        </w:rPr>
      </w:pPr>
    </w:p>
    <w:p w14:paraId="49DF4C64" w14:textId="77777777" w:rsidR="001F223D" w:rsidRDefault="001F223D" w:rsidP="001F223D">
      <w:pPr>
        <w:jc w:val="right"/>
        <w:rPr>
          <w:lang w:val="en-GB"/>
        </w:rPr>
      </w:pPr>
    </w:p>
    <w:p w14:paraId="045EA29F" w14:textId="01C92696" w:rsidR="000B2487" w:rsidRDefault="005B7F32" w:rsidP="001F223D">
      <w:pPr>
        <w:jc w:val="right"/>
        <w:rPr>
          <w:b/>
          <w:lang w:val="en-GB"/>
        </w:rPr>
      </w:pPr>
      <w:r>
        <w:rPr>
          <w:lang w:val="en-GB"/>
        </w:rPr>
        <w:t>*Results for year of study and living situation are not shown in the table</w:t>
      </w:r>
    </w:p>
    <w:p w14:paraId="3D915EC4" w14:textId="77777777" w:rsidR="000B2487" w:rsidRPr="001F223D" w:rsidRDefault="000B2487" w:rsidP="000B2487">
      <w:pPr>
        <w:rPr>
          <w:lang w:val="en-US"/>
        </w:rPr>
      </w:pPr>
    </w:p>
    <w:p w14:paraId="66044134" w14:textId="77777777" w:rsidR="006C7C8B" w:rsidRDefault="006C7C8B" w:rsidP="00EE46F7">
      <w:pPr>
        <w:rPr>
          <w:b/>
          <w:lang w:val="en-GB"/>
        </w:rPr>
      </w:pPr>
    </w:p>
    <w:p w14:paraId="2AD1A5A0" w14:textId="71ADE646" w:rsidR="00EE46F7" w:rsidRDefault="0060477C" w:rsidP="00EE46F7">
      <w:pPr>
        <w:rPr>
          <w:b/>
          <w:lang w:val="en-GB"/>
        </w:rPr>
      </w:pPr>
      <w:r>
        <w:rPr>
          <w:b/>
          <w:lang w:val="en-GB"/>
        </w:rPr>
        <w:t xml:space="preserve">1.5 DISCUSSION &amp; </w:t>
      </w:r>
      <w:r w:rsidR="00537481">
        <w:rPr>
          <w:b/>
          <w:lang w:val="en-GB"/>
        </w:rPr>
        <w:t>CONCLUSIONS</w:t>
      </w:r>
    </w:p>
    <w:p w14:paraId="47CBAD83" w14:textId="55914AAF" w:rsidR="00086405" w:rsidRDefault="00E434EF" w:rsidP="001F223D">
      <w:pPr>
        <w:ind w:firstLine="708"/>
        <w:rPr>
          <w:lang w:val="en-GB"/>
        </w:rPr>
      </w:pPr>
      <w:r>
        <w:rPr>
          <w:iCs/>
          <w:lang w:val="en-US"/>
        </w:rPr>
        <w:t xml:space="preserve">Our </w:t>
      </w:r>
      <w:r w:rsidR="00C35678">
        <w:rPr>
          <w:iCs/>
          <w:lang w:val="en-US"/>
        </w:rPr>
        <w:t>two main aims were</w:t>
      </w:r>
      <w:r w:rsidR="00B041BC">
        <w:rPr>
          <w:iCs/>
          <w:lang w:val="en-US"/>
        </w:rPr>
        <w:t xml:space="preserve"> to </w:t>
      </w:r>
      <w:r w:rsidR="00B041BC" w:rsidRPr="00DE6DC2">
        <w:rPr>
          <w:iCs/>
          <w:lang w:val="en-US"/>
        </w:rPr>
        <w:t xml:space="preserve">investigate possible self-other discrepancies regarding </w:t>
      </w:r>
      <w:r w:rsidR="00B041BC">
        <w:rPr>
          <w:iCs/>
          <w:lang w:val="en-US"/>
        </w:rPr>
        <w:t>tobacco</w:t>
      </w:r>
      <w:r w:rsidR="00B041BC" w:rsidRPr="00DE6DC2">
        <w:rPr>
          <w:iCs/>
          <w:lang w:val="en-US"/>
        </w:rPr>
        <w:t xml:space="preserve"> use a</w:t>
      </w:r>
      <w:r w:rsidR="00B041BC">
        <w:rPr>
          <w:iCs/>
          <w:lang w:val="en-US"/>
        </w:rPr>
        <w:t xml:space="preserve">nd attitudes toward tobacco use and to </w:t>
      </w:r>
      <w:r w:rsidR="00B041BC" w:rsidRPr="00DE6DC2">
        <w:rPr>
          <w:iCs/>
          <w:lang w:val="en-US"/>
        </w:rPr>
        <w:t xml:space="preserve">evaluate whether perceptions of peer use and peer approval of tobacco use </w:t>
      </w:r>
      <w:r w:rsidR="00B041BC">
        <w:rPr>
          <w:iCs/>
          <w:lang w:val="en-US"/>
        </w:rPr>
        <w:t>are associated with</w:t>
      </w:r>
      <w:r w:rsidR="00B041BC" w:rsidRPr="00DE6DC2">
        <w:rPr>
          <w:iCs/>
          <w:lang w:val="en-US"/>
        </w:rPr>
        <w:t xml:space="preserve"> personal use</w:t>
      </w:r>
      <w:r w:rsidR="004C33CB">
        <w:rPr>
          <w:iCs/>
          <w:lang w:val="en-US"/>
        </w:rPr>
        <w:t xml:space="preserve"> and approval</w:t>
      </w:r>
      <w:r w:rsidR="00B041BC" w:rsidRPr="00DE6DC2">
        <w:rPr>
          <w:iCs/>
          <w:lang w:val="en-US"/>
        </w:rPr>
        <w:t>.</w:t>
      </w:r>
      <w:r w:rsidR="00C35678">
        <w:rPr>
          <w:iCs/>
          <w:lang w:val="en-US"/>
        </w:rPr>
        <w:t xml:space="preserve"> </w:t>
      </w:r>
      <w:r w:rsidR="00E174F3">
        <w:rPr>
          <w:lang w:val="en-GB"/>
        </w:rPr>
        <w:t xml:space="preserve">In all countries, </w:t>
      </w:r>
      <w:r w:rsidR="00CB2BC9">
        <w:rPr>
          <w:lang w:val="en-GB"/>
        </w:rPr>
        <w:t xml:space="preserve">self-other discrepancies regarding tobacco use were found. In general, </w:t>
      </w:r>
      <w:r w:rsidR="00E174F3">
        <w:rPr>
          <w:lang w:val="en-GB"/>
        </w:rPr>
        <w:t>students perceived their peers to use tobacco more</w:t>
      </w:r>
      <w:r w:rsidR="002A41A8">
        <w:rPr>
          <w:lang w:val="en-GB"/>
        </w:rPr>
        <w:t xml:space="preserve"> often</w:t>
      </w:r>
      <w:r w:rsidR="00E174F3">
        <w:rPr>
          <w:lang w:val="en-GB"/>
        </w:rPr>
        <w:t xml:space="preserve"> than themselves</w:t>
      </w:r>
      <w:r w:rsidR="004C33CB">
        <w:rPr>
          <w:lang w:val="en-GB"/>
        </w:rPr>
        <w:t>.</w:t>
      </w:r>
      <w:r w:rsidR="000A2666">
        <w:rPr>
          <w:lang w:val="en-GB"/>
        </w:rPr>
        <w:t xml:space="preserve"> </w:t>
      </w:r>
      <w:r w:rsidR="0032188F">
        <w:rPr>
          <w:lang w:val="en-GB"/>
        </w:rPr>
        <w:t>A</w:t>
      </w:r>
      <w:r w:rsidR="004C33CB">
        <w:rPr>
          <w:lang w:val="en-GB"/>
        </w:rPr>
        <w:t xml:space="preserve"> majority of students believed that their peers were more accepting of tobacco use than themselves.</w:t>
      </w:r>
      <w:r w:rsidR="00E174F3">
        <w:rPr>
          <w:lang w:val="en-GB"/>
        </w:rPr>
        <w:t xml:space="preserve"> Th</w:t>
      </w:r>
      <w:r w:rsidR="008E6DED">
        <w:rPr>
          <w:lang w:val="en-GB"/>
        </w:rPr>
        <w:t>e</w:t>
      </w:r>
      <w:r w:rsidR="00E174F3">
        <w:rPr>
          <w:lang w:val="en-GB"/>
        </w:rPr>
        <w:t xml:space="preserve"> perception </w:t>
      </w:r>
      <w:r w:rsidR="00086405">
        <w:rPr>
          <w:lang w:val="en-GB"/>
        </w:rPr>
        <w:t xml:space="preserve">that the majority </w:t>
      </w:r>
      <w:r w:rsidR="0032188F">
        <w:rPr>
          <w:lang w:val="en-GB"/>
        </w:rPr>
        <w:t xml:space="preserve">were </w:t>
      </w:r>
      <w:r w:rsidR="00086405">
        <w:rPr>
          <w:lang w:val="en-GB"/>
        </w:rPr>
        <w:t>using tobacco was associated with an increase</w:t>
      </w:r>
      <w:r w:rsidR="004C6DA8">
        <w:rPr>
          <w:lang w:val="en-GB"/>
        </w:rPr>
        <w:t>d</w:t>
      </w:r>
      <w:r w:rsidR="00086405">
        <w:rPr>
          <w:lang w:val="en-GB"/>
        </w:rPr>
        <w:t xml:space="preserve"> </w:t>
      </w:r>
      <w:r w:rsidR="006A5C60">
        <w:rPr>
          <w:lang w:val="en-GB"/>
        </w:rPr>
        <w:t xml:space="preserve">likelihood of </w:t>
      </w:r>
      <w:r w:rsidR="00086405">
        <w:rPr>
          <w:lang w:val="en-GB"/>
        </w:rPr>
        <w:t>personal use.</w:t>
      </w:r>
      <w:r w:rsidR="0032188F">
        <w:rPr>
          <w:lang w:val="en-GB"/>
        </w:rPr>
        <w:t xml:space="preserve"> P</w:t>
      </w:r>
      <w:r w:rsidR="00086405">
        <w:rPr>
          <w:lang w:val="en-GB"/>
        </w:rPr>
        <w:t>erceived approval of tobacco use in the peer group was associated with higher personal approval</w:t>
      </w:r>
      <w:r w:rsidR="00E93C6A">
        <w:rPr>
          <w:lang w:val="en-GB"/>
        </w:rPr>
        <w:t>, particularly among those with a recent history of smoking</w:t>
      </w:r>
      <w:r w:rsidR="00086405">
        <w:rPr>
          <w:lang w:val="en-GB"/>
        </w:rPr>
        <w:t xml:space="preserve">. </w:t>
      </w:r>
    </w:p>
    <w:p w14:paraId="6BCC51E1" w14:textId="39F26B1C" w:rsidR="00B24EC2" w:rsidRDefault="00DE1845" w:rsidP="008742B1">
      <w:pPr>
        <w:ind w:firstLine="708"/>
        <w:rPr>
          <w:lang w:val="en-US"/>
        </w:rPr>
      </w:pPr>
      <w:r>
        <w:rPr>
          <w:lang w:val="en-GB"/>
        </w:rPr>
        <w:t>Only two p</w:t>
      </w:r>
      <w:r w:rsidR="008E6DED">
        <w:rPr>
          <w:lang w:val="en-GB"/>
        </w:rPr>
        <w:t>revious studies have shown</w:t>
      </w:r>
      <w:r w:rsidR="00A81F24">
        <w:rPr>
          <w:lang w:val="en-GB"/>
        </w:rPr>
        <w:t xml:space="preserve"> </w:t>
      </w:r>
      <w:r w:rsidR="00F513D4" w:rsidRPr="00F513D4">
        <w:rPr>
          <w:lang w:val="en-GB"/>
        </w:rPr>
        <w:t>that European students tend to overestimate rates of smoking among their peers</w:t>
      </w:r>
      <w:r w:rsidR="00F513D4">
        <w:rPr>
          <w:lang w:val="en-GB"/>
        </w:rPr>
        <w:t xml:space="preserve"> </w:t>
      </w:r>
      <w:r w:rsidR="0084248D">
        <w:rPr>
          <w:lang w:val="en-US"/>
        </w:rPr>
        <w:t>(</w:t>
      </w:r>
      <w:r w:rsidR="00B1397F">
        <w:rPr>
          <w:lang w:val="en-US"/>
        </w:rPr>
        <w:t>e.g.</w:t>
      </w:r>
      <w:proofErr w:type="gramStart"/>
      <w:r w:rsidR="00B1397F">
        <w:rPr>
          <w:lang w:val="en-US"/>
        </w:rPr>
        <w:t>,</w:t>
      </w:r>
      <w:proofErr w:type="spellStart"/>
      <w:r w:rsidR="0084248D">
        <w:rPr>
          <w:iCs/>
          <w:lang w:val="en-US"/>
        </w:rPr>
        <w:t>Riou</w:t>
      </w:r>
      <w:proofErr w:type="spellEnd"/>
      <w:proofErr w:type="gramEnd"/>
      <w:r w:rsidR="0084248D">
        <w:rPr>
          <w:iCs/>
          <w:lang w:val="en-US"/>
        </w:rPr>
        <w:t xml:space="preserve"> Franca, </w:t>
      </w:r>
      <w:proofErr w:type="spellStart"/>
      <w:r w:rsidR="0084248D">
        <w:rPr>
          <w:iCs/>
          <w:lang w:val="en-US"/>
        </w:rPr>
        <w:t>Dautzenberg</w:t>
      </w:r>
      <w:proofErr w:type="spellEnd"/>
      <w:r w:rsidR="0084248D">
        <w:rPr>
          <w:iCs/>
          <w:lang w:val="en-US"/>
        </w:rPr>
        <w:t xml:space="preserve">, </w:t>
      </w:r>
      <w:proofErr w:type="spellStart"/>
      <w:r w:rsidR="0084248D">
        <w:rPr>
          <w:iCs/>
          <w:lang w:val="en-US"/>
        </w:rPr>
        <w:t>Falissard</w:t>
      </w:r>
      <w:proofErr w:type="spellEnd"/>
      <w:r w:rsidR="0084248D">
        <w:rPr>
          <w:iCs/>
          <w:lang w:val="en-US"/>
        </w:rPr>
        <w:t xml:space="preserve">, &amp; Reynaud, 2009; </w:t>
      </w:r>
      <w:proofErr w:type="spellStart"/>
      <w:r w:rsidR="0084248D">
        <w:rPr>
          <w:iCs/>
          <w:lang w:val="en-US"/>
        </w:rPr>
        <w:t>Bertho</w:t>
      </w:r>
      <w:r w:rsidR="00FD6E38">
        <w:rPr>
          <w:iCs/>
          <w:lang w:val="en-US"/>
        </w:rPr>
        <w:t>let</w:t>
      </w:r>
      <w:proofErr w:type="spellEnd"/>
      <w:r w:rsidR="00FD6E38">
        <w:rPr>
          <w:iCs/>
          <w:lang w:val="en-US"/>
        </w:rPr>
        <w:t xml:space="preserve">, </w:t>
      </w:r>
      <w:proofErr w:type="spellStart"/>
      <w:r w:rsidR="00FD6E38">
        <w:rPr>
          <w:iCs/>
          <w:lang w:val="en-US"/>
        </w:rPr>
        <w:t>Faouzi</w:t>
      </w:r>
      <w:proofErr w:type="spellEnd"/>
      <w:r w:rsidR="00FD6E38">
        <w:rPr>
          <w:iCs/>
          <w:lang w:val="en-US"/>
        </w:rPr>
        <w:t xml:space="preserve">, </w:t>
      </w:r>
      <w:proofErr w:type="spellStart"/>
      <w:r w:rsidR="00FD6E38">
        <w:rPr>
          <w:iCs/>
          <w:lang w:val="en-US"/>
        </w:rPr>
        <w:t>Studer</w:t>
      </w:r>
      <w:proofErr w:type="spellEnd"/>
      <w:r w:rsidR="00FD6E38">
        <w:rPr>
          <w:iCs/>
          <w:lang w:val="en-US"/>
        </w:rPr>
        <w:t xml:space="preserve">, </w:t>
      </w:r>
      <w:proofErr w:type="spellStart"/>
      <w:r w:rsidR="00FD6E38">
        <w:rPr>
          <w:iCs/>
          <w:lang w:val="en-US"/>
        </w:rPr>
        <w:t>Daeppen</w:t>
      </w:r>
      <w:proofErr w:type="spellEnd"/>
      <w:r w:rsidR="00FD6E38">
        <w:rPr>
          <w:iCs/>
          <w:lang w:val="en-US"/>
        </w:rPr>
        <w:t xml:space="preserve">, </w:t>
      </w:r>
      <w:r w:rsidR="008742B1">
        <w:rPr>
          <w:iCs/>
          <w:lang w:val="en-US"/>
        </w:rPr>
        <w:t xml:space="preserve">&amp; </w:t>
      </w:r>
      <w:proofErr w:type="spellStart"/>
      <w:r w:rsidR="00FD6E38">
        <w:rPr>
          <w:iCs/>
          <w:lang w:val="en-US"/>
        </w:rPr>
        <w:t>G</w:t>
      </w:r>
      <w:r w:rsidR="0084248D">
        <w:rPr>
          <w:iCs/>
          <w:lang w:val="en-US"/>
        </w:rPr>
        <w:t>mel</w:t>
      </w:r>
      <w:proofErr w:type="spellEnd"/>
      <w:r w:rsidR="0084248D">
        <w:rPr>
          <w:iCs/>
          <w:lang w:val="en-US"/>
        </w:rPr>
        <w:t xml:space="preserve">, 2013 </w:t>
      </w:r>
      <w:r w:rsidR="00E417D4" w:rsidRPr="00E53E82">
        <w:rPr>
          <w:lang w:val="en-US"/>
        </w:rPr>
        <w:t>)</w:t>
      </w:r>
      <w:r w:rsidR="00F513D4">
        <w:rPr>
          <w:lang w:val="en-US"/>
        </w:rPr>
        <w:t>.</w:t>
      </w:r>
      <w:r w:rsidR="00A81F24">
        <w:rPr>
          <w:lang w:val="en-GB"/>
        </w:rPr>
        <w:t xml:space="preserve"> </w:t>
      </w:r>
      <w:r w:rsidR="00875FCF">
        <w:rPr>
          <w:lang w:val="en-GB"/>
        </w:rPr>
        <w:t xml:space="preserve">In a Swiss study, </w:t>
      </w:r>
      <w:proofErr w:type="spellStart"/>
      <w:r w:rsidR="0013750A">
        <w:rPr>
          <w:lang w:val="en-US"/>
        </w:rPr>
        <w:t>Bertholet</w:t>
      </w:r>
      <w:proofErr w:type="spellEnd"/>
      <w:r w:rsidR="0013750A">
        <w:rPr>
          <w:lang w:val="en-US"/>
        </w:rPr>
        <w:t xml:space="preserve"> and colleagues (2013)</w:t>
      </w:r>
      <w:r w:rsidR="00344347">
        <w:rPr>
          <w:lang w:val="en-US"/>
        </w:rPr>
        <w:t xml:space="preserve"> </w:t>
      </w:r>
      <w:r w:rsidR="00CD0AF9">
        <w:rPr>
          <w:lang w:val="en-US"/>
        </w:rPr>
        <w:t>reported</w:t>
      </w:r>
      <w:r w:rsidR="00344347">
        <w:rPr>
          <w:lang w:val="en-US"/>
        </w:rPr>
        <w:t xml:space="preserve"> that overestimations of tobacco use by others are frequent among young men and are associated with greater </w:t>
      </w:r>
      <w:r w:rsidR="00194A0C">
        <w:rPr>
          <w:lang w:val="en-US"/>
        </w:rPr>
        <w:t xml:space="preserve">personal </w:t>
      </w:r>
      <w:r w:rsidR="00344347">
        <w:rPr>
          <w:lang w:val="en-US"/>
        </w:rPr>
        <w:t>consumption</w:t>
      </w:r>
      <w:r w:rsidR="007448F8">
        <w:rPr>
          <w:lang w:val="en-US"/>
        </w:rPr>
        <w:t xml:space="preserve"> </w:t>
      </w:r>
      <w:r w:rsidR="0084248D">
        <w:rPr>
          <w:lang w:val="en-US"/>
        </w:rPr>
        <w:t>(</w:t>
      </w:r>
      <w:proofErr w:type="spellStart"/>
      <w:r w:rsidR="0084248D">
        <w:rPr>
          <w:iCs/>
          <w:lang w:val="en-US"/>
        </w:rPr>
        <w:t>Bertho</w:t>
      </w:r>
      <w:r w:rsidR="00FD6E38">
        <w:rPr>
          <w:iCs/>
          <w:lang w:val="en-US"/>
        </w:rPr>
        <w:t>let</w:t>
      </w:r>
      <w:proofErr w:type="spellEnd"/>
      <w:r w:rsidR="00FD6E38">
        <w:rPr>
          <w:iCs/>
          <w:lang w:val="en-US"/>
        </w:rPr>
        <w:t xml:space="preserve">, </w:t>
      </w:r>
      <w:proofErr w:type="spellStart"/>
      <w:r w:rsidR="00FD6E38">
        <w:rPr>
          <w:iCs/>
          <w:lang w:val="en-US"/>
        </w:rPr>
        <w:t>Faouzi</w:t>
      </w:r>
      <w:proofErr w:type="spellEnd"/>
      <w:r w:rsidR="00FD6E38">
        <w:rPr>
          <w:iCs/>
          <w:lang w:val="en-US"/>
        </w:rPr>
        <w:t xml:space="preserve">, </w:t>
      </w:r>
      <w:proofErr w:type="spellStart"/>
      <w:r w:rsidR="00FD6E38">
        <w:rPr>
          <w:iCs/>
          <w:lang w:val="en-US"/>
        </w:rPr>
        <w:t>Studer</w:t>
      </w:r>
      <w:proofErr w:type="spellEnd"/>
      <w:r w:rsidR="00FD6E38">
        <w:rPr>
          <w:iCs/>
          <w:lang w:val="en-US"/>
        </w:rPr>
        <w:t xml:space="preserve">, </w:t>
      </w:r>
      <w:proofErr w:type="spellStart"/>
      <w:r w:rsidR="00FD6E38">
        <w:rPr>
          <w:iCs/>
          <w:lang w:val="en-US"/>
        </w:rPr>
        <w:t>Daeppen</w:t>
      </w:r>
      <w:proofErr w:type="spellEnd"/>
      <w:r w:rsidR="00FD6E38">
        <w:rPr>
          <w:iCs/>
          <w:lang w:val="en-US"/>
        </w:rPr>
        <w:t xml:space="preserve">, </w:t>
      </w:r>
      <w:r w:rsidR="008742B1">
        <w:rPr>
          <w:iCs/>
          <w:lang w:val="en-US"/>
        </w:rPr>
        <w:t xml:space="preserve">&amp; </w:t>
      </w:r>
      <w:proofErr w:type="spellStart"/>
      <w:r w:rsidR="00FD6E38">
        <w:rPr>
          <w:iCs/>
          <w:lang w:val="en-US"/>
        </w:rPr>
        <w:t>G</w:t>
      </w:r>
      <w:r w:rsidR="0084248D">
        <w:rPr>
          <w:iCs/>
          <w:lang w:val="en-US"/>
        </w:rPr>
        <w:t>mel</w:t>
      </w:r>
      <w:proofErr w:type="spellEnd"/>
      <w:r w:rsidR="0084248D">
        <w:rPr>
          <w:iCs/>
          <w:lang w:val="en-US"/>
        </w:rPr>
        <w:t>, 2013)</w:t>
      </w:r>
      <w:r w:rsidR="00344347">
        <w:rPr>
          <w:lang w:val="en-US"/>
        </w:rPr>
        <w:t>.</w:t>
      </w:r>
      <w:r w:rsidR="00194A0C">
        <w:rPr>
          <w:lang w:val="en-US"/>
        </w:rPr>
        <w:t xml:space="preserve"> Our study included both men and women</w:t>
      </w:r>
      <w:r w:rsidR="00CD0AF9">
        <w:rPr>
          <w:lang w:val="en-US"/>
        </w:rPr>
        <w:t>,</w:t>
      </w:r>
      <w:r w:rsidR="00875FCF">
        <w:rPr>
          <w:lang w:val="en-US"/>
        </w:rPr>
        <w:t xml:space="preserve"> was conducted</w:t>
      </w:r>
      <w:r w:rsidR="00194A0C">
        <w:rPr>
          <w:lang w:val="en-US"/>
        </w:rPr>
        <w:t xml:space="preserve"> </w:t>
      </w:r>
      <w:r w:rsidR="006F5AEE">
        <w:rPr>
          <w:lang w:val="en-US"/>
        </w:rPr>
        <w:t xml:space="preserve">in </w:t>
      </w:r>
      <w:r w:rsidR="00A92A4B">
        <w:rPr>
          <w:lang w:val="en-US"/>
        </w:rPr>
        <w:t xml:space="preserve">six European </w:t>
      </w:r>
      <w:r w:rsidR="006F5AEE">
        <w:rPr>
          <w:lang w:val="en-US"/>
        </w:rPr>
        <w:t>countries</w:t>
      </w:r>
      <w:r w:rsidR="00A92A4B">
        <w:rPr>
          <w:lang w:val="en-US"/>
        </w:rPr>
        <w:t xml:space="preserve"> and Turkey</w:t>
      </w:r>
      <w:r w:rsidR="006F5AEE">
        <w:rPr>
          <w:lang w:val="en-US"/>
        </w:rPr>
        <w:t xml:space="preserve"> </w:t>
      </w:r>
      <w:r w:rsidR="00194A0C">
        <w:rPr>
          <w:lang w:val="en-US"/>
        </w:rPr>
        <w:t>and demonstrated a similar association.</w:t>
      </w:r>
      <w:r w:rsidR="001E5369">
        <w:rPr>
          <w:lang w:val="en-US"/>
        </w:rPr>
        <w:t xml:space="preserve"> </w:t>
      </w:r>
      <w:proofErr w:type="spellStart"/>
      <w:r w:rsidR="0096609D">
        <w:rPr>
          <w:lang w:val="en-US"/>
        </w:rPr>
        <w:t>Bertholet</w:t>
      </w:r>
      <w:proofErr w:type="spellEnd"/>
      <w:r w:rsidR="0017199A">
        <w:rPr>
          <w:lang w:val="en-US"/>
        </w:rPr>
        <w:t xml:space="preserve"> and colleagues</w:t>
      </w:r>
      <w:r w:rsidR="0096609D">
        <w:rPr>
          <w:lang w:val="en-US"/>
        </w:rPr>
        <w:t xml:space="preserve"> </w:t>
      </w:r>
      <w:r w:rsidR="00B001DB">
        <w:rPr>
          <w:lang w:val="en-US"/>
        </w:rPr>
        <w:t>(2013)</w:t>
      </w:r>
      <w:r w:rsidR="00E56AFF">
        <w:rPr>
          <w:lang w:val="en-US"/>
        </w:rPr>
        <w:t xml:space="preserve"> </w:t>
      </w:r>
      <w:r w:rsidR="00BF7242">
        <w:rPr>
          <w:lang w:val="en-US"/>
        </w:rPr>
        <w:t>found</w:t>
      </w:r>
      <w:r w:rsidR="0096609D">
        <w:rPr>
          <w:lang w:val="en-US"/>
        </w:rPr>
        <w:t xml:space="preserve"> that the overestimation</w:t>
      </w:r>
      <w:r w:rsidR="00BF7242">
        <w:rPr>
          <w:lang w:val="en-US"/>
        </w:rPr>
        <w:t>s varied by substances</w:t>
      </w:r>
      <w:r w:rsidR="00FB3C92">
        <w:rPr>
          <w:lang w:val="en-US"/>
        </w:rPr>
        <w:t xml:space="preserve"> </w:t>
      </w:r>
      <w:r w:rsidR="00FD6E38">
        <w:rPr>
          <w:lang w:val="en-US"/>
        </w:rPr>
        <w:t>(</w:t>
      </w:r>
      <w:proofErr w:type="spellStart"/>
      <w:r w:rsidR="00FD6E38">
        <w:rPr>
          <w:iCs/>
          <w:lang w:val="en-US"/>
        </w:rPr>
        <w:t>Bertholet</w:t>
      </w:r>
      <w:proofErr w:type="spellEnd"/>
      <w:r w:rsidR="00FD6E38">
        <w:rPr>
          <w:iCs/>
          <w:lang w:val="en-US"/>
        </w:rPr>
        <w:t xml:space="preserve">, </w:t>
      </w:r>
      <w:proofErr w:type="spellStart"/>
      <w:r w:rsidR="00FD6E38">
        <w:rPr>
          <w:iCs/>
          <w:lang w:val="en-US"/>
        </w:rPr>
        <w:t>Faouzi</w:t>
      </w:r>
      <w:proofErr w:type="spellEnd"/>
      <w:r w:rsidR="00FD6E38">
        <w:rPr>
          <w:iCs/>
          <w:lang w:val="en-US"/>
        </w:rPr>
        <w:t xml:space="preserve">, </w:t>
      </w:r>
      <w:proofErr w:type="spellStart"/>
      <w:r w:rsidR="00FD6E38">
        <w:rPr>
          <w:iCs/>
          <w:lang w:val="en-US"/>
        </w:rPr>
        <w:t>Studer</w:t>
      </w:r>
      <w:proofErr w:type="spellEnd"/>
      <w:r w:rsidR="00FD6E38">
        <w:rPr>
          <w:iCs/>
          <w:lang w:val="en-US"/>
        </w:rPr>
        <w:t xml:space="preserve">, </w:t>
      </w:r>
      <w:proofErr w:type="spellStart"/>
      <w:r w:rsidR="00FD6E38">
        <w:rPr>
          <w:iCs/>
          <w:lang w:val="en-US"/>
        </w:rPr>
        <w:t>Daeppen</w:t>
      </w:r>
      <w:proofErr w:type="spellEnd"/>
      <w:r w:rsidR="00FD6E38">
        <w:rPr>
          <w:iCs/>
          <w:lang w:val="en-US"/>
        </w:rPr>
        <w:t xml:space="preserve">, </w:t>
      </w:r>
      <w:r w:rsidR="008742B1">
        <w:rPr>
          <w:iCs/>
          <w:lang w:val="en-US"/>
        </w:rPr>
        <w:t xml:space="preserve">&amp; </w:t>
      </w:r>
      <w:proofErr w:type="spellStart"/>
      <w:r w:rsidR="00FD6E38">
        <w:rPr>
          <w:iCs/>
          <w:lang w:val="en-US"/>
        </w:rPr>
        <w:t>Gmel</w:t>
      </w:r>
      <w:proofErr w:type="spellEnd"/>
      <w:r w:rsidR="00FD6E38">
        <w:rPr>
          <w:iCs/>
          <w:lang w:val="en-US"/>
        </w:rPr>
        <w:t>, 2013)</w:t>
      </w:r>
      <w:r w:rsidR="00BF7242">
        <w:rPr>
          <w:lang w:val="en-US"/>
        </w:rPr>
        <w:t>.</w:t>
      </w:r>
      <w:r w:rsidR="009648A8">
        <w:rPr>
          <w:lang w:val="en-US"/>
        </w:rPr>
        <w:t xml:space="preserve"> </w:t>
      </w:r>
      <w:r w:rsidR="00B657FA">
        <w:rPr>
          <w:lang w:val="en-US"/>
        </w:rPr>
        <w:t>In their study</w:t>
      </w:r>
      <w:r w:rsidR="0060320B">
        <w:rPr>
          <w:lang w:val="en-US"/>
        </w:rPr>
        <w:t>,</w:t>
      </w:r>
      <w:r w:rsidR="00B657FA">
        <w:rPr>
          <w:lang w:val="en-US"/>
        </w:rPr>
        <w:t xml:space="preserve"> more </w:t>
      </w:r>
      <w:r w:rsidR="00BF7242">
        <w:rPr>
          <w:lang w:val="en-US"/>
        </w:rPr>
        <w:t xml:space="preserve">than 45% of their study participants overestimated tobacco and alcohol use compared to </w:t>
      </w:r>
      <w:r w:rsidR="0017199A">
        <w:rPr>
          <w:lang w:val="en-US"/>
        </w:rPr>
        <w:t xml:space="preserve">only </w:t>
      </w:r>
      <w:r w:rsidR="00BF7242">
        <w:rPr>
          <w:lang w:val="en-US"/>
        </w:rPr>
        <w:t xml:space="preserve">22% overestimating cannabis use. </w:t>
      </w:r>
      <w:proofErr w:type="spellStart"/>
      <w:r w:rsidR="00BF7242">
        <w:rPr>
          <w:lang w:val="en-US"/>
        </w:rPr>
        <w:t>Bertholet</w:t>
      </w:r>
      <w:proofErr w:type="spellEnd"/>
      <w:r w:rsidR="00BF7242">
        <w:rPr>
          <w:lang w:val="en-US"/>
        </w:rPr>
        <w:t xml:space="preserve"> et al. explain these differences with the differences in legal status of the substances in Switzerland </w:t>
      </w:r>
      <w:r w:rsidR="009648A8">
        <w:rPr>
          <w:lang w:val="en-US"/>
        </w:rPr>
        <w:t>suggesting</w:t>
      </w:r>
      <w:r w:rsidR="00BF7242">
        <w:rPr>
          <w:lang w:val="en-US"/>
        </w:rPr>
        <w:t xml:space="preserve"> that cannabis consumption </w:t>
      </w:r>
      <w:r w:rsidR="00E01488">
        <w:rPr>
          <w:lang w:val="en-US"/>
        </w:rPr>
        <w:t>appears</w:t>
      </w:r>
      <w:r w:rsidR="00BF7242">
        <w:rPr>
          <w:lang w:val="en-US"/>
        </w:rPr>
        <w:t xml:space="preserve"> less visible because it is illegal</w:t>
      </w:r>
      <w:r w:rsidR="004A5C5D">
        <w:rPr>
          <w:lang w:val="en-US"/>
        </w:rPr>
        <w:t xml:space="preserve"> </w:t>
      </w:r>
      <w:r w:rsidR="00FD6E38">
        <w:rPr>
          <w:lang w:val="en-US"/>
        </w:rPr>
        <w:t>(</w:t>
      </w:r>
      <w:proofErr w:type="spellStart"/>
      <w:r w:rsidR="00FD6E38">
        <w:rPr>
          <w:iCs/>
          <w:lang w:val="en-US"/>
        </w:rPr>
        <w:t>Bertholet</w:t>
      </w:r>
      <w:proofErr w:type="spellEnd"/>
      <w:r w:rsidR="00FD6E38">
        <w:rPr>
          <w:iCs/>
          <w:lang w:val="en-US"/>
        </w:rPr>
        <w:t xml:space="preserve">, </w:t>
      </w:r>
      <w:proofErr w:type="spellStart"/>
      <w:r w:rsidR="00FD6E38">
        <w:rPr>
          <w:iCs/>
          <w:lang w:val="en-US"/>
        </w:rPr>
        <w:t>Faouzi</w:t>
      </w:r>
      <w:proofErr w:type="spellEnd"/>
      <w:r w:rsidR="00FD6E38">
        <w:rPr>
          <w:iCs/>
          <w:lang w:val="en-US"/>
        </w:rPr>
        <w:t xml:space="preserve">, </w:t>
      </w:r>
      <w:proofErr w:type="spellStart"/>
      <w:r w:rsidR="00FD6E38">
        <w:rPr>
          <w:iCs/>
          <w:lang w:val="en-US"/>
        </w:rPr>
        <w:t>Studer</w:t>
      </w:r>
      <w:proofErr w:type="spellEnd"/>
      <w:r w:rsidR="00FD6E38">
        <w:rPr>
          <w:iCs/>
          <w:lang w:val="en-US"/>
        </w:rPr>
        <w:t xml:space="preserve">, </w:t>
      </w:r>
      <w:proofErr w:type="spellStart"/>
      <w:r w:rsidR="00FD6E38">
        <w:rPr>
          <w:iCs/>
          <w:lang w:val="en-US"/>
        </w:rPr>
        <w:t>Daeppen</w:t>
      </w:r>
      <w:proofErr w:type="spellEnd"/>
      <w:r w:rsidR="00FD6E38">
        <w:rPr>
          <w:iCs/>
          <w:lang w:val="en-US"/>
        </w:rPr>
        <w:t xml:space="preserve">, </w:t>
      </w:r>
      <w:r w:rsidR="008742B1">
        <w:rPr>
          <w:iCs/>
          <w:lang w:val="en-US"/>
        </w:rPr>
        <w:t xml:space="preserve">&amp; </w:t>
      </w:r>
      <w:proofErr w:type="spellStart"/>
      <w:r w:rsidR="00FD6E38">
        <w:rPr>
          <w:iCs/>
          <w:lang w:val="en-US"/>
        </w:rPr>
        <w:t>Gmel</w:t>
      </w:r>
      <w:proofErr w:type="spellEnd"/>
      <w:r w:rsidR="00FD6E38">
        <w:rPr>
          <w:iCs/>
          <w:lang w:val="en-US"/>
        </w:rPr>
        <w:t>, 2013)</w:t>
      </w:r>
      <w:r w:rsidR="00BF7242">
        <w:rPr>
          <w:lang w:val="en-US"/>
        </w:rPr>
        <w:t>.</w:t>
      </w:r>
      <w:r w:rsidR="006F5AEE" w:rsidRPr="006F5AEE">
        <w:rPr>
          <w:lang w:val="en-US"/>
        </w:rPr>
        <w:t xml:space="preserve"> </w:t>
      </w:r>
      <w:r w:rsidR="00D8203E">
        <w:rPr>
          <w:lang w:val="en-US"/>
        </w:rPr>
        <w:t xml:space="preserve">Unfortunately, our data do not allow </w:t>
      </w:r>
      <w:r w:rsidR="00B24EC2">
        <w:rPr>
          <w:lang w:val="en-US"/>
        </w:rPr>
        <w:t xml:space="preserve">for </w:t>
      </w:r>
      <w:r w:rsidR="00D8203E">
        <w:rPr>
          <w:lang w:val="en-US"/>
        </w:rPr>
        <w:t xml:space="preserve">such an analysis. </w:t>
      </w:r>
    </w:p>
    <w:p w14:paraId="186E1608" w14:textId="2403F31B" w:rsidR="00E5421A" w:rsidRDefault="00C54852" w:rsidP="001F223D">
      <w:pPr>
        <w:ind w:firstLine="708"/>
        <w:rPr>
          <w:lang w:val="en-US"/>
        </w:rPr>
      </w:pPr>
      <w:r>
        <w:rPr>
          <w:lang w:val="en-US"/>
        </w:rPr>
        <w:t>W</w:t>
      </w:r>
      <w:r w:rsidR="00D8203E">
        <w:rPr>
          <w:lang w:val="en-US"/>
        </w:rPr>
        <w:t xml:space="preserve">e did find </w:t>
      </w:r>
      <w:r w:rsidR="006F5AEE" w:rsidRPr="006F5AEE">
        <w:rPr>
          <w:lang w:val="en-US"/>
        </w:rPr>
        <w:t>variation in tobacco consumption by European country</w:t>
      </w:r>
      <w:r w:rsidR="00D8203E">
        <w:rPr>
          <w:lang w:val="en-US"/>
        </w:rPr>
        <w:t xml:space="preserve"> in our study</w:t>
      </w:r>
      <w:r w:rsidR="006F5AEE" w:rsidRPr="006F5AEE">
        <w:rPr>
          <w:lang w:val="en-US"/>
        </w:rPr>
        <w:t xml:space="preserve">. Turkey and Germany reported </w:t>
      </w:r>
      <w:r w:rsidR="00FB5D94">
        <w:rPr>
          <w:lang w:val="en-US"/>
        </w:rPr>
        <w:t xml:space="preserve">the </w:t>
      </w:r>
      <w:r w:rsidR="006F5AEE" w:rsidRPr="006F5AEE">
        <w:rPr>
          <w:lang w:val="en-US"/>
        </w:rPr>
        <w:t xml:space="preserve">highest levels of consumption with over 40% of students consuming tobacco regularly compared to Belgium with under 20%. </w:t>
      </w:r>
      <w:r>
        <w:rPr>
          <w:lang w:val="en-US"/>
        </w:rPr>
        <w:t>However,</w:t>
      </w:r>
      <w:r w:rsidR="00023105">
        <w:rPr>
          <w:lang w:val="en-US"/>
        </w:rPr>
        <w:t xml:space="preserve"> in </w:t>
      </w:r>
      <w:r w:rsidR="00FB5D94">
        <w:rPr>
          <w:lang w:val="en-US"/>
        </w:rPr>
        <w:t xml:space="preserve">some </w:t>
      </w:r>
      <w:r w:rsidR="00023105">
        <w:rPr>
          <w:lang w:val="en-US"/>
        </w:rPr>
        <w:t xml:space="preserve">countries </w:t>
      </w:r>
      <w:r w:rsidR="00FB5D94">
        <w:rPr>
          <w:lang w:val="en-US"/>
        </w:rPr>
        <w:t>high</w:t>
      </w:r>
      <w:r w:rsidR="003D7628">
        <w:rPr>
          <w:lang w:val="en-US"/>
        </w:rPr>
        <w:t>er</w:t>
      </w:r>
      <w:r w:rsidR="00FB5D94">
        <w:rPr>
          <w:lang w:val="en-US"/>
        </w:rPr>
        <w:t xml:space="preserve"> prevalence</w:t>
      </w:r>
      <w:r w:rsidR="003D7628">
        <w:rPr>
          <w:lang w:val="en-US"/>
        </w:rPr>
        <w:t xml:space="preserve"> was</w:t>
      </w:r>
      <w:r w:rsidR="00FB5D94">
        <w:rPr>
          <w:lang w:val="en-US"/>
        </w:rPr>
        <w:t xml:space="preserve"> not </w:t>
      </w:r>
      <w:r w:rsidR="00EE6A32">
        <w:rPr>
          <w:lang w:val="en-US"/>
        </w:rPr>
        <w:t xml:space="preserve">a reflection of a generally </w:t>
      </w:r>
      <w:r w:rsidR="00FB5D94">
        <w:rPr>
          <w:lang w:val="en-US"/>
        </w:rPr>
        <w:t xml:space="preserve">positive attitude towards tobacco use. </w:t>
      </w:r>
      <w:r>
        <w:rPr>
          <w:lang w:val="en-US"/>
        </w:rPr>
        <w:t xml:space="preserve">For example, </w:t>
      </w:r>
      <w:r w:rsidR="00EE6A32">
        <w:rPr>
          <w:lang w:val="en-US"/>
        </w:rPr>
        <w:t xml:space="preserve">Turkey was the country with the highest rate of regular smokers compared to the other countries. However, approval of tobacco use was generally low. The majority of students (ca. 56%) did not approve of using tobacco. </w:t>
      </w:r>
      <w:r w:rsidR="0042542E">
        <w:rPr>
          <w:lang w:val="en-US"/>
        </w:rPr>
        <w:t>Social desirability may have contributed to reports of low approval in Turkey</w:t>
      </w:r>
      <w:r w:rsidR="00EC0A7A">
        <w:rPr>
          <w:lang w:val="en-US"/>
        </w:rPr>
        <w:t xml:space="preserve"> as recent media campaigns educating about the harms of tobacco may have made students more aware of the consequences of tobacco. </w:t>
      </w:r>
      <w:r w:rsidR="00E434EF">
        <w:rPr>
          <w:lang w:val="en-US"/>
        </w:rPr>
        <w:t>Disapproval appears not to translate into non-smoking. O</w:t>
      </w:r>
      <w:r w:rsidR="00EC0A7A">
        <w:rPr>
          <w:lang w:val="en-US"/>
        </w:rPr>
        <w:t>ther factors</w:t>
      </w:r>
      <w:r w:rsidR="00BC1D63">
        <w:rPr>
          <w:lang w:val="en-US"/>
        </w:rPr>
        <w:t xml:space="preserve"> not assessed in this study</w:t>
      </w:r>
      <w:r w:rsidR="00EC0A7A">
        <w:rPr>
          <w:lang w:val="en-US"/>
        </w:rPr>
        <w:t xml:space="preserve">, such as availability </w:t>
      </w:r>
      <w:r w:rsidR="00BC1D63">
        <w:rPr>
          <w:lang w:val="en-US"/>
        </w:rPr>
        <w:t>of tobacco products in Turkey</w:t>
      </w:r>
      <w:r w:rsidR="00E434EF">
        <w:rPr>
          <w:lang w:val="en-US"/>
        </w:rPr>
        <w:t xml:space="preserve"> and pro-tobacco advertising</w:t>
      </w:r>
      <w:r w:rsidR="00BC1D63">
        <w:rPr>
          <w:lang w:val="en-US"/>
        </w:rPr>
        <w:t xml:space="preserve">, may be more powerful </w:t>
      </w:r>
      <w:r w:rsidR="00617665">
        <w:rPr>
          <w:lang w:val="en-US"/>
        </w:rPr>
        <w:t xml:space="preserve">than personal approval or disapproval </w:t>
      </w:r>
      <w:r w:rsidR="00BC1D63">
        <w:rPr>
          <w:lang w:val="en-US"/>
        </w:rPr>
        <w:t xml:space="preserve">in </w:t>
      </w:r>
      <w:r w:rsidR="00E434EF">
        <w:rPr>
          <w:lang w:val="en-US"/>
        </w:rPr>
        <w:t xml:space="preserve">influencing </w:t>
      </w:r>
      <w:r w:rsidR="00BC1D63">
        <w:rPr>
          <w:lang w:val="en-US"/>
        </w:rPr>
        <w:t xml:space="preserve">use. </w:t>
      </w:r>
      <w:r w:rsidR="00105627">
        <w:rPr>
          <w:lang w:val="en-US"/>
        </w:rPr>
        <w:t xml:space="preserve">In all countries </w:t>
      </w:r>
      <w:r w:rsidR="00965B2D">
        <w:rPr>
          <w:lang w:val="en-US"/>
        </w:rPr>
        <w:t>p</w:t>
      </w:r>
      <w:r w:rsidR="00785F13">
        <w:rPr>
          <w:lang w:val="en-US"/>
        </w:rPr>
        <w:t>erceived approval of tobacco use in the peer group was associated with personal approval of using tobacco</w:t>
      </w:r>
      <w:r w:rsidR="003D7628">
        <w:rPr>
          <w:lang w:val="en-US"/>
        </w:rPr>
        <w:t>;</w:t>
      </w:r>
      <w:r w:rsidR="00105627">
        <w:rPr>
          <w:lang w:val="en-US"/>
        </w:rPr>
        <w:t xml:space="preserve"> especially among those that recently smoked.</w:t>
      </w:r>
      <w:r w:rsidR="00BE6AB9">
        <w:rPr>
          <w:lang w:val="en-US"/>
        </w:rPr>
        <w:t xml:space="preserve"> </w:t>
      </w:r>
      <w:r w:rsidR="003D7628">
        <w:rPr>
          <w:lang w:val="en-US"/>
        </w:rPr>
        <w:t>S</w:t>
      </w:r>
      <w:r w:rsidR="00096CC5">
        <w:rPr>
          <w:lang w:val="en-US"/>
        </w:rPr>
        <w:t xml:space="preserve">tudents who smoke or approve of tobacco use may self-select into a network of friends </w:t>
      </w:r>
      <w:r w:rsidR="003C0776">
        <w:rPr>
          <w:lang w:val="en-US"/>
        </w:rPr>
        <w:t xml:space="preserve">at university </w:t>
      </w:r>
      <w:r w:rsidR="00096CC5">
        <w:rPr>
          <w:lang w:val="en-US"/>
        </w:rPr>
        <w:t xml:space="preserve">who also smoke. </w:t>
      </w:r>
      <w:r w:rsidR="00F6033D">
        <w:rPr>
          <w:lang w:val="en-US"/>
        </w:rPr>
        <w:t xml:space="preserve">Self-selection into a social environment with similar behavior has been previously demonstrated for binge drinking </w:t>
      </w:r>
      <w:r w:rsidR="00FD6E38">
        <w:rPr>
          <w:lang w:val="en-US"/>
        </w:rPr>
        <w:t>(</w:t>
      </w:r>
      <w:proofErr w:type="spellStart"/>
      <w:r w:rsidR="00FD6E38">
        <w:rPr>
          <w:lang w:val="en-US"/>
        </w:rPr>
        <w:t>Borsari</w:t>
      </w:r>
      <w:proofErr w:type="spellEnd"/>
      <w:r w:rsidR="00FD6E38">
        <w:rPr>
          <w:lang w:val="en-US"/>
        </w:rPr>
        <w:t xml:space="preserve"> &amp; Carey, 1999)</w:t>
      </w:r>
      <w:r w:rsidR="00F6033D">
        <w:rPr>
          <w:lang w:val="en-US"/>
        </w:rPr>
        <w:t>.</w:t>
      </w:r>
      <w:r w:rsidR="003C0776">
        <w:rPr>
          <w:lang w:val="en-US"/>
        </w:rPr>
        <w:t xml:space="preserve"> </w:t>
      </w:r>
      <w:r w:rsidR="003D7628">
        <w:rPr>
          <w:lang w:val="en-US"/>
        </w:rPr>
        <w:t>T</w:t>
      </w:r>
      <w:r w:rsidR="003C0776">
        <w:rPr>
          <w:lang w:val="en-US"/>
        </w:rPr>
        <w:t>obacco use among close friends was not assessed in this study.</w:t>
      </w:r>
    </w:p>
    <w:p w14:paraId="524FFCF5" w14:textId="6D5AF56B" w:rsidR="006B618C" w:rsidRDefault="007211C0" w:rsidP="001F223D">
      <w:pPr>
        <w:ind w:firstLine="708"/>
        <w:rPr>
          <w:lang w:val="en-US"/>
        </w:rPr>
      </w:pPr>
      <w:r>
        <w:rPr>
          <w:lang w:val="en-US"/>
        </w:rPr>
        <w:t xml:space="preserve">Limitations of the study include </w:t>
      </w:r>
      <w:r w:rsidR="00253E48">
        <w:rPr>
          <w:lang w:val="en-US"/>
        </w:rPr>
        <w:t xml:space="preserve">the use of self-report </w:t>
      </w:r>
      <w:r w:rsidR="00533EE8">
        <w:rPr>
          <w:lang w:val="en-US"/>
        </w:rPr>
        <w:t xml:space="preserve">measures </w:t>
      </w:r>
      <w:r w:rsidR="00253E48">
        <w:rPr>
          <w:lang w:val="en-US"/>
        </w:rPr>
        <w:t xml:space="preserve">to assess tobacco use. </w:t>
      </w:r>
      <w:r w:rsidR="00B657FA">
        <w:rPr>
          <w:lang w:val="en-US"/>
        </w:rPr>
        <w:t>W</w:t>
      </w:r>
      <w:r w:rsidR="00097370" w:rsidRPr="00097370">
        <w:rPr>
          <w:lang w:val="en-US"/>
        </w:rPr>
        <w:t>e did not compare perceptions with actual consumption rates</w:t>
      </w:r>
      <w:r w:rsidR="00F53986">
        <w:rPr>
          <w:lang w:val="en-US"/>
        </w:rPr>
        <w:t xml:space="preserve">. Our comparison was </w:t>
      </w:r>
      <w:r w:rsidR="009075CB" w:rsidRPr="009075CB">
        <w:rPr>
          <w:lang w:val="en-US"/>
        </w:rPr>
        <w:t xml:space="preserve">with </w:t>
      </w:r>
      <w:r w:rsidR="00A8002B">
        <w:rPr>
          <w:lang w:val="en-US"/>
        </w:rPr>
        <w:t xml:space="preserve">personal </w:t>
      </w:r>
      <w:r w:rsidR="009075CB" w:rsidRPr="009075CB">
        <w:rPr>
          <w:lang w:val="en-US"/>
        </w:rPr>
        <w:t>estimates o</w:t>
      </w:r>
      <w:r w:rsidR="0025540F">
        <w:rPr>
          <w:lang w:val="en-US"/>
        </w:rPr>
        <w:t>f</w:t>
      </w:r>
      <w:r w:rsidR="009075CB" w:rsidRPr="009075CB">
        <w:rPr>
          <w:lang w:val="en-US"/>
        </w:rPr>
        <w:t xml:space="preserve"> what the majority of the peers d</w:t>
      </w:r>
      <w:r w:rsidR="00AE69D8">
        <w:rPr>
          <w:lang w:val="en-US"/>
        </w:rPr>
        <w:t>id</w:t>
      </w:r>
      <w:r w:rsidR="00097370" w:rsidRPr="00097370">
        <w:rPr>
          <w:lang w:val="en-US"/>
        </w:rPr>
        <w:t>.</w:t>
      </w:r>
      <w:r w:rsidR="008307F7">
        <w:rPr>
          <w:lang w:val="en-US"/>
        </w:rPr>
        <w:t xml:space="preserve"> </w:t>
      </w:r>
      <w:r w:rsidR="000679DA">
        <w:rPr>
          <w:lang w:val="en-US"/>
        </w:rPr>
        <w:t>T</w:t>
      </w:r>
      <w:r w:rsidR="00AF32CC" w:rsidRPr="00AF32CC">
        <w:rPr>
          <w:lang w:val="en-US"/>
        </w:rPr>
        <w:t xml:space="preserve">he number of cigarettes smoked </w:t>
      </w:r>
      <w:r w:rsidR="00E434EF">
        <w:rPr>
          <w:lang w:val="en-US"/>
        </w:rPr>
        <w:t xml:space="preserve">per time period </w:t>
      </w:r>
      <w:r w:rsidR="00AF32CC" w:rsidRPr="00AF32CC">
        <w:rPr>
          <w:lang w:val="en-US"/>
        </w:rPr>
        <w:t xml:space="preserve">was not assessed. </w:t>
      </w:r>
      <w:r w:rsidR="000679DA">
        <w:rPr>
          <w:lang w:val="en-US"/>
        </w:rPr>
        <w:t>We</w:t>
      </w:r>
      <w:r w:rsidR="00AF32CC" w:rsidRPr="00AF32CC">
        <w:rPr>
          <w:lang w:val="en-US"/>
        </w:rPr>
        <w:t xml:space="preserve"> could not analyze how many </w:t>
      </w:r>
      <w:r w:rsidR="00D11957">
        <w:rPr>
          <w:lang w:val="en-US"/>
        </w:rPr>
        <w:t xml:space="preserve">more </w:t>
      </w:r>
      <w:r w:rsidR="00AF32CC" w:rsidRPr="00AF32CC">
        <w:rPr>
          <w:lang w:val="en-US"/>
        </w:rPr>
        <w:t>cigarettes were smoked as a result of the perception that the majority of peers smoked.</w:t>
      </w:r>
      <w:r w:rsidR="00AF32CC">
        <w:rPr>
          <w:lang w:val="en-US"/>
        </w:rPr>
        <w:t xml:space="preserve"> </w:t>
      </w:r>
      <w:r w:rsidR="00196536">
        <w:rPr>
          <w:lang w:val="en-US"/>
        </w:rPr>
        <w:t>F</w:t>
      </w:r>
      <w:r w:rsidR="008307F7">
        <w:rPr>
          <w:lang w:val="en-US"/>
        </w:rPr>
        <w:t>actors</w:t>
      </w:r>
      <w:r w:rsidR="00196536">
        <w:rPr>
          <w:lang w:val="en-US"/>
        </w:rPr>
        <w:t xml:space="preserve"> not assessed in this study, such as family history of tobacco use or use </w:t>
      </w:r>
      <w:r w:rsidR="00AE69D8">
        <w:rPr>
          <w:lang w:val="en-US"/>
        </w:rPr>
        <w:t>among</w:t>
      </w:r>
      <w:r w:rsidR="00196536">
        <w:rPr>
          <w:lang w:val="en-US"/>
        </w:rPr>
        <w:t xml:space="preserve"> close friends</w:t>
      </w:r>
      <w:r w:rsidR="009B60B6">
        <w:rPr>
          <w:lang w:val="en-US"/>
        </w:rPr>
        <w:t>,</w:t>
      </w:r>
      <w:r w:rsidR="00196536">
        <w:rPr>
          <w:lang w:val="en-US"/>
        </w:rPr>
        <w:t xml:space="preserve"> </w:t>
      </w:r>
      <w:r w:rsidR="009B60B6">
        <w:rPr>
          <w:lang w:val="en-US"/>
        </w:rPr>
        <w:t>may</w:t>
      </w:r>
      <w:r w:rsidR="008307F7">
        <w:rPr>
          <w:lang w:val="en-US"/>
        </w:rPr>
        <w:t xml:space="preserve"> have played a role </w:t>
      </w:r>
      <w:r w:rsidR="00AE69D8">
        <w:rPr>
          <w:lang w:val="en-US"/>
        </w:rPr>
        <w:t>in regard to</w:t>
      </w:r>
      <w:r w:rsidR="008307F7">
        <w:rPr>
          <w:lang w:val="en-US"/>
        </w:rPr>
        <w:t xml:space="preserve"> tobacco norms</w:t>
      </w:r>
      <w:r w:rsidR="00196536">
        <w:rPr>
          <w:lang w:val="en-US"/>
        </w:rPr>
        <w:t xml:space="preserve">. </w:t>
      </w:r>
      <w:r w:rsidR="00B657FA">
        <w:rPr>
          <w:lang w:val="en-US"/>
        </w:rPr>
        <w:t>This is a limitation</w:t>
      </w:r>
      <w:r w:rsidR="00D11957">
        <w:rPr>
          <w:lang w:val="en-US"/>
        </w:rPr>
        <w:t xml:space="preserve"> considering that p</w:t>
      </w:r>
      <w:r w:rsidR="00196536">
        <w:rPr>
          <w:lang w:val="en-US"/>
        </w:rPr>
        <w:t xml:space="preserve">revious </w:t>
      </w:r>
      <w:r w:rsidR="00D11957">
        <w:rPr>
          <w:lang w:val="en-US"/>
        </w:rPr>
        <w:t>research suggests</w:t>
      </w:r>
      <w:r w:rsidR="00196536">
        <w:rPr>
          <w:lang w:val="en-US"/>
        </w:rPr>
        <w:t xml:space="preserve"> that </w:t>
      </w:r>
      <w:r w:rsidR="008307F7">
        <w:rPr>
          <w:lang w:val="en-US"/>
        </w:rPr>
        <w:t xml:space="preserve">friends </w:t>
      </w:r>
      <w:r w:rsidR="00686EE6">
        <w:rPr>
          <w:lang w:val="en-US"/>
        </w:rPr>
        <w:t xml:space="preserve">play a considerable role in </w:t>
      </w:r>
      <w:r w:rsidR="00196536">
        <w:rPr>
          <w:lang w:val="en-US"/>
        </w:rPr>
        <w:t>model</w:t>
      </w:r>
      <w:r w:rsidR="00FC6155">
        <w:rPr>
          <w:lang w:val="en-US"/>
        </w:rPr>
        <w:t>l</w:t>
      </w:r>
      <w:r w:rsidR="00196536">
        <w:rPr>
          <w:lang w:val="en-US"/>
        </w:rPr>
        <w:t xml:space="preserve">ing drug use behavior. </w:t>
      </w:r>
      <w:r w:rsidR="00F154AC">
        <w:rPr>
          <w:lang w:val="en-US"/>
        </w:rPr>
        <w:t>For example, o</w:t>
      </w:r>
      <w:r w:rsidR="00196536">
        <w:rPr>
          <w:lang w:val="en-US"/>
        </w:rPr>
        <w:t xml:space="preserve">ne study </w:t>
      </w:r>
      <w:r w:rsidR="008E3676">
        <w:rPr>
          <w:lang w:val="en-US"/>
        </w:rPr>
        <w:t xml:space="preserve">showed that students whose friends smoked were four times more likely to smoke </w:t>
      </w:r>
      <w:r w:rsidR="00FD6E38">
        <w:rPr>
          <w:lang w:val="en-US"/>
        </w:rPr>
        <w:t>(</w:t>
      </w:r>
      <w:proofErr w:type="spellStart"/>
      <w:r w:rsidR="00FD6E38">
        <w:rPr>
          <w:lang w:val="en-US"/>
        </w:rPr>
        <w:t>Deressa</w:t>
      </w:r>
      <w:proofErr w:type="spellEnd"/>
      <w:r w:rsidR="00FD6E38">
        <w:rPr>
          <w:lang w:val="en-US"/>
        </w:rPr>
        <w:t xml:space="preserve"> &amp; </w:t>
      </w:r>
      <w:proofErr w:type="spellStart"/>
      <w:r w:rsidR="00FD6E38">
        <w:rPr>
          <w:lang w:val="en-US"/>
        </w:rPr>
        <w:t>Azazh</w:t>
      </w:r>
      <w:proofErr w:type="spellEnd"/>
      <w:r w:rsidR="00FD6E38">
        <w:rPr>
          <w:lang w:val="en-US"/>
        </w:rPr>
        <w:t>, 2011)</w:t>
      </w:r>
      <w:r w:rsidR="008E3676">
        <w:rPr>
          <w:lang w:val="en-US"/>
        </w:rPr>
        <w:t xml:space="preserve">. </w:t>
      </w:r>
      <w:r w:rsidR="002C082B">
        <w:rPr>
          <w:lang w:val="en-US"/>
        </w:rPr>
        <w:t xml:space="preserve">Due to </w:t>
      </w:r>
      <w:r w:rsidR="00617665">
        <w:rPr>
          <w:lang w:val="en-US"/>
        </w:rPr>
        <w:t xml:space="preserve">the </w:t>
      </w:r>
      <w:r w:rsidR="00236A2B">
        <w:rPr>
          <w:lang w:val="en-US"/>
        </w:rPr>
        <w:t>cross-sectional</w:t>
      </w:r>
      <w:r w:rsidR="00617665">
        <w:rPr>
          <w:lang w:val="en-US"/>
        </w:rPr>
        <w:t xml:space="preserve"> nature of our data </w:t>
      </w:r>
      <w:r w:rsidR="00A547BF">
        <w:rPr>
          <w:lang w:val="en-US"/>
        </w:rPr>
        <w:t xml:space="preserve">no causal </w:t>
      </w:r>
      <w:r w:rsidR="00617665">
        <w:rPr>
          <w:lang w:val="en-US"/>
        </w:rPr>
        <w:t>statements can</w:t>
      </w:r>
      <w:r w:rsidR="00A547BF">
        <w:rPr>
          <w:lang w:val="en-US"/>
        </w:rPr>
        <w:t xml:space="preserve"> be deduced</w:t>
      </w:r>
      <w:r w:rsidR="009B60B6">
        <w:rPr>
          <w:lang w:val="en-US"/>
        </w:rPr>
        <w:t>.</w:t>
      </w:r>
      <w:r w:rsidR="004F4AD9">
        <w:rPr>
          <w:lang w:val="en-US"/>
        </w:rPr>
        <w:t xml:space="preserve"> </w:t>
      </w:r>
      <w:r w:rsidR="00FC6155">
        <w:rPr>
          <w:lang w:val="en-US"/>
        </w:rPr>
        <w:t xml:space="preserve">The number of participants </w:t>
      </w:r>
      <w:r w:rsidR="00210520">
        <w:rPr>
          <w:lang w:val="en-US"/>
        </w:rPr>
        <w:t xml:space="preserve">varied </w:t>
      </w:r>
      <w:r w:rsidR="006F6924">
        <w:rPr>
          <w:lang w:val="en-US"/>
        </w:rPr>
        <w:t>by country</w:t>
      </w:r>
      <w:r w:rsidR="00C01CCD">
        <w:rPr>
          <w:lang w:val="en-US"/>
        </w:rPr>
        <w:t xml:space="preserve"> with </w:t>
      </w:r>
      <w:r w:rsidR="004F4AD9">
        <w:rPr>
          <w:lang w:val="en-US"/>
        </w:rPr>
        <w:t>s</w:t>
      </w:r>
      <w:r w:rsidR="00B657FA">
        <w:rPr>
          <w:lang w:val="en-US"/>
        </w:rPr>
        <w:t>maller</w:t>
      </w:r>
      <w:r w:rsidR="00C01CCD">
        <w:rPr>
          <w:lang w:val="en-US"/>
        </w:rPr>
        <w:t xml:space="preserve"> sample sizes in the United Kingdom and Spain. </w:t>
      </w:r>
      <w:r w:rsidR="00B657FA">
        <w:rPr>
          <w:lang w:val="en-US"/>
        </w:rPr>
        <w:t xml:space="preserve">Due to the relatively small numbers in these convenience samples it is </w:t>
      </w:r>
      <w:r w:rsidR="00E434EF">
        <w:rPr>
          <w:lang w:val="en-US"/>
        </w:rPr>
        <w:t xml:space="preserve">likely </w:t>
      </w:r>
      <w:r w:rsidR="00B657FA">
        <w:rPr>
          <w:lang w:val="en-US"/>
        </w:rPr>
        <w:t>that the</w:t>
      </w:r>
      <w:r w:rsidR="00E434EF">
        <w:rPr>
          <w:lang w:val="en-US"/>
        </w:rPr>
        <w:t>y</w:t>
      </w:r>
      <w:r w:rsidR="00B657FA">
        <w:rPr>
          <w:lang w:val="en-US"/>
        </w:rPr>
        <w:t xml:space="preserve"> are not </w:t>
      </w:r>
      <w:r w:rsidR="0042344C">
        <w:rPr>
          <w:lang w:val="en-US"/>
        </w:rPr>
        <w:t xml:space="preserve">representative </w:t>
      </w:r>
      <w:r w:rsidR="00AF32CC">
        <w:rPr>
          <w:lang w:val="en-US"/>
        </w:rPr>
        <w:t>of</w:t>
      </w:r>
      <w:r w:rsidR="0042344C">
        <w:rPr>
          <w:lang w:val="en-US"/>
        </w:rPr>
        <w:t xml:space="preserve"> </w:t>
      </w:r>
      <w:r w:rsidR="00B657FA">
        <w:rPr>
          <w:lang w:val="en-US"/>
        </w:rPr>
        <w:t xml:space="preserve">their respective </w:t>
      </w:r>
      <w:r w:rsidR="00A30FE3">
        <w:rPr>
          <w:lang w:val="en-US"/>
        </w:rPr>
        <w:t>student populations</w:t>
      </w:r>
      <w:r w:rsidR="0042344C">
        <w:rPr>
          <w:lang w:val="en-US"/>
        </w:rPr>
        <w:t>.</w:t>
      </w:r>
      <w:r w:rsidR="00210520">
        <w:rPr>
          <w:lang w:val="en-US"/>
        </w:rPr>
        <w:t xml:space="preserve"> </w:t>
      </w:r>
      <w:r w:rsidR="006F6924">
        <w:rPr>
          <w:lang w:val="en-US"/>
        </w:rPr>
        <w:t xml:space="preserve">It </w:t>
      </w:r>
      <w:r w:rsidR="002C082B">
        <w:rPr>
          <w:lang w:val="en-US"/>
        </w:rPr>
        <w:t>may be</w:t>
      </w:r>
      <w:r w:rsidR="006F6924">
        <w:rPr>
          <w:lang w:val="en-US"/>
        </w:rPr>
        <w:t xml:space="preserve"> that only students interested in the topic might have participated in the study</w:t>
      </w:r>
      <w:r w:rsidR="00B657FA">
        <w:rPr>
          <w:lang w:val="en-US"/>
        </w:rPr>
        <w:t>; we can say little about the direction of this bias</w:t>
      </w:r>
      <w:r w:rsidR="006F6924">
        <w:rPr>
          <w:lang w:val="en-US"/>
        </w:rPr>
        <w:t xml:space="preserve">. </w:t>
      </w:r>
      <w:r w:rsidR="00617665">
        <w:rPr>
          <w:lang w:val="en-US"/>
        </w:rPr>
        <w:t>The validity of data collected via online surveys is a further matter of discussion, but there are many advantages as well, in particular in a young and e-literate population.</w:t>
      </w:r>
    </w:p>
    <w:p w14:paraId="61A82ADA" w14:textId="5219F763" w:rsidR="000226F1" w:rsidRDefault="000226F1" w:rsidP="001F223D">
      <w:pPr>
        <w:ind w:firstLine="708"/>
        <w:rPr>
          <w:lang w:val="en-GB"/>
        </w:rPr>
      </w:pPr>
      <w:r w:rsidRPr="00AE5114">
        <w:rPr>
          <w:lang w:val="en-GB"/>
        </w:rPr>
        <w:t xml:space="preserve">This study </w:t>
      </w:r>
      <w:r w:rsidR="007A1577">
        <w:rPr>
          <w:lang w:val="en-GB"/>
        </w:rPr>
        <w:t>s</w:t>
      </w:r>
      <w:r w:rsidRPr="00AE5114">
        <w:rPr>
          <w:lang w:val="en-GB"/>
        </w:rPr>
        <w:t>uggests that</w:t>
      </w:r>
      <w:r w:rsidR="007D0430">
        <w:rPr>
          <w:lang w:val="en-GB"/>
        </w:rPr>
        <w:t xml:space="preserve"> tobacco use varies </w:t>
      </w:r>
      <w:r w:rsidR="00702F77">
        <w:rPr>
          <w:lang w:val="en-GB"/>
        </w:rPr>
        <w:t xml:space="preserve">substantially in </w:t>
      </w:r>
      <w:r w:rsidR="00E76ED4">
        <w:rPr>
          <w:lang w:val="en-GB"/>
        </w:rPr>
        <w:t xml:space="preserve">European </w:t>
      </w:r>
      <w:r w:rsidR="00702F77">
        <w:rPr>
          <w:lang w:val="en-GB"/>
        </w:rPr>
        <w:t>student populations</w:t>
      </w:r>
      <w:r w:rsidR="007D0430">
        <w:rPr>
          <w:lang w:val="en-GB"/>
        </w:rPr>
        <w:t xml:space="preserve">. </w:t>
      </w:r>
      <w:r w:rsidR="00B95B4C">
        <w:rPr>
          <w:lang w:val="en-GB"/>
        </w:rPr>
        <w:t>Self-other</w:t>
      </w:r>
      <w:r w:rsidR="00F5033D">
        <w:rPr>
          <w:lang w:val="en-GB"/>
        </w:rPr>
        <w:t xml:space="preserve"> discrepancies </w:t>
      </w:r>
      <w:r w:rsidR="007D0430">
        <w:rPr>
          <w:lang w:val="en-GB"/>
        </w:rPr>
        <w:t>regarding rates of tobacco use</w:t>
      </w:r>
      <w:r w:rsidR="00F5033D">
        <w:rPr>
          <w:lang w:val="en-GB"/>
        </w:rPr>
        <w:t xml:space="preserve"> </w:t>
      </w:r>
      <w:r w:rsidR="00BC6947">
        <w:rPr>
          <w:lang w:val="en-GB"/>
        </w:rPr>
        <w:t>are</w:t>
      </w:r>
      <w:r w:rsidR="00F5033D">
        <w:rPr>
          <w:lang w:val="en-GB"/>
        </w:rPr>
        <w:t xml:space="preserve"> high</w:t>
      </w:r>
      <w:r w:rsidR="007D0430">
        <w:rPr>
          <w:lang w:val="en-GB"/>
        </w:rPr>
        <w:t xml:space="preserve">, however; </w:t>
      </w:r>
      <w:r w:rsidR="00082065">
        <w:rPr>
          <w:lang w:val="en-GB"/>
        </w:rPr>
        <w:t xml:space="preserve">they </w:t>
      </w:r>
      <w:r w:rsidR="007D0430">
        <w:rPr>
          <w:lang w:val="en-GB"/>
        </w:rPr>
        <w:t xml:space="preserve">are consistent throughout European student populations and </w:t>
      </w:r>
      <w:r w:rsidRPr="00AE5114">
        <w:rPr>
          <w:lang w:val="en-GB"/>
        </w:rPr>
        <w:t xml:space="preserve">perceived norms are an important predictor of personal </w:t>
      </w:r>
      <w:r w:rsidR="00A30FE3">
        <w:rPr>
          <w:lang w:val="en-GB"/>
        </w:rPr>
        <w:t>tobacco use</w:t>
      </w:r>
      <w:r w:rsidRPr="00AE5114">
        <w:rPr>
          <w:lang w:val="en-GB"/>
        </w:rPr>
        <w:t xml:space="preserve">. A social norms intervention </w:t>
      </w:r>
      <w:r w:rsidR="00BC6947">
        <w:rPr>
          <w:lang w:val="en-GB"/>
        </w:rPr>
        <w:t>m</w:t>
      </w:r>
      <w:r w:rsidRPr="00AE5114">
        <w:rPr>
          <w:lang w:val="en-GB"/>
        </w:rPr>
        <w:t xml:space="preserve">ay be a viable method for changing perceptions </w:t>
      </w:r>
      <w:r w:rsidR="00BC6947">
        <w:rPr>
          <w:lang w:val="en-GB"/>
        </w:rPr>
        <w:t xml:space="preserve">of tobacco use among peers </w:t>
      </w:r>
      <w:r w:rsidRPr="00AE5114">
        <w:rPr>
          <w:lang w:val="en-GB"/>
        </w:rPr>
        <w:t xml:space="preserve">and attitudes </w:t>
      </w:r>
      <w:r w:rsidR="00BC6947">
        <w:rPr>
          <w:lang w:val="en-GB"/>
        </w:rPr>
        <w:t xml:space="preserve">toward tobacco </w:t>
      </w:r>
      <w:r w:rsidR="00592C70">
        <w:rPr>
          <w:lang w:val="en-GB"/>
        </w:rPr>
        <w:t xml:space="preserve">and ultimately for changing </w:t>
      </w:r>
      <w:r w:rsidR="00E434EF">
        <w:rPr>
          <w:lang w:val="en-GB"/>
        </w:rPr>
        <w:t xml:space="preserve">smoking </w:t>
      </w:r>
      <w:r w:rsidR="00592C70">
        <w:rPr>
          <w:lang w:val="en-GB"/>
        </w:rPr>
        <w:t xml:space="preserve">behaviour. </w:t>
      </w:r>
      <w:r w:rsidR="00E434EF">
        <w:rPr>
          <w:lang w:val="en-GB"/>
        </w:rPr>
        <w:t xml:space="preserve">If </w:t>
      </w:r>
      <w:r w:rsidR="002C082B">
        <w:rPr>
          <w:lang w:val="en-GB"/>
        </w:rPr>
        <w:t>found to be effective</w:t>
      </w:r>
      <w:r w:rsidR="007E6190">
        <w:rPr>
          <w:lang w:val="en-GB"/>
        </w:rPr>
        <w:t>,</w:t>
      </w:r>
      <w:r w:rsidR="00E434EF">
        <w:rPr>
          <w:lang w:val="en-GB"/>
        </w:rPr>
        <w:t xml:space="preserve"> social norms approaches may become a novel component of tobacco control policies in Europe and </w:t>
      </w:r>
      <w:r w:rsidR="002C082B">
        <w:rPr>
          <w:lang w:val="en-GB"/>
        </w:rPr>
        <w:t>beyond</w:t>
      </w:r>
      <w:r w:rsidR="00E434EF">
        <w:rPr>
          <w:lang w:val="en-GB"/>
        </w:rPr>
        <w:t xml:space="preserve">. </w:t>
      </w:r>
    </w:p>
    <w:p w14:paraId="381FF5D1" w14:textId="77777777" w:rsidR="00AA54D5" w:rsidRDefault="00AA54D5" w:rsidP="00BC165A">
      <w:pPr>
        <w:rPr>
          <w:highlight w:val="yellow"/>
          <w:lang w:val="en-US"/>
        </w:rPr>
      </w:pPr>
    </w:p>
    <w:p w14:paraId="1CAC150C" w14:textId="7E38BC55" w:rsidR="00295989" w:rsidRPr="000A0575" w:rsidRDefault="006C35E6" w:rsidP="00295989">
      <w:pPr>
        <w:autoSpaceDE w:val="0"/>
        <w:autoSpaceDN w:val="0"/>
        <w:adjustRightInd w:val="0"/>
        <w:spacing w:after="0" w:line="240" w:lineRule="auto"/>
        <w:rPr>
          <w:lang w:val="en-GB"/>
        </w:rPr>
      </w:pPr>
      <w:r>
        <w:rPr>
          <w:b/>
          <w:lang w:val="en-GB"/>
        </w:rPr>
        <w:t xml:space="preserve">1.6 </w:t>
      </w:r>
      <w:r w:rsidR="00295989" w:rsidRPr="00B4297D">
        <w:rPr>
          <w:b/>
          <w:lang w:val="en-GB"/>
        </w:rPr>
        <w:t>Final trial registration number:</w:t>
      </w:r>
      <w:r w:rsidR="00295989" w:rsidRPr="00B4297D">
        <w:rPr>
          <w:lang w:val="en-GB"/>
        </w:rPr>
        <w:t xml:space="preserve"> DRKS00004375 on </w:t>
      </w:r>
      <w:proofErr w:type="spellStart"/>
      <w:r w:rsidR="00295989" w:rsidRPr="00B4297D">
        <w:rPr>
          <w:lang w:val="en-GB"/>
        </w:rPr>
        <w:t>the‘German</w:t>
      </w:r>
      <w:proofErr w:type="spellEnd"/>
      <w:r w:rsidR="00295989" w:rsidRPr="00B4297D">
        <w:rPr>
          <w:lang w:val="en-GB"/>
        </w:rPr>
        <w:t xml:space="preserve"> Clinical Trials Register’.</w:t>
      </w:r>
    </w:p>
    <w:p w14:paraId="7FB52CBC" w14:textId="77777777" w:rsidR="005906EE" w:rsidRDefault="005906EE" w:rsidP="00EE46F7">
      <w:pPr>
        <w:rPr>
          <w:b/>
          <w:lang w:val="en-GB"/>
        </w:rPr>
      </w:pPr>
    </w:p>
    <w:p w14:paraId="3CB752A7" w14:textId="03EC7DB1" w:rsidR="00D55013" w:rsidRDefault="00103197" w:rsidP="00EE46F7">
      <w:pPr>
        <w:rPr>
          <w:b/>
          <w:lang w:val="en-GB"/>
        </w:rPr>
      </w:pPr>
      <w:r>
        <w:rPr>
          <w:b/>
          <w:lang w:val="en-GB"/>
        </w:rPr>
        <w:t>1.</w:t>
      </w:r>
      <w:r w:rsidR="006C35E6">
        <w:rPr>
          <w:b/>
          <w:lang w:val="en-GB"/>
        </w:rPr>
        <w:t>7</w:t>
      </w:r>
      <w:r>
        <w:rPr>
          <w:b/>
          <w:lang w:val="en-GB"/>
        </w:rPr>
        <w:t xml:space="preserve"> </w:t>
      </w:r>
      <w:r w:rsidR="00D55013">
        <w:rPr>
          <w:b/>
          <w:lang w:val="en-GB"/>
        </w:rPr>
        <w:t>ACKNOWLEDGEMENTS</w:t>
      </w:r>
    </w:p>
    <w:p w14:paraId="5FEAB525" w14:textId="1B539D27" w:rsidR="00D55013" w:rsidRDefault="00535A37" w:rsidP="00EE46F7">
      <w:pPr>
        <w:rPr>
          <w:lang w:val="en-GB"/>
        </w:rPr>
      </w:pPr>
      <w:r w:rsidRPr="00535A37">
        <w:rPr>
          <w:lang w:val="en-GB"/>
        </w:rPr>
        <w:t xml:space="preserve">The authors wish to thank Sandra Pape, Tobias </w:t>
      </w:r>
      <w:proofErr w:type="spellStart"/>
      <w:r w:rsidRPr="00535A37">
        <w:rPr>
          <w:lang w:val="en-GB"/>
        </w:rPr>
        <w:t>Möllers</w:t>
      </w:r>
      <w:proofErr w:type="spellEnd"/>
      <w:r w:rsidRPr="00535A37">
        <w:rPr>
          <w:lang w:val="en-GB"/>
        </w:rPr>
        <w:t xml:space="preserve">, and Jan-Philipp </w:t>
      </w:r>
      <w:proofErr w:type="spellStart"/>
      <w:r w:rsidRPr="00535A37">
        <w:rPr>
          <w:lang w:val="en-GB"/>
        </w:rPr>
        <w:t>Köster</w:t>
      </w:r>
      <w:proofErr w:type="spellEnd"/>
      <w:r w:rsidRPr="00535A37">
        <w:rPr>
          <w:lang w:val="en-GB"/>
        </w:rPr>
        <w:t xml:space="preserve"> for their assistance in the literature review for this paper.</w:t>
      </w:r>
    </w:p>
    <w:p w14:paraId="71C0AF2A" w14:textId="77777777" w:rsidR="00535A37" w:rsidRPr="00535A37" w:rsidRDefault="00535A37" w:rsidP="00EE46F7">
      <w:pPr>
        <w:rPr>
          <w:lang w:val="en-GB"/>
        </w:rPr>
      </w:pPr>
    </w:p>
    <w:p w14:paraId="510DB639" w14:textId="3A9B20AE" w:rsidR="00EE46F7" w:rsidRDefault="00103197" w:rsidP="00EE46F7">
      <w:pPr>
        <w:rPr>
          <w:b/>
          <w:lang w:val="en-GB"/>
        </w:rPr>
      </w:pPr>
      <w:r>
        <w:rPr>
          <w:b/>
          <w:lang w:val="en-GB"/>
        </w:rPr>
        <w:t>1.</w:t>
      </w:r>
      <w:r w:rsidR="006C35E6">
        <w:rPr>
          <w:b/>
          <w:lang w:val="en-GB"/>
        </w:rPr>
        <w:t>8</w:t>
      </w:r>
      <w:r>
        <w:rPr>
          <w:b/>
          <w:lang w:val="en-GB"/>
        </w:rPr>
        <w:t xml:space="preserve"> </w:t>
      </w:r>
      <w:r w:rsidR="00456139">
        <w:rPr>
          <w:b/>
          <w:lang w:val="en-GB"/>
        </w:rPr>
        <w:t>REFERENCES</w:t>
      </w:r>
    </w:p>
    <w:p w14:paraId="5F96EC48" w14:textId="3631DDB8" w:rsidR="00C91B35" w:rsidRDefault="00C91B35" w:rsidP="00C91B35">
      <w:pPr>
        <w:rPr>
          <w:iCs/>
          <w:lang w:val="en-GB"/>
        </w:rPr>
      </w:pPr>
      <w:r w:rsidRPr="00317D49">
        <w:rPr>
          <w:iCs/>
          <w:lang w:val="en-GB"/>
        </w:rPr>
        <w:t>Arbour-</w:t>
      </w:r>
      <w:proofErr w:type="spellStart"/>
      <w:r w:rsidRPr="00317D49">
        <w:rPr>
          <w:iCs/>
          <w:lang w:val="en-GB"/>
        </w:rPr>
        <w:t>Nicitopoulos</w:t>
      </w:r>
      <w:proofErr w:type="spellEnd"/>
      <w:r>
        <w:rPr>
          <w:iCs/>
          <w:lang w:val="en-GB"/>
        </w:rPr>
        <w:t>,</w:t>
      </w:r>
      <w:r w:rsidRPr="00317D49">
        <w:rPr>
          <w:iCs/>
          <w:lang w:val="en-GB"/>
        </w:rPr>
        <w:t xml:space="preserve"> K</w:t>
      </w:r>
      <w:r>
        <w:rPr>
          <w:iCs/>
          <w:lang w:val="en-GB"/>
        </w:rPr>
        <w:t>.</w:t>
      </w:r>
      <w:r w:rsidRPr="00317D49">
        <w:rPr>
          <w:iCs/>
          <w:lang w:val="en-GB"/>
        </w:rPr>
        <w:t>P</w:t>
      </w:r>
      <w:r>
        <w:rPr>
          <w:iCs/>
          <w:lang w:val="en-GB"/>
        </w:rPr>
        <w:t>.</w:t>
      </w:r>
      <w:r w:rsidRPr="00317D49">
        <w:rPr>
          <w:iCs/>
          <w:lang w:val="en-GB"/>
        </w:rPr>
        <w:t>, Kwan</w:t>
      </w:r>
      <w:r>
        <w:rPr>
          <w:iCs/>
          <w:lang w:val="en-GB"/>
        </w:rPr>
        <w:t>,</w:t>
      </w:r>
      <w:r w:rsidRPr="00317D49">
        <w:rPr>
          <w:iCs/>
          <w:lang w:val="en-GB"/>
        </w:rPr>
        <w:t xml:space="preserve"> M</w:t>
      </w:r>
      <w:r>
        <w:rPr>
          <w:iCs/>
          <w:lang w:val="en-GB"/>
        </w:rPr>
        <w:t>.</w:t>
      </w:r>
      <w:r w:rsidRPr="00317D49">
        <w:rPr>
          <w:iCs/>
          <w:lang w:val="en-GB"/>
        </w:rPr>
        <w:t>Y</w:t>
      </w:r>
      <w:r>
        <w:rPr>
          <w:iCs/>
          <w:lang w:val="en-GB"/>
        </w:rPr>
        <w:t>.</w:t>
      </w:r>
      <w:r w:rsidRPr="00317D49">
        <w:rPr>
          <w:iCs/>
          <w:lang w:val="en-GB"/>
        </w:rPr>
        <w:t>, Lowe</w:t>
      </w:r>
      <w:r>
        <w:rPr>
          <w:iCs/>
          <w:lang w:val="en-GB"/>
        </w:rPr>
        <w:t>,</w:t>
      </w:r>
      <w:r w:rsidRPr="00317D49">
        <w:rPr>
          <w:iCs/>
          <w:lang w:val="en-GB"/>
        </w:rPr>
        <w:t xml:space="preserve"> D</w:t>
      </w:r>
      <w:r>
        <w:rPr>
          <w:iCs/>
          <w:lang w:val="en-GB"/>
        </w:rPr>
        <w:t>.</w:t>
      </w:r>
      <w:r w:rsidRPr="00317D49">
        <w:rPr>
          <w:iCs/>
          <w:lang w:val="en-GB"/>
        </w:rPr>
        <w:t>, Taman</w:t>
      </w:r>
      <w:r>
        <w:rPr>
          <w:iCs/>
          <w:lang w:val="en-GB"/>
        </w:rPr>
        <w:t>,</w:t>
      </w:r>
      <w:r w:rsidRPr="00317D49">
        <w:rPr>
          <w:iCs/>
          <w:lang w:val="en-GB"/>
        </w:rPr>
        <w:t xml:space="preserve"> S</w:t>
      </w:r>
      <w:r>
        <w:rPr>
          <w:iCs/>
          <w:lang w:val="en-GB"/>
        </w:rPr>
        <w:t>.</w:t>
      </w:r>
      <w:r w:rsidRPr="00317D49">
        <w:rPr>
          <w:iCs/>
          <w:lang w:val="en-GB"/>
        </w:rPr>
        <w:t xml:space="preserve">, </w:t>
      </w:r>
      <w:r w:rsidR="00AE43A8">
        <w:rPr>
          <w:iCs/>
          <w:lang w:val="en-GB"/>
        </w:rPr>
        <w:t xml:space="preserve">&amp; </w:t>
      </w:r>
      <w:r w:rsidRPr="00317D49">
        <w:rPr>
          <w:iCs/>
          <w:lang w:val="en-GB"/>
        </w:rPr>
        <w:t>Faulkner</w:t>
      </w:r>
      <w:r>
        <w:rPr>
          <w:iCs/>
          <w:lang w:val="en-GB"/>
        </w:rPr>
        <w:t>,</w:t>
      </w:r>
      <w:r w:rsidRPr="00317D49">
        <w:rPr>
          <w:iCs/>
          <w:lang w:val="en-GB"/>
        </w:rPr>
        <w:t xml:space="preserve"> G</w:t>
      </w:r>
      <w:r>
        <w:rPr>
          <w:iCs/>
          <w:lang w:val="en-GB"/>
        </w:rPr>
        <w:t>.</w:t>
      </w:r>
      <w:r w:rsidRPr="00317D49">
        <w:rPr>
          <w:iCs/>
          <w:lang w:val="en-GB"/>
        </w:rPr>
        <w:t xml:space="preserve">E. </w:t>
      </w:r>
      <w:r>
        <w:rPr>
          <w:iCs/>
          <w:lang w:val="en-GB"/>
        </w:rPr>
        <w:t xml:space="preserve">(2010). </w:t>
      </w:r>
      <w:r w:rsidRPr="00317D49">
        <w:rPr>
          <w:iCs/>
          <w:lang w:val="en-GB"/>
        </w:rPr>
        <w:t>Social</w:t>
      </w:r>
    </w:p>
    <w:p w14:paraId="2C8888CC" w14:textId="1B6C7A11" w:rsidR="00C91B35" w:rsidRDefault="00C91B35" w:rsidP="001F223D">
      <w:pPr>
        <w:ind w:left="708"/>
        <w:rPr>
          <w:iCs/>
          <w:lang w:val="en-GB"/>
        </w:rPr>
      </w:pPr>
      <w:proofErr w:type="gramStart"/>
      <w:r w:rsidRPr="00317D49">
        <w:rPr>
          <w:iCs/>
          <w:lang w:val="en-GB"/>
        </w:rPr>
        <w:t>norms</w:t>
      </w:r>
      <w:proofErr w:type="gramEnd"/>
      <w:r w:rsidRPr="00317D49">
        <w:rPr>
          <w:iCs/>
          <w:lang w:val="en-GB"/>
        </w:rPr>
        <w:t xml:space="preserve"> of</w:t>
      </w:r>
      <w:r>
        <w:rPr>
          <w:iCs/>
          <w:lang w:val="en-GB"/>
        </w:rPr>
        <w:t xml:space="preserve"> </w:t>
      </w:r>
      <w:r w:rsidRPr="00317D49">
        <w:rPr>
          <w:iCs/>
          <w:lang w:val="en-GB"/>
        </w:rPr>
        <w:t>alcohol, smoking,</w:t>
      </w:r>
      <w:r>
        <w:rPr>
          <w:iCs/>
          <w:lang w:val="en-GB"/>
        </w:rPr>
        <w:t xml:space="preserve"> </w:t>
      </w:r>
      <w:r w:rsidRPr="00317D49">
        <w:rPr>
          <w:iCs/>
          <w:lang w:val="en-GB"/>
        </w:rPr>
        <w:t>and marijuana use within a Canadian university setting.</w:t>
      </w:r>
      <w:r w:rsidRPr="00317D49">
        <w:rPr>
          <w:lang w:val="en-US"/>
        </w:rPr>
        <w:t xml:space="preserve"> </w:t>
      </w:r>
      <w:r w:rsidRPr="00317D49">
        <w:rPr>
          <w:i/>
          <w:iCs/>
          <w:lang w:val="en-GB"/>
        </w:rPr>
        <w:t>J Am Coll Health</w:t>
      </w:r>
      <w:r>
        <w:rPr>
          <w:i/>
          <w:iCs/>
          <w:lang w:val="en-GB"/>
        </w:rPr>
        <w:t>,</w:t>
      </w:r>
      <w:r w:rsidRPr="00317D49">
        <w:rPr>
          <w:iCs/>
          <w:lang w:val="en-GB"/>
        </w:rPr>
        <w:t xml:space="preserve"> 59(3)</w:t>
      </w:r>
      <w:r>
        <w:rPr>
          <w:iCs/>
          <w:lang w:val="en-GB"/>
        </w:rPr>
        <w:t xml:space="preserve">, </w:t>
      </w:r>
      <w:r w:rsidRPr="00317D49">
        <w:rPr>
          <w:iCs/>
          <w:lang w:val="en-GB"/>
        </w:rPr>
        <w:t xml:space="preserve">191-6. </w:t>
      </w:r>
      <w:proofErr w:type="spellStart"/>
      <w:proofErr w:type="gramStart"/>
      <w:r w:rsidRPr="00317D49">
        <w:rPr>
          <w:iCs/>
          <w:lang w:val="en-GB"/>
        </w:rPr>
        <w:t>doi</w:t>
      </w:r>
      <w:proofErr w:type="spellEnd"/>
      <w:proofErr w:type="gramEnd"/>
      <w:r w:rsidRPr="00317D49">
        <w:rPr>
          <w:iCs/>
          <w:lang w:val="en-GB"/>
        </w:rPr>
        <w:t>: 10.1080/07448481.2010.502194.</w:t>
      </w:r>
    </w:p>
    <w:p w14:paraId="6D81A0AC" w14:textId="77777777" w:rsidR="00EA255B" w:rsidRDefault="008E49F2" w:rsidP="00EA255B">
      <w:pPr>
        <w:rPr>
          <w:iCs/>
          <w:lang w:val="en-GB"/>
        </w:rPr>
      </w:pPr>
      <w:proofErr w:type="spellStart"/>
      <w:r w:rsidRPr="008E49F2">
        <w:rPr>
          <w:iCs/>
          <w:lang w:val="en-GB"/>
        </w:rPr>
        <w:t>Bertholet</w:t>
      </w:r>
      <w:proofErr w:type="spellEnd"/>
      <w:r>
        <w:rPr>
          <w:iCs/>
          <w:lang w:val="en-GB"/>
        </w:rPr>
        <w:t>,</w:t>
      </w:r>
      <w:r w:rsidRPr="008E49F2">
        <w:rPr>
          <w:iCs/>
          <w:lang w:val="en-GB"/>
        </w:rPr>
        <w:t xml:space="preserve"> N</w:t>
      </w:r>
      <w:r>
        <w:rPr>
          <w:iCs/>
          <w:lang w:val="en-GB"/>
        </w:rPr>
        <w:t>.</w:t>
      </w:r>
      <w:r w:rsidRPr="008E49F2">
        <w:rPr>
          <w:iCs/>
          <w:lang w:val="en-GB"/>
        </w:rPr>
        <w:t xml:space="preserve">, </w:t>
      </w:r>
      <w:proofErr w:type="spellStart"/>
      <w:r w:rsidRPr="008E49F2">
        <w:rPr>
          <w:iCs/>
          <w:lang w:val="en-GB"/>
        </w:rPr>
        <w:t>Faouzi</w:t>
      </w:r>
      <w:proofErr w:type="spellEnd"/>
      <w:r>
        <w:rPr>
          <w:iCs/>
          <w:lang w:val="en-GB"/>
        </w:rPr>
        <w:t>,</w:t>
      </w:r>
      <w:r w:rsidRPr="008E49F2">
        <w:rPr>
          <w:iCs/>
          <w:lang w:val="en-GB"/>
        </w:rPr>
        <w:t xml:space="preserve"> M</w:t>
      </w:r>
      <w:r>
        <w:rPr>
          <w:iCs/>
          <w:lang w:val="en-GB"/>
        </w:rPr>
        <w:t>.</w:t>
      </w:r>
      <w:r w:rsidRPr="008E49F2">
        <w:rPr>
          <w:iCs/>
          <w:lang w:val="en-GB"/>
        </w:rPr>
        <w:t xml:space="preserve">, </w:t>
      </w:r>
      <w:proofErr w:type="spellStart"/>
      <w:r w:rsidRPr="008E49F2">
        <w:rPr>
          <w:iCs/>
          <w:lang w:val="en-GB"/>
        </w:rPr>
        <w:t>Studer</w:t>
      </w:r>
      <w:proofErr w:type="spellEnd"/>
      <w:r>
        <w:rPr>
          <w:iCs/>
          <w:lang w:val="en-GB"/>
        </w:rPr>
        <w:t>,</w:t>
      </w:r>
      <w:r w:rsidRPr="008E49F2">
        <w:rPr>
          <w:iCs/>
          <w:lang w:val="en-GB"/>
        </w:rPr>
        <w:t xml:space="preserve"> J</w:t>
      </w:r>
      <w:r>
        <w:rPr>
          <w:iCs/>
          <w:lang w:val="en-GB"/>
        </w:rPr>
        <w:t>.</w:t>
      </w:r>
      <w:r w:rsidRPr="008E49F2">
        <w:rPr>
          <w:iCs/>
          <w:lang w:val="en-GB"/>
        </w:rPr>
        <w:t xml:space="preserve">, </w:t>
      </w:r>
      <w:proofErr w:type="spellStart"/>
      <w:r w:rsidRPr="008E49F2">
        <w:rPr>
          <w:iCs/>
          <w:lang w:val="en-GB"/>
        </w:rPr>
        <w:t>Daeppen</w:t>
      </w:r>
      <w:proofErr w:type="spellEnd"/>
      <w:r>
        <w:rPr>
          <w:iCs/>
          <w:lang w:val="en-GB"/>
        </w:rPr>
        <w:t>,</w:t>
      </w:r>
      <w:r w:rsidRPr="008E49F2">
        <w:rPr>
          <w:iCs/>
          <w:lang w:val="en-GB"/>
        </w:rPr>
        <w:t xml:space="preserve"> J</w:t>
      </w:r>
      <w:r>
        <w:rPr>
          <w:iCs/>
          <w:lang w:val="en-GB"/>
        </w:rPr>
        <w:t>.</w:t>
      </w:r>
      <w:r w:rsidRPr="008E49F2">
        <w:rPr>
          <w:iCs/>
          <w:lang w:val="en-GB"/>
        </w:rPr>
        <w:t>B</w:t>
      </w:r>
      <w:r>
        <w:rPr>
          <w:iCs/>
          <w:lang w:val="en-GB"/>
        </w:rPr>
        <w:t>.</w:t>
      </w:r>
      <w:r w:rsidRPr="008E49F2">
        <w:rPr>
          <w:iCs/>
          <w:lang w:val="en-GB"/>
        </w:rPr>
        <w:t xml:space="preserve">, </w:t>
      </w:r>
      <w:r w:rsidR="00EA255B">
        <w:rPr>
          <w:iCs/>
          <w:lang w:val="en-GB"/>
        </w:rPr>
        <w:t xml:space="preserve">&amp; </w:t>
      </w:r>
      <w:proofErr w:type="spellStart"/>
      <w:r w:rsidRPr="008E49F2">
        <w:rPr>
          <w:iCs/>
          <w:lang w:val="en-GB"/>
        </w:rPr>
        <w:t>Gmel</w:t>
      </w:r>
      <w:proofErr w:type="spellEnd"/>
      <w:r>
        <w:rPr>
          <w:iCs/>
          <w:lang w:val="en-GB"/>
        </w:rPr>
        <w:t>,</w:t>
      </w:r>
      <w:r w:rsidRPr="008E49F2">
        <w:rPr>
          <w:iCs/>
          <w:lang w:val="en-GB"/>
        </w:rPr>
        <w:t xml:space="preserve"> G.</w:t>
      </w:r>
      <w:r>
        <w:rPr>
          <w:iCs/>
          <w:lang w:val="en-GB"/>
        </w:rPr>
        <w:t xml:space="preserve"> (2013).</w:t>
      </w:r>
      <w:r w:rsidRPr="008E49F2">
        <w:rPr>
          <w:iCs/>
          <w:lang w:val="en-GB"/>
        </w:rPr>
        <w:t xml:space="preserve"> Perception of tobacco,</w:t>
      </w:r>
    </w:p>
    <w:p w14:paraId="45B70499" w14:textId="20FDE557" w:rsidR="008E49F2" w:rsidRDefault="008E49F2" w:rsidP="001F223D">
      <w:pPr>
        <w:ind w:left="708"/>
        <w:rPr>
          <w:iCs/>
          <w:lang w:val="en-GB"/>
        </w:rPr>
      </w:pPr>
      <w:proofErr w:type="gramStart"/>
      <w:r w:rsidRPr="008E49F2">
        <w:rPr>
          <w:iCs/>
          <w:lang w:val="en-GB"/>
        </w:rPr>
        <w:t>cannabis</w:t>
      </w:r>
      <w:proofErr w:type="gramEnd"/>
      <w:r w:rsidRPr="008E49F2">
        <w:rPr>
          <w:iCs/>
          <w:lang w:val="en-GB"/>
        </w:rPr>
        <w:t>,</w:t>
      </w:r>
      <w:r w:rsidR="00EA255B">
        <w:rPr>
          <w:iCs/>
          <w:lang w:val="en-GB"/>
        </w:rPr>
        <w:t xml:space="preserve"> </w:t>
      </w:r>
      <w:r w:rsidRPr="008E49F2">
        <w:rPr>
          <w:iCs/>
          <w:lang w:val="en-GB"/>
        </w:rPr>
        <w:t>and alcohol</w:t>
      </w:r>
      <w:r>
        <w:rPr>
          <w:iCs/>
          <w:lang w:val="en-GB"/>
        </w:rPr>
        <w:t xml:space="preserve"> </w:t>
      </w:r>
      <w:r w:rsidRPr="008E49F2">
        <w:rPr>
          <w:iCs/>
          <w:lang w:val="en-GB"/>
        </w:rPr>
        <w:t xml:space="preserve">use of others is associated with one's own use. </w:t>
      </w:r>
      <w:r w:rsidRPr="001F223D">
        <w:rPr>
          <w:i/>
          <w:iCs/>
          <w:lang w:val="en-GB"/>
        </w:rPr>
        <w:t xml:space="preserve">Addict </w:t>
      </w:r>
      <w:proofErr w:type="spellStart"/>
      <w:r w:rsidRPr="001F223D">
        <w:rPr>
          <w:i/>
          <w:iCs/>
          <w:lang w:val="en-GB"/>
        </w:rPr>
        <w:t>Sci</w:t>
      </w:r>
      <w:proofErr w:type="spellEnd"/>
      <w:r w:rsidRPr="001F223D">
        <w:rPr>
          <w:i/>
          <w:iCs/>
          <w:lang w:val="en-GB"/>
        </w:rPr>
        <w:t xml:space="preserve"> </w:t>
      </w:r>
      <w:proofErr w:type="spellStart"/>
      <w:r w:rsidRPr="001F223D">
        <w:rPr>
          <w:i/>
          <w:iCs/>
          <w:lang w:val="en-GB"/>
        </w:rPr>
        <w:t>Clin</w:t>
      </w:r>
      <w:proofErr w:type="spellEnd"/>
      <w:r w:rsidRPr="001F223D">
        <w:rPr>
          <w:i/>
          <w:iCs/>
          <w:lang w:val="en-GB"/>
        </w:rPr>
        <w:t xml:space="preserve"> </w:t>
      </w:r>
      <w:proofErr w:type="spellStart"/>
      <w:r w:rsidRPr="001F223D">
        <w:rPr>
          <w:i/>
          <w:iCs/>
          <w:lang w:val="en-GB"/>
        </w:rPr>
        <w:t>Pract</w:t>
      </w:r>
      <w:proofErr w:type="spellEnd"/>
      <w:r w:rsidRPr="001F223D">
        <w:rPr>
          <w:i/>
          <w:iCs/>
          <w:lang w:val="en-GB"/>
        </w:rPr>
        <w:t>,</w:t>
      </w:r>
      <w:r w:rsidRPr="008E49F2">
        <w:rPr>
          <w:iCs/>
          <w:lang w:val="en-GB"/>
        </w:rPr>
        <w:t xml:space="preserve"> 8(1):</w:t>
      </w:r>
      <w:r>
        <w:rPr>
          <w:iCs/>
          <w:lang w:val="en-GB"/>
        </w:rPr>
        <w:t xml:space="preserve"> </w:t>
      </w:r>
      <w:r w:rsidRPr="008E49F2">
        <w:rPr>
          <w:iCs/>
          <w:lang w:val="en-GB"/>
        </w:rPr>
        <w:t xml:space="preserve">15. </w:t>
      </w:r>
      <w:proofErr w:type="spellStart"/>
      <w:proofErr w:type="gramStart"/>
      <w:r w:rsidRPr="008E49F2">
        <w:rPr>
          <w:iCs/>
          <w:lang w:val="en-GB"/>
        </w:rPr>
        <w:t>doi</w:t>
      </w:r>
      <w:proofErr w:type="spellEnd"/>
      <w:proofErr w:type="gramEnd"/>
      <w:r w:rsidRPr="008E49F2">
        <w:rPr>
          <w:iCs/>
          <w:lang w:val="en-GB"/>
        </w:rPr>
        <w:t>: 10.1186/1940-0640-8-15.</w:t>
      </w:r>
    </w:p>
    <w:p w14:paraId="2B77578B" w14:textId="5A093D8E" w:rsidR="000222F9" w:rsidRDefault="00C91B35" w:rsidP="00C91B35">
      <w:pPr>
        <w:rPr>
          <w:iCs/>
          <w:lang w:val="en-GB"/>
        </w:rPr>
      </w:pPr>
      <w:proofErr w:type="spellStart"/>
      <w:r w:rsidRPr="00DF291C">
        <w:rPr>
          <w:iCs/>
          <w:lang w:val="en-GB"/>
        </w:rPr>
        <w:t>Borsari</w:t>
      </w:r>
      <w:proofErr w:type="spellEnd"/>
      <w:r w:rsidRPr="00DF291C">
        <w:rPr>
          <w:iCs/>
          <w:lang w:val="en-GB"/>
        </w:rPr>
        <w:t xml:space="preserve">, B. </w:t>
      </w:r>
      <w:r>
        <w:rPr>
          <w:iCs/>
          <w:lang w:val="en-GB"/>
        </w:rPr>
        <w:t>&amp;</w:t>
      </w:r>
      <w:r w:rsidRPr="00DF291C">
        <w:rPr>
          <w:iCs/>
          <w:lang w:val="en-GB"/>
        </w:rPr>
        <w:t xml:space="preserve"> Carey</w:t>
      </w:r>
      <w:r>
        <w:rPr>
          <w:iCs/>
          <w:lang w:val="en-GB"/>
        </w:rPr>
        <w:t>, K.B. (2003)</w:t>
      </w:r>
      <w:r w:rsidR="0047290F">
        <w:rPr>
          <w:iCs/>
          <w:lang w:val="en-GB"/>
        </w:rPr>
        <w:t>.</w:t>
      </w:r>
      <w:r w:rsidRPr="00DF291C">
        <w:rPr>
          <w:iCs/>
          <w:lang w:val="en-GB"/>
        </w:rPr>
        <w:t xml:space="preserve"> Descriptive and injunctive norms in college drinking: A meta-analytic</w:t>
      </w:r>
    </w:p>
    <w:p w14:paraId="0CF4BCCD" w14:textId="1C664C56" w:rsidR="00C91B35" w:rsidRDefault="00C91B35" w:rsidP="001F223D">
      <w:pPr>
        <w:ind w:firstLine="708"/>
        <w:rPr>
          <w:iCs/>
          <w:lang w:val="en-GB"/>
        </w:rPr>
      </w:pPr>
      <w:proofErr w:type="gramStart"/>
      <w:r w:rsidRPr="00DF291C">
        <w:rPr>
          <w:iCs/>
          <w:lang w:val="en-GB"/>
        </w:rPr>
        <w:t>integration</w:t>
      </w:r>
      <w:proofErr w:type="gramEnd"/>
      <w:r w:rsidRPr="00DF291C">
        <w:rPr>
          <w:iCs/>
          <w:lang w:val="en-GB"/>
        </w:rPr>
        <w:t xml:space="preserve">. </w:t>
      </w:r>
      <w:r w:rsidRPr="001F223D">
        <w:rPr>
          <w:i/>
          <w:iCs/>
          <w:lang w:val="en-GB"/>
        </w:rPr>
        <w:t>Journal of Studies on Alcohol,</w:t>
      </w:r>
      <w:r w:rsidRPr="00DF291C">
        <w:rPr>
          <w:iCs/>
          <w:lang w:val="en-GB"/>
        </w:rPr>
        <w:t xml:space="preserve"> 64(3)</w:t>
      </w:r>
      <w:r>
        <w:rPr>
          <w:iCs/>
          <w:lang w:val="en-GB"/>
        </w:rPr>
        <w:t xml:space="preserve">, </w:t>
      </w:r>
      <w:r w:rsidRPr="00DF291C">
        <w:rPr>
          <w:iCs/>
          <w:lang w:val="en-GB"/>
        </w:rPr>
        <w:t>331-341.</w:t>
      </w:r>
    </w:p>
    <w:p w14:paraId="3BFC323C" w14:textId="77777777" w:rsidR="008841DE" w:rsidRDefault="00456638" w:rsidP="008841DE">
      <w:pPr>
        <w:rPr>
          <w:iCs/>
          <w:lang w:val="en-GB"/>
        </w:rPr>
      </w:pPr>
      <w:proofErr w:type="spellStart"/>
      <w:r w:rsidRPr="00456638">
        <w:rPr>
          <w:iCs/>
          <w:lang w:val="en-GB"/>
        </w:rPr>
        <w:t>Borsari</w:t>
      </w:r>
      <w:proofErr w:type="spellEnd"/>
      <w:r>
        <w:rPr>
          <w:iCs/>
          <w:lang w:val="en-GB"/>
        </w:rPr>
        <w:t>,</w:t>
      </w:r>
      <w:r w:rsidRPr="00456638">
        <w:rPr>
          <w:iCs/>
          <w:lang w:val="en-GB"/>
        </w:rPr>
        <w:t xml:space="preserve"> B</w:t>
      </w:r>
      <w:r>
        <w:rPr>
          <w:iCs/>
          <w:lang w:val="en-GB"/>
        </w:rPr>
        <w:t>.</w:t>
      </w:r>
      <w:r w:rsidRPr="00456638">
        <w:rPr>
          <w:iCs/>
          <w:lang w:val="en-GB"/>
        </w:rPr>
        <w:t>E</w:t>
      </w:r>
      <w:r>
        <w:rPr>
          <w:iCs/>
          <w:lang w:val="en-GB"/>
        </w:rPr>
        <w:t>. &amp;</w:t>
      </w:r>
      <w:r w:rsidRPr="00456638">
        <w:rPr>
          <w:iCs/>
          <w:lang w:val="en-GB"/>
        </w:rPr>
        <w:t xml:space="preserve"> Carey</w:t>
      </w:r>
      <w:r>
        <w:rPr>
          <w:iCs/>
          <w:lang w:val="en-GB"/>
        </w:rPr>
        <w:t>,</w:t>
      </w:r>
      <w:r w:rsidRPr="00456638">
        <w:rPr>
          <w:iCs/>
          <w:lang w:val="en-GB"/>
        </w:rPr>
        <w:t xml:space="preserve"> K</w:t>
      </w:r>
      <w:r>
        <w:rPr>
          <w:iCs/>
          <w:lang w:val="en-GB"/>
        </w:rPr>
        <w:t>.</w:t>
      </w:r>
      <w:r w:rsidRPr="00456638">
        <w:rPr>
          <w:iCs/>
          <w:lang w:val="en-GB"/>
        </w:rPr>
        <w:t>B.</w:t>
      </w:r>
      <w:r>
        <w:rPr>
          <w:iCs/>
          <w:lang w:val="en-GB"/>
        </w:rPr>
        <w:t xml:space="preserve"> (1999).</w:t>
      </w:r>
      <w:r w:rsidRPr="00456638">
        <w:rPr>
          <w:iCs/>
          <w:lang w:val="en-GB"/>
        </w:rPr>
        <w:t xml:space="preserve"> Understanding fraternity drinking: five recurring themes in the</w:t>
      </w:r>
    </w:p>
    <w:p w14:paraId="4952717E" w14:textId="55200A7A" w:rsidR="00456638" w:rsidRDefault="00456638" w:rsidP="001F223D">
      <w:pPr>
        <w:ind w:firstLine="708"/>
        <w:rPr>
          <w:iCs/>
          <w:lang w:val="en-GB"/>
        </w:rPr>
      </w:pPr>
      <w:proofErr w:type="gramStart"/>
      <w:r w:rsidRPr="00456638">
        <w:rPr>
          <w:iCs/>
          <w:lang w:val="en-GB"/>
        </w:rPr>
        <w:t>literature</w:t>
      </w:r>
      <w:proofErr w:type="gramEnd"/>
      <w:r w:rsidRPr="00456638">
        <w:rPr>
          <w:iCs/>
          <w:lang w:val="en-GB"/>
        </w:rPr>
        <w:t xml:space="preserve">, 1980-1998. </w:t>
      </w:r>
      <w:r w:rsidRPr="001F223D">
        <w:rPr>
          <w:i/>
          <w:iCs/>
          <w:lang w:val="en-GB"/>
        </w:rPr>
        <w:t>Am Coll Health,</w:t>
      </w:r>
      <w:r w:rsidRPr="00456638">
        <w:rPr>
          <w:iCs/>
          <w:lang w:val="en-GB"/>
        </w:rPr>
        <w:t xml:space="preserve"> 48(1)</w:t>
      </w:r>
      <w:r>
        <w:rPr>
          <w:iCs/>
          <w:lang w:val="en-GB"/>
        </w:rPr>
        <w:t>,</w:t>
      </w:r>
      <w:r w:rsidR="008E49F2">
        <w:rPr>
          <w:iCs/>
          <w:lang w:val="en-GB"/>
        </w:rPr>
        <w:t xml:space="preserve"> </w:t>
      </w:r>
      <w:r w:rsidRPr="00456638">
        <w:rPr>
          <w:iCs/>
          <w:lang w:val="en-GB"/>
        </w:rPr>
        <w:t>30-</w:t>
      </w:r>
      <w:proofErr w:type="gramStart"/>
      <w:r w:rsidRPr="00456638">
        <w:rPr>
          <w:iCs/>
          <w:lang w:val="en-GB"/>
        </w:rPr>
        <w:t>7.</w:t>
      </w:r>
      <w:proofErr w:type="gramEnd"/>
    </w:p>
    <w:p w14:paraId="7A30146E" w14:textId="77777777" w:rsidR="009A5C20" w:rsidRDefault="009A5C20" w:rsidP="009A5C20">
      <w:pPr>
        <w:rPr>
          <w:iCs/>
          <w:lang w:val="en-US"/>
        </w:rPr>
      </w:pPr>
      <w:proofErr w:type="spellStart"/>
      <w:r w:rsidRPr="009A5C20">
        <w:rPr>
          <w:iCs/>
          <w:lang w:val="en-US"/>
        </w:rPr>
        <w:t>Deressa</w:t>
      </w:r>
      <w:proofErr w:type="spellEnd"/>
      <w:r>
        <w:rPr>
          <w:iCs/>
          <w:lang w:val="en-US"/>
        </w:rPr>
        <w:t>,</w:t>
      </w:r>
      <w:r w:rsidRPr="009A5C20">
        <w:rPr>
          <w:iCs/>
          <w:lang w:val="en-US"/>
        </w:rPr>
        <w:t xml:space="preserve"> W</w:t>
      </w:r>
      <w:r>
        <w:rPr>
          <w:iCs/>
          <w:lang w:val="en-US"/>
        </w:rPr>
        <w:t>.</w:t>
      </w:r>
      <w:r w:rsidRPr="009A5C20">
        <w:rPr>
          <w:iCs/>
          <w:lang w:val="en-US"/>
        </w:rPr>
        <w:t>,</w:t>
      </w:r>
      <w:r>
        <w:rPr>
          <w:iCs/>
          <w:lang w:val="en-US"/>
        </w:rPr>
        <w:t xml:space="preserve"> &amp;</w:t>
      </w:r>
      <w:r w:rsidRPr="009A5C20">
        <w:rPr>
          <w:iCs/>
          <w:lang w:val="en-US"/>
        </w:rPr>
        <w:t xml:space="preserve"> </w:t>
      </w:r>
      <w:proofErr w:type="spellStart"/>
      <w:r w:rsidRPr="009A5C20">
        <w:rPr>
          <w:iCs/>
          <w:lang w:val="en-US"/>
        </w:rPr>
        <w:t>Azazh</w:t>
      </w:r>
      <w:proofErr w:type="spellEnd"/>
      <w:r>
        <w:rPr>
          <w:iCs/>
          <w:lang w:val="en-US"/>
        </w:rPr>
        <w:t>,</w:t>
      </w:r>
      <w:r w:rsidRPr="009A5C20">
        <w:rPr>
          <w:iCs/>
          <w:lang w:val="en-US"/>
        </w:rPr>
        <w:t xml:space="preserve"> A.</w:t>
      </w:r>
      <w:r>
        <w:rPr>
          <w:iCs/>
          <w:lang w:val="en-US"/>
        </w:rPr>
        <w:t xml:space="preserve"> (2011).</w:t>
      </w:r>
      <w:r w:rsidRPr="009A5C20">
        <w:rPr>
          <w:iCs/>
          <w:lang w:val="en-US"/>
        </w:rPr>
        <w:t xml:space="preserve"> Substance use and its predictors among undergraduate medical</w:t>
      </w:r>
    </w:p>
    <w:p w14:paraId="5342D19E" w14:textId="5A27A282" w:rsidR="009A5C20" w:rsidRDefault="009A5C20" w:rsidP="001F223D">
      <w:pPr>
        <w:ind w:left="708"/>
        <w:rPr>
          <w:iCs/>
          <w:lang w:val="en-US"/>
        </w:rPr>
      </w:pPr>
      <w:proofErr w:type="gramStart"/>
      <w:r w:rsidRPr="009A5C20">
        <w:rPr>
          <w:iCs/>
          <w:lang w:val="en-US"/>
        </w:rPr>
        <w:t>students</w:t>
      </w:r>
      <w:proofErr w:type="gramEnd"/>
      <w:r w:rsidRPr="009A5C20">
        <w:rPr>
          <w:iCs/>
          <w:lang w:val="en-US"/>
        </w:rPr>
        <w:t xml:space="preserve"> of Addis Ababa University in Ethiopia. </w:t>
      </w:r>
      <w:r w:rsidRPr="009A5C20">
        <w:rPr>
          <w:i/>
          <w:iCs/>
          <w:lang w:val="en-US"/>
        </w:rPr>
        <w:t>BMC Public Health</w:t>
      </w:r>
      <w:r w:rsidRPr="00DB79E4">
        <w:rPr>
          <w:i/>
          <w:iCs/>
          <w:lang w:val="en-US"/>
        </w:rPr>
        <w:t>,</w:t>
      </w:r>
      <w:r>
        <w:rPr>
          <w:i/>
          <w:iCs/>
          <w:lang w:val="en-US"/>
        </w:rPr>
        <w:t xml:space="preserve"> </w:t>
      </w:r>
      <w:r w:rsidRPr="009A5C20">
        <w:rPr>
          <w:iCs/>
          <w:lang w:val="en-US"/>
        </w:rPr>
        <w:t xml:space="preserve">11:660. </w:t>
      </w:r>
      <w:proofErr w:type="spellStart"/>
      <w:proofErr w:type="gramStart"/>
      <w:r w:rsidRPr="009A5C20">
        <w:rPr>
          <w:iCs/>
          <w:lang w:val="en-US"/>
        </w:rPr>
        <w:t>doi</w:t>
      </w:r>
      <w:proofErr w:type="spellEnd"/>
      <w:proofErr w:type="gramEnd"/>
      <w:r w:rsidRPr="009A5C20">
        <w:rPr>
          <w:iCs/>
          <w:lang w:val="en-US"/>
        </w:rPr>
        <w:t>: 10.1186/1471-2458-11-660.</w:t>
      </w:r>
    </w:p>
    <w:p w14:paraId="37396897" w14:textId="77777777" w:rsidR="00064681" w:rsidRDefault="00064681" w:rsidP="00064681">
      <w:pPr>
        <w:rPr>
          <w:iCs/>
          <w:lang w:val="en-GB"/>
        </w:rPr>
      </w:pPr>
      <w:r w:rsidRPr="00064681">
        <w:rPr>
          <w:iCs/>
          <w:lang w:val="en-GB"/>
        </w:rPr>
        <w:t>Edwards</w:t>
      </w:r>
      <w:r>
        <w:rPr>
          <w:iCs/>
          <w:lang w:val="en-GB"/>
        </w:rPr>
        <w:t>,</w:t>
      </w:r>
      <w:r w:rsidRPr="00064681">
        <w:rPr>
          <w:iCs/>
          <w:lang w:val="en-GB"/>
        </w:rPr>
        <w:t xml:space="preserve"> C</w:t>
      </w:r>
      <w:r>
        <w:rPr>
          <w:iCs/>
          <w:lang w:val="en-GB"/>
        </w:rPr>
        <w:t>.</w:t>
      </w:r>
      <w:r w:rsidRPr="00064681">
        <w:rPr>
          <w:iCs/>
          <w:lang w:val="en-GB"/>
        </w:rPr>
        <w:t>L</w:t>
      </w:r>
      <w:r>
        <w:rPr>
          <w:iCs/>
          <w:lang w:val="en-GB"/>
        </w:rPr>
        <w:t>.</w:t>
      </w:r>
      <w:r w:rsidRPr="00064681">
        <w:rPr>
          <w:iCs/>
          <w:lang w:val="en-GB"/>
        </w:rPr>
        <w:t>, Bennett</w:t>
      </w:r>
      <w:r>
        <w:rPr>
          <w:iCs/>
          <w:lang w:val="en-GB"/>
        </w:rPr>
        <w:t>,</w:t>
      </w:r>
      <w:r w:rsidRPr="00064681">
        <w:rPr>
          <w:iCs/>
          <w:lang w:val="en-GB"/>
        </w:rPr>
        <w:t xml:space="preserve"> G</w:t>
      </w:r>
      <w:r>
        <w:rPr>
          <w:iCs/>
          <w:lang w:val="en-GB"/>
        </w:rPr>
        <w:t>.</w:t>
      </w:r>
      <w:r w:rsidRPr="00064681">
        <w:rPr>
          <w:iCs/>
          <w:lang w:val="en-GB"/>
        </w:rPr>
        <w:t>G</w:t>
      </w:r>
      <w:r>
        <w:rPr>
          <w:iCs/>
          <w:lang w:val="en-GB"/>
        </w:rPr>
        <w:t>.</w:t>
      </w:r>
      <w:r w:rsidRPr="00064681">
        <w:rPr>
          <w:iCs/>
          <w:lang w:val="en-GB"/>
        </w:rPr>
        <w:t xml:space="preserve">, </w:t>
      </w:r>
      <w:proofErr w:type="spellStart"/>
      <w:r w:rsidRPr="00064681">
        <w:rPr>
          <w:iCs/>
          <w:lang w:val="en-GB"/>
        </w:rPr>
        <w:t>Wolin</w:t>
      </w:r>
      <w:proofErr w:type="spellEnd"/>
      <w:r>
        <w:rPr>
          <w:iCs/>
          <w:lang w:val="en-GB"/>
        </w:rPr>
        <w:t>,</w:t>
      </w:r>
      <w:r w:rsidRPr="00064681">
        <w:rPr>
          <w:iCs/>
          <w:lang w:val="en-GB"/>
        </w:rPr>
        <w:t xml:space="preserve"> K</w:t>
      </w:r>
      <w:r>
        <w:rPr>
          <w:iCs/>
          <w:lang w:val="en-GB"/>
        </w:rPr>
        <w:t>.</w:t>
      </w:r>
      <w:r w:rsidRPr="00064681">
        <w:rPr>
          <w:iCs/>
          <w:lang w:val="en-GB"/>
        </w:rPr>
        <w:t>Y</w:t>
      </w:r>
      <w:r>
        <w:rPr>
          <w:iCs/>
          <w:lang w:val="en-GB"/>
        </w:rPr>
        <w:t>.</w:t>
      </w:r>
      <w:r w:rsidRPr="00064681">
        <w:rPr>
          <w:iCs/>
          <w:lang w:val="en-GB"/>
        </w:rPr>
        <w:t>, et al.</w:t>
      </w:r>
      <w:r>
        <w:rPr>
          <w:iCs/>
          <w:lang w:val="en-GB"/>
        </w:rPr>
        <w:t xml:space="preserve"> (2008).</w:t>
      </w:r>
      <w:r w:rsidRPr="00064681">
        <w:rPr>
          <w:iCs/>
          <w:lang w:val="en-GB"/>
        </w:rPr>
        <w:t xml:space="preserve"> </w:t>
      </w:r>
      <w:proofErr w:type="spellStart"/>
      <w:r w:rsidRPr="00064681">
        <w:rPr>
          <w:iCs/>
          <w:lang w:val="en-GB"/>
        </w:rPr>
        <w:t>Misestimation</w:t>
      </w:r>
      <w:proofErr w:type="spellEnd"/>
      <w:r w:rsidRPr="00064681">
        <w:rPr>
          <w:iCs/>
          <w:lang w:val="en-GB"/>
        </w:rPr>
        <w:t xml:space="preserve"> of peer tobacco use:</w:t>
      </w:r>
    </w:p>
    <w:p w14:paraId="11111144" w14:textId="269E0ECA" w:rsidR="00064681" w:rsidRDefault="00064681" w:rsidP="001F223D">
      <w:pPr>
        <w:ind w:firstLine="708"/>
        <w:rPr>
          <w:iCs/>
          <w:lang w:val="en-GB"/>
        </w:rPr>
      </w:pPr>
      <w:proofErr w:type="gramStart"/>
      <w:r w:rsidRPr="00064681">
        <w:rPr>
          <w:iCs/>
          <w:lang w:val="en-GB"/>
        </w:rPr>
        <w:t>understanding</w:t>
      </w:r>
      <w:proofErr w:type="gramEnd"/>
      <w:r w:rsidRPr="00064681">
        <w:rPr>
          <w:iCs/>
          <w:lang w:val="en-GB"/>
        </w:rPr>
        <w:t xml:space="preserve"> disparities in tobacco use.</w:t>
      </w:r>
      <w:r w:rsidRPr="00064681">
        <w:rPr>
          <w:iCs/>
          <w:lang w:val="en-US"/>
        </w:rPr>
        <w:t xml:space="preserve"> </w:t>
      </w:r>
      <w:r w:rsidRPr="00064681">
        <w:rPr>
          <w:i/>
          <w:iCs/>
          <w:lang w:val="en-GB"/>
        </w:rPr>
        <w:t xml:space="preserve">J Natl Med </w:t>
      </w:r>
      <w:proofErr w:type="spellStart"/>
      <w:r w:rsidRPr="00064681">
        <w:rPr>
          <w:i/>
          <w:iCs/>
          <w:lang w:val="en-GB"/>
        </w:rPr>
        <w:t>Assoc</w:t>
      </w:r>
      <w:proofErr w:type="spellEnd"/>
      <w:r w:rsidRPr="001F223D">
        <w:rPr>
          <w:iCs/>
          <w:lang w:val="en-GB"/>
        </w:rPr>
        <w:t>,</w:t>
      </w:r>
      <w:r>
        <w:rPr>
          <w:i/>
          <w:iCs/>
          <w:lang w:val="en-GB"/>
        </w:rPr>
        <w:t xml:space="preserve"> </w:t>
      </w:r>
      <w:r w:rsidRPr="00064681">
        <w:rPr>
          <w:iCs/>
          <w:lang w:val="en-GB"/>
        </w:rPr>
        <w:t>100(3):299-302.</w:t>
      </w:r>
    </w:p>
    <w:p w14:paraId="2DAFB647" w14:textId="77777777" w:rsidR="009F4E64" w:rsidRDefault="004D0948" w:rsidP="00CC6CD9">
      <w:pPr>
        <w:rPr>
          <w:iCs/>
          <w:lang w:val="en-GB"/>
        </w:rPr>
      </w:pPr>
      <w:proofErr w:type="spellStart"/>
      <w:r w:rsidRPr="004D0948">
        <w:rPr>
          <w:iCs/>
          <w:lang w:val="en-GB"/>
        </w:rPr>
        <w:t>Eriksen</w:t>
      </w:r>
      <w:proofErr w:type="spellEnd"/>
      <w:r w:rsidR="009F4E64">
        <w:rPr>
          <w:iCs/>
          <w:lang w:val="en-GB"/>
        </w:rPr>
        <w:t>,</w:t>
      </w:r>
      <w:r w:rsidRPr="004D0948">
        <w:rPr>
          <w:iCs/>
          <w:lang w:val="en-GB"/>
        </w:rPr>
        <w:t xml:space="preserve"> M</w:t>
      </w:r>
      <w:r w:rsidR="009F4E64">
        <w:rPr>
          <w:iCs/>
          <w:lang w:val="en-GB"/>
        </w:rPr>
        <w:t>.</w:t>
      </w:r>
      <w:r w:rsidRPr="004D0948">
        <w:rPr>
          <w:iCs/>
          <w:lang w:val="en-GB"/>
        </w:rPr>
        <w:t>, Mackay</w:t>
      </w:r>
      <w:r w:rsidR="009F4E64">
        <w:rPr>
          <w:iCs/>
          <w:lang w:val="en-GB"/>
        </w:rPr>
        <w:t>,</w:t>
      </w:r>
      <w:r w:rsidRPr="004D0948">
        <w:rPr>
          <w:iCs/>
          <w:lang w:val="en-GB"/>
        </w:rPr>
        <w:t xml:space="preserve"> J</w:t>
      </w:r>
      <w:r w:rsidR="009F4E64">
        <w:rPr>
          <w:iCs/>
          <w:lang w:val="en-GB"/>
        </w:rPr>
        <w:t>.</w:t>
      </w:r>
      <w:r w:rsidRPr="004D0948">
        <w:rPr>
          <w:iCs/>
          <w:lang w:val="en-GB"/>
        </w:rPr>
        <w:t xml:space="preserve">, </w:t>
      </w:r>
      <w:r w:rsidR="009F4E64">
        <w:rPr>
          <w:iCs/>
          <w:lang w:val="en-GB"/>
        </w:rPr>
        <w:t xml:space="preserve">&amp; </w:t>
      </w:r>
      <w:r w:rsidRPr="004D0948">
        <w:rPr>
          <w:iCs/>
          <w:lang w:val="en-GB"/>
        </w:rPr>
        <w:t>Ross</w:t>
      </w:r>
      <w:r w:rsidR="009F4E64">
        <w:rPr>
          <w:iCs/>
          <w:lang w:val="en-GB"/>
        </w:rPr>
        <w:t>,</w:t>
      </w:r>
      <w:r w:rsidRPr="004D0948">
        <w:rPr>
          <w:iCs/>
          <w:lang w:val="en-GB"/>
        </w:rPr>
        <w:t xml:space="preserve"> H. </w:t>
      </w:r>
      <w:r w:rsidR="009F4E64">
        <w:rPr>
          <w:iCs/>
          <w:lang w:val="en-GB"/>
        </w:rPr>
        <w:t xml:space="preserve">(2012). </w:t>
      </w:r>
      <w:r w:rsidRPr="004D0948">
        <w:rPr>
          <w:iCs/>
          <w:lang w:val="en-GB"/>
        </w:rPr>
        <w:t>The Tobacco Atlas. Fourth Ed. Atlanta, GA: American</w:t>
      </w:r>
    </w:p>
    <w:p w14:paraId="1C2B5B1E" w14:textId="48F07C29" w:rsidR="00317D49" w:rsidRDefault="004D0948" w:rsidP="001F223D">
      <w:pPr>
        <w:ind w:firstLine="708"/>
        <w:rPr>
          <w:iCs/>
          <w:lang w:val="en-GB"/>
        </w:rPr>
      </w:pPr>
      <w:r w:rsidRPr="004D0948">
        <w:rPr>
          <w:iCs/>
          <w:lang w:val="en-GB"/>
        </w:rPr>
        <w:t>Cancer Society; New York, NY: World Lung Foundation.</w:t>
      </w:r>
    </w:p>
    <w:p w14:paraId="7F84C093" w14:textId="77777777" w:rsidR="00C971E1" w:rsidRDefault="004D0948" w:rsidP="00C971E1">
      <w:pPr>
        <w:rPr>
          <w:i/>
          <w:iCs/>
          <w:lang w:val="en-US"/>
        </w:rPr>
      </w:pPr>
      <w:proofErr w:type="spellStart"/>
      <w:r w:rsidRPr="00260B6A">
        <w:rPr>
          <w:iCs/>
          <w:lang w:val="en-US"/>
        </w:rPr>
        <w:t>Gallet</w:t>
      </w:r>
      <w:proofErr w:type="spellEnd"/>
      <w:r>
        <w:rPr>
          <w:iCs/>
          <w:lang w:val="en-US"/>
        </w:rPr>
        <w:t xml:space="preserve"> CA, </w:t>
      </w:r>
      <w:r w:rsidR="00C971E1">
        <w:rPr>
          <w:iCs/>
          <w:lang w:val="en-US"/>
        </w:rPr>
        <w:t xml:space="preserve">&amp; </w:t>
      </w:r>
      <w:r w:rsidRPr="00260B6A">
        <w:rPr>
          <w:iCs/>
          <w:lang w:val="en-US"/>
        </w:rPr>
        <w:t>Catlin</w:t>
      </w:r>
      <w:r>
        <w:rPr>
          <w:iCs/>
          <w:lang w:val="en-US"/>
        </w:rPr>
        <w:t xml:space="preserve"> JR.</w:t>
      </w:r>
      <w:r w:rsidRPr="00260B6A">
        <w:rPr>
          <w:iCs/>
          <w:lang w:val="en-US"/>
        </w:rPr>
        <w:t xml:space="preserve"> The determinants of tobacco control in Europe: A research note. </w:t>
      </w:r>
      <w:proofErr w:type="spellStart"/>
      <w:r w:rsidRPr="00017436">
        <w:rPr>
          <w:i/>
          <w:iCs/>
          <w:lang w:val="en-US"/>
        </w:rPr>
        <w:t>Soc</w:t>
      </w:r>
      <w:proofErr w:type="spellEnd"/>
      <w:r w:rsidRPr="00017436">
        <w:rPr>
          <w:i/>
          <w:iCs/>
          <w:lang w:val="en-US"/>
        </w:rPr>
        <w:t xml:space="preserve"> </w:t>
      </w:r>
      <w:proofErr w:type="spellStart"/>
      <w:r w:rsidRPr="00017436">
        <w:rPr>
          <w:i/>
          <w:iCs/>
          <w:lang w:val="en-US"/>
        </w:rPr>
        <w:t>Sci</w:t>
      </w:r>
      <w:proofErr w:type="spellEnd"/>
      <w:r w:rsidRPr="00017436">
        <w:rPr>
          <w:i/>
          <w:iCs/>
          <w:lang w:val="en-US"/>
        </w:rPr>
        <w:t xml:space="preserve"> J</w:t>
      </w:r>
      <w:r w:rsidR="00DB79E4">
        <w:rPr>
          <w:i/>
          <w:iCs/>
          <w:lang w:val="en-US"/>
        </w:rPr>
        <w:t>,</w:t>
      </w:r>
    </w:p>
    <w:p w14:paraId="4713F0CA" w14:textId="22DCCE5A" w:rsidR="004D0948" w:rsidRDefault="004D0948" w:rsidP="001F223D">
      <w:pPr>
        <w:ind w:firstLine="708"/>
        <w:rPr>
          <w:iCs/>
          <w:lang w:val="en-GB"/>
        </w:rPr>
      </w:pPr>
      <w:r>
        <w:rPr>
          <w:iCs/>
          <w:lang w:val="en-US"/>
        </w:rPr>
        <w:t>2009;</w:t>
      </w:r>
      <w:r w:rsidR="00C971E1">
        <w:rPr>
          <w:iCs/>
          <w:lang w:val="en-US"/>
        </w:rPr>
        <w:t xml:space="preserve"> </w:t>
      </w:r>
      <w:r w:rsidRPr="00260B6A">
        <w:rPr>
          <w:iCs/>
          <w:lang w:val="en-US"/>
        </w:rPr>
        <w:t>46</w:t>
      </w:r>
      <w:r>
        <w:rPr>
          <w:iCs/>
          <w:lang w:val="en-US"/>
        </w:rPr>
        <w:t>(</w:t>
      </w:r>
      <w:r w:rsidRPr="00260B6A">
        <w:rPr>
          <w:iCs/>
          <w:lang w:val="en-US"/>
        </w:rPr>
        <w:t>1</w:t>
      </w:r>
      <w:r>
        <w:rPr>
          <w:iCs/>
          <w:lang w:val="en-US"/>
        </w:rPr>
        <w:t>):</w:t>
      </w:r>
      <w:r w:rsidRPr="00260B6A">
        <w:rPr>
          <w:iCs/>
          <w:lang w:val="en-US"/>
        </w:rPr>
        <w:t>143–149.</w:t>
      </w:r>
    </w:p>
    <w:p w14:paraId="61BA787E" w14:textId="77777777" w:rsidR="00034AD0" w:rsidRDefault="00C810C0" w:rsidP="00CC6CD9">
      <w:pPr>
        <w:rPr>
          <w:iCs/>
          <w:lang w:val="en-US"/>
        </w:rPr>
      </w:pPr>
      <w:r w:rsidRPr="00C810C0">
        <w:rPr>
          <w:iCs/>
          <w:lang w:val="en-US"/>
        </w:rPr>
        <w:t>Gallus</w:t>
      </w:r>
      <w:r>
        <w:rPr>
          <w:iCs/>
          <w:lang w:val="en-US"/>
        </w:rPr>
        <w:t>,</w:t>
      </w:r>
      <w:r w:rsidRPr="00C810C0">
        <w:rPr>
          <w:iCs/>
          <w:lang w:val="en-US"/>
        </w:rPr>
        <w:t xml:space="preserve"> S</w:t>
      </w:r>
      <w:r>
        <w:rPr>
          <w:iCs/>
          <w:lang w:val="en-US"/>
        </w:rPr>
        <w:t>.;</w:t>
      </w:r>
      <w:r w:rsidRPr="00C810C0">
        <w:rPr>
          <w:iCs/>
          <w:lang w:val="en-US"/>
        </w:rPr>
        <w:t xml:space="preserve"> Lugo</w:t>
      </w:r>
      <w:r>
        <w:rPr>
          <w:iCs/>
          <w:lang w:val="en-US"/>
        </w:rPr>
        <w:t>,</w:t>
      </w:r>
      <w:r w:rsidRPr="00C810C0">
        <w:rPr>
          <w:iCs/>
          <w:lang w:val="en-US"/>
        </w:rPr>
        <w:t xml:space="preserve"> A</w:t>
      </w:r>
      <w:r>
        <w:rPr>
          <w:iCs/>
          <w:lang w:val="en-US"/>
        </w:rPr>
        <w:t>;</w:t>
      </w:r>
      <w:r w:rsidRPr="00C810C0">
        <w:rPr>
          <w:iCs/>
          <w:lang w:val="en-US"/>
        </w:rPr>
        <w:t xml:space="preserve"> La </w:t>
      </w:r>
      <w:proofErr w:type="spellStart"/>
      <w:r w:rsidRPr="00C810C0">
        <w:rPr>
          <w:iCs/>
          <w:lang w:val="en-US"/>
        </w:rPr>
        <w:t>Vecchia</w:t>
      </w:r>
      <w:proofErr w:type="spellEnd"/>
      <w:r>
        <w:rPr>
          <w:iCs/>
          <w:lang w:val="en-US"/>
        </w:rPr>
        <w:t>,</w:t>
      </w:r>
      <w:r w:rsidRPr="00C810C0">
        <w:rPr>
          <w:iCs/>
          <w:lang w:val="en-US"/>
        </w:rPr>
        <w:t xml:space="preserve"> C</w:t>
      </w:r>
      <w:r>
        <w:rPr>
          <w:iCs/>
          <w:lang w:val="en-US"/>
        </w:rPr>
        <w:t>.</w:t>
      </w:r>
      <w:r w:rsidRPr="00C810C0">
        <w:rPr>
          <w:iCs/>
          <w:lang w:val="en-US"/>
        </w:rPr>
        <w:t xml:space="preserve"> et al. </w:t>
      </w:r>
      <w:r>
        <w:rPr>
          <w:iCs/>
          <w:lang w:val="en-US"/>
        </w:rPr>
        <w:t xml:space="preserve">(2014). </w:t>
      </w:r>
      <w:r w:rsidRPr="00C810C0">
        <w:rPr>
          <w:iCs/>
          <w:lang w:val="en-US"/>
        </w:rPr>
        <w:t>Pricing Policies and Control of Tobacco in Europe</w:t>
      </w:r>
    </w:p>
    <w:p w14:paraId="05CF8ACC" w14:textId="77777777" w:rsidR="002E42D3" w:rsidRPr="001F223D" w:rsidRDefault="00C810C0" w:rsidP="002E42D3">
      <w:pPr>
        <w:ind w:left="708"/>
        <w:rPr>
          <w:iCs/>
          <w:lang w:val="en-US"/>
        </w:rPr>
      </w:pPr>
      <w:r w:rsidRPr="00C810C0">
        <w:rPr>
          <w:iCs/>
          <w:lang w:val="en-US"/>
        </w:rPr>
        <w:t xml:space="preserve">(PPACTE) project: cross-national comparison of smoking prevalence in 18 European countries. </w:t>
      </w:r>
      <w:proofErr w:type="spellStart"/>
      <w:r w:rsidRPr="00AF0257">
        <w:rPr>
          <w:i/>
          <w:iCs/>
          <w:lang w:val="en-US"/>
        </w:rPr>
        <w:t>Eur</w:t>
      </w:r>
      <w:proofErr w:type="spellEnd"/>
      <w:r w:rsidRPr="00AF0257">
        <w:rPr>
          <w:i/>
          <w:iCs/>
          <w:lang w:val="en-US"/>
        </w:rPr>
        <w:t xml:space="preserve"> J Cancer </w:t>
      </w:r>
      <w:proofErr w:type="spellStart"/>
      <w:r w:rsidRPr="00AF0257">
        <w:rPr>
          <w:i/>
          <w:iCs/>
          <w:lang w:val="en-US"/>
        </w:rPr>
        <w:t>Prev</w:t>
      </w:r>
      <w:proofErr w:type="spellEnd"/>
      <w:r w:rsidRPr="00AF0257">
        <w:rPr>
          <w:i/>
          <w:iCs/>
          <w:lang w:val="en-US"/>
        </w:rPr>
        <w:t>,</w:t>
      </w:r>
      <w:r w:rsidRPr="005B7F32">
        <w:rPr>
          <w:iCs/>
          <w:lang w:val="en-US"/>
        </w:rPr>
        <w:t xml:space="preserve"> 23(3), 177-85. </w:t>
      </w:r>
      <w:proofErr w:type="spellStart"/>
      <w:proofErr w:type="gramStart"/>
      <w:r w:rsidRPr="005B7F32">
        <w:rPr>
          <w:iCs/>
          <w:lang w:val="en-US"/>
        </w:rPr>
        <w:t>doi</w:t>
      </w:r>
      <w:proofErr w:type="spellEnd"/>
      <w:proofErr w:type="gramEnd"/>
      <w:r w:rsidRPr="005B7F32">
        <w:rPr>
          <w:iCs/>
          <w:lang w:val="en-US"/>
        </w:rPr>
        <w:t>: 10.1097/CEJ.0000000000000009.</w:t>
      </w:r>
    </w:p>
    <w:p w14:paraId="354624C5" w14:textId="77777777" w:rsidR="001E5A94" w:rsidRDefault="001E5A94" w:rsidP="001F223D">
      <w:pPr>
        <w:rPr>
          <w:iCs/>
          <w:lang w:val="en-GB"/>
        </w:rPr>
      </w:pPr>
      <w:r w:rsidRPr="001E5A94">
        <w:rPr>
          <w:iCs/>
          <w:lang w:val="en-GB"/>
        </w:rPr>
        <w:t xml:space="preserve">Garnett, C., Crane, D., West, R., </w:t>
      </w:r>
      <w:proofErr w:type="spellStart"/>
      <w:r w:rsidRPr="001E5A94">
        <w:rPr>
          <w:iCs/>
          <w:lang w:val="en-GB"/>
        </w:rPr>
        <w:t>Michie</w:t>
      </w:r>
      <w:proofErr w:type="spellEnd"/>
      <w:r w:rsidRPr="001E5A94">
        <w:rPr>
          <w:iCs/>
          <w:lang w:val="en-GB"/>
        </w:rPr>
        <w:t xml:space="preserve">, S., Brown, J., &amp; </w:t>
      </w:r>
      <w:proofErr w:type="spellStart"/>
      <w:r w:rsidRPr="001E5A94">
        <w:rPr>
          <w:iCs/>
          <w:lang w:val="en-GB"/>
        </w:rPr>
        <w:t>Winstock</w:t>
      </w:r>
      <w:proofErr w:type="spellEnd"/>
      <w:r w:rsidRPr="001E5A94">
        <w:rPr>
          <w:iCs/>
          <w:lang w:val="en-GB"/>
        </w:rPr>
        <w:t>, A. (2015). Normative</w:t>
      </w:r>
    </w:p>
    <w:p w14:paraId="55DDE5D1" w14:textId="5EFD7A13" w:rsidR="001E5A94" w:rsidRPr="001F223D" w:rsidRDefault="001E5A94" w:rsidP="001E5A94">
      <w:pPr>
        <w:ind w:left="708"/>
        <w:rPr>
          <w:iCs/>
        </w:rPr>
      </w:pPr>
      <w:proofErr w:type="gramStart"/>
      <w:r w:rsidRPr="001E5A94">
        <w:rPr>
          <w:iCs/>
          <w:lang w:val="en-GB"/>
        </w:rPr>
        <w:t>misperceptions</w:t>
      </w:r>
      <w:proofErr w:type="gramEnd"/>
      <w:r w:rsidRPr="001E5A94">
        <w:rPr>
          <w:iCs/>
          <w:lang w:val="en-GB"/>
        </w:rPr>
        <w:t xml:space="preserve"> about alcohol use in the general population of drinkers: A cross-sectional survey. </w:t>
      </w:r>
      <w:r w:rsidRPr="001F223D">
        <w:rPr>
          <w:i/>
          <w:iCs/>
        </w:rPr>
        <w:t>Addictive Behaviors,</w:t>
      </w:r>
      <w:r w:rsidRPr="001F223D">
        <w:rPr>
          <w:iCs/>
        </w:rPr>
        <w:t xml:space="preserve"> 42, 203-206.</w:t>
      </w:r>
    </w:p>
    <w:p w14:paraId="248CD2E4" w14:textId="77777777" w:rsidR="002E42D3" w:rsidRDefault="002E42D3" w:rsidP="001F223D">
      <w:pPr>
        <w:rPr>
          <w:iCs/>
        </w:rPr>
      </w:pPr>
      <w:r w:rsidRPr="002E42D3">
        <w:rPr>
          <w:iCs/>
        </w:rPr>
        <w:t>Gesetz zur Einführung eines Rauchverbots in Einrichtungen des Bundes und öffentlichen</w:t>
      </w:r>
    </w:p>
    <w:p w14:paraId="7674A630" w14:textId="42C331E2" w:rsidR="002E42D3" w:rsidRPr="001F223D" w:rsidRDefault="002E42D3" w:rsidP="002E42D3">
      <w:pPr>
        <w:ind w:left="708"/>
        <w:rPr>
          <w:iCs/>
        </w:rPr>
      </w:pPr>
      <w:proofErr w:type="spellStart"/>
      <w:r w:rsidRPr="001F223D">
        <w:rPr>
          <w:iCs/>
          <w:lang w:val="en-US"/>
        </w:rPr>
        <w:t>Verkehrsmitteln</w:t>
      </w:r>
      <w:proofErr w:type="spellEnd"/>
      <w:r w:rsidRPr="001F223D">
        <w:rPr>
          <w:iCs/>
          <w:lang w:val="en-US"/>
        </w:rPr>
        <w:t xml:space="preserve"> (</w:t>
      </w:r>
      <w:proofErr w:type="spellStart"/>
      <w:r w:rsidRPr="001F223D">
        <w:rPr>
          <w:iCs/>
          <w:lang w:val="en-US"/>
        </w:rPr>
        <w:t>Bundesnichtraucherschutzgesetz</w:t>
      </w:r>
      <w:proofErr w:type="spellEnd"/>
      <w:r w:rsidRPr="001F223D">
        <w:rPr>
          <w:iCs/>
          <w:lang w:val="en-US"/>
        </w:rPr>
        <w:t xml:space="preserve">) </w:t>
      </w:r>
      <w:r w:rsidR="00DB79E4">
        <w:rPr>
          <w:iCs/>
          <w:lang w:val="en-US"/>
        </w:rPr>
        <w:t xml:space="preserve">(2007) </w:t>
      </w:r>
      <w:r w:rsidRPr="001F223D">
        <w:rPr>
          <w:iCs/>
          <w:lang w:val="en-US"/>
        </w:rPr>
        <w:t xml:space="preserve">(Law for the introduction of a smoking ban in federal facilities and public transport (Federal non-smokers protection act). </w:t>
      </w:r>
      <w:r w:rsidR="00DB79E4">
        <w:rPr>
          <w:i/>
          <w:iCs/>
        </w:rPr>
        <w:t>Bundesgesetzblatt,</w:t>
      </w:r>
      <w:r w:rsidRPr="002E42D3">
        <w:rPr>
          <w:iCs/>
        </w:rPr>
        <w:t xml:space="preserve"> I: 1595-1597.</w:t>
      </w:r>
    </w:p>
    <w:p w14:paraId="4643F4B1" w14:textId="77777777" w:rsidR="00DB79E4" w:rsidRDefault="002E42D3" w:rsidP="001F223D">
      <w:pPr>
        <w:rPr>
          <w:iCs/>
        </w:rPr>
      </w:pPr>
      <w:r w:rsidRPr="002E42D3">
        <w:rPr>
          <w:iCs/>
        </w:rPr>
        <w:t xml:space="preserve">Gesetz zum Schutz vor den Gefahren des Passivrauchens </w:t>
      </w:r>
      <w:r w:rsidR="00DB79E4">
        <w:rPr>
          <w:iCs/>
        </w:rPr>
        <w:t xml:space="preserve">(2007) </w:t>
      </w:r>
      <w:r w:rsidRPr="002E42D3">
        <w:rPr>
          <w:iCs/>
        </w:rPr>
        <w:t>(Law to protect against the dangers</w:t>
      </w:r>
    </w:p>
    <w:p w14:paraId="0417A316" w14:textId="02A4AE8C" w:rsidR="002E42D3" w:rsidRDefault="00DB79E4" w:rsidP="001F223D">
      <w:pPr>
        <w:ind w:firstLine="708"/>
        <w:rPr>
          <w:iCs/>
        </w:rPr>
      </w:pPr>
      <w:r>
        <w:rPr>
          <w:iCs/>
        </w:rPr>
        <w:t>o</w:t>
      </w:r>
      <w:r w:rsidR="002E42D3" w:rsidRPr="002E42D3">
        <w:rPr>
          <w:iCs/>
        </w:rPr>
        <w:t>f</w:t>
      </w:r>
      <w:r>
        <w:rPr>
          <w:iCs/>
        </w:rPr>
        <w:t xml:space="preserve"> </w:t>
      </w:r>
      <w:r w:rsidR="002E42D3" w:rsidRPr="002E42D3">
        <w:rPr>
          <w:iCs/>
        </w:rPr>
        <w:t xml:space="preserve">passive smoking). </w:t>
      </w:r>
      <w:r w:rsidRPr="00DB79E4">
        <w:rPr>
          <w:i/>
          <w:iCs/>
        </w:rPr>
        <w:t>Bundesgesetzblatt</w:t>
      </w:r>
      <w:r>
        <w:rPr>
          <w:i/>
          <w:iCs/>
        </w:rPr>
        <w:t>,</w:t>
      </w:r>
      <w:r w:rsidR="002E42D3" w:rsidRPr="001F223D">
        <w:rPr>
          <w:iCs/>
        </w:rPr>
        <w:t xml:space="preserve"> I: 1595-1597.</w:t>
      </w:r>
    </w:p>
    <w:p w14:paraId="286E0F8A" w14:textId="77777777" w:rsidR="00CD4190" w:rsidRDefault="00CD4190" w:rsidP="001F223D">
      <w:pPr>
        <w:rPr>
          <w:iCs/>
          <w:lang w:val="en-US"/>
        </w:rPr>
      </w:pPr>
      <w:r w:rsidRPr="001F223D">
        <w:rPr>
          <w:iCs/>
        </w:rPr>
        <w:t>Helmer</w:t>
      </w:r>
      <w:r>
        <w:rPr>
          <w:iCs/>
        </w:rPr>
        <w:t>,</w:t>
      </w:r>
      <w:r w:rsidRPr="001F223D">
        <w:rPr>
          <w:iCs/>
        </w:rPr>
        <w:t xml:space="preserve"> S</w:t>
      </w:r>
      <w:r>
        <w:rPr>
          <w:iCs/>
        </w:rPr>
        <w:t>.</w:t>
      </w:r>
      <w:r w:rsidRPr="001F223D">
        <w:rPr>
          <w:iCs/>
        </w:rPr>
        <w:t>M</w:t>
      </w:r>
      <w:r>
        <w:rPr>
          <w:iCs/>
        </w:rPr>
        <w:t>.</w:t>
      </w:r>
      <w:r w:rsidRPr="001F223D">
        <w:rPr>
          <w:iCs/>
        </w:rPr>
        <w:t>, Mikolajczyk</w:t>
      </w:r>
      <w:r>
        <w:rPr>
          <w:iCs/>
        </w:rPr>
        <w:t>,</w:t>
      </w:r>
      <w:r w:rsidRPr="001F223D">
        <w:rPr>
          <w:iCs/>
        </w:rPr>
        <w:t xml:space="preserve"> R</w:t>
      </w:r>
      <w:r>
        <w:rPr>
          <w:iCs/>
        </w:rPr>
        <w:t>.</w:t>
      </w:r>
      <w:r w:rsidRPr="001F223D">
        <w:rPr>
          <w:iCs/>
        </w:rPr>
        <w:t>T</w:t>
      </w:r>
      <w:r>
        <w:rPr>
          <w:iCs/>
        </w:rPr>
        <w:t>.</w:t>
      </w:r>
      <w:r w:rsidRPr="001F223D">
        <w:rPr>
          <w:iCs/>
        </w:rPr>
        <w:t>, McAlaney</w:t>
      </w:r>
      <w:r>
        <w:rPr>
          <w:iCs/>
        </w:rPr>
        <w:t>,</w:t>
      </w:r>
      <w:r w:rsidRPr="001F223D">
        <w:rPr>
          <w:iCs/>
        </w:rPr>
        <w:t xml:space="preserve"> J</w:t>
      </w:r>
      <w:r>
        <w:rPr>
          <w:iCs/>
        </w:rPr>
        <w:t>.</w:t>
      </w:r>
      <w:r w:rsidRPr="001F223D">
        <w:rPr>
          <w:iCs/>
        </w:rPr>
        <w:t>, et al.</w:t>
      </w:r>
      <w:r>
        <w:rPr>
          <w:iCs/>
        </w:rPr>
        <w:t xml:space="preserve"> </w:t>
      </w:r>
      <w:r w:rsidRPr="001F223D">
        <w:rPr>
          <w:iCs/>
          <w:lang w:val="en-US"/>
        </w:rPr>
        <w:t>(2014).</w:t>
      </w:r>
      <w:r w:rsidRPr="00CD4190">
        <w:rPr>
          <w:iCs/>
          <w:lang w:val="en-US"/>
        </w:rPr>
        <w:t xml:space="preserve"> Illicit substance use among university</w:t>
      </w:r>
    </w:p>
    <w:p w14:paraId="7CAE7BE6" w14:textId="1394290C" w:rsidR="00CD4190" w:rsidRPr="002E42D3" w:rsidRDefault="00CD4190" w:rsidP="00CD4190">
      <w:pPr>
        <w:ind w:left="708"/>
        <w:rPr>
          <w:iCs/>
          <w:lang w:val="en-US"/>
        </w:rPr>
      </w:pPr>
      <w:proofErr w:type="gramStart"/>
      <w:r w:rsidRPr="00CD4190">
        <w:rPr>
          <w:iCs/>
          <w:lang w:val="en-US"/>
        </w:rPr>
        <w:t>students</w:t>
      </w:r>
      <w:proofErr w:type="gramEnd"/>
      <w:r w:rsidRPr="00CD4190">
        <w:rPr>
          <w:iCs/>
          <w:lang w:val="en-US"/>
        </w:rPr>
        <w:t xml:space="preserve"> from seven European countries: A comparison of personal and perceived peer use and attitudes towards illicit substance use. </w:t>
      </w:r>
      <w:proofErr w:type="spellStart"/>
      <w:r w:rsidRPr="00CD4190">
        <w:rPr>
          <w:i/>
          <w:iCs/>
          <w:lang w:val="en-US"/>
        </w:rPr>
        <w:t>Prev</w:t>
      </w:r>
      <w:proofErr w:type="spellEnd"/>
      <w:r w:rsidRPr="00CD4190">
        <w:rPr>
          <w:i/>
          <w:iCs/>
          <w:lang w:val="en-US"/>
        </w:rPr>
        <w:t xml:space="preserve"> Med</w:t>
      </w:r>
      <w:r>
        <w:rPr>
          <w:i/>
          <w:iCs/>
          <w:lang w:val="en-US"/>
        </w:rPr>
        <w:t xml:space="preserve">, </w:t>
      </w:r>
      <w:r w:rsidRPr="00CD4190">
        <w:rPr>
          <w:iCs/>
          <w:lang w:val="en-US"/>
        </w:rPr>
        <w:t xml:space="preserve">67:204-9. </w:t>
      </w:r>
      <w:proofErr w:type="spellStart"/>
      <w:proofErr w:type="gramStart"/>
      <w:r w:rsidRPr="00CD4190">
        <w:rPr>
          <w:iCs/>
          <w:lang w:val="en-US"/>
        </w:rPr>
        <w:t>doi</w:t>
      </w:r>
      <w:proofErr w:type="spellEnd"/>
      <w:proofErr w:type="gramEnd"/>
      <w:r w:rsidRPr="00CD4190">
        <w:rPr>
          <w:iCs/>
          <w:lang w:val="en-US"/>
        </w:rPr>
        <w:t>: 10.1016/j.ypmed.2014.07.039.</w:t>
      </w:r>
    </w:p>
    <w:p w14:paraId="54F19355" w14:textId="77777777" w:rsidR="008A4366" w:rsidRDefault="008A4366" w:rsidP="001F223D">
      <w:pPr>
        <w:rPr>
          <w:iCs/>
          <w:lang w:val="en-US"/>
        </w:rPr>
      </w:pPr>
      <w:proofErr w:type="spellStart"/>
      <w:r w:rsidRPr="001F223D">
        <w:rPr>
          <w:iCs/>
          <w:lang w:val="en-US"/>
        </w:rPr>
        <w:t>Huisman</w:t>
      </w:r>
      <w:proofErr w:type="spellEnd"/>
      <w:r w:rsidRPr="001F223D">
        <w:rPr>
          <w:iCs/>
          <w:lang w:val="en-US"/>
        </w:rPr>
        <w:t xml:space="preserve">, M., </w:t>
      </w:r>
      <w:proofErr w:type="spellStart"/>
      <w:r w:rsidRPr="001F223D">
        <w:rPr>
          <w:iCs/>
          <w:lang w:val="en-US"/>
        </w:rPr>
        <w:t>Kunst</w:t>
      </w:r>
      <w:proofErr w:type="spellEnd"/>
      <w:r w:rsidRPr="001F223D">
        <w:rPr>
          <w:iCs/>
          <w:lang w:val="en-US"/>
        </w:rPr>
        <w:t xml:space="preserve">, A.E., &amp; </w:t>
      </w:r>
      <w:proofErr w:type="spellStart"/>
      <w:r w:rsidRPr="001F223D">
        <w:rPr>
          <w:iCs/>
          <w:lang w:val="en-US"/>
        </w:rPr>
        <w:t>Mackenbach</w:t>
      </w:r>
      <w:proofErr w:type="spellEnd"/>
      <w:r w:rsidRPr="001F223D">
        <w:rPr>
          <w:iCs/>
          <w:lang w:val="en-US"/>
        </w:rPr>
        <w:t>, J.P.</w:t>
      </w:r>
      <w:r w:rsidRPr="00CD4190">
        <w:rPr>
          <w:iCs/>
          <w:lang w:val="en-US"/>
        </w:rPr>
        <w:t xml:space="preserve"> (2005).</w:t>
      </w:r>
      <w:r w:rsidRPr="001F223D">
        <w:rPr>
          <w:iCs/>
          <w:lang w:val="en-US"/>
        </w:rPr>
        <w:t xml:space="preserve"> </w:t>
      </w:r>
      <w:r w:rsidRPr="008A4366">
        <w:rPr>
          <w:iCs/>
          <w:lang w:val="en-US"/>
        </w:rPr>
        <w:t>Inequalities in the prevalence of smoking in the</w:t>
      </w:r>
    </w:p>
    <w:p w14:paraId="3DEB65A7" w14:textId="0F2432D8" w:rsidR="008A4366" w:rsidRDefault="008A4366" w:rsidP="001F223D">
      <w:pPr>
        <w:ind w:firstLine="708"/>
        <w:rPr>
          <w:iCs/>
          <w:lang w:val="en-US"/>
        </w:rPr>
      </w:pPr>
      <w:r w:rsidRPr="008A4366">
        <w:rPr>
          <w:iCs/>
          <w:lang w:val="en-US"/>
        </w:rPr>
        <w:t>European</w:t>
      </w:r>
      <w:r>
        <w:rPr>
          <w:iCs/>
          <w:lang w:val="en-US"/>
        </w:rPr>
        <w:t xml:space="preserve"> </w:t>
      </w:r>
      <w:r w:rsidRPr="008A4366">
        <w:rPr>
          <w:iCs/>
          <w:lang w:val="en-US"/>
        </w:rPr>
        <w:t xml:space="preserve">Union: comparing education and income. </w:t>
      </w:r>
      <w:proofErr w:type="spellStart"/>
      <w:r w:rsidRPr="008A4366">
        <w:rPr>
          <w:i/>
          <w:iCs/>
          <w:lang w:val="en-US"/>
        </w:rPr>
        <w:t>Prev</w:t>
      </w:r>
      <w:proofErr w:type="spellEnd"/>
      <w:r w:rsidRPr="008A4366">
        <w:rPr>
          <w:i/>
          <w:iCs/>
          <w:lang w:val="en-US"/>
        </w:rPr>
        <w:t xml:space="preserve"> Med</w:t>
      </w:r>
      <w:r w:rsidRPr="001F223D">
        <w:rPr>
          <w:iCs/>
          <w:lang w:val="en-US"/>
        </w:rPr>
        <w:t>,</w:t>
      </w:r>
      <w:r w:rsidRPr="008A4366">
        <w:rPr>
          <w:iCs/>
          <w:lang w:val="en-US"/>
        </w:rPr>
        <w:t xml:space="preserve"> 40(6)</w:t>
      </w:r>
      <w:r>
        <w:rPr>
          <w:iCs/>
          <w:lang w:val="en-US"/>
        </w:rPr>
        <w:t xml:space="preserve">, </w:t>
      </w:r>
      <w:r w:rsidRPr="008A4366">
        <w:rPr>
          <w:iCs/>
          <w:lang w:val="en-US"/>
        </w:rPr>
        <w:t>756-64.</w:t>
      </w:r>
    </w:p>
    <w:p w14:paraId="0DB25D9B" w14:textId="77777777" w:rsidR="00037058" w:rsidRDefault="00037058" w:rsidP="001F223D">
      <w:pPr>
        <w:rPr>
          <w:iCs/>
          <w:lang w:val="en-GB"/>
        </w:rPr>
      </w:pPr>
      <w:r w:rsidRPr="00037058">
        <w:rPr>
          <w:iCs/>
          <w:lang w:val="en-GB"/>
        </w:rPr>
        <w:t>Kassel</w:t>
      </w:r>
      <w:r>
        <w:rPr>
          <w:iCs/>
          <w:lang w:val="en-GB"/>
        </w:rPr>
        <w:t>,</w:t>
      </w:r>
      <w:r w:rsidRPr="00037058">
        <w:rPr>
          <w:iCs/>
          <w:lang w:val="en-GB"/>
        </w:rPr>
        <w:t xml:space="preserve"> J</w:t>
      </w:r>
      <w:r>
        <w:rPr>
          <w:iCs/>
          <w:lang w:val="en-GB"/>
        </w:rPr>
        <w:t>.</w:t>
      </w:r>
      <w:r w:rsidRPr="00037058">
        <w:rPr>
          <w:iCs/>
          <w:lang w:val="en-GB"/>
        </w:rPr>
        <w:t>D</w:t>
      </w:r>
      <w:r>
        <w:rPr>
          <w:iCs/>
          <w:lang w:val="en-GB"/>
        </w:rPr>
        <w:t>.</w:t>
      </w:r>
      <w:r w:rsidRPr="00037058">
        <w:rPr>
          <w:iCs/>
          <w:lang w:val="en-GB"/>
        </w:rPr>
        <w:t>, Stroud</w:t>
      </w:r>
      <w:r>
        <w:rPr>
          <w:iCs/>
          <w:lang w:val="en-GB"/>
        </w:rPr>
        <w:t>,</w:t>
      </w:r>
      <w:r w:rsidRPr="00037058">
        <w:rPr>
          <w:iCs/>
          <w:lang w:val="en-GB"/>
        </w:rPr>
        <w:t xml:space="preserve"> L</w:t>
      </w:r>
      <w:r>
        <w:rPr>
          <w:iCs/>
          <w:lang w:val="en-GB"/>
        </w:rPr>
        <w:t>.</w:t>
      </w:r>
      <w:r w:rsidRPr="00037058">
        <w:rPr>
          <w:iCs/>
          <w:lang w:val="en-GB"/>
        </w:rPr>
        <w:t>R</w:t>
      </w:r>
      <w:r>
        <w:rPr>
          <w:iCs/>
          <w:lang w:val="en-GB"/>
        </w:rPr>
        <w:t>.</w:t>
      </w:r>
      <w:r w:rsidRPr="00037058">
        <w:rPr>
          <w:iCs/>
          <w:lang w:val="en-GB"/>
        </w:rPr>
        <w:t xml:space="preserve">, </w:t>
      </w:r>
      <w:r>
        <w:rPr>
          <w:iCs/>
          <w:lang w:val="en-GB"/>
        </w:rPr>
        <w:t xml:space="preserve">&amp; </w:t>
      </w:r>
      <w:proofErr w:type="spellStart"/>
      <w:r w:rsidRPr="00037058">
        <w:rPr>
          <w:iCs/>
          <w:lang w:val="en-GB"/>
        </w:rPr>
        <w:t>Paronis</w:t>
      </w:r>
      <w:proofErr w:type="spellEnd"/>
      <w:r>
        <w:rPr>
          <w:iCs/>
          <w:lang w:val="en-GB"/>
        </w:rPr>
        <w:t>,</w:t>
      </w:r>
      <w:r w:rsidRPr="00037058">
        <w:rPr>
          <w:iCs/>
          <w:lang w:val="en-GB"/>
        </w:rPr>
        <w:t xml:space="preserve"> C</w:t>
      </w:r>
      <w:r>
        <w:rPr>
          <w:iCs/>
          <w:lang w:val="en-GB"/>
        </w:rPr>
        <w:t>.</w:t>
      </w:r>
      <w:r w:rsidRPr="00037058">
        <w:rPr>
          <w:iCs/>
          <w:lang w:val="en-GB"/>
        </w:rPr>
        <w:t>A.</w:t>
      </w:r>
      <w:r>
        <w:rPr>
          <w:iCs/>
          <w:lang w:val="en-GB"/>
        </w:rPr>
        <w:t xml:space="preserve"> (2003).</w:t>
      </w:r>
      <w:r w:rsidRPr="00037058">
        <w:rPr>
          <w:iCs/>
          <w:lang w:val="en-US"/>
        </w:rPr>
        <w:t xml:space="preserve"> </w:t>
      </w:r>
      <w:r w:rsidRPr="00037058">
        <w:rPr>
          <w:iCs/>
          <w:lang w:val="en-GB"/>
        </w:rPr>
        <w:t>Smoking, stress, and negative affect: correlation,</w:t>
      </w:r>
    </w:p>
    <w:p w14:paraId="2961C1C4" w14:textId="5CE3E234" w:rsidR="00037058" w:rsidRDefault="00037058" w:rsidP="00037058">
      <w:pPr>
        <w:ind w:firstLine="708"/>
        <w:rPr>
          <w:iCs/>
          <w:lang w:val="en-US"/>
        </w:rPr>
      </w:pPr>
      <w:proofErr w:type="gramStart"/>
      <w:r w:rsidRPr="00037058">
        <w:rPr>
          <w:iCs/>
          <w:lang w:val="en-GB"/>
        </w:rPr>
        <w:t>causation</w:t>
      </w:r>
      <w:proofErr w:type="gramEnd"/>
      <w:r w:rsidRPr="00037058">
        <w:rPr>
          <w:iCs/>
          <w:lang w:val="en-GB"/>
        </w:rPr>
        <w:t>, and</w:t>
      </w:r>
      <w:r>
        <w:rPr>
          <w:iCs/>
          <w:lang w:val="en-GB"/>
        </w:rPr>
        <w:t xml:space="preserve"> </w:t>
      </w:r>
      <w:r w:rsidRPr="00037058">
        <w:rPr>
          <w:iCs/>
          <w:lang w:val="en-GB"/>
        </w:rPr>
        <w:t xml:space="preserve">context across stages of smoking. </w:t>
      </w:r>
      <w:r w:rsidRPr="00037058">
        <w:rPr>
          <w:i/>
          <w:iCs/>
          <w:lang w:val="en-GB"/>
        </w:rPr>
        <w:t>Psych Bull</w:t>
      </w:r>
      <w:r>
        <w:rPr>
          <w:i/>
          <w:iCs/>
          <w:lang w:val="en-GB"/>
        </w:rPr>
        <w:t xml:space="preserve">, </w:t>
      </w:r>
      <w:r>
        <w:rPr>
          <w:iCs/>
          <w:lang w:val="en-GB"/>
        </w:rPr>
        <w:t xml:space="preserve">129(2), </w:t>
      </w:r>
      <w:r w:rsidRPr="00037058">
        <w:rPr>
          <w:iCs/>
          <w:lang w:val="en-GB"/>
        </w:rPr>
        <w:t>270-304.</w:t>
      </w:r>
    </w:p>
    <w:p w14:paraId="5E4BBEB6" w14:textId="77777777" w:rsidR="00A84B55" w:rsidRDefault="00A84B55" w:rsidP="001F223D">
      <w:pPr>
        <w:rPr>
          <w:iCs/>
          <w:lang w:val="en-GB"/>
        </w:rPr>
      </w:pPr>
      <w:r w:rsidRPr="00A84B55">
        <w:rPr>
          <w:iCs/>
          <w:lang w:val="en-US"/>
        </w:rPr>
        <w:t>Kohler</w:t>
      </w:r>
      <w:r>
        <w:rPr>
          <w:iCs/>
          <w:lang w:val="en-US"/>
        </w:rPr>
        <w:t>,</w:t>
      </w:r>
      <w:r w:rsidRPr="00A84B55">
        <w:rPr>
          <w:iCs/>
          <w:lang w:val="en-US"/>
        </w:rPr>
        <w:t xml:space="preserve"> S</w:t>
      </w:r>
      <w:r>
        <w:rPr>
          <w:iCs/>
          <w:lang w:val="en-US"/>
        </w:rPr>
        <w:t>.</w:t>
      </w:r>
      <w:r w:rsidRPr="00A84B55">
        <w:rPr>
          <w:iCs/>
          <w:lang w:val="en-US"/>
        </w:rPr>
        <w:t>,</w:t>
      </w:r>
      <w:r>
        <w:rPr>
          <w:iCs/>
          <w:lang w:val="en-US"/>
        </w:rPr>
        <w:t xml:space="preserve"> &amp;</w:t>
      </w:r>
      <w:r w:rsidRPr="00A84B55">
        <w:rPr>
          <w:iCs/>
          <w:lang w:val="en-US"/>
        </w:rPr>
        <w:t xml:space="preserve"> M</w:t>
      </w:r>
      <w:proofErr w:type="spellStart"/>
      <w:r w:rsidRPr="00A84B55">
        <w:rPr>
          <w:iCs/>
          <w:lang w:val="en-GB"/>
        </w:rPr>
        <w:t>inkner</w:t>
      </w:r>
      <w:proofErr w:type="spellEnd"/>
      <w:r>
        <w:rPr>
          <w:iCs/>
          <w:lang w:val="en-GB"/>
        </w:rPr>
        <w:t>,</w:t>
      </w:r>
      <w:r w:rsidRPr="00A84B55">
        <w:rPr>
          <w:iCs/>
          <w:lang w:val="en-GB"/>
        </w:rPr>
        <w:t xml:space="preserve"> P.</w:t>
      </w:r>
      <w:r>
        <w:rPr>
          <w:iCs/>
          <w:lang w:val="en-GB"/>
        </w:rPr>
        <w:t xml:space="preserve"> (2014).</w:t>
      </w:r>
      <w:r w:rsidRPr="00A84B55">
        <w:rPr>
          <w:iCs/>
          <w:lang w:val="en-GB"/>
        </w:rPr>
        <w:t xml:space="preserve"> Smoke-free laws and direct democracy initiatives on smoking bans in</w:t>
      </w:r>
    </w:p>
    <w:p w14:paraId="148FE4E2" w14:textId="4E67AADA" w:rsidR="00A84B55" w:rsidRPr="001F223D" w:rsidRDefault="00A84B55" w:rsidP="00280B4D">
      <w:pPr>
        <w:ind w:left="708"/>
        <w:rPr>
          <w:iCs/>
          <w:lang w:val="en-GB"/>
        </w:rPr>
      </w:pPr>
      <w:r w:rsidRPr="00A84B55">
        <w:rPr>
          <w:iCs/>
          <w:lang w:val="en-GB"/>
        </w:rPr>
        <w:t xml:space="preserve">Germany: A systematic review and quantitative assessment. </w:t>
      </w:r>
      <w:proofErr w:type="spellStart"/>
      <w:r w:rsidRPr="00A84B55">
        <w:rPr>
          <w:i/>
          <w:iCs/>
          <w:lang w:val="en-GB"/>
        </w:rPr>
        <w:t>Int</w:t>
      </w:r>
      <w:proofErr w:type="spellEnd"/>
      <w:r w:rsidRPr="00A84B55">
        <w:rPr>
          <w:i/>
          <w:iCs/>
          <w:lang w:val="en-GB"/>
        </w:rPr>
        <w:t xml:space="preserve"> J Environ Res Public Health</w:t>
      </w:r>
      <w:r w:rsidRPr="001F223D">
        <w:rPr>
          <w:i/>
          <w:iCs/>
          <w:lang w:val="en-GB"/>
        </w:rPr>
        <w:t xml:space="preserve">, </w:t>
      </w:r>
      <w:r w:rsidRPr="00A84B55">
        <w:rPr>
          <w:iCs/>
          <w:lang w:val="en-GB"/>
        </w:rPr>
        <w:t>11</w:t>
      </w:r>
      <w:r w:rsidR="00037058">
        <w:rPr>
          <w:iCs/>
          <w:lang w:val="en-GB"/>
        </w:rPr>
        <w:t xml:space="preserve">, </w:t>
      </w:r>
      <w:r w:rsidRPr="00A84B55">
        <w:rPr>
          <w:iCs/>
          <w:lang w:val="en-GB"/>
        </w:rPr>
        <w:t>685-700.</w:t>
      </w:r>
      <w:r w:rsidRPr="00A84B55">
        <w:rPr>
          <w:iCs/>
          <w:lang w:val="en-US"/>
        </w:rPr>
        <w:t xml:space="preserve"> </w:t>
      </w:r>
      <w:proofErr w:type="spellStart"/>
      <w:proofErr w:type="gramStart"/>
      <w:r w:rsidRPr="00A84B55">
        <w:rPr>
          <w:iCs/>
          <w:lang w:val="en-GB"/>
        </w:rPr>
        <w:t>doi</w:t>
      </w:r>
      <w:proofErr w:type="spellEnd"/>
      <w:proofErr w:type="gramEnd"/>
      <w:r w:rsidRPr="00A84B55">
        <w:rPr>
          <w:iCs/>
          <w:lang w:val="en-GB"/>
        </w:rPr>
        <w:t>: 10.3390/ijerph110100685.</w:t>
      </w:r>
    </w:p>
    <w:p w14:paraId="6D8BD23B" w14:textId="77777777" w:rsidR="00C526BA" w:rsidRDefault="0066658C" w:rsidP="001F223D">
      <w:pPr>
        <w:rPr>
          <w:iCs/>
          <w:lang w:val="en-US"/>
        </w:rPr>
      </w:pPr>
      <w:r w:rsidRPr="0066658C">
        <w:rPr>
          <w:iCs/>
          <w:lang w:val="en-US"/>
        </w:rPr>
        <w:t>Lortet-Tieulent</w:t>
      </w:r>
      <w:r>
        <w:rPr>
          <w:iCs/>
          <w:lang w:val="en-US"/>
        </w:rPr>
        <w:t>,</w:t>
      </w:r>
      <w:r w:rsidRPr="0066658C">
        <w:rPr>
          <w:iCs/>
          <w:lang w:val="en-US"/>
        </w:rPr>
        <w:t xml:space="preserve"> J</w:t>
      </w:r>
      <w:r>
        <w:rPr>
          <w:iCs/>
          <w:lang w:val="en-US"/>
        </w:rPr>
        <w:t>.</w:t>
      </w:r>
      <w:r w:rsidRPr="0066658C">
        <w:rPr>
          <w:iCs/>
          <w:lang w:val="en-US"/>
        </w:rPr>
        <w:t>, Renteria</w:t>
      </w:r>
      <w:r>
        <w:rPr>
          <w:iCs/>
          <w:lang w:val="en-US"/>
        </w:rPr>
        <w:t>,</w:t>
      </w:r>
      <w:r w:rsidRPr="0066658C">
        <w:rPr>
          <w:iCs/>
          <w:lang w:val="en-US"/>
        </w:rPr>
        <w:t xml:space="preserve"> E</w:t>
      </w:r>
      <w:r>
        <w:rPr>
          <w:iCs/>
          <w:lang w:val="en-US"/>
        </w:rPr>
        <w:t>.</w:t>
      </w:r>
      <w:r w:rsidRPr="0066658C">
        <w:rPr>
          <w:iCs/>
          <w:lang w:val="en-US"/>
        </w:rPr>
        <w:t>, Sharp</w:t>
      </w:r>
      <w:r>
        <w:rPr>
          <w:iCs/>
          <w:lang w:val="en-US"/>
        </w:rPr>
        <w:t>,</w:t>
      </w:r>
      <w:r w:rsidRPr="0066658C">
        <w:rPr>
          <w:iCs/>
          <w:lang w:val="en-US"/>
        </w:rPr>
        <w:t xml:space="preserve"> L</w:t>
      </w:r>
      <w:r>
        <w:rPr>
          <w:iCs/>
          <w:lang w:val="en-US"/>
        </w:rPr>
        <w:t>.</w:t>
      </w:r>
      <w:r w:rsidRPr="0066658C">
        <w:rPr>
          <w:iCs/>
          <w:lang w:val="en-US"/>
        </w:rPr>
        <w:t xml:space="preserve">, </w:t>
      </w:r>
      <w:r w:rsidR="00C526BA">
        <w:rPr>
          <w:iCs/>
          <w:lang w:val="en-US"/>
        </w:rPr>
        <w:t xml:space="preserve">et al. </w:t>
      </w:r>
      <w:r>
        <w:rPr>
          <w:iCs/>
          <w:lang w:val="en-US"/>
        </w:rPr>
        <w:t>(2013)</w:t>
      </w:r>
      <w:r w:rsidRPr="0066658C">
        <w:rPr>
          <w:iCs/>
          <w:lang w:val="en-US"/>
        </w:rPr>
        <w:t>.Convergence of decreasing male and increasing</w:t>
      </w:r>
    </w:p>
    <w:p w14:paraId="082A5792" w14:textId="0E0AB1A5" w:rsidR="0066658C" w:rsidRDefault="0066658C" w:rsidP="00C526BA">
      <w:pPr>
        <w:ind w:left="708"/>
        <w:rPr>
          <w:iCs/>
          <w:lang w:val="en-US"/>
        </w:rPr>
      </w:pPr>
      <w:proofErr w:type="gramStart"/>
      <w:r w:rsidRPr="0066658C">
        <w:rPr>
          <w:iCs/>
          <w:lang w:val="en-US"/>
        </w:rPr>
        <w:t>female</w:t>
      </w:r>
      <w:proofErr w:type="gramEnd"/>
      <w:r w:rsidRPr="0066658C">
        <w:rPr>
          <w:iCs/>
          <w:lang w:val="en-US"/>
        </w:rPr>
        <w:t xml:space="preserve"> incidence rates in major tobacco-related cancers in Europe in 1988-2010. </w:t>
      </w:r>
      <w:proofErr w:type="spellStart"/>
      <w:r w:rsidRPr="0066658C">
        <w:rPr>
          <w:i/>
          <w:iCs/>
          <w:lang w:val="en-US"/>
        </w:rPr>
        <w:t>Eur</w:t>
      </w:r>
      <w:proofErr w:type="spellEnd"/>
      <w:r w:rsidRPr="0066658C">
        <w:rPr>
          <w:i/>
          <w:iCs/>
          <w:lang w:val="en-US"/>
        </w:rPr>
        <w:t xml:space="preserve"> J Cancer</w:t>
      </w:r>
      <w:r w:rsidRPr="001F223D">
        <w:rPr>
          <w:iCs/>
          <w:lang w:val="en-US"/>
        </w:rPr>
        <w:t>,</w:t>
      </w:r>
      <w:r w:rsidR="00C526BA">
        <w:rPr>
          <w:iCs/>
          <w:lang w:val="en-US"/>
        </w:rPr>
        <w:t xml:space="preserve"> 51(9), 1144-63. </w:t>
      </w:r>
      <w:proofErr w:type="spellStart"/>
      <w:proofErr w:type="gramStart"/>
      <w:r w:rsidRPr="0066658C">
        <w:rPr>
          <w:iCs/>
          <w:lang w:val="en-US"/>
        </w:rPr>
        <w:t>doi</w:t>
      </w:r>
      <w:proofErr w:type="spellEnd"/>
      <w:proofErr w:type="gramEnd"/>
      <w:r w:rsidRPr="0066658C">
        <w:rPr>
          <w:iCs/>
          <w:lang w:val="en-US"/>
        </w:rPr>
        <w:t>: 10.1016/j.ejca.2013.10.014.</w:t>
      </w:r>
      <w:r w:rsidR="00C526BA" w:rsidRPr="00C526BA">
        <w:t xml:space="preserve"> </w:t>
      </w:r>
    </w:p>
    <w:p w14:paraId="21C0B747" w14:textId="77777777" w:rsidR="00C7029D" w:rsidRDefault="00C7029D" w:rsidP="001F223D">
      <w:pPr>
        <w:rPr>
          <w:iCs/>
          <w:lang w:val="en-GB"/>
        </w:rPr>
      </w:pPr>
      <w:r w:rsidRPr="00C7029D">
        <w:rPr>
          <w:iCs/>
          <w:lang w:val="en-GB"/>
        </w:rPr>
        <w:t>McAlaney</w:t>
      </w:r>
      <w:r>
        <w:rPr>
          <w:iCs/>
          <w:lang w:val="en-GB"/>
        </w:rPr>
        <w:t>,</w:t>
      </w:r>
      <w:r w:rsidRPr="00C7029D">
        <w:rPr>
          <w:iCs/>
          <w:lang w:val="en-GB"/>
        </w:rPr>
        <w:t xml:space="preserve"> J</w:t>
      </w:r>
      <w:r>
        <w:rPr>
          <w:iCs/>
          <w:lang w:val="en-GB"/>
        </w:rPr>
        <w:t>.</w:t>
      </w:r>
      <w:r w:rsidRPr="00C7029D">
        <w:rPr>
          <w:iCs/>
          <w:lang w:val="en-GB"/>
        </w:rPr>
        <w:t>, Hughes</w:t>
      </w:r>
      <w:r>
        <w:rPr>
          <w:iCs/>
          <w:lang w:val="en-GB"/>
        </w:rPr>
        <w:t>,</w:t>
      </w:r>
      <w:r w:rsidRPr="00C7029D">
        <w:rPr>
          <w:iCs/>
          <w:lang w:val="en-GB"/>
        </w:rPr>
        <w:t xml:space="preserve"> C</w:t>
      </w:r>
      <w:r>
        <w:rPr>
          <w:iCs/>
          <w:lang w:val="en-GB"/>
        </w:rPr>
        <w:t>.</w:t>
      </w:r>
      <w:r w:rsidRPr="00C7029D">
        <w:rPr>
          <w:iCs/>
          <w:lang w:val="en-GB"/>
        </w:rPr>
        <w:t>,</w:t>
      </w:r>
      <w:r>
        <w:rPr>
          <w:iCs/>
          <w:lang w:val="en-GB"/>
        </w:rPr>
        <w:t xml:space="preserve"> &amp;</w:t>
      </w:r>
      <w:r w:rsidRPr="00C7029D">
        <w:rPr>
          <w:iCs/>
          <w:lang w:val="en-GB"/>
        </w:rPr>
        <w:t xml:space="preserve"> </w:t>
      </w:r>
      <w:proofErr w:type="spellStart"/>
      <w:r w:rsidRPr="00C7029D">
        <w:rPr>
          <w:iCs/>
          <w:lang w:val="en-GB"/>
        </w:rPr>
        <w:t>Bewick</w:t>
      </w:r>
      <w:proofErr w:type="spellEnd"/>
      <w:r>
        <w:rPr>
          <w:iCs/>
          <w:lang w:val="en-GB"/>
        </w:rPr>
        <w:t>,</w:t>
      </w:r>
      <w:r w:rsidRPr="00C7029D">
        <w:rPr>
          <w:iCs/>
          <w:lang w:val="en-GB"/>
        </w:rPr>
        <w:t xml:space="preserve"> B.</w:t>
      </w:r>
      <w:r>
        <w:rPr>
          <w:iCs/>
          <w:lang w:val="en-GB"/>
        </w:rPr>
        <w:t xml:space="preserve"> (2011).</w:t>
      </w:r>
      <w:r w:rsidRPr="00C7029D">
        <w:rPr>
          <w:iCs/>
          <w:lang w:val="en-GB"/>
        </w:rPr>
        <w:t xml:space="preserve"> The international development of the ‘Social Norms’</w:t>
      </w:r>
    </w:p>
    <w:p w14:paraId="63AB6873" w14:textId="17453610" w:rsidR="00C7029D" w:rsidRDefault="00C7029D" w:rsidP="00C7029D">
      <w:pPr>
        <w:ind w:left="708"/>
        <w:rPr>
          <w:iCs/>
          <w:lang w:val="en-US"/>
        </w:rPr>
      </w:pPr>
      <w:proofErr w:type="gramStart"/>
      <w:r w:rsidRPr="00C7029D">
        <w:rPr>
          <w:iCs/>
          <w:lang w:val="en-GB"/>
        </w:rPr>
        <w:t>approach</w:t>
      </w:r>
      <w:proofErr w:type="gramEnd"/>
      <w:r w:rsidRPr="00C7029D">
        <w:rPr>
          <w:iCs/>
          <w:lang w:val="en-GB"/>
        </w:rPr>
        <w:t xml:space="preserve"> to drug education and prevention. </w:t>
      </w:r>
      <w:r w:rsidRPr="00C7029D">
        <w:rPr>
          <w:i/>
          <w:iCs/>
          <w:lang w:val="en-GB"/>
        </w:rPr>
        <w:t>Drugs: Education, Prevention and Policy</w:t>
      </w:r>
      <w:r w:rsidRPr="00780846">
        <w:rPr>
          <w:i/>
          <w:iCs/>
          <w:lang w:val="en-GB"/>
        </w:rPr>
        <w:t>,</w:t>
      </w:r>
      <w:r>
        <w:rPr>
          <w:i/>
          <w:iCs/>
          <w:lang w:val="en-GB"/>
        </w:rPr>
        <w:t xml:space="preserve"> </w:t>
      </w:r>
      <w:r w:rsidRPr="00C7029D">
        <w:rPr>
          <w:iCs/>
          <w:lang w:val="en-GB"/>
        </w:rPr>
        <w:t>18(2)</w:t>
      </w:r>
      <w:r>
        <w:rPr>
          <w:iCs/>
          <w:lang w:val="en-GB"/>
        </w:rPr>
        <w:t xml:space="preserve">, </w:t>
      </w:r>
      <w:r w:rsidRPr="00C7029D">
        <w:rPr>
          <w:iCs/>
          <w:lang w:val="en-GB"/>
        </w:rPr>
        <w:t>81-89.</w:t>
      </w:r>
    </w:p>
    <w:p w14:paraId="5AC3EC2B" w14:textId="5B9B5DD1" w:rsidR="009A5C20" w:rsidRDefault="009A5C20" w:rsidP="001F223D">
      <w:pPr>
        <w:rPr>
          <w:iCs/>
          <w:lang w:val="en-US"/>
        </w:rPr>
      </w:pPr>
      <w:r w:rsidRPr="009A5C20">
        <w:rPr>
          <w:iCs/>
          <w:lang w:val="en-US"/>
        </w:rPr>
        <w:t xml:space="preserve">Neighbors, </w:t>
      </w:r>
      <w:r>
        <w:rPr>
          <w:iCs/>
          <w:lang w:val="en-US"/>
        </w:rPr>
        <w:t xml:space="preserve">C., </w:t>
      </w:r>
      <w:r w:rsidRPr="009A5C20">
        <w:rPr>
          <w:iCs/>
          <w:lang w:val="en-US"/>
        </w:rPr>
        <w:t>Lee,</w:t>
      </w:r>
      <w:r>
        <w:rPr>
          <w:iCs/>
          <w:lang w:val="en-US"/>
        </w:rPr>
        <w:t xml:space="preserve"> C.M., </w:t>
      </w:r>
      <w:r w:rsidRPr="009A5C20">
        <w:rPr>
          <w:iCs/>
          <w:lang w:val="en-US"/>
        </w:rPr>
        <w:t xml:space="preserve">Lewis, </w:t>
      </w:r>
      <w:r>
        <w:rPr>
          <w:iCs/>
          <w:lang w:val="en-US"/>
        </w:rPr>
        <w:t xml:space="preserve">M.A., </w:t>
      </w:r>
      <w:proofErr w:type="spellStart"/>
      <w:r w:rsidRPr="009A5C20">
        <w:rPr>
          <w:iCs/>
          <w:lang w:val="en-US"/>
        </w:rPr>
        <w:t>Fossos</w:t>
      </w:r>
      <w:proofErr w:type="spellEnd"/>
      <w:r w:rsidRPr="009A5C20">
        <w:rPr>
          <w:iCs/>
          <w:lang w:val="en-US"/>
        </w:rPr>
        <w:t xml:space="preserve">, </w:t>
      </w:r>
      <w:r>
        <w:rPr>
          <w:iCs/>
          <w:lang w:val="en-US"/>
        </w:rPr>
        <w:t xml:space="preserve">B.S., </w:t>
      </w:r>
      <w:r w:rsidR="00470DDC">
        <w:rPr>
          <w:iCs/>
          <w:lang w:val="en-US"/>
        </w:rPr>
        <w:t xml:space="preserve">&amp; </w:t>
      </w:r>
      <w:r w:rsidRPr="009A5C20">
        <w:rPr>
          <w:iCs/>
          <w:lang w:val="en-US"/>
        </w:rPr>
        <w:t>Larimer</w:t>
      </w:r>
      <w:r>
        <w:rPr>
          <w:iCs/>
          <w:lang w:val="en-US"/>
        </w:rPr>
        <w:t>, M.E. (2007)</w:t>
      </w:r>
      <w:r w:rsidRPr="009A5C20">
        <w:rPr>
          <w:iCs/>
          <w:lang w:val="en-US"/>
        </w:rPr>
        <w:t xml:space="preserve">. Are social norms the </w:t>
      </w:r>
      <w:proofErr w:type="gramStart"/>
      <w:r w:rsidRPr="009A5C20">
        <w:rPr>
          <w:iCs/>
          <w:lang w:val="en-US"/>
        </w:rPr>
        <w:t>best</w:t>
      </w:r>
      <w:proofErr w:type="gramEnd"/>
    </w:p>
    <w:p w14:paraId="4F3C9502" w14:textId="7F4D457B" w:rsidR="009A5C20" w:rsidRDefault="009A5C20" w:rsidP="0066658C">
      <w:pPr>
        <w:ind w:left="708"/>
        <w:rPr>
          <w:iCs/>
          <w:lang w:val="en-US"/>
        </w:rPr>
      </w:pPr>
      <w:proofErr w:type="gramStart"/>
      <w:r w:rsidRPr="009A5C20">
        <w:rPr>
          <w:iCs/>
          <w:lang w:val="en-US"/>
        </w:rPr>
        <w:t>predictor</w:t>
      </w:r>
      <w:proofErr w:type="gramEnd"/>
      <w:r w:rsidRPr="009A5C20">
        <w:rPr>
          <w:iCs/>
          <w:lang w:val="en-US"/>
        </w:rPr>
        <w:t xml:space="preserve"> of outcomes among heavy-drinking college students</w:t>
      </w:r>
      <w:r w:rsidRPr="001F223D">
        <w:rPr>
          <w:i/>
          <w:iCs/>
          <w:lang w:val="en-US"/>
        </w:rPr>
        <w:t>? Journal of Studies on Alcohol and Drugs,</w:t>
      </w:r>
      <w:r w:rsidRPr="009A5C20">
        <w:rPr>
          <w:iCs/>
          <w:lang w:val="en-US"/>
        </w:rPr>
        <w:t xml:space="preserve"> 68 (4)</w:t>
      </w:r>
      <w:r>
        <w:rPr>
          <w:iCs/>
          <w:lang w:val="en-US"/>
        </w:rPr>
        <w:t>,</w:t>
      </w:r>
      <w:r w:rsidRPr="009A5C20">
        <w:rPr>
          <w:iCs/>
          <w:lang w:val="en-US"/>
        </w:rPr>
        <w:t xml:space="preserve"> 556–565</w:t>
      </w:r>
      <w:r>
        <w:rPr>
          <w:iCs/>
          <w:lang w:val="en-US"/>
        </w:rPr>
        <w:t>.</w:t>
      </w:r>
    </w:p>
    <w:p w14:paraId="564AFC48" w14:textId="77777777" w:rsidR="003A546F" w:rsidRDefault="003A546F" w:rsidP="001F223D">
      <w:pPr>
        <w:rPr>
          <w:iCs/>
          <w:lang w:val="en-US"/>
        </w:rPr>
      </w:pPr>
      <w:r w:rsidRPr="001F223D">
        <w:rPr>
          <w:iCs/>
        </w:rPr>
        <w:t xml:space="preserve">Nichter, M., Nichter, M., &amp; Carkoglu, A. </w:t>
      </w:r>
      <w:r>
        <w:rPr>
          <w:iCs/>
        </w:rPr>
        <w:t>(2007).</w:t>
      </w:r>
      <w:r w:rsidRPr="001F223D">
        <w:rPr>
          <w:iCs/>
        </w:rPr>
        <w:t xml:space="preserve"> </w:t>
      </w:r>
      <w:r w:rsidRPr="003A546F">
        <w:rPr>
          <w:iCs/>
          <w:lang w:val="en-US"/>
        </w:rPr>
        <w:t>Tobacco Etiology Research Network. Reconsidering</w:t>
      </w:r>
    </w:p>
    <w:p w14:paraId="5EE19A56" w14:textId="00631BB9" w:rsidR="003A546F" w:rsidRDefault="003A546F" w:rsidP="003A546F">
      <w:pPr>
        <w:ind w:left="708"/>
        <w:rPr>
          <w:iCs/>
          <w:lang w:val="en-US"/>
        </w:rPr>
      </w:pPr>
      <w:proofErr w:type="gramStart"/>
      <w:r w:rsidRPr="003A546F">
        <w:rPr>
          <w:iCs/>
          <w:lang w:val="en-US"/>
        </w:rPr>
        <w:t>stress</w:t>
      </w:r>
      <w:proofErr w:type="gramEnd"/>
      <w:r w:rsidRPr="003A546F">
        <w:rPr>
          <w:iCs/>
          <w:lang w:val="en-US"/>
        </w:rPr>
        <w:t xml:space="preserve"> and smoking: a qualitative study among college students. </w:t>
      </w:r>
      <w:proofErr w:type="spellStart"/>
      <w:r w:rsidRPr="003A546F">
        <w:rPr>
          <w:i/>
          <w:iCs/>
          <w:lang w:val="en-US"/>
        </w:rPr>
        <w:t>Tob</w:t>
      </w:r>
      <w:proofErr w:type="spellEnd"/>
      <w:r w:rsidRPr="003A546F">
        <w:rPr>
          <w:i/>
          <w:iCs/>
          <w:lang w:val="en-US"/>
        </w:rPr>
        <w:t xml:space="preserve"> Control</w:t>
      </w:r>
      <w:r w:rsidRPr="001F223D">
        <w:rPr>
          <w:i/>
          <w:iCs/>
          <w:lang w:val="en-US"/>
        </w:rPr>
        <w:t>,</w:t>
      </w:r>
      <w:r>
        <w:rPr>
          <w:iCs/>
          <w:lang w:val="en-US"/>
        </w:rPr>
        <w:t xml:space="preserve"> </w:t>
      </w:r>
      <w:r w:rsidR="00780846">
        <w:rPr>
          <w:iCs/>
          <w:lang w:val="en-US"/>
        </w:rPr>
        <w:t xml:space="preserve">16(3), </w:t>
      </w:r>
      <w:r w:rsidRPr="003A546F">
        <w:rPr>
          <w:iCs/>
          <w:lang w:val="en-US"/>
        </w:rPr>
        <w:t>211-4.</w:t>
      </w:r>
    </w:p>
    <w:p w14:paraId="7C216057" w14:textId="77777777" w:rsidR="00C7029D" w:rsidRDefault="00C7029D" w:rsidP="001F223D">
      <w:pPr>
        <w:rPr>
          <w:iCs/>
          <w:lang w:val="en-US"/>
        </w:rPr>
      </w:pPr>
      <w:r w:rsidRPr="00C7029D">
        <w:rPr>
          <w:iCs/>
          <w:lang w:val="en-US"/>
        </w:rPr>
        <w:t xml:space="preserve">Perkins, H.W., </w:t>
      </w:r>
      <w:proofErr w:type="spellStart"/>
      <w:r w:rsidRPr="00C7029D">
        <w:rPr>
          <w:iCs/>
          <w:lang w:val="en-US"/>
        </w:rPr>
        <w:t>Meilman</w:t>
      </w:r>
      <w:proofErr w:type="spellEnd"/>
      <w:r w:rsidRPr="00C7029D">
        <w:rPr>
          <w:iCs/>
          <w:lang w:val="en-US"/>
        </w:rPr>
        <w:t xml:space="preserve">, P.W., </w:t>
      </w:r>
      <w:proofErr w:type="spellStart"/>
      <w:r w:rsidRPr="00C7029D">
        <w:rPr>
          <w:iCs/>
          <w:lang w:val="en-US"/>
        </w:rPr>
        <w:t>Leichliter</w:t>
      </w:r>
      <w:proofErr w:type="spellEnd"/>
      <w:r w:rsidRPr="00C7029D">
        <w:rPr>
          <w:iCs/>
          <w:lang w:val="en-US"/>
        </w:rPr>
        <w:t xml:space="preserve">, J.S., </w:t>
      </w:r>
      <w:proofErr w:type="spellStart"/>
      <w:r w:rsidRPr="00C7029D">
        <w:rPr>
          <w:iCs/>
          <w:lang w:val="en-US"/>
        </w:rPr>
        <w:t>Cashin</w:t>
      </w:r>
      <w:proofErr w:type="spellEnd"/>
      <w:r w:rsidRPr="00C7029D">
        <w:rPr>
          <w:iCs/>
          <w:lang w:val="en-US"/>
        </w:rPr>
        <w:t xml:space="preserve">, J.R., </w:t>
      </w:r>
      <w:r>
        <w:rPr>
          <w:iCs/>
          <w:lang w:val="en-US"/>
        </w:rPr>
        <w:t xml:space="preserve">&amp; </w:t>
      </w:r>
      <w:r w:rsidRPr="00C7029D">
        <w:rPr>
          <w:iCs/>
          <w:lang w:val="en-US"/>
        </w:rPr>
        <w:t xml:space="preserve">Presley, C.A. </w:t>
      </w:r>
      <w:r>
        <w:rPr>
          <w:iCs/>
          <w:lang w:val="en-US"/>
        </w:rPr>
        <w:t xml:space="preserve">(1999). </w:t>
      </w:r>
      <w:r w:rsidRPr="00C7029D">
        <w:rPr>
          <w:iCs/>
          <w:lang w:val="en-US"/>
        </w:rPr>
        <w:t>Misperceptions of</w:t>
      </w:r>
    </w:p>
    <w:p w14:paraId="6F047E45" w14:textId="1844244D" w:rsidR="00C7029D" w:rsidRDefault="00C7029D" w:rsidP="003A546F">
      <w:pPr>
        <w:ind w:left="708"/>
        <w:rPr>
          <w:iCs/>
          <w:lang w:val="en-US"/>
        </w:rPr>
      </w:pPr>
      <w:proofErr w:type="gramStart"/>
      <w:r w:rsidRPr="00C7029D">
        <w:rPr>
          <w:iCs/>
          <w:lang w:val="en-US"/>
        </w:rPr>
        <w:t>the</w:t>
      </w:r>
      <w:proofErr w:type="gramEnd"/>
      <w:r w:rsidRPr="00C7029D">
        <w:rPr>
          <w:iCs/>
          <w:lang w:val="en-US"/>
        </w:rPr>
        <w:t xml:space="preserve"> norms for the frequency of alcohol and other drug use on college campuses. </w:t>
      </w:r>
      <w:r w:rsidRPr="001F223D">
        <w:rPr>
          <w:i/>
          <w:iCs/>
          <w:lang w:val="en-US"/>
        </w:rPr>
        <w:t xml:space="preserve">J Am </w:t>
      </w:r>
      <w:proofErr w:type="spellStart"/>
      <w:r w:rsidRPr="001F223D">
        <w:rPr>
          <w:i/>
          <w:iCs/>
          <w:lang w:val="en-US"/>
        </w:rPr>
        <w:t>Coll</w:t>
      </w:r>
      <w:proofErr w:type="spellEnd"/>
      <w:r w:rsidRPr="001F223D">
        <w:rPr>
          <w:i/>
          <w:iCs/>
          <w:lang w:val="en-US"/>
        </w:rPr>
        <w:t xml:space="preserve"> Health, </w:t>
      </w:r>
      <w:r>
        <w:rPr>
          <w:iCs/>
          <w:lang w:val="en-US"/>
        </w:rPr>
        <w:t xml:space="preserve">47(6), </w:t>
      </w:r>
      <w:r w:rsidRPr="00C7029D">
        <w:rPr>
          <w:iCs/>
          <w:lang w:val="en-US"/>
        </w:rPr>
        <w:t>253-8.</w:t>
      </w:r>
    </w:p>
    <w:p w14:paraId="648EA753" w14:textId="77777777" w:rsidR="00C73148" w:rsidRDefault="00C73148" w:rsidP="001F223D">
      <w:pPr>
        <w:rPr>
          <w:iCs/>
          <w:lang w:val="en-US"/>
        </w:rPr>
      </w:pPr>
      <w:proofErr w:type="spellStart"/>
      <w:r w:rsidRPr="001F223D">
        <w:rPr>
          <w:iCs/>
          <w:lang w:val="en-US"/>
        </w:rPr>
        <w:t>Pischke</w:t>
      </w:r>
      <w:proofErr w:type="spellEnd"/>
      <w:r w:rsidRPr="001F223D">
        <w:rPr>
          <w:iCs/>
          <w:lang w:val="en-US"/>
        </w:rPr>
        <w:t xml:space="preserve">, C.R., </w:t>
      </w:r>
      <w:proofErr w:type="spellStart"/>
      <w:r w:rsidRPr="001F223D">
        <w:rPr>
          <w:iCs/>
          <w:lang w:val="en-US"/>
        </w:rPr>
        <w:t>Zeeb</w:t>
      </w:r>
      <w:proofErr w:type="spellEnd"/>
      <w:r w:rsidRPr="001F223D">
        <w:rPr>
          <w:iCs/>
          <w:lang w:val="en-US"/>
        </w:rPr>
        <w:t xml:space="preserve">, H., van Hal, G., et al. (2012). </w:t>
      </w:r>
      <w:r w:rsidRPr="00C73148">
        <w:rPr>
          <w:iCs/>
          <w:lang w:val="en-US"/>
        </w:rPr>
        <w:t>A feasibility trial to examine the social norms</w:t>
      </w:r>
    </w:p>
    <w:p w14:paraId="6C6D78CB" w14:textId="14A9C18B" w:rsidR="00C73148" w:rsidRDefault="00C73148" w:rsidP="00C73148">
      <w:pPr>
        <w:ind w:left="708"/>
        <w:rPr>
          <w:iCs/>
          <w:lang w:val="en-US"/>
        </w:rPr>
      </w:pPr>
      <w:proofErr w:type="gramStart"/>
      <w:r w:rsidRPr="00C73148">
        <w:rPr>
          <w:iCs/>
          <w:lang w:val="en-US"/>
        </w:rPr>
        <w:t>approach</w:t>
      </w:r>
      <w:proofErr w:type="gramEnd"/>
      <w:r w:rsidRPr="00C73148">
        <w:rPr>
          <w:iCs/>
          <w:lang w:val="en-US"/>
        </w:rPr>
        <w:t xml:space="preserve"> for the prevention and reduction of licit and illicit drug use in European university and college students. </w:t>
      </w:r>
      <w:r w:rsidRPr="00C73148">
        <w:rPr>
          <w:i/>
          <w:iCs/>
          <w:lang w:val="en-US"/>
        </w:rPr>
        <w:t>BMC Public Health</w:t>
      </w:r>
      <w:r w:rsidRPr="00780846">
        <w:rPr>
          <w:i/>
          <w:iCs/>
          <w:lang w:val="en-US"/>
        </w:rPr>
        <w:t>,</w:t>
      </w:r>
      <w:r>
        <w:rPr>
          <w:i/>
          <w:iCs/>
          <w:lang w:val="en-US"/>
        </w:rPr>
        <w:t xml:space="preserve"> </w:t>
      </w:r>
      <w:r w:rsidRPr="00C73148">
        <w:rPr>
          <w:iCs/>
          <w:lang w:val="en-US"/>
        </w:rPr>
        <w:t>18(12)</w:t>
      </w:r>
      <w:r>
        <w:rPr>
          <w:iCs/>
          <w:lang w:val="en-US"/>
        </w:rPr>
        <w:t xml:space="preserve">, </w:t>
      </w:r>
      <w:r w:rsidRPr="00C73148">
        <w:rPr>
          <w:iCs/>
          <w:lang w:val="en-US"/>
        </w:rPr>
        <w:t xml:space="preserve">882. </w:t>
      </w:r>
      <w:proofErr w:type="spellStart"/>
      <w:proofErr w:type="gramStart"/>
      <w:r w:rsidRPr="00C73148">
        <w:rPr>
          <w:iCs/>
          <w:lang w:val="en-US"/>
        </w:rPr>
        <w:t>doi</w:t>
      </w:r>
      <w:proofErr w:type="spellEnd"/>
      <w:proofErr w:type="gramEnd"/>
      <w:r w:rsidRPr="00C73148">
        <w:rPr>
          <w:iCs/>
          <w:lang w:val="en-US"/>
        </w:rPr>
        <w:t>: 10.1186/1471-2458-12-882.</w:t>
      </w:r>
    </w:p>
    <w:p w14:paraId="22DC040F" w14:textId="77777777" w:rsidR="00161138" w:rsidRDefault="005B464C" w:rsidP="001F223D">
      <w:pPr>
        <w:rPr>
          <w:iCs/>
          <w:lang w:val="en-GB"/>
        </w:rPr>
      </w:pPr>
      <w:r w:rsidRPr="001F223D">
        <w:rPr>
          <w:iCs/>
        </w:rPr>
        <w:t xml:space="preserve">Riou França, L., Dautzenberg, B., Falissard, B., </w:t>
      </w:r>
      <w:r w:rsidR="00161138" w:rsidRPr="001F223D">
        <w:rPr>
          <w:iCs/>
        </w:rPr>
        <w:t xml:space="preserve">&amp; </w:t>
      </w:r>
      <w:r w:rsidRPr="001F223D">
        <w:rPr>
          <w:iCs/>
        </w:rPr>
        <w:t xml:space="preserve">Reynaud, M. </w:t>
      </w:r>
      <w:r w:rsidRPr="00161138">
        <w:rPr>
          <w:iCs/>
        </w:rPr>
        <w:t>(2009).</w:t>
      </w:r>
      <w:r w:rsidRPr="001F223D">
        <w:rPr>
          <w:iCs/>
        </w:rPr>
        <w:t xml:space="preserve"> </w:t>
      </w:r>
      <w:r w:rsidRPr="005B464C">
        <w:rPr>
          <w:iCs/>
          <w:lang w:val="en-GB"/>
        </w:rPr>
        <w:t xml:space="preserve">Are social norms </w:t>
      </w:r>
      <w:proofErr w:type="gramStart"/>
      <w:r w:rsidRPr="005B464C">
        <w:rPr>
          <w:iCs/>
          <w:lang w:val="en-GB"/>
        </w:rPr>
        <w:t>associated</w:t>
      </w:r>
      <w:proofErr w:type="gramEnd"/>
    </w:p>
    <w:p w14:paraId="4054AC09" w14:textId="77777777" w:rsidR="00161138" w:rsidRDefault="00161138" w:rsidP="001F223D">
      <w:pPr>
        <w:ind w:firstLine="708"/>
        <w:rPr>
          <w:i/>
          <w:iCs/>
          <w:lang w:val="en-GB"/>
        </w:rPr>
      </w:pPr>
      <w:proofErr w:type="gramStart"/>
      <w:r>
        <w:rPr>
          <w:iCs/>
          <w:lang w:val="en-GB"/>
        </w:rPr>
        <w:t>w</w:t>
      </w:r>
      <w:r w:rsidR="005B464C" w:rsidRPr="005B464C">
        <w:rPr>
          <w:iCs/>
          <w:lang w:val="en-GB"/>
        </w:rPr>
        <w:t>ith</w:t>
      </w:r>
      <w:proofErr w:type="gramEnd"/>
      <w:r>
        <w:rPr>
          <w:iCs/>
          <w:lang w:val="en-GB"/>
        </w:rPr>
        <w:t xml:space="preserve"> </w:t>
      </w:r>
      <w:r w:rsidR="005B464C" w:rsidRPr="005B464C">
        <w:rPr>
          <w:iCs/>
          <w:lang w:val="en-GB"/>
        </w:rPr>
        <w:t>smoking in French university students? A survey report on smoking correlates.</w:t>
      </w:r>
      <w:r w:rsidR="005B464C" w:rsidRPr="005B464C">
        <w:rPr>
          <w:iCs/>
          <w:lang w:val="en-US"/>
        </w:rPr>
        <w:t xml:space="preserve"> </w:t>
      </w:r>
      <w:proofErr w:type="spellStart"/>
      <w:r w:rsidR="005B464C" w:rsidRPr="005B464C">
        <w:rPr>
          <w:i/>
          <w:iCs/>
          <w:lang w:val="en-GB"/>
        </w:rPr>
        <w:t>Subst</w:t>
      </w:r>
      <w:proofErr w:type="spellEnd"/>
    </w:p>
    <w:p w14:paraId="5902A700" w14:textId="0B58B089" w:rsidR="005B464C" w:rsidRPr="005B464C" w:rsidRDefault="005B464C" w:rsidP="00161138">
      <w:pPr>
        <w:ind w:left="708"/>
        <w:rPr>
          <w:iCs/>
          <w:lang w:val="en-GB"/>
        </w:rPr>
      </w:pPr>
      <w:r w:rsidRPr="005B464C">
        <w:rPr>
          <w:i/>
          <w:iCs/>
          <w:lang w:val="en-GB"/>
        </w:rPr>
        <w:t xml:space="preserve">Abuse Treat </w:t>
      </w:r>
      <w:proofErr w:type="spellStart"/>
      <w:r w:rsidRPr="005B464C">
        <w:rPr>
          <w:i/>
          <w:iCs/>
          <w:lang w:val="en-GB"/>
        </w:rPr>
        <w:t>Prev</w:t>
      </w:r>
      <w:proofErr w:type="spellEnd"/>
      <w:r w:rsidRPr="005B464C">
        <w:rPr>
          <w:i/>
          <w:iCs/>
          <w:lang w:val="en-GB"/>
        </w:rPr>
        <w:t xml:space="preserve"> Policy</w:t>
      </w:r>
      <w:r w:rsidRPr="00780846">
        <w:rPr>
          <w:i/>
          <w:iCs/>
          <w:lang w:val="en-GB"/>
        </w:rPr>
        <w:t>,</w:t>
      </w:r>
      <w:r w:rsidRPr="005B464C">
        <w:rPr>
          <w:iCs/>
          <w:lang w:val="en-GB"/>
        </w:rPr>
        <w:t xml:space="preserve"> 4:4. </w:t>
      </w:r>
      <w:proofErr w:type="spellStart"/>
      <w:proofErr w:type="gramStart"/>
      <w:r w:rsidRPr="005B464C">
        <w:rPr>
          <w:iCs/>
          <w:lang w:val="en-GB"/>
        </w:rPr>
        <w:t>doi</w:t>
      </w:r>
      <w:proofErr w:type="spellEnd"/>
      <w:proofErr w:type="gramEnd"/>
      <w:r w:rsidRPr="005B464C">
        <w:rPr>
          <w:iCs/>
          <w:lang w:val="en-GB"/>
        </w:rPr>
        <w:t>: 10.1186/1747-597X-4-4.</w:t>
      </w:r>
    </w:p>
    <w:p w14:paraId="7F5CA67C" w14:textId="77777777" w:rsidR="009872FC" w:rsidRDefault="009872FC" w:rsidP="001F223D">
      <w:pPr>
        <w:rPr>
          <w:iCs/>
          <w:lang w:val="en-GB"/>
        </w:rPr>
      </w:pPr>
      <w:r w:rsidRPr="009872FC">
        <w:rPr>
          <w:iCs/>
          <w:lang w:val="en-GB"/>
        </w:rPr>
        <w:t xml:space="preserve">Robert Wood Johnson Foundation. </w:t>
      </w:r>
      <w:proofErr w:type="spellStart"/>
      <w:r w:rsidRPr="009872FC">
        <w:rPr>
          <w:iCs/>
          <w:lang w:val="en-GB"/>
        </w:rPr>
        <w:t>Gutman</w:t>
      </w:r>
      <w:proofErr w:type="spellEnd"/>
      <w:r w:rsidRPr="009872FC">
        <w:rPr>
          <w:iCs/>
          <w:lang w:val="en-GB"/>
        </w:rPr>
        <w:t>, M. A companion report to the Tobacco Campaigns of</w:t>
      </w:r>
    </w:p>
    <w:p w14:paraId="0A76F316" w14:textId="29EA37D5" w:rsidR="009872FC" w:rsidRPr="001F223D" w:rsidRDefault="009872FC" w:rsidP="00E67B7D">
      <w:pPr>
        <w:ind w:left="708"/>
        <w:rPr>
          <w:iCs/>
          <w:lang w:val="en-GB"/>
        </w:rPr>
      </w:pPr>
      <w:proofErr w:type="gramStart"/>
      <w:r w:rsidRPr="009872FC">
        <w:rPr>
          <w:iCs/>
          <w:lang w:val="en-GB"/>
        </w:rPr>
        <w:t>the</w:t>
      </w:r>
      <w:proofErr w:type="gramEnd"/>
      <w:r w:rsidRPr="009872FC">
        <w:rPr>
          <w:iCs/>
          <w:lang w:val="en-GB"/>
        </w:rPr>
        <w:t xml:space="preserve"> Robert Wood Johnson Foundation and Collaborators, 1991 – 2010.</w:t>
      </w:r>
      <w:r w:rsidR="00E67B7D" w:rsidRPr="00E67B7D">
        <w:rPr>
          <w:iCs/>
          <w:lang w:val="en-GB"/>
        </w:rPr>
        <w:t xml:space="preserve"> http://www.rwjf.org/content/dam/web-assets/2011/04/social-norms-and-attitudes-about-smokingSocial Norms and Attitudes about Smoking 1991-2010. Accessed July 18</w:t>
      </w:r>
      <w:r w:rsidR="00E67B7D" w:rsidRPr="00E67B7D">
        <w:rPr>
          <w:iCs/>
          <w:vertAlign w:val="superscript"/>
          <w:lang w:val="en-GB"/>
        </w:rPr>
        <w:t>th</w:t>
      </w:r>
      <w:r w:rsidR="00E67B7D" w:rsidRPr="00E67B7D">
        <w:rPr>
          <w:iCs/>
          <w:lang w:val="en-GB"/>
        </w:rPr>
        <w:t>, 2014.</w:t>
      </w:r>
    </w:p>
    <w:p w14:paraId="4C01EE8A" w14:textId="77777777" w:rsidR="008A4366" w:rsidRDefault="008A4366" w:rsidP="001F223D">
      <w:pPr>
        <w:rPr>
          <w:iCs/>
          <w:lang w:val="en-US"/>
        </w:rPr>
      </w:pPr>
      <w:r w:rsidRPr="008A4366">
        <w:rPr>
          <w:iCs/>
          <w:lang w:val="en-US"/>
        </w:rPr>
        <w:t>Stallings-Smith</w:t>
      </w:r>
      <w:r>
        <w:rPr>
          <w:iCs/>
          <w:lang w:val="en-US"/>
        </w:rPr>
        <w:t>,</w:t>
      </w:r>
      <w:r w:rsidRPr="008A4366">
        <w:rPr>
          <w:iCs/>
          <w:lang w:val="en-US"/>
        </w:rPr>
        <w:t xml:space="preserve"> S</w:t>
      </w:r>
      <w:r>
        <w:rPr>
          <w:iCs/>
          <w:lang w:val="en-US"/>
        </w:rPr>
        <w:t>.</w:t>
      </w:r>
      <w:r w:rsidRPr="008A4366">
        <w:rPr>
          <w:iCs/>
          <w:lang w:val="en-US"/>
        </w:rPr>
        <w:t xml:space="preserve">, </w:t>
      </w:r>
      <w:proofErr w:type="spellStart"/>
      <w:r w:rsidRPr="008A4366">
        <w:rPr>
          <w:iCs/>
          <w:lang w:val="en-US"/>
        </w:rPr>
        <w:t>Zeka</w:t>
      </w:r>
      <w:proofErr w:type="spellEnd"/>
      <w:r>
        <w:rPr>
          <w:iCs/>
          <w:lang w:val="en-US"/>
        </w:rPr>
        <w:t>,</w:t>
      </w:r>
      <w:r w:rsidRPr="008A4366">
        <w:rPr>
          <w:iCs/>
          <w:lang w:val="en-US"/>
        </w:rPr>
        <w:t xml:space="preserve"> A</w:t>
      </w:r>
      <w:r>
        <w:rPr>
          <w:iCs/>
          <w:lang w:val="en-US"/>
        </w:rPr>
        <w:t>.</w:t>
      </w:r>
      <w:r w:rsidRPr="008A4366">
        <w:rPr>
          <w:iCs/>
          <w:lang w:val="en-US"/>
        </w:rPr>
        <w:t>, Goodman</w:t>
      </w:r>
      <w:r>
        <w:rPr>
          <w:iCs/>
          <w:lang w:val="en-US"/>
        </w:rPr>
        <w:t>,</w:t>
      </w:r>
      <w:r w:rsidRPr="008A4366">
        <w:rPr>
          <w:iCs/>
          <w:lang w:val="en-US"/>
        </w:rPr>
        <w:t xml:space="preserve"> P</w:t>
      </w:r>
      <w:r>
        <w:rPr>
          <w:iCs/>
          <w:lang w:val="en-US"/>
        </w:rPr>
        <w:t>.</w:t>
      </w:r>
      <w:r w:rsidRPr="008A4366">
        <w:rPr>
          <w:iCs/>
          <w:lang w:val="en-US"/>
        </w:rPr>
        <w:t xml:space="preserve">, </w:t>
      </w:r>
      <w:proofErr w:type="spellStart"/>
      <w:r w:rsidRPr="008A4366">
        <w:rPr>
          <w:iCs/>
          <w:lang w:val="en-US"/>
        </w:rPr>
        <w:t>Kabir</w:t>
      </w:r>
      <w:proofErr w:type="spellEnd"/>
      <w:r>
        <w:rPr>
          <w:iCs/>
          <w:lang w:val="en-US"/>
        </w:rPr>
        <w:t>,</w:t>
      </w:r>
      <w:r w:rsidRPr="008A4366">
        <w:rPr>
          <w:iCs/>
          <w:lang w:val="en-US"/>
        </w:rPr>
        <w:t xml:space="preserve"> Z</w:t>
      </w:r>
      <w:r>
        <w:rPr>
          <w:iCs/>
          <w:lang w:val="en-US"/>
        </w:rPr>
        <w:t>.</w:t>
      </w:r>
      <w:r w:rsidRPr="008A4366">
        <w:rPr>
          <w:iCs/>
          <w:lang w:val="en-US"/>
        </w:rPr>
        <w:t xml:space="preserve">, </w:t>
      </w:r>
      <w:r>
        <w:rPr>
          <w:iCs/>
          <w:lang w:val="en-US"/>
        </w:rPr>
        <w:t xml:space="preserve">&amp; </w:t>
      </w:r>
      <w:r w:rsidRPr="008A4366">
        <w:rPr>
          <w:iCs/>
          <w:lang w:val="en-US"/>
        </w:rPr>
        <w:t>Clancy</w:t>
      </w:r>
      <w:r>
        <w:rPr>
          <w:iCs/>
          <w:lang w:val="en-US"/>
        </w:rPr>
        <w:t>,</w:t>
      </w:r>
      <w:r w:rsidRPr="008A4366">
        <w:rPr>
          <w:iCs/>
          <w:lang w:val="en-US"/>
        </w:rPr>
        <w:t xml:space="preserve"> L.</w:t>
      </w:r>
      <w:r>
        <w:rPr>
          <w:iCs/>
          <w:lang w:val="en-US"/>
        </w:rPr>
        <w:t xml:space="preserve"> (2013).</w:t>
      </w:r>
      <w:r w:rsidRPr="008A4366">
        <w:rPr>
          <w:iCs/>
          <w:lang w:val="en-US"/>
        </w:rPr>
        <w:t xml:space="preserve"> Reductions in cardiovascular,</w:t>
      </w:r>
    </w:p>
    <w:p w14:paraId="5BEE730F" w14:textId="77777777" w:rsidR="008A4366" w:rsidRDefault="008A4366" w:rsidP="001F223D">
      <w:pPr>
        <w:ind w:firstLine="708"/>
        <w:rPr>
          <w:iCs/>
          <w:lang w:val="en-US"/>
        </w:rPr>
      </w:pPr>
      <w:proofErr w:type="gramStart"/>
      <w:r w:rsidRPr="008A4366">
        <w:rPr>
          <w:iCs/>
          <w:lang w:val="en-US"/>
        </w:rPr>
        <w:t>cerebrovascular</w:t>
      </w:r>
      <w:proofErr w:type="gramEnd"/>
      <w:r w:rsidRPr="008A4366">
        <w:rPr>
          <w:iCs/>
          <w:lang w:val="en-US"/>
        </w:rPr>
        <w:t>, and respiratory mortality following the national Irish smoking ban:</w:t>
      </w:r>
    </w:p>
    <w:p w14:paraId="0AA7854C" w14:textId="1F8189FD" w:rsidR="008A4366" w:rsidRPr="008A4366" w:rsidRDefault="008A4366" w:rsidP="008A4366">
      <w:pPr>
        <w:ind w:left="708"/>
        <w:rPr>
          <w:iCs/>
          <w:lang w:val="en-US"/>
        </w:rPr>
      </w:pPr>
      <w:proofErr w:type="gramStart"/>
      <w:r w:rsidRPr="008A4366">
        <w:rPr>
          <w:iCs/>
          <w:lang w:val="en-US"/>
        </w:rPr>
        <w:t>interrupted</w:t>
      </w:r>
      <w:proofErr w:type="gramEnd"/>
      <w:r w:rsidRPr="008A4366">
        <w:rPr>
          <w:iCs/>
          <w:lang w:val="en-US"/>
        </w:rPr>
        <w:t xml:space="preserve"> time-series analysis. </w:t>
      </w:r>
      <w:proofErr w:type="spellStart"/>
      <w:r w:rsidRPr="008A4366">
        <w:rPr>
          <w:i/>
          <w:iCs/>
          <w:lang w:val="en-US"/>
        </w:rPr>
        <w:t>PLoS</w:t>
      </w:r>
      <w:proofErr w:type="spellEnd"/>
      <w:r w:rsidRPr="008A4366">
        <w:rPr>
          <w:i/>
          <w:iCs/>
          <w:lang w:val="en-US"/>
        </w:rPr>
        <w:t xml:space="preserve"> One</w:t>
      </w:r>
      <w:r w:rsidRPr="00A30258">
        <w:rPr>
          <w:i/>
          <w:iCs/>
          <w:lang w:val="en-US"/>
        </w:rPr>
        <w:t>,</w:t>
      </w:r>
      <w:r w:rsidRPr="001F223D">
        <w:rPr>
          <w:iCs/>
          <w:lang w:val="en-US"/>
        </w:rPr>
        <w:t xml:space="preserve"> </w:t>
      </w:r>
      <w:r w:rsidR="00A30258">
        <w:rPr>
          <w:iCs/>
          <w:lang w:val="en-US"/>
        </w:rPr>
        <w:t xml:space="preserve">8(4), </w:t>
      </w:r>
      <w:r w:rsidRPr="008A4366">
        <w:rPr>
          <w:iCs/>
          <w:lang w:val="en-US"/>
        </w:rPr>
        <w:t xml:space="preserve">e62063. </w:t>
      </w:r>
      <w:proofErr w:type="spellStart"/>
      <w:proofErr w:type="gramStart"/>
      <w:r w:rsidRPr="008A4366">
        <w:rPr>
          <w:iCs/>
          <w:lang w:val="en-US"/>
        </w:rPr>
        <w:t>doi</w:t>
      </w:r>
      <w:proofErr w:type="spellEnd"/>
      <w:proofErr w:type="gramEnd"/>
      <w:r w:rsidRPr="008A4366">
        <w:rPr>
          <w:iCs/>
          <w:lang w:val="en-US"/>
        </w:rPr>
        <w:t>: 10.1371/journal.pone.0062063.</w:t>
      </w:r>
    </w:p>
    <w:p w14:paraId="040A4F01" w14:textId="77777777" w:rsidR="008A4366" w:rsidRDefault="008A4366" w:rsidP="001F223D">
      <w:pPr>
        <w:rPr>
          <w:iCs/>
          <w:lang w:val="en-US"/>
        </w:rPr>
      </w:pPr>
      <w:r w:rsidRPr="008A4366">
        <w:rPr>
          <w:iCs/>
          <w:lang w:val="en-US"/>
        </w:rPr>
        <w:t>Stallings-Smith</w:t>
      </w:r>
      <w:r>
        <w:rPr>
          <w:iCs/>
          <w:lang w:val="en-US"/>
        </w:rPr>
        <w:t>,</w:t>
      </w:r>
      <w:r w:rsidRPr="008A4366">
        <w:rPr>
          <w:iCs/>
          <w:lang w:val="en-US"/>
        </w:rPr>
        <w:t xml:space="preserve"> S</w:t>
      </w:r>
      <w:r>
        <w:rPr>
          <w:iCs/>
          <w:lang w:val="en-US"/>
        </w:rPr>
        <w:t>.</w:t>
      </w:r>
      <w:r w:rsidRPr="008A4366">
        <w:rPr>
          <w:iCs/>
          <w:lang w:val="en-US"/>
        </w:rPr>
        <w:t>, Goodman</w:t>
      </w:r>
      <w:r>
        <w:rPr>
          <w:iCs/>
          <w:lang w:val="en-US"/>
        </w:rPr>
        <w:t>,</w:t>
      </w:r>
      <w:r w:rsidRPr="008A4366">
        <w:rPr>
          <w:iCs/>
          <w:lang w:val="en-US"/>
        </w:rPr>
        <w:t xml:space="preserve"> P</w:t>
      </w:r>
      <w:r>
        <w:rPr>
          <w:iCs/>
          <w:lang w:val="en-US"/>
        </w:rPr>
        <w:t>.</w:t>
      </w:r>
      <w:r w:rsidRPr="008A4366">
        <w:rPr>
          <w:iCs/>
          <w:lang w:val="en-US"/>
        </w:rPr>
        <w:t xml:space="preserve">, </w:t>
      </w:r>
      <w:proofErr w:type="spellStart"/>
      <w:r w:rsidRPr="008A4366">
        <w:rPr>
          <w:iCs/>
          <w:lang w:val="en-US"/>
        </w:rPr>
        <w:t>Kabir</w:t>
      </w:r>
      <w:proofErr w:type="spellEnd"/>
      <w:r>
        <w:rPr>
          <w:iCs/>
          <w:lang w:val="en-US"/>
        </w:rPr>
        <w:t>,</w:t>
      </w:r>
      <w:r w:rsidRPr="008A4366">
        <w:rPr>
          <w:iCs/>
          <w:lang w:val="en-US"/>
        </w:rPr>
        <w:t xml:space="preserve"> Z</w:t>
      </w:r>
      <w:r>
        <w:rPr>
          <w:iCs/>
          <w:lang w:val="en-US"/>
        </w:rPr>
        <w:t>.</w:t>
      </w:r>
      <w:r w:rsidRPr="008A4366">
        <w:rPr>
          <w:iCs/>
          <w:lang w:val="en-US"/>
        </w:rPr>
        <w:t>, Clancy</w:t>
      </w:r>
      <w:r>
        <w:rPr>
          <w:iCs/>
          <w:lang w:val="en-US"/>
        </w:rPr>
        <w:t>,</w:t>
      </w:r>
      <w:r w:rsidRPr="008A4366">
        <w:rPr>
          <w:iCs/>
          <w:lang w:val="en-US"/>
        </w:rPr>
        <w:t xml:space="preserve"> L</w:t>
      </w:r>
      <w:r>
        <w:rPr>
          <w:iCs/>
          <w:lang w:val="en-US"/>
        </w:rPr>
        <w:t>.</w:t>
      </w:r>
      <w:r w:rsidRPr="008A4366">
        <w:rPr>
          <w:iCs/>
          <w:lang w:val="en-US"/>
        </w:rPr>
        <w:t xml:space="preserve">, </w:t>
      </w:r>
      <w:r>
        <w:rPr>
          <w:iCs/>
          <w:lang w:val="en-US"/>
        </w:rPr>
        <w:t xml:space="preserve">&amp; </w:t>
      </w:r>
      <w:proofErr w:type="spellStart"/>
      <w:r w:rsidRPr="008A4366">
        <w:rPr>
          <w:iCs/>
          <w:lang w:val="en-US"/>
        </w:rPr>
        <w:t>Zeka</w:t>
      </w:r>
      <w:proofErr w:type="spellEnd"/>
      <w:r>
        <w:rPr>
          <w:iCs/>
          <w:lang w:val="en-US"/>
        </w:rPr>
        <w:t>,</w:t>
      </w:r>
      <w:r w:rsidRPr="008A4366">
        <w:rPr>
          <w:iCs/>
          <w:lang w:val="en-US"/>
        </w:rPr>
        <w:t xml:space="preserve"> A.</w:t>
      </w:r>
      <w:r>
        <w:rPr>
          <w:iCs/>
          <w:lang w:val="en-US"/>
        </w:rPr>
        <w:t xml:space="preserve"> (2014).</w:t>
      </w:r>
      <w:r w:rsidRPr="008A4366">
        <w:rPr>
          <w:iCs/>
          <w:lang w:val="en-US"/>
        </w:rPr>
        <w:t xml:space="preserve"> Socioeconomic differentials in</w:t>
      </w:r>
    </w:p>
    <w:p w14:paraId="57B16EFA" w14:textId="49087E4A" w:rsidR="008A4366" w:rsidRPr="001F223D" w:rsidRDefault="008A4366" w:rsidP="008A4366">
      <w:pPr>
        <w:ind w:left="708"/>
        <w:rPr>
          <w:iCs/>
          <w:lang w:val="en-US"/>
        </w:rPr>
      </w:pPr>
      <w:proofErr w:type="gramStart"/>
      <w:r w:rsidRPr="008A4366">
        <w:rPr>
          <w:iCs/>
          <w:lang w:val="en-US"/>
        </w:rPr>
        <w:t>the</w:t>
      </w:r>
      <w:proofErr w:type="gramEnd"/>
      <w:r w:rsidRPr="008A4366">
        <w:rPr>
          <w:iCs/>
          <w:lang w:val="en-US"/>
        </w:rPr>
        <w:t xml:space="preserve"> immediate mortality effects of the national Irish smoking ban. </w:t>
      </w:r>
      <w:proofErr w:type="spellStart"/>
      <w:r w:rsidRPr="001F223D">
        <w:rPr>
          <w:i/>
          <w:iCs/>
          <w:lang w:val="en-US"/>
        </w:rPr>
        <w:t>PLoS</w:t>
      </w:r>
      <w:proofErr w:type="spellEnd"/>
      <w:r w:rsidRPr="001F223D">
        <w:rPr>
          <w:i/>
          <w:iCs/>
          <w:lang w:val="en-US"/>
        </w:rPr>
        <w:t xml:space="preserve"> One</w:t>
      </w:r>
      <w:r w:rsidRPr="00A30258">
        <w:rPr>
          <w:i/>
          <w:iCs/>
          <w:lang w:val="en-US"/>
        </w:rPr>
        <w:t>,</w:t>
      </w:r>
      <w:r w:rsidRPr="001F223D">
        <w:rPr>
          <w:iCs/>
          <w:lang w:val="en-US"/>
        </w:rPr>
        <w:t xml:space="preserve"> </w:t>
      </w:r>
      <w:r w:rsidR="00A30258" w:rsidRPr="00A30258">
        <w:rPr>
          <w:iCs/>
          <w:lang w:val="en-US"/>
        </w:rPr>
        <w:t>9(6)</w:t>
      </w:r>
      <w:proofErr w:type="gramStart"/>
      <w:r w:rsidR="00A30258">
        <w:rPr>
          <w:iCs/>
          <w:lang w:val="en-US"/>
        </w:rPr>
        <w:t xml:space="preserve">, </w:t>
      </w:r>
      <w:r w:rsidRPr="001F223D">
        <w:rPr>
          <w:iCs/>
          <w:lang w:val="en-US"/>
        </w:rPr>
        <w:t xml:space="preserve"> e98617</w:t>
      </w:r>
      <w:proofErr w:type="gramEnd"/>
      <w:r w:rsidRPr="001F223D">
        <w:rPr>
          <w:iCs/>
          <w:lang w:val="en-US"/>
        </w:rPr>
        <w:t xml:space="preserve">. </w:t>
      </w:r>
      <w:proofErr w:type="spellStart"/>
      <w:proofErr w:type="gramStart"/>
      <w:r w:rsidRPr="001F223D">
        <w:rPr>
          <w:iCs/>
          <w:lang w:val="en-US"/>
        </w:rPr>
        <w:t>doi</w:t>
      </w:r>
      <w:proofErr w:type="spellEnd"/>
      <w:proofErr w:type="gramEnd"/>
      <w:r w:rsidRPr="001F223D">
        <w:rPr>
          <w:iCs/>
          <w:lang w:val="en-US"/>
        </w:rPr>
        <w:t>: 10.1371/journal.pone.0098617.</w:t>
      </w:r>
    </w:p>
    <w:p w14:paraId="35AA331C" w14:textId="77777777" w:rsidR="00FC7613" w:rsidRDefault="00FC7613" w:rsidP="00FC7613">
      <w:pPr>
        <w:rPr>
          <w:i/>
          <w:iCs/>
          <w:lang w:val="en-GB"/>
        </w:rPr>
      </w:pPr>
      <w:proofErr w:type="spellStart"/>
      <w:r w:rsidRPr="00FC7613">
        <w:rPr>
          <w:iCs/>
          <w:lang w:val="en-US"/>
        </w:rPr>
        <w:t>Wipfli</w:t>
      </w:r>
      <w:proofErr w:type="spellEnd"/>
      <w:r>
        <w:rPr>
          <w:iCs/>
          <w:lang w:val="en-US"/>
        </w:rPr>
        <w:t>,</w:t>
      </w:r>
      <w:r w:rsidRPr="00FC7613">
        <w:rPr>
          <w:iCs/>
          <w:lang w:val="en-US"/>
        </w:rPr>
        <w:t xml:space="preserve"> H</w:t>
      </w:r>
      <w:r>
        <w:rPr>
          <w:iCs/>
          <w:lang w:val="en-US"/>
        </w:rPr>
        <w:t>.</w:t>
      </w:r>
      <w:r w:rsidRPr="00FC7613">
        <w:rPr>
          <w:iCs/>
          <w:lang w:val="en-US"/>
        </w:rPr>
        <w:t>,</w:t>
      </w:r>
      <w:r>
        <w:rPr>
          <w:iCs/>
          <w:lang w:val="en-US"/>
        </w:rPr>
        <w:t xml:space="preserve"> &amp;</w:t>
      </w:r>
      <w:r w:rsidRPr="00FC7613">
        <w:rPr>
          <w:iCs/>
          <w:lang w:val="en-US"/>
        </w:rPr>
        <w:t xml:space="preserve"> </w:t>
      </w:r>
      <w:proofErr w:type="spellStart"/>
      <w:r w:rsidRPr="00FC7613">
        <w:rPr>
          <w:iCs/>
          <w:lang w:val="en-US"/>
        </w:rPr>
        <w:t>Samet</w:t>
      </w:r>
      <w:proofErr w:type="spellEnd"/>
      <w:r>
        <w:rPr>
          <w:iCs/>
          <w:lang w:val="en-US"/>
        </w:rPr>
        <w:t>,</w:t>
      </w:r>
      <w:r w:rsidRPr="00FC7613">
        <w:rPr>
          <w:iCs/>
          <w:lang w:val="en-US"/>
        </w:rPr>
        <w:t xml:space="preserve"> J</w:t>
      </w:r>
      <w:r>
        <w:rPr>
          <w:iCs/>
          <w:lang w:val="en-US"/>
        </w:rPr>
        <w:t>.</w:t>
      </w:r>
      <w:r w:rsidRPr="00FC7613">
        <w:rPr>
          <w:iCs/>
          <w:lang w:val="en-US"/>
        </w:rPr>
        <w:t>M.</w:t>
      </w:r>
      <w:r>
        <w:rPr>
          <w:iCs/>
          <w:lang w:val="en-US"/>
        </w:rPr>
        <w:t xml:space="preserve"> (2009).</w:t>
      </w:r>
      <w:r w:rsidRPr="00FC7613">
        <w:rPr>
          <w:iCs/>
          <w:lang w:val="en-US"/>
        </w:rPr>
        <w:t xml:space="preserve"> </w:t>
      </w:r>
      <w:r w:rsidRPr="00FC7613">
        <w:rPr>
          <w:iCs/>
          <w:lang w:val="en-GB"/>
        </w:rPr>
        <w:t>Global economic and health benefits of tobacco control: part 1.</w:t>
      </w:r>
      <w:r w:rsidRPr="00FC7613">
        <w:rPr>
          <w:iCs/>
          <w:lang w:val="en-US"/>
        </w:rPr>
        <w:t xml:space="preserve"> </w:t>
      </w:r>
      <w:proofErr w:type="spellStart"/>
      <w:r w:rsidRPr="00FC7613">
        <w:rPr>
          <w:i/>
          <w:iCs/>
          <w:lang w:val="en-GB"/>
        </w:rPr>
        <w:t>Clin</w:t>
      </w:r>
      <w:proofErr w:type="spellEnd"/>
    </w:p>
    <w:p w14:paraId="50ADA057" w14:textId="2C132970" w:rsidR="002E42D3" w:rsidRPr="008A4366" w:rsidRDefault="00FC7613" w:rsidP="001F223D">
      <w:pPr>
        <w:ind w:firstLine="708"/>
        <w:rPr>
          <w:iCs/>
          <w:lang w:val="en-US"/>
        </w:rPr>
      </w:pPr>
      <w:proofErr w:type="spellStart"/>
      <w:r w:rsidRPr="00FC7613">
        <w:rPr>
          <w:i/>
          <w:iCs/>
          <w:lang w:val="en-GB"/>
        </w:rPr>
        <w:t>Pharmacol</w:t>
      </w:r>
      <w:proofErr w:type="spellEnd"/>
      <w:r w:rsidRPr="00FC7613">
        <w:rPr>
          <w:i/>
          <w:iCs/>
          <w:lang w:val="en-GB"/>
        </w:rPr>
        <w:t xml:space="preserve"> </w:t>
      </w:r>
      <w:proofErr w:type="spellStart"/>
      <w:r w:rsidRPr="00FC7613">
        <w:rPr>
          <w:i/>
          <w:iCs/>
          <w:lang w:val="en-GB"/>
        </w:rPr>
        <w:t>Ther</w:t>
      </w:r>
      <w:proofErr w:type="spellEnd"/>
      <w:r w:rsidRPr="00A30258">
        <w:rPr>
          <w:i/>
          <w:iCs/>
          <w:lang w:val="en-GB"/>
        </w:rPr>
        <w:t>,</w:t>
      </w:r>
      <w:r w:rsidR="00A30258">
        <w:rPr>
          <w:iCs/>
          <w:lang w:val="en-GB"/>
        </w:rPr>
        <w:t xml:space="preserve"> 86(3), </w:t>
      </w:r>
      <w:r w:rsidRPr="00FC7613">
        <w:rPr>
          <w:iCs/>
          <w:lang w:val="en-GB"/>
        </w:rPr>
        <w:t xml:space="preserve">263-71. </w:t>
      </w:r>
      <w:proofErr w:type="spellStart"/>
      <w:proofErr w:type="gramStart"/>
      <w:r w:rsidRPr="00FC7613">
        <w:rPr>
          <w:iCs/>
          <w:lang w:val="en-GB"/>
        </w:rPr>
        <w:t>doi</w:t>
      </w:r>
      <w:proofErr w:type="spellEnd"/>
      <w:proofErr w:type="gramEnd"/>
      <w:r w:rsidRPr="00FC7613">
        <w:rPr>
          <w:iCs/>
          <w:lang w:val="en-GB"/>
        </w:rPr>
        <w:t>: 10.1038/clpt.2009.93.</w:t>
      </w:r>
    </w:p>
    <w:p w14:paraId="18FDCC87" w14:textId="77777777" w:rsidR="00FC7613" w:rsidRDefault="00FC7613" w:rsidP="001F223D">
      <w:pPr>
        <w:rPr>
          <w:iCs/>
          <w:lang w:val="en-US"/>
        </w:rPr>
      </w:pPr>
      <w:r w:rsidRPr="00FC7613">
        <w:rPr>
          <w:iCs/>
          <w:lang w:val="en-US"/>
        </w:rPr>
        <w:t>World Health Organization, Tobacco, Key facts. Leading cause of death, illness and impoverishment.</w:t>
      </w:r>
    </w:p>
    <w:p w14:paraId="185E467F" w14:textId="77777777" w:rsidR="00EC2BC0" w:rsidRDefault="00FC7613" w:rsidP="001F223D">
      <w:pPr>
        <w:ind w:firstLine="708"/>
        <w:rPr>
          <w:iCs/>
          <w:lang w:val="en-US"/>
        </w:rPr>
      </w:pPr>
      <w:hyperlink r:id="rId10" w:history="1">
        <w:r w:rsidRPr="00FC7613">
          <w:rPr>
            <w:rStyle w:val="Hyperlink"/>
            <w:iCs/>
            <w:lang w:val="en-US"/>
          </w:rPr>
          <w:t>http://www.who.int/mediacentre/factsheets/fs339/en/</w:t>
        </w:r>
      </w:hyperlink>
      <w:r w:rsidRPr="00FC7613">
        <w:rPr>
          <w:iCs/>
          <w:lang w:val="en-US"/>
        </w:rPr>
        <w:t>. Accessed July 18th, 2014.</w:t>
      </w:r>
    </w:p>
    <w:p w14:paraId="1DAF8AD0" w14:textId="77777777" w:rsidR="00EC2BC0" w:rsidRDefault="00FC7613" w:rsidP="001F223D">
      <w:pPr>
        <w:rPr>
          <w:iCs/>
          <w:lang w:val="en-GB"/>
        </w:rPr>
      </w:pPr>
      <w:r w:rsidRPr="00FC7613">
        <w:rPr>
          <w:iCs/>
          <w:lang w:val="en-GB"/>
        </w:rPr>
        <w:t>World Health Organization. Tobacco-free initiative. MPOWER.</w:t>
      </w:r>
    </w:p>
    <w:p w14:paraId="5B2C06A0" w14:textId="68E5883E" w:rsidR="00FC7613" w:rsidRPr="00FC7613" w:rsidRDefault="00FC7613" w:rsidP="001F223D">
      <w:pPr>
        <w:ind w:firstLine="708"/>
        <w:rPr>
          <w:iCs/>
          <w:lang w:val="en-US"/>
        </w:rPr>
      </w:pPr>
      <w:hyperlink r:id="rId11" w:history="1">
        <w:r w:rsidRPr="00FC7613">
          <w:rPr>
            <w:rStyle w:val="Hyperlink"/>
            <w:iCs/>
            <w:lang w:val="en-US"/>
          </w:rPr>
          <w:t>http://www.who.int/tobacco/mpower/publications/en/</w:t>
        </w:r>
      </w:hyperlink>
      <w:r w:rsidRPr="00FC7613">
        <w:rPr>
          <w:iCs/>
          <w:u w:val="single"/>
          <w:lang w:val="en-GB"/>
        </w:rPr>
        <w:t xml:space="preserve">. </w:t>
      </w:r>
      <w:r w:rsidRPr="00FC7613">
        <w:rPr>
          <w:iCs/>
          <w:lang w:val="en-US"/>
        </w:rPr>
        <w:t>Accessed July 18th, 2014</w:t>
      </w:r>
      <w:r w:rsidR="00F52833">
        <w:rPr>
          <w:iCs/>
          <w:lang w:val="en-US"/>
        </w:rPr>
        <w:t>.</w:t>
      </w:r>
    </w:p>
    <w:p w14:paraId="2862CA4E" w14:textId="563ED034" w:rsidR="00206238" w:rsidRDefault="00206238" w:rsidP="00206238">
      <w:pPr>
        <w:rPr>
          <w:lang w:val="en-US"/>
        </w:rPr>
      </w:pPr>
    </w:p>
    <w:p w14:paraId="2334FD98" w14:textId="039C0F4F" w:rsidR="00206238" w:rsidRDefault="00206238" w:rsidP="00206238">
      <w:pPr>
        <w:rPr>
          <w:lang w:val="en-US"/>
        </w:rPr>
      </w:pPr>
    </w:p>
    <w:p w14:paraId="59C78364" w14:textId="134708ED" w:rsidR="00206238" w:rsidRDefault="00206238" w:rsidP="00206238">
      <w:pPr>
        <w:rPr>
          <w:lang w:val="en-US"/>
        </w:rPr>
      </w:pPr>
    </w:p>
    <w:p w14:paraId="21926687" w14:textId="020722B0" w:rsidR="007914E1" w:rsidRDefault="007914E1" w:rsidP="00B91FDE">
      <w:pPr>
        <w:rPr>
          <w:b/>
          <w:lang w:val="en-GB"/>
        </w:rPr>
      </w:pPr>
    </w:p>
    <w:sectPr w:rsidR="007914E1" w:rsidSect="00B91FD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AD890" w14:textId="77777777" w:rsidR="00AF0257" w:rsidRDefault="00AF0257">
      <w:pPr>
        <w:spacing w:after="0" w:line="240" w:lineRule="auto"/>
      </w:pPr>
      <w:r>
        <w:separator/>
      </w:r>
    </w:p>
  </w:endnote>
  <w:endnote w:type="continuationSeparator" w:id="0">
    <w:p w14:paraId="79F4697F" w14:textId="77777777" w:rsidR="00AF0257" w:rsidRDefault="00AF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78084"/>
      <w:docPartObj>
        <w:docPartGallery w:val="Page Numbers (Bottom of Page)"/>
        <w:docPartUnique/>
      </w:docPartObj>
    </w:sdtPr>
    <w:sdtEndPr/>
    <w:sdtContent>
      <w:p w14:paraId="3702519E" w14:textId="77777777" w:rsidR="00AF0257" w:rsidRDefault="00AF0257">
        <w:pPr>
          <w:pStyle w:val="Footer"/>
          <w:jc w:val="right"/>
        </w:pPr>
        <w:r>
          <w:fldChar w:fldCharType="begin"/>
        </w:r>
        <w:r>
          <w:instrText>PAGE   \* MERGEFORMAT</w:instrText>
        </w:r>
        <w:r>
          <w:fldChar w:fldCharType="separate"/>
        </w:r>
        <w:r w:rsidR="000E3A06">
          <w:rPr>
            <w:noProof/>
          </w:rPr>
          <w:t>2</w:t>
        </w:r>
        <w:r>
          <w:rPr>
            <w:noProof/>
          </w:rPr>
          <w:fldChar w:fldCharType="end"/>
        </w:r>
      </w:p>
    </w:sdtContent>
  </w:sdt>
  <w:p w14:paraId="6F01E1BB" w14:textId="77777777" w:rsidR="00AF0257" w:rsidRDefault="00AF0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1863E" w14:textId="77777777" w:rsidR="00AF0257" w:rsidRDefault="00AF0257">
      <w:pPr>
        <w:spacing w:after="0" w:line="240" w:lineRule="auto"/>
      </w:pPr>
      <w:r>
        <w:separator/>
      </w:r>
    </w:p>
  </w:footnote>
  <w:footnote w:type="continuationSeparator" w:id="0">
    <w:p w14:paraId="0BA27B6D" w14:textId="77777777" w:rsidR="00AF0257" w:rsidRDefault="00AF0257">
      <w:pPr>
        <w:spacing w:after="0" w:line="240" w:lineRule="auto"/>
      </w:pPr>
      <w:r>
        <w:continuationSeparator/>
      </w:r>
    </w:p>
  </w:footnote>
  <w:footnote w:id="1">
    <w:p w14:paraId="12B58A27" w14:textId="77777777" w:rsidR="00AF0257" w:rsidRPr="00B729BC" w:rsidRDefault="00AF0257" w:rsidP="007A7521">
      <w:pPr>
        <w:pStyle w:val="FootnoteText"/>
        <w:rPr>
          <w:lang w:val="en-US"/>
        </w:rPr>
      </w:pPr>
      <w:r>
        <w:rPr>
          <w:rStyle w:val="FootnoteReference"/>
        </w:rPr>
        <w:footnoteRef/>
      </w:r>
      <w:r w:rsidRPr="00B729BC">
        <w:rPr>
          <w:lang w:val="en-US"/>
        </w:rPr>
        <w:t xml:space="preserve"> SNIPE: ‘Social Norms Intervention for the prevention of </w:t>
      </w:r>
      <w:proofErr w:type="spellStart"/>
      <w:r w:rsidRPr="00B729BC">
        <w:rPr>
          <w:lang w:val="en-US"/>
        </w:rPr>
        <w:t>Polydrug</w:t>
      </w:r>
      <w:proofErr w:type="spellEnd"/>
      <w:r w:rsidRPr="00B729BC">
        <w:rPr>
          <w:lang w:val="en-US"/>
        </w:rPr>
        <w:t xml:space="preserve"> </w:t>
      </w:r>
      <w:proofErr w:type="spellStart"/>
      <w:r w:rsidRPr="00B729BC">
        <w:rPr>
          <w:lang w:val="en-US"/>
        </w:rPr>
        <w:t>usE</w:t>
      </w:r>
      <w:proofErr w:type="spellEnd"/>
      <w:r w:rsidRPr="00B729BC">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4668"/>
    <w:multiLevelType w:val="hybridMultilevel"/>
    <w:tmpl w:val="8D44E0F2"/>
    <w:lvl w:ilvl="0" w:tplc="55D2E242">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466E3"/>
    <w:multiLevelType w:val="multilevel"/>
    <w:tmpl w:val="BBB25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D1638E"/>
    <w:multiLevelType w:val="multilevel"/>
    <w:tmpl w:val="FED2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A600C"/>
    <w:multiLevelType w:val="multilevel"/>
    <w:tmpl w:val="031EFD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CFA0A53"/>
    <w:multiLevelType w:val="multilevel"/>
    <w:tmpl w:val="6D36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E00A9"/>
    <w:multiLevelType w:val="hybridMultilevel"/>
    <w:tmpl w:val="7CDEB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C76A30"/>
    <w:multiLevelType w:val="hybridMultilevel"/>
    <w:tmpl w:val="AC607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EE4E24"/>
    <w:multiLevelType w:val="hybridMultilevel"/>
    <w:tmpl w:val="3F98058A"/>
    <w:lvl w:ilvl="0" w:tplc="157EEADA">
      <w:start w:val="57"/>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5B"/>
    <w:rsid w:val="00001327"/>
    <w:rsid w:val="000015F5"/>
    <w:rsid w:val="000028EF"/>
    <w:rsid w:val="00002F59"/>
    <w:rsid w:val="00005433"/>
    <w:rsid w:val="0000557A"/>
    <w:rsid w:val="00006064"/>
    <w:rsid w:val="0001110F"/>
    <w:rsid w:val="00011F04"/>
    <w:rsid w:val="000121B6"/>
    <w:rsid w:val="00012C2C"/>
    <w:rsid w:val="00016658"/>
    <w:rsid w:val="00017436"/>
    <w:rsid w:val="00017467"/>
    <w:rsid w:val="00017FD6"/>
    <w:rsid w:val="000209FB"/>
    <w:rsid w:val="00021D02"/>
    <w:rsid w:val="000222F9"/>
    <w:rsid w:val="000226F1"/>
    <w:rsid w:val="00022FAB"/>
    <w:rsid w:val="00023105"/>
    <w:rsid w:val="00026772"/>
    <w:rsid w:val="000324D4"/>
    <w:rsid w:val="0003301E"/>
    <w:rsid w:val="00034AD0"/>
    <w:rsid w:val="00036C41"/>
    <w:rsid w:val="00037058"/>
    <w:rsid w:val="0003770D"/>
    <w:rsid w:val="00040855"/>
    <w:rsid w:val="00043C2A"/>
    <w:rsid w:val="00043F93"/>
    <w:rsid w:val="00044997"/>
    <w:rsid w:val="00044B58"/>
    <w:rsid w:val="00047044"/>
    <w:rsid w:val="00047915"/>
    <w:rsid w:val="000511FB"/>
    <w:rsid w:val="00051CAB"/>
    <w:rsid w:val="00052100"/>
    <w:rsid w:val="00052243"/>
    <w:rsid w:val="000523AA"/>
    <w:rsid w:val="0005241C"/>
    <w:rsid w:val="00052AC5"/>
    <w:rsid w:val="00053160"/>
    <w:rsid w:val="000533F0"/>
    <w:rsid w:val="00053F9F"/>
    <w:rsid w:val="00055388"/>
    <w:rsid w:val="00056362"/>
    <w:rsid w:val="000608F3"/>
    <w:rsid w:val="00061511"/>
    <w:rsid w:val="000618F1"/>
    <w:rsid w:val="000622F1"/>
    <w:rsid w:val="00063D71"/>
    <w:rsid w:val="00064681"/>
    <w:rsid w:val="00064EDA"/>
    <w:rsid w:val="00066C9E"/>
    <w:rsid w:val="000679DA"/>
    <w:rsid w:val="00071612"/>
    <w:rsid w:val="00071AB1"/>
    <w:rsid w:val="00075FC3"/>
    <w:rsid w:val="0007694A"/>
    <w:rsid w:val="00076FDD"/>
    <w:rsid w:val="00077E4D"/>
    <w:rsid w:val="00077F0A"/>
    <w:rsid w:val="00080A4E"/>
    <w:rsid w:val="00081942"/>
    <w:rsid w:val="00081C57"/>
    <w:rsid w:val="00082065"/>
    <w:rsid w:val="00082101"/>
    <w:rsid w:val="0008317B"/>
    <w:rsid w:val="00083972"/>
    <w:rsid w:val="000840C1"/>
    <w:rsid w:val="00086405"/>
    <w:rsid w:val="000903BA"/>
    <w:rsid w:val="0009070F"/>
    <w:rsid w:val="00090E15"/>
    <w:rsid w:val="0009184C"/>
    <w:rsid w:val="00093EBF"/>
    <w:rsid w:val="00095229"/>
    <w:rsid w:val="00095305"/>
    <w:rsid w:val="00096CC5"/>
    <w:rsid w:val="00097370"/>
    <w:rsid w:val="000A0575"/>
    <w:rsid w:val="000A0B68"/>
    <w:rsid w:val="000A21D1"/>
    <w:rsid w:val="000A25FE"/>
    <w:rsid w:val="000A2666"/>
    <w:rsid w:val="000A2DC3"/>
    <w:rsid w:val="000A3194"/>
    <w:rsid w:val="000A52FB"/>
    <w:rsid w:val="000A663F"/>
    <w:rsid w:val="000B0C9B"/>
    <w:rsid w:val="000B0D12"/>
    <w:rsid w:val="000B2487"/>
    <w:rsid w:val="000B263D"/>
    <w:rsid w:val="000B403B"/>
    <w:rsid w:val="000B5132"/>
    <w:rsid w:val="000B628D"/>
    <w:rsid w:val="000B75DC"/>
    <w:rsid w:val="000C22DA"/>
    <w:rsid w:val="000C2A20"/>
    <w:rsid w:val="000C2AC0"/>
    <w:rsid w:val="000C3C37"/>
    <w:rsid w:val="000C3C57"/>
    <w:rsid w:val="000C5067"/>
    <w:rsid w:val="000D0E45"/>
    <w:rsid w:val="000D5EF0"/>
    <w:rsid w:val="000D5FBD"/>
    <w:rsid w:val="000D6453"/>
    <w:rsid w:val="000D6E6D"/>
    <w:rsid w:val="000D7CCA"/>
    <w:rsid w:val="000E3A06"/>
    <w:rsid w:val="000E4406"/>
    <w:rsid w:val="000E529F"/>
    <w:rsid w:val="000E65B7"/>
    <w:rsid w:val="000E72E4"/>
    <w:rsid w:val="000E7F47"/>
    <w:rsid w:val="000F0579"/>
    <w:rsid w:val="000F1132"/>
    <w:rsid w:val="000F11EF"/>
    <w:rsid w:val="000F15AF"/>
    <w:rsid w:val="000F29A3"/>
    <w:rsid w:val="000F2B72"/>
    <w:rsid w:val="000F2C6C"/>
    <w:rsid w:val="000F4314"/>
    <w:rsid w:val="000F4C76"/>
    <w:rsid w:val="000F64E4"/>
    <w:rsid w:val="000F64EA"/>
    <w:rsid w:val="000F6B6B"/>
    <w:rsid w:val="00100B98"/>
    <w:rsid w:val="001014E4"/>
    <w:rsid w:val="0010155F"/>
    <w:rsid w:val="00101DD4"/>
    <w:rsid w:val="00102656"/>
    <w:rsid w:val="0010296E"/>
    <w:rsid w:val="00103197"/>
    <w:rsid w:val="00103D98"/>
    <w:rsid w:val="00105627"/>
    <w:rsid w:val="001059F7"/>
    <w:rsid w:val="00110947"/>
    <w:rsid w:val="00110BFE"/>
    <w:rsid w:val="00112009"/>
    <w:rsid w:val="0011268E"/>
    <w:rsid w:val="00112F73"/>
    <w:rsid w:val="00113AF8"/>
    <w:rsid w:val="00113E9A"/>
    <w:rsid w:val="001152BD"/>
    <w:rsid w:val="00116822"/>
    <w:rsid w:val="00120CDF"/>
    <w:rsid w:val="00124021"/>
    <w:rsid w:val="00124B9F"/>
    <w:rsid w:val="0012523A"/>
    <w:rsid w:val="0012628F"/>
    <w:rsid w:val="001271B4"/>
    <w:rsid w:val="001300FF"/>
    <w:rsid w:val="00131261"/>
    <w:rsid w:val="00131E2E"/>
    <w:rsid w:val="0013622C"/>
    <w:rsid w:val="00136F1A"/>
    <w:rsid w:val="0013750A"/>
    <w:rsid w:val="001407DD"/>
    <w:rsid w:val="001459CB"/>
    <w:rsid w:val="00146117"/>
    <w:rsid w:val="001472D2"/>
    <w:rsid w:val="00147A71"/>
    <w:rsid w:val="00151255"/>
    <w:rsid w:val="001541E5"/>
    <w:rsid w:val="00154C9F"/>
    <w:rsid w:val="00155DDE"/>
    <w:rsid w:val="001568F5"/>
    <w:rsid w:val="00161138"/>
    <w:rsid w:val="0016136A"/>
    <w:rsid w:val="00161D35"/>
    <w:rsid w:val="00161F93"/>
    <w:rsid w:val="001625D4"/>
    <w:rsid w:val="00163958"/>
    <w:rsid w:val="001651DD"/>
    <w:rsid w:val="00166D1E"/>
    <w:rsid w:val="001676CA"/>
    <w:rsid w:val="00167A8D"/>
    <w:rsid w:val="00167E6A"/>
    <w:rsid w:val="0017019A"/>
    <w:rsid w:val="00170D5A"/>
    <w:rsid w:val="001712DF"/>
    <w:rsid w:val="0017199A"/>
    <w:rsid w:val="0017217E"/>
    <w:rsid w:val="00174B9B"/>
    <w:rsid w:val="00174CAC"/>
    <w:rsid w:val="00175A9F"/>
    <w:rsid w:val="00175BC4"/>
    <w:rsid w:val="00180AA3"/>
    <w:rsid w:val="00181441"/>
    <w:rsid w:val="001834A5"/>
    <w:rsid w:val="00185E1B"/>
    <w:rsid w:val="00187576"/>
    <w:rsid w:val="0019107B"/>
    <w:rsid w:val="00192B6E"/>
    <w:rsid w:val="00192CEC"/>
    <w:rsid w:val="00193DCE"/>
    <w:rsid w:val="001946E5"/>
    <w:rsid w:val="00194A0C"/>
    <w:rsid w:val="00195D5F"/>
    <w:rsid w:val="00196045"/>
    <w:rsid w:val="00196536"/>
    <w:rsid w:val="00196A79"/>
    <w:rsid w:val="001970F3"/>
    <w:rsid w:val="00197371"/>
    <w:rsid w:val="001A05F6"/>
    <w:rsid w:val="001A2B76"/>
    <w:rsid w:val="001A2D6F"/>
    <w:rsid w:val="001A56C4"/>
    <w:rsid w:val="001A5F01"/>
    <w:rsid w:val="001A625B"/>
    <w:rsid w:val="001A6863"/>
    <w:rsid w:val="001A73C4"/>
    <w:rsid w:val="001A741F"/>
    <w:rsid w:val="001B0A80"/>
    <w:rsid w:val="001B336E"/>
    <w:rsid w:val="001B3D7D"/>
    <w:rsid w:val="001B3E2C"/>
    <w:rsid w:val="001B4C7F"/>
    <w:rsid w:val="001B5A58"/>
    <w:rsid w:val="001B5C14"/>
    <w:rsid w:val="001C0B43"/>
    <w:rsid w:val="001C1477"/>
    <w:rsid w:val="001C248F"/>
    <w:rsid w:val="001C2B28"/>
    <w:rsid w:val="001C3FCF"/>
    <w:rsid w:val="001C4576"/>
    <w:rsid w:val="001C4C8F"/>
    <w:rsid w:val="001C4E8A"/>
    <w:rsid w:val="001C59D2"/>
    <w:rsid w:val="001C5B67"/>
    <w:rsid w:val="001C6442"/>
    <w:rsid w:val="001C663B"/>
    <w:rsid w:val="001D09E5"/>
    <w:rsid w:val="001D3101"/>
    <w:rsid w:val="001D5EFC"/>
    <w:rsid w:val="001D75DF"/>
    <w:rsid w:val="001D76B1"/>
    <w:rsid w:val="001D7D5F"/>
    <w:rsid w:val="001E0E08"/>
    <w:rsid w:val="001E3646"/>
    <w:rsid w:val="001E3991"/>
    <w:rsid w:val="001E5369"/>
    <w:rsid w:val="001E5A94"/>
    <w:rsid w:val="001E7A02"/>
    <w:rsid w:val="001F2207"/>
    <w:rsid w:val="001F223D"/>
    <w:rsid w:val="001F308F"/>
    <w:rsid w:val="001F32A4"/>
    <w:rsid w:val="001F5128"/>
    <w:rsid w:val="001F5A6D"/>
    <w:rsid w:val="001F657E"/>
    <w:rsid w:val="00201149"/>
    <w:rsid w:val="002031DF"/>
    <w:rsid w:val="00203E2B"/>
    <w:rsid w:val="00206238"/>
    <w:rsid w:val="00206446"/>
    <w:rsid w:val="002074A9"/>
    <w:rsid w:val="002100AD"/>
    <w:rsid w:val="002104A1"/>
    <w:rsid w:val="00210520"/>
    <w:rsid w:val="00210716"/>
    <w:rsid w:val="00211536"/>
    <w:rsid w:val="00211AD2"/>
    <w:rsid w:val="0021246C"/>
    <w:rsid w:val="002132D6"/>
    <w:rsid w:val="00214917"/>
    <w:rsid w:val="002159CB"/>
    <w:rsid w:val="00217332"/>
    <w:rsid w:val="002210EB"/>
    <w:rsid w:val="0022136A"/>
    <w:rsid w:val="00223EFC"/>
    <w:rsid w:val="00226335"/>
    <w:rsid w:val="002302B1"/>
    <w:rsid w:val="00230934"/>
    <w:rsid w:val="00231807"/>
    <w:rsid w:val="00232CCB"/>
    <w:rsid w:val="0023493D"/>
    <w:rsid w:val="00234FBC"/>
    <w:rsid w:val="00235551"/>
    <w:rsid w:val="00236A2B"/>
    <w:rsid w:val="00237865"/>
    <w:rsid w:val="00237BEC"/>
    <w:rsid w:val="00237D3C"/>
    <w:rsid w:val="00245D5A"/>
    <w:rsid w:val="00247DFE"/>
    <w:rsid w:val="0025174F"/>
    <w:rsid w:val="0025217F"/>
    <w:rsid w:val="00253078"/>
    <w:rsid w:val="002530E4"/>
    <w:rsid w:val="00253E48"/>
    <w:rsid w:val="0025461C"/>
    <w:rsid w:val="0025476A"/>
    <w:rsid w:val="00254AFD"/>
    <w:rsid w:val="0025540F"/>
    <w:rsid w:val="002558CA"/>
    <w:rsid w:val="0025630A"/>
    <w:rsid w:val="0025718D"/>
    <w:rsid w:val="00260B6A"/>
    <w:rsid w:val="00261FE2"/>
    <w:rsid w:val="002678CE"/>
    <w:rsid w:val="00267EEC"/>
    <w:rsid w:val="00271BD1"/>
    <w:rsid w:val="00271F05"/>
    <w:rsid w:val="0027225E"/>
    <w:rsid w:val="002724CB"/>
    <w:rsid w:val="002731ED"/>
    <w:rsid w:val="00273AD3"/>
    <w:rsid w:val="002752D6"/>
    <w:rsid w:val="00275F20"/>
    <w:rsid w:val="002768CC"/>
    <w:rsid w:val="00276F4C"/>
    <w:rsid w:val="002776A9"/>
    <w:rsid w:val="00277F64"/>
    <w:rsid w:val="00280805"/>
    <w:rsid w:val="00280958"/>
    <w:rsid w:val="00280B4D"/>
    <w:rsid w:val="00281E41"/>
    <w:rsid w:val="002827AA"/>
    <w:rsid w:val="0028484B"/>
    <w:rsid w:val="00284C91"/>
    <w:rsid w:val="00284E34"/>
    <w:rsid w:val="002852A5"/>
    <w:rsid w:val="00285632"/>
    <w:rsid w:val="00285A99"/>
    <w:rsid w:val="00286770"/>
    <w:rsid w:val="002903B1"/>
    <w:rsid w:val="00290BB5"/>
    <w:rsid w:val="002916C6"/>
    <w:rsid w:val="0029254F"/>
    <w:rsid w:val="00292B5D"/>
    <w:rsid w:val="00294E8E"/>
    <w:rsid w:val="00295989"/>
    <w:rsid w:val="00295AAC"/>
    <w:rsid w:val="00297B28"/>
    <w:rsid w:val="002A1088"/>
    <w:rsid w:val="002A41A8"/>
    <w:rsid w:val="002A516F"/>
    <w:rsid w:val="002A784A"/>
    <w:rsid w:val="002A7F53"/>
    <w:rsid w:val="002B1750"/>
    <w:rsid w:val="002B1877"/>
    <w:rsid w:val="002B22C5"/>
    <w:rsid w:val="002B43FE"/>
    <w:rsid w:val="002B48B1"/>
    <w:rsid w:val="002B4B7E"/>
    <w:rsid w:val="002B5080"/>
    <w:rsid w:val="002B5B6F"/>
    <w:rsid w:val="002B5BB6"/>
    <w:rsid w:val="002B7144"/>
    <w:rsid w:val="002B7341"/>
    <w:rsid w:val="002B7CD7"/>
    <w:rsid w:val="002B7E94"/>
    <w:rsid w:val="002C0212"/>
    <w:rsid w:val="002C082B"/>
    <w:rsid w:val="002C09D7"/>
    <w:rsid w:val="002C1937"/>
    <w:rsid w:val="002C1D93"/>
    <w:rsid w:val="002C294A"/>
    <w:rsid w:val="002C3050"/>
    <w:rsid w:val="002C3340"/>
    <w:rsid w:val="002C50F1"/>
    <w:rsid w:val="002C57E3"/>
    <w:rsid w:val="002C703D"/>
    <w:rsid w:val="002D062D"/>
    <w:rsid w:val="002D1CAF"/>
    <w:rsid w:val="002D2C45"/>
    <w:rsid w:val="002D4A56"/>
    <w:rsid w:val="002D6328"/>
    <w:rsid w:val="002D63D9"/>
    <w:rsid w:val="002E20A9"/>
    <w:rsid w:val="002E2D53"/>
    <w:rsid w:val="002E328E"/>
    <w:rsid w:val="002E392F"/>
    <w:rsid w:val="002E42D3"/>
    <w:rsid w:val="002E494B"/>
    <w:rsid w:val="002E5EB9"/>
    <w:rsid w:val="002E66C1"/>
    <w:rsid w:val="002E689E"/>
    <w:rsid w:val="002F0DD0"/>
    <w:rsid w:val="002F2CEB"/>
    <w:rsid w:val="002F3750"/>
    <w:rsid w:val="002F3960"/>
    <w:rsid w:val="002F45C3"/>
    <w:rsid w:val="002F5758"/>
    <w:rsid w:val="002F693C"/>
    <w:rsid w:val="002F7330"/>
    <w:rsid w:val="002F7410"/>
    <w:rsid w:val="003000E6"/>
    <w:rsid w:val="0030048C"/>
    <w:rsid w:val="00301421"/>
    <w:rsid w:val="00302136"/>
    <w:rsid w:val="00305188"/>
    <w:rsid w:val="0031002D"/>
    <w:rsid w:val="00312F04"/>
    <w:rsid w:val="00313022"/>
    <w:rsid w:val="00314FD6"/>
    <w:rsid w:val="003153B1"/>
    <w:rsid w:val="0031735D"/>
    <w:rsid w:val="00317D49"/>
    <w:rsid w:val="00320DC4"/>
    <w:rsid w:val="0032188F"/>
    <w:rsid w:val="00322405"/>
    <w:rsid w:val="00322EB8"/>
    <w:rsid w:val="00323AF0"/>
    <w:rsid w:val="00323DB7"/>
    <w:rsid w:val="003248FC"/>
    <w:rsid w:val="00324957"/>
    <w:rsid w:val="00325BD4"/>
    <w:rsid w:val="00325C9A"/>
    <w:rsid w:val="00331A9C"/>
    <w:rsid w:val="00331E23"/>
    <w:rsid w:val="00332331"/>
    <w:rsid w:val="003333D2"/>
    <w:rsid w:val="003340B6"/>
    <w:rsid w:val="003367C2"/>
    <w:rsid w:val="003416AF"/>
    <w:rsid w:val="00341B86"/>
    <w:rsid w:val="0034214D"/>
    <w:rsid w:val="00343748"/>
    <w:rsid w:val="00344347"/>
    <w:rsid w:val="0034557B"/>
    <w:rsid w:val="003474D8"/>
    <w:rsid w:val="00352661"/>
    <w:rsid w:val="003527BA"/>
    <w:rsid w:val="003560CA"/>
    <w:rsid w:val="00357017"/>
    <w:rsid w:val="00361DB2"/>
    <w:rsid w:val="0036276C"/>
    <w:rsid w:val="0036329D"/>
    <w:rsid w:val="0036675E"/>
    <w:rsid w:val="00366774"/>
    <w:rsid w:val="00366A0F"/>
    <w:rsid w:val="00367277"/>
    <w:rsid w:val="003705A6"/>
    <w:rsid w:val="00370D53"/>
    <w:rsid w:val="00371486"/>
    <w:rsid w:val="00371CDD"/>
    <w:rsid w:val="00372064"/>
    <w:rsid w:val="0037256C"/>
    <w:rsid w:val="00373D2D"/>
    <w:rsid w:val="00377AFD"/>
    <w:rsid w:val="00381861"/>
    <w:rsid w:val="0038259A"/>
    <w:rsid w:val="00382DB3"/>
    <w:rsid w:val="00383423"/>
    <w:rsid w:val="00386C91"/>
    <w:rsid w:val="00390462"/>
    <w:rsid w:val="00390C6F"/>
    <w:rsid w:val="00391405"/>
    <w:rsid w:val="003926FD"/>
    <w:rsid w:val="00394910"/>
    <w:rsid w:val="00394B3D"/>
    <w:rsid w:val="00397612"/>
    <w:rsid w:val="003A1B93"/>
    <w:rsid w:val="003A2653"/>
    <w:rsid w:val="003A27A6"/>
    <w:rsid w:val="003A3F09"/>
    <w:rsid w:val="003A45D6"/>
    <w:rsid w:val="003A546F"/>
    <w:rsid w:val="003A5476"/>
    <w:rsid w:val="003A5A21"/>
    <w:rsid w:val="003A61EA"/>
    <w:rsid w:val="003A778D"/>
    <w:rsid w:val="003B032D"/>
    <w:rsid w:val="003B20E6"/>
    <w:rsid w:val="003B4140"/>
    <w:rsid w:val="003B5712"/>
    <w:rsid w:val="003B67B6"/>
    <w:rsid w:val="003B6AB3"/>
    <w:rsid w:val="003B6B16"/>
    <w:rsid w:val="003B7EF1"/>
    <w:rsid w:val="003C0776"/>
    <w:rsid w:val="003C41D5"/>
    <w:rsid w:val="003C4AE3"/>
    <w:rsid w:val="003C53C7"/>
    <w:rsid w:val="003C5A3D"/>
    <w:rsid w:val="003C62E2"/>
    <w:rsid w:val="003C6971"/>
    <w:rsid w:val="003C6B5E"/>
    <w:rsid w:val="003C7966"/>
    <w:rsid w:val="003D0BA6"/>
    <w:rsid w:val="003D225C"/>
    <w:rsid w:val="003D2A03"/>
    <w:rsid w:val="003D40D9"/>
    <w:rsid w:val="003D4A6A"/>
    <w:rsid w:val="003D628C"/>
    <w:rsid w:val="003D7628"/>
    <w:rsid w:val="003E0203"/>
    <w:rsid w:val="003E06F7"/>
    <w:rsid w:val="003E0A31"/>
    <w:rsid w:val="003E0BF0"/>
    <w:rsid w:val="003E154C"/>
    <w:rsid w:val="003E1D9E"/>
    <w:rsid w:val="003E2EB9"/>
    <w:rsid w:val="003E3A80"/>
    <w:rsid w:val="003E4998"/>
    <w:rsid w:val="003E55B7"/>
    <w:rsid w:val="003E730A"/>
    <w:rsid w:val="003E78C1"/>
    <w:rsid w:val="003E7D55"/>
    <w:rsid w:val="003F215A"/>
    <w:rsid w:val="003F2549"/>
    <w:rsid w:val="003F31AB"/>
    <w:rsid w:val="003F31BC"/>
    <w:rsid w:val="003F3D1C"/>
    <w:rsid w:val="003F3E9D"/>
    <w:rsid w:val="003F4047"/>
    <w:rsid w:val="003F4436"/>
    <w:rsid w:val="003F4AF4"/>
    <w:rsid w:val="003F4FCF"/>
    <w:rsid w:val="003F4FFC"/>
    <w:rsid w:val="003F5A82"/>
    <w:rsid w:val="003F6FE8"/>
    <w:rsid w:val="003F72CD"/>
    <w:rsid w:val="003F77B3"/>
    <w:rsid w:val="003F7F8A"/>
    <w:rsid w:val="00401630"/>
    <w:rsid w:val="00402198"/>
    <w:rsid w:val="00403DF3"/>
    <w:rsid w:val="00404711"/>
    <w:rsid w:val="00404F8F"/>
    <w:rsid w:val="004061B5"/>
    <w:rsid w:val="0040792E"/>
    <w:rsid w:val="00410ADE"/>
    <w:rsid w:val="004123DC"/>
    <w:rsid w:val="00412DDF"/>
    <w:rsid w:val="00413528"/>
    <w:rsid w:val="00413EBD"/>
    <w:rsid w:val="00414815"/>
    <w:rsid w:val="00415331"/>
    <w:rsid w:val="0041540D"/>
    <w:rsid w:val="004161B9"/>
    <w:rsid w:val="004169A3"/>
    <w:rsid w:val="00417132"/>
    <w:rsid w:val="00420BF9"/>
    <w:rsid w:val="004211EC"/>
    <w:rsid w:val="004215DD"/>
    <w:rsid w:val="00422AD1"/>
    <w:rsid w:val="0042344C"/>
    <w:rsid w:val="0042424B"/>
    <w:rsid w:val="004244F5"/>
    <w:rsid w:val="004250E1"/>
    <w:rsid w:val="0042542E"/>
    <w:rsid w:val="00425B9A"/>
    <w:rsid w:val="0042612D"/>
    <w:rsid w:val="00426168"/>
    <w:rsid w:val="00427563"/>
    <w:rsid w:val="00431748"/>
    <w:rsid w:val="00431ECD"/>
    <w:rsid w:val="00432134"/>
    <w:rsid w:val="00432A8F"/>
    <w:rsid w:val="00433115"/>
    <w:rsid w:val="00433854"/>
    <w:rsid w:val="0043435B"/>
    <w:rsid w:val="00434A5E"/>
    <w:rsid w:val="00435EEA"/>
    <w:rsid w:val="0043788F"/>
    <w:rsid w:val="004413B6"/>
    <w:rsid w:val="004418C7"/>
    <w:rsid w:val="00442DAC"/>
    <w:rsid w:val="00446E33"/>
    <w:rsid w:val="00447111"/>
    <w:rsid w:val="00450B27"/>
    <w:rsid w:val="00450F4A"/>
    <w:rsid w:val="00451D76"/>
    <w:rsid w:val="00453AD5"/>
    <w:rsid w:val="0045417A"/>
    <w:rsid w:val="00454C2A"/>
    <w:rsid w:val="00455907"/>
    <w:rsid w:val="00456139"/>
    <w:rsid w:val="0045624C"/>
    <w:rsid w:val="00456638"/>
    <w:rsid w:val="004566F9"/>
    <w:rsid w:val="004570F7"/>
    <w:rsid w:val="00463439"/>
    <w:rsid w:val="0046376F"/>
    <w:rsid w:val="004644A1"/>
    <w:rsid w:val="00464F6D"/>
    <w:rsid w:val="00465033"/>
    <w:rsid w:val="00465217"/>
    <w:rsid w:val="004652F4"/>
    <w:rsid w:val="00467BDF"/>
    <w:rsid w:val="00467C0C"/>
    <w:rsid w:val="00467C92"/>
    <w:rsid w:val="00470DDC"/>
    <w:rsid w:val="0047175E"/>
    <w:rsid w:val="004717A5"/>
    <w:rsid w:val="0047290F"/>
    <w:rsid w:val="00473EBB"/>
    <w:rsid w:val="00475D33"/>
    <w:rsid w:val="0047774F"/>
    <w:rsid w:val="00480B43"/>
    <w:rsid w:val="00483A43"/>
    <w:rsid w:val="0048539C"/>
    <w:rsid w:val="00485657"/>
    <w:rsid w:val="00485AA2"/>
    <w:rsid w:val="0048634E"/>
    <w:rsid w:val="0048740E"/>
    <w:rsid w:val="00490B9A"/>
    <w:rsid w:val="004910C1"/>
    <w:rsid w:val="00491B48"/>
    <w:rsid w:val="0049236E"/>
    <w:rsid w:val="004941DF"/>
    <w:rsid w:val="00494502"/>
    <w:rsid w:val="00495261"/>
    <w:rsid w:val="00495AD7"/>
    <w:rsid w:val="00495CB9"/>
    <w:rsid w:val="004A3739"/>
    <w:rsid w:val="004A5105"/>
    <w:rsid w:val="004A5235"/>
    <w:rsid w:val="004A5C5D"/>
    <w:rsid w:val="004B0080"/>
    <w:rsid w:val="004B0BD1"/>
    <w:rsid w:val="004B2F11"/>
    <w:rsid w:val="004B3124"/>
    <w:rsid w:val="004B4CCC"/>
    <w:rsid w:val="004B51D9"/>
    <w:rsid w:val="004B6695"/>
    <w:rsid w:val="004B7D3E"/>
    <w:rsid w:val="004B7E5A"/>
    <w:rsid w:val="004C2E4C"/>
    <w:rsid w:val="004C33CB"/>
    <w:rsid w:val="004C50CF"/>
    <w:rsid w:val="004C52DA"/>
    <w:rsid w:val="004C577D"/>
    <w:rsid w:val="004C5C29"/>
    <w:rsid w:val="004C6A6F"/>
    <w:rsid w:val="004C6DA8"/>
    <w:rsid w:val="004D0948"/>
    <w:rsid w:val="004D2CEA"/>
    <w:rsid w:val="004D3F05"/>
    <w:rsid w:val="004D4743"/>
    <w:rsid w:val="004D4A4B"/>
    <w:rsid w:val="004D4C5E"/>
    <w:rsid w:val="004D5030"/>
    <w:rsid w:val="004D65C3"/>
    <w:rsid w:val="004D6976"/>
    <w:rsid w:val="004D6D63"/>
    <w:rsid w:val="004D7212"/>
    <w:rsid w:val="004D7A1B"/>
    <w:rsid w:val="004E078B"/>
    <w:rsid w:val="004E1E79"/>
    <w:rsid w:val="004E25FF"/>
    <w:rsid w:val="004E36EE"/>
    <w:rsid w:val="004E4254"/>
    <w:rsid w:val="004E5238"/>
    <w:rsid w:val="004E70DB"/>
    <w:rsid w:val="004F0C33"/>
    <w:rsid w:val="004F2333"/>
    <w:rsid w:val="004F4AD9"/>
    <w:rsid w:val="004F7D64"/>
    <w:rsid w:val="005004F8"/>
    <w:rsid w:val="005016FE"/>
    <w:rsid w:val="00501A15"/>
    <w:rsid w:val="005034D9"/>
    <w:rsid w:val="00504F62"/>
    <w:rsid w:val="0050771C"/>
    <w:rsid w:val="00510A5B"/>
    <w:rsid w:val="00510B20"/>
    <w:rsid w:val="00511104"/>
    <w:rsid w:val="005120C4"/>
    <w:rsid w:val="00512252"/>
    <w:rsid w:val="005135A6"/>
    <w:rsid w:val="00513721"/>
    <w:rsid w:val="0051376A"/>
    <w:rsid w:val="00513E4F"/>
    <w:rsid w:val="00513EF6"/>
    <w:rsid w:val="00515AB4"/>
    <w:rsid w:val="00515F7C"/>
    <w:rsid w:val="005165B3"/>
    <w:rsid w:val="00516EA2"/>
    <w:rsid w:val="00516ED4"/>
    <w:rsid w:val="00517A74"/>
    <w:rsid w:val="005204FA"/>
    <w:rsid w:val="0052165F"/>
    <w:rsid w:val="00521CF2"/>
    <w:rsid w:val="005224E3"/>
    <w:rsid w:val="00523538"/>
    <w:rsid w:val="0052569B"/>
    <w:rsid w:val="0052573D"/>
    <w:rsid w:val="0052687B"/>
    <w:rsid w:val="00526B45"/>
    <w:rsid w:val="00526C9B"/>
    <w:rsid w:val="00527863"/>
    <w:rsid w:val="00527F33"/>
    <w:rsid w:val="005300EC"/>
    <w:rsid w:val="00532C81"/>
    <w:rsid w:val="00533827"/>
    <w:rsid w:val="00533EE8"/>
    <w:rsid w:val="0053557F"/>
    <w:rsid w:val="00535A37"/>
    <w:rsid w:val="005360E3"/>
    <w:rsid w:val="00536873"/>
    <w:rsid w:val="005368BC"/>
    <w:rsid w:val="00537481"/>
    <w:rsid w:val="005406DE"/>
    <w:rsid w:val="005412F2"/>
    <w:rsid w:val="00541CF0"/>
    <w:rsid w:val="00541DDF"/>
    <w:rsid w:val="0054216C"/>
    <w:rsid w:val="00543EF8"/>
    <w:rsid w:val="00544299"/>
    <w:rsid w:val="005449FD"/>
    <w:rsid w:val="00545B3E"/>
    <w:rsid w:val="00546103"/>
    <w:rsid w:val="0054716A"/>
    <w:rsid w:val="005520D5"/>
    <w:rsid w:val="00552749"/>
    <w:rsid w:val="00554952"/>
    <w:rsid w:val="00554B0A"/>
    <w:rsid w:val="00555313"/>
    <w:rsid w:val="0055711A"/>
    <w:rsid w:val="00560D6F"/>
    <w:rsid w:val="005624BB"/>
    <w:rsid w:val="00562EE7"/>
    <w:rsid w:val="00564262"/>
    <w:rsid w:val="00564820"/>
    <w:rsid w:val="005675C7"/>
    <w:rsid w:val="00570A33"/>
    <w:rsid w:val="00570B75"/>
    <w:rsid w:val="00571952"/>
    <w:rsid w:val="00573BB4"/>
    <w:rsid w:val="00573E5A"/>
    <w:rsid w:val="0057419B"/>
    <w:rsid w:val="00574EB0"/>
    <w:rsid w:val="00582040"/>
    <w:rsid w:val="005831D2"/>
    <w:rsid w:val="00583CE0"/>
    <w:rsid w:val="00584C1F"/>
    <w:rsid w:val="00585335"/>
    <w:rsid w:val="005870B8"/>
    <w:rsid w:val="005906EE"/>
    <w:rsid w:val="005911A9"/>
    <w:rsid w:val="0059159F"/>
    <w:rsid w:val="00591AE3"/>
    <w:rsid w:val="00592AE2"/>
    <w:rsid w:val="00592C70"/>
    <w:rsid w:val="00592F49"/>
    <w:rsid w:val="00593848"/>
    <w:rsid w:val="00593D8D"/>
    <w:rsid w:val="005944CD"/>
    <w:rsid w:val="005950F8"/>
    <w:rsid w:val="00597191"/>
    <w:rsid w:val="005A22ED"/>
    <w:rsid w:val="005A314D"/>
    <w:rsid w:val="005A3AA0"/>
    <w:rsid w:val="005A3E81"/>
    <w:rsid w:val="005A497B"/>
    <w:rsid w:val="005A62A6"/>
    <w:rsid w:val="005A64E3"/>
    <w:rsid w:val="005A66C4"/>
    <w:rsid w:val="005A6ACB"/>
    <w:rsid w:val="005A7A11"/>
    <w:rsid w:val="005B2FC3"/>
    <w:rsid w:val="005B464C"/>
    <w:rsid w:val="005B4DFD"/>
    <w:rsid w:val="005B5D2E"/>
    <w:rsid w:val="005B7F32"/>
    <w:rsid w:val="005C108D"/>
    <w:rsid w:val="005C17CE"/>
    <w:rsid w:val="005C17FD"/>
    <w:rsid w:val="005C1997"/>
    <w:rsid w:val="005C2B94"/>
    <w:rsid w:val="005C4244"/>
    <w:rsid w:val="005C49ED"/>
    <w:rsid w:val="005C6355"/>
    <w:rsid w:val="005C73AB"/>
    <w:rsid w:val="005C761C"/>
    <w:rsid w:val="005D0D7F"/>
    <w:rsid w:val="005D1F3C"/>
    <w:rsid w:val="005D29D3"/>
    <w:rsid w:val="005D372A"/>
    <w:rsid w:val="005D4CAE"/>
    <w:rsid w:val="005D4D29"/>
    <w:rsid w:val="005D58CE"/>
    <w:rsid w:val="005D59D6"/>
    <w:rsid w:val="005D74E0"/>
    <w:rsid w:val="005E0529"/>
    <w:rsid w:val="005E11C4"/>
    <w:rsid w:val="005E13B8"/>
    <w:rsid w:val="005E2E6E"/>
    <w:rsid w:val="005E388C"/>
    <w:rsid w:val="005E38E1"/>
    <w:rsid w:val="005E3E4F"/>
    <w:rsid w:val="005E56EB"/>
    <w:rsid w:val="005E63E1"/>
    <w:rsid w:val="005E68EF"/>
    <w:rsid w:val="005E6B83"/>
    <w:rsid w:val="005E76F7"/>
    <w:rsid w:val="005F0425"/>
    <w:rsid w:val="005F196C"/>
    <w:rsid w:val="005F29C1"/>
    <w:rsid w:val="005F2A0D"/>
    <w:rsid w:val="005F42CC"/>
    <w:rsid w:val="005F437F"/>
    <w:rsid w:val="005F7CC8"/>
    <w:rsid w:val="00600AF7"/>
    <w:rsid w:val="006020AB"/>
    <w:rsid w:val="00602D5D"/>
    <w:rsid w:val="00602E9E"/>
    <w:rsid w:val="0060320B"/>
    <w:rsid w:val="00604626"/>
    <w:rsid w:val="0060477C"/>
    <w:rsid w:val="00604AFE"/>
    <w:rsid w:val="00604F7E"/>
    <w:rsid w:val="00605AA1"/>
    <w:rsid w:val="00605EBD"/>
    <w:rsid w:val="006065A2"/>
    <w:rsid w:val="00607059"/>
    <w:rsid w:val="006104D8"/>
    <w:rsid w:val="0061165C"/>
    <w:rsid w:val="0061196E"/>
    <w:rsid w:val="00611AAE"/>
    <w:rsid w:val="00612015"/>
    <w:rsid w:val="00612085"/>
    <w:rsid w:val="00616A8F"/>
    <w:rsid w:val="00617665"/>
    <w:rsid w:val="0062055F"/>
    <w:rsid w:val="00620EDD"/>
    <w:rsid w:val="0062231F"/>
    <w:rsid w:val="00624377"/>
    <w:rsid w:val="006259A0"/>
    <w:rsid w:val="006259A7"/>
    <w:rsid w:val="00625DFE"/>
    <w:rsid w:val="00626D33"/>
    <w:rsid w:val="0063115B"/>
    <w:rsid w:val="00632A2B"/>
    <w:rsid w:val="00634321"/>
    <w:rsid w:val="00634356"/>
    <w:rsid w:val="00635779"/>
    <w:rsid w:val="00635E3B"/>
    <w:rsid w:val="006364E5"/>
    <w:rsid w:val="00636A55"/>
    <w:rsid w:val="00636A60"/>
    <w:rsid w:val="00637588"/>
    <w:rsid w:val="0064079C"/>
    <w:rsid w:val="00642220"/>
    <w:rsid w:val="00645126"/>
    <w:rsid w:val="0064703C"/>
    <w:rsid w:val="00647081"/>
    <w:rsid w:val="0064779F"/>
    <w:rsid w:val="00647FE7"/>
    <w:rsid w:val="0065046E"/>
    <w:rsid w:val="00652841"/>
    <w:rsid w:val="00654331"/>
    <w:rsid w:val="00656788"/>
    <w:rsid w:val="00657176"/>
    <w:rsid w:val="00657D7C"/>
    <w:rsid w:val="00657F91"/>
    <w:rsid w:val="006604F6"/>
    <w:rsid w:val="00661CBA"/>
    <w:rsid w:val="00661E6B"/>
    <w:rsid w:val="006623F6"/>
    <w:rsid w:val="00662EEA"/>
    <w:rsid w:val="0066311A"/>
    <w:rsid w:val="006632C8"/>
    <w:rsid w:val="00663FB8"/>
    <w:rsid w:val="006648AF"/>
    <w:rsid w:val="0066658C"/>
    <w:rsid w:val="00667E1F"/>
    <w:rsid w:val="00670E0E"/>
    <w:rsid w:val="00671163"/>
    <w:rsid w:val="0067126F"/>
    <w:rsid w:val="006715DA"/>
    <w:rsid w:val="00673C4B"/>
    <w:rsid w:val="00674258"/>
    <w:rsid w:val="0067476E"/>
    <w:rsid w:val="00677A1C"/>
    <w:rsid w:val="00680DE4"/>
    <w:rsid w:val="00681978"/>
    <w:rsid w:val="006819E0"/>
    <w:rsid w:val="00683DB6"/>
    <w:rsid w:val="006841BC"/>
    <w:rsid w:val="0068461F"/>
    <w:rsid w:val="00684D58"/>
    <w:rsid w:val="00686014"/>
    <w:rsid w:val="00686D3F"/>
    <w:rsid w:val="00686EE6"/>
    <w:rsid w:val="00690346"/>
    <w:rsid w:val="00690EEF"/>
    <w:rsid w:val="00691C6C"/>
    <w:rsid w:val="006936C9"/>
    <w:rsid w:val="00693A34"/>
    <w:rsid w:val="00693E62"/>
    <w:rsid w:val="00693F4B"/>
    <w:rsid w:val="006943A4"/>
    <w:rsid w:val="00695066"/>
    <w:rsid w:val="006962B6"/>
    <w:rsid w:val="00696AD4"/>
    <w:rsid w:val="00696DE3"/>
    <w:rsid w:val="006A05B7"/>
    <w:rsid w:val="006A0762"/>
    <w:rsid w:val="006A167D"/>
    <w:rsid w:val="006A3D65"/>
    <w:rsid w:val="006A3FFA"/>
    <w:rsid w:val="006A5C60"/>
    <w:rsid w:val="006A6100"/>
    <w:rsid w:val="006A6F3D"/>
    <w:rsid w:val="006B17A4"/>
    <w:rsid w:val="006B3210"/>
    <w:rsid w:val="006B5057"/>
    <w:rsid w:val="006B52A1"/>
    <w:rsid w:val="006B618C"/>
    <w:rsid w:val="006B658F"/>
    <w:rsid w:val="006B77A6"/>
    <w:rsid w:val="006C0040"/>
    <w:rsid w:val="006C2C7E"/>
    <w:rsid w:val="006C356F"/>
    <w:rsid w:val="006C35E6"/>
    <w:rsid w:val="006C3810"/>
    <w:rsid w:val="006C41F3"/>
    <w:rsid w:val="006C4777"/>
    <w:rsid w:val="006C50A7"/>
    <w:rsid w:val="006C55D3"/>
    <w:rsid w:val="006C6D5C"/>
    <w:rsid w:val="006C7C8B"/>
    <w:rsid w:val="006C7CD0"/>
    <w:rsid w:val="006D0B0D"/>
    <w:rsid w:val="006D1045"/>
    <w:rsid w:val="006D241F"/>
    <w:rsid w:val="006D31BC"/>
    <w:rsid w:val="006D3C09"/>
    <w:rsid w:val="006D3EAD"/>
    <w:rsid w:val="006D4B5A"/>
    <w:rsid w:val="006D510C"/>
    <w:rsid w:val="006D69EC"/>
    <w:rsid w:val="006E36D0"/>
    <w:rsid w:val="006E4E83"/>
    <w:rsid w:val="006E50DE"/>
    <w:rsid w:val="006E5EBF"/>
    <w:rsid w:val="006E60B6"/>
    <w:rsid w:val="006E747F"/>
    <w:rsid w:val="006E77C6"/>
    <w:rsid w:val="006F040D"/>
    <w:rsid w:val="006F16BF"/>
    <w:rsid w:val="006F2580"/>
    <w:rsid w:val="006F2D14"/>
    <w:rsid w:val="006F4323"/>
    <w:rsid w:val="006F5AEE"/>
    <w:rsid w:val="006F5DDE"/>
    <w:rsid w:val="006F6924"/>
    <w:rsid w:val="006F7A58"/>
    <w:rsid w:val="00700820"/>
    <w:rsid w:val="0070162A"/>
    <w:rsid w:val="007021ED"/>
    <w:rsid w:val="00702ABE"/>
    <w:rsid w:val="00702F77"/>
    <w:rsid w:val="00703A42"/>
    <w:rsid w:val="00703F6C"/>
    <w:rsid w:val="007041D3"/>
    <w:rsid w:val="00705C86"/>
    <w:rsid w:val="00705DFE"/>
    <w:rsid w:val="00706689"/>
    <w:rsid w:val="007072A2"/>
    <w:rsid w:val="00711402"/>
    <w:rsid w:val="00714273"/>
    <w:rsid w:val="007150BC"/>
    <w:rsid w:val="00715534"/>
    <w:rsid w:val="00716626"/>
    <w:rsid w:val="007211C0"/>
    <w:rsid w:val="00721CF7"/>
    <w:rsid w:val="007220A5"/>
    <w:rsid w:val="007224A2"/>
    <w:rsid w:val="007228A3"/>
    <w:rsid w:val="00723619"/>
    <w:rsid w:val="007253F2"/>
    <w:rsid w:val="00727114"/>
    <w:rsid w:val="0072768C"/>
    <w:rsid w:val="00730758"/>
    <w:rsid w:val="0073228C"/>
    <w:rsid w:val="00732306"/>
    <w:rsid w:val="0073232C"/>
    <w:rsid w:val="00732426"/>
    <w:rsid w:val="00732742"/>
    <w:rsid w:val="007337E1"/>
    <w:rsid w:val="007358FA"/>
    <w:rsid w:val="00735C75"/>
    <w:rsid w:val="00736DCB"/>
    <w:rsid w:val="0073741A"/>
    <w:rsid w:val="007377DD"/>
    <w:rsid w:val="00740633"/>
    <w:rsid w:val="00740F98"/>
    <w:rsid w:val="00741E89"/>
    <w:rsid w:val="0074219F"/>
    <w:rsid w:val="00743382"/>
    <w:rsid w:val="00744251"/>
    <w:rsid w:val="0074478C"/>
    <w:rsid w:val="007448F8"/>
    <w:rsid w:val="00744D68"/>
    <w:rsid w:val="007455A6"/>
    <w:rsid w:val="007457E2"/>
    <w:rsid w:val="0074695A"/>
    <w:rsid w:val="00750751"/>
    <w:rsid w:val="00750A16"/>
    <w:rsid w:val="007524B6"/>
    <w:rsid w:val="00752B78"/>
    <w:rsid w:val="007535DD"/>
    <w:rsid w:val="007541C1"/>
    <w:rsid w:val="007559B4"/>
    <w:rsid w:val="00757E38"/>
    <w:rsid w:val="007607A9"/>
    <w:rsid w:val="00760E4B"/>
    <w:rsid w:val="00761768"/>
    <w:rsid w:val="007631E6"/>
    <w:rsid w:val="00763C95"/>
    <w:rsid w:val="00763E3E"/>
    <w:rsid w:val="0076502B"/>
    <w:rsid w:val="00765B96"/>
    <w:rsid w:val="00765C65"/>
    <w:rsid w:val="00767BD7"/>
    <w:rsid w:val="007709CC"/>
    <w:rsid w:val="00770BF0"/>
    <w:rsid w:val="00771CD4"/>
    <w:rsid w:val="00773D18"/>
    <w:rsid w:val="007743FA"/>
    <w:rsid w:val="00774CA3"/>
    <w:rsid w:val="0077507E"/>
    <w:rsid w:val="00776A6F"/>
    <w:rsid w:val="0077720D"/>
    <w:rsid w:val="00777702"/>
    <w:rsid w:val="00780846"/>
    <w:rsid w:val="00781B69"/>
    <w:rsid w:val="00782236"/>
    <w:rsid w:val="007833F2"/>
    <w:rsid w:val="0078565E"/>
    <w:rsid w:val="00785F13"/>
    <w:rsid w:val="00786CD7"/>
    <w:rsid w:val="00787829"/>
    <w:rsid w:val="007905EF"/>
    <w:rsid w:val="007914E1"/>
    <w:rsid w:val="007941FF"/>
    <w:rsid w:val="007942BC"/>
    <w:rsid w:val="00794EAC"/>
    <w:rsid w:val="007964A6"/>
    <w:rsid w:val="00796994"/>
    <w:rsid w:val="007A11AB"/>
    <w:rsid w:val="007A1577"/>
    <w:rsid w:val="007A2B57"/>
    <w:rsid w:val="007A2C76"/>
    <w:rsid w:val="007A3406"/>
    <w:rsid w:val="007A352C"/>
    <w:rsid w:val="007A3894"/>
    <w:rsid w:val="007A38A9"/>
    <w:rsid w:val="007A42D1"/>
    <w:rsid w:val="007A5330"/>
    <w:rsid w:val="007A63AA"/>
    <w:rsid w:val="007A68CA"/>
    <w:rsid w:val="007A730A"/>
    <w:rsid w:val="007A7521"/>
    <w:rsid w:val="007B0FA2"/>
    <w:rsid w:val="007B1256"/>
    <w:rsid w:val="007B5C3F"/>
    <w:rsid w:val="007C0244"/>
    <w:rsid w:val="007C0AE4"/>
    <w:rsid w:val="007C15B7"/>
    <w:rsid w:val="007C3AD5"/>
    <w:rsid w:val="007C4815"/>
    <w:rsid w:val="007C52A3"/>
    <w:rsid w:val="007C5E54"/>
    <w:rsid w:val="007C5FED"/>
    <w:rsid w:val="007C6B3B"/>
    <w:rsid w:val="007C7000"/>
    <w:rsid w:val="007C738F"/>
    <w:rsid w:val="007C7480"/>
    <w:rsid w:val="007C7764"/>
    <w:rsid w:val="007D0430"/>
    <w:rsid w:val="007D0859"/>
    <w:rsid w:val="007D1B81"/>
    <w:rsid w:val="007D2D20"/>
    <w:rsid w:val="007D2ED1"/>
    <w:rsid w:val="007D405F"/>
    <w:rsid w:val="007D42E7"/>
    <w:rsid w:val="007D7C5B"/>
    <w:rsid w:val="007E0AE8"/>
    <w:rsid w:val="007E1693"/>
    <w:rsid w:val="007E1E07"/>
    <w:rsid w:val="007E2E64"/>
    <w:rsid w:val="007E6190"/>
    <w:rsid w:val="007F054A"/>
    <w:rsid w:val="007F0988"/>
    <w:rsid w:val="007F25B1"/>
    <w:rsid w:val="007F2EFD"/>
    <w:rsid w:val="007F3D7C"/>
    <w:rsid w:val="007F41AE"/>
    <w:rsid w:val="007F55A9"/>
    <w:rsid w:val="007F64C7"/>
    <w:rsid w:val="007F6E59"/>
    <w:rsid w:val="007F7178"/>
    <w:rsid w:val="00800CFA"/>
    <w:rsid w:val="008023FA"/>
    <w:rsid w:val="0080394D"/>
    <w:rsid w:val="0080398A"/>
    <w:rsid w:val="008040EB"/>
    <w:rsid w:val="00804748"/>
    <w:rsid w:val="00804952"/>
    <w:rsid w:val="0080742D"/>
    <w:rsid w:val="008116E2"/>
    <w:rsid w:val="008120FC"/>
    <w:rsid w:val="00814A63"/>
    <w:rsid w:val="00814C3F"/>
    <w:rsid w:val="008150E9"/>
    <w:rsid w:val="008158CD"/>
    <w:rsid w:val="008214A7"/>
    <w:rsid w:val="00823343"/>
    <w:rsid w:val="00824D03"/>
    <w:rsid w:val="008255AD"/>
    <w:rsid w:val="00825B69"/>
    <w:rsid w:val="0082695C"/>
    <w:rsid w:val="0082734A"/>
    <w:rsid w:val="008273EC"/>
    <w:rsid w:val="00827D39"/>
    <w:rsid w:val="0083054F"/>
    <w:rsid w:val="008307F7"/>
    <w:rsid w:val="00830BCF"/>
    <w:rsid w:val="008313BA"/>
    <w:rsid w:val="00831F58"/>
    <w:rsid w:val="008323A3"/>
    <w:rsid w:val="00836981"/>
    <w:rsid w:val="00836E80"/>
    <w:rsid w:val="0084248D"/>
    <w:rsid w:val="00844183"/>
    <w:rsid w:val="0084518C"/>
    <w:rsid w:val="008460F6"/>
    <w:rsid w:val="008477DB"/>
    <w:rsid w:val="00847F4C"/>
    <w:rsid w:val="00847FD5"/>
    <w:rsid w:val="00851292"/>
    <w:rsid w:val="00851446"/>
    <w:rsid w:val="008520D6"/>
    <w:rsid w:val="008521EC"/>
    <w:rsid w:val="00853068"/>
    <w:rsid w:val="008539F8"/>
    <w:rsid w:val="008549C7"/>
    <w:rsid w:val="0085572C"/>
    <w:rsid w:val="00855DC2"/>
    <w:rsid w:val="008575D6"/>
    <w:rsid w:val="008605EA"/>
    <w:rsid w:val="00860CA7"/>
    <w:rsid w:val="00861783"/>
    <w:rsid w:val="00863567"/>
    <w:rsid w:val="00864DCE"/>
    <w:rsid w:val="00865EDD"/>
    <w:rsid w:val="00865FF9"/>
    <w:rsid w:val="008660C1"/>
    <w:rsid w:val="00866FEB"/>
    <w:rsid w:val="008672C7"/>
    <w:rsid w:val="0087289E"/>
    <w:rsid w:val="008729ED"/>
    <w:rsid w:val="008742B1"/>
    <w:rsid w:val="00874E9F"/>
    <w:rsid w:val="00875D56"/>
    <w:rsid w:val="00875FCF"/>
    <w:rsid w:val="0087634E"/>
    <w:rsid w:val="00877D8A"/>
    <w:rsid w:val="0088176F"/>
    <w:rsid w:val="00882C6C"/>
    <w:rsid w:val="008841DE"/>
    <w:rsid w:val="00884C54"/>
    <w:rsid w:val="00884CE1"/>
    <w:rsid w:val="0088562D"/>
    <w:rsid w:val="00886DD2"/>
    <w:rsid w:val="00887BFB"/>
    <w:rsid w:val="0089131A"/>
    <w:rsid w:val="008925A1"/>
    <w:rsid w:val="008925D8"/>
    <w:rsid w:val="0089335D"/>
    <w:rsid w:val="00893DFC"/>
    <w:rsid w:val="008944F8"/>
    <w:rsid w:val="00895A33"/>
    <w:rsid w:val="00896BC6"/>
    <w:rsid w:val="008A13D0"/>
    <w:rsid w:val="008A27BF"/>
    <w:rsid w:val="008A2D24"/>
    <w:rsid w:val="008A306C"/>
    <w:rsid w:val="008A364F"/>
    <w:rsid w:val="008A4366"/>
    <w:rsid w:val="008A61BB"/>
    <w:rsid w:val="008B0074"/>
    <w:rsid w:val="008B1666"/>
    <w:rsid w:val="008B1A7B"/>
    <w:rsid w:val="008B1C2E"/>
    <w:rsid w:val="008B2344"/>
    <w:rsid w:val="008B2CCC"/>
    <w:rsid w:val="008B32D0"/>
    <w:rsid w:val="008B5789"/>
    <w:rsid w:val="008B5B4D"/>
    <w:rsid w:val="008B5FBD"/>
    <w:rsid w:val="008B7E26"/>
    <w:rsid w:val="008C13AE"/>
    <w:rsid w:val="008C2362"/>
    <w:rsid w:val="008C3F3C"/>
    <w:rsid w:val="008C480F"/>
    <w:rsid w:val="008C6B7C"/>
    <w:rsid w:val="008D09EF"/>
    <w:rsid w:val="008D2171"/>
    <w:rsid w:val="008D3AD6"/>
    <w:rsid w:val="008D3AF9"/>
    <w:rsid w:val="008D3D8D"/>
    <w:rsid w:val="008D504B"/>
    <w:rsid w:val="008D60E7"/>
    <w:rsid w:val="008D6F69"/>
    <w:rsid w:val="008D764C"/>
    <w:rsid w:val="008E3676"/>
    <w:rsid w:val="008E45CF"/>
    <w:rsid w:val="008E49F2"/>
    <w:rsid w:val="008E62E8"/>
    <w:rsid w:val="008E6DED"/>
    <w:rsid w:val="008F07C8"/>
    <w:rsid w:val="008F21A4"/>
    <w:rsid w:val="008F2943"/>
    <w:rsid w:val="008F3134"/>
    <w:rsid w:val="008F38E7"/>
    <w:rsid w:val="008F4450"/>
    <w:rsid w:val="008F45A5"/>
    <w:rsid w:val="008F6C78"/>
    <w:rsid w:val="009000AF"/>
    <w:rsid w:val="0090198E"/>
    <w:rsid w:val="009022DE"/>
    <w:rsid w:val="00903902"/>
    <w:rsid w:val="00903A7B"/>
    <w:rsid w:val="0090443C"/>
    <w:rsid w:val="00905125"/>
    <w:rsid w:val="00907291"/>
    <w:rsid w:val="009075CB"/>
    <w:rsid w:val="0090765D"/>
    <w:rsid w:val="00910E5B"/>
    <w:rsid w:val="00912D21"/>
    <w:rsid w:val="009138E1"/>
    <w:rsid w:val="00913FC6"/>
    <w:rsid w:val="0091420E"/>
    <w:rsid w:val="0091446B"/>
    <w:rsid w:val="009172CB"/>
    <w:rsid w:val="00917B64"/>
    <w:rsid w:val="00920DBA"/>
    <w:rsid w:val="00922215"/>
    <w:rsid w:val="0092250D"/>
    <w:rsid w:val="00930922"/>
    <w:rsid w:val="00930B10"/>
    <w:rsid w:val="00932D63"/>
    <w:rsid w:val="009333F7"/>
    <w:rsid w:val="00934993"/>
    <w:rsid w:val="00935FC8"/>
    <w:rsid w:val="0093656B"/>
    <w:rsid w:val="0093663A"/>
    <w:rsid w:val="00937CEF"/>
    <w:rsid w:val="00943010"/>
    <w:rsid w:val="009430D2"/>
    <w:rsid w:val="009432DC"/>
    <w:rsid w:val="009452FC"/>
    <w:rsid w:val="00947E17"/>
    <w:rsid w:val="009505D2"/>
    <w:rsid w:val="0095247B"/>
    <w:rsid w:val="00952750"/>
    <w:rsid w:val="009530C2"/>
    <w:rsid w:val="00953397"/>
    <w:rsid w:val="00955B2A"/>
    <w:rsid w:val="009566D8"/>
    <w:rsid w:val="0095707C"/>
    <w:rsid w:val="0095737B"/>
    <w:rsid w:val="00960D48"/>
    <w:rsid w:val="0096120B"/>
    <w:rsid w:val="00961F8D"/>
    <w:rsid w:val="00962E5E"/>
    <w:rsid w:val="0096315E"/>
    <w:rsid w:val="00963189"/>
    <w:rsid w:val="00963C36"/>
    <w:rsid w:val="00963FB3"/>
    <w:rsid w:val="009648A8"/>
    <w:rsid w:val="00964BBF"/>
    <w:rsid w:val="00965B2D"/>
    <w:rsid w:val="0096609D"/>
    <w:rsid w:val="00966938"/>
    <w:rsid w:val="00967458"/>
    <w:rsid w:val="00970092"/>
    <w:rsid w:val="009705C0"/>
    <w:rsid w:val="00971459"/>
    <w:rsid w:val="009719B1"/>
    <w:rsid w:val="00971F87"/>
    <w:rsid w:val="00973294"/>
    <w:rsid w:val="0097434D"/>
    <w:rsid w:val="00975416"/>
    <w:rsid w:val="009757D3"/>
    <w:rsid w:val="00975C3F"/>
    <w:rsid w:val="009807F1"/>
    <w:rsid w:val="009813A9"/>
    <w:rsid w:val="00981BA6"/>
    <w:rsid w:val="00983C58"/>
    <w:rsid w:val="00984336"/>
    <w:rsid w:val="00985FF7"/>
    <w:rsid w:val="00986A1C"/>
    <w:rsid w:val="00986F9E"/>
    <w:rsid w:val="009872F2"/>
    <w:rsid w:val="009872FC"/>
    <w:rsid w:val="0099073F"/>
    <w:rsid w:val="00992C5C"/>
    <w:rsid w:val="009932CE"/>
    <w:rsid w:val="00993BBE"/>
    <w:rsid w:val="0099517C"/>
    <w:rsid w:val="009A0353"/>
    <w:rsid w:val="009A084A"/>
    <w:rsid w:val="009A0FE0"/>
    <w:rsid w:val="009A216B"/>
    <w:rsid w:val="009A3AE6"/>
    <w:rsid w:val="009A4048"/>
    <w:rsid w:val="009A5113"/>
    <w:rsid w:val="009A5C20"/>
    <w:rsid w:val="009A7403"/>
    <w:rsid w:val="009B0638"/>
    <w:rsid w:val="009B0BC0"/>
    <w:rsid w:val="009B320C"/>
    <w:rsid w:val="009B4F48"/>
    <w:rsid w:val="009B5548"/>
    <w:rsid w:val="009B60B6"/>
    <w:rsid w:val="009B63FC"/>
    <w:rsid w:val="009B6C98"/>
    <w:rsid w:val="009B7E78"/>
    <w:rsid w:val="009C0B5F"/>
    <w:rsid w:val="009C0F2B"/>
    <w:rsid w:val="009C13D2"/>
    <w:rsid w:val="009C24D5"/>
    <w:rsid w:val="009C34A9"/>
    <w:rsid w:val="009C3597"/>
    <w:rsid w:val="009C45AA"/>
    <w:rsid w:val="009C55E2"/>
    <w:rsid w:val="009C58F3"/>
    <w:rsid w:val="009C7277"/>
    <w:rsid w:val="009D00C5"/>
    <w:rsid w:val="009D0CD8"/>
    <w:rsid w:val="009D2C7A"/>
    <w:rsid w:val="009D422B"/>
    <w:rsid w:val="009D4821"/>
    <w:rsid w:val="009D4EC7"/>
    <w:rsid w:val="009D54FB"/>
    <w:rsid w:val="009D6746"/>
    <w:rsid w:val="009D7139"/>
    <w:rsid w:val="009D737C"/>
    <w:rsid w:val="009E03E7"/>
    <w:rsid w:val="009E14ED"/>
    <w:rsid w:val="009E15DD"/>
    <w:rsid w:val="009E1611"/>
    <w:rsid w:val="009E200C"/>
    <w:rsid w:val="009E35BC"/>
    <w:rsid w:val="009E3632"/>
    <w:rsid w:val="009E3C3D"/>
    <w:rsid w:val="009E4880"/>
    <w:rsid w:val="009E4AB0"/>
    <w:rsid w:val="009E6372"/>
    <w:rsid w:val="009E72DC"/>
    <w:rsid w:val="009E79BE"/>
    <w:rsid w:val="009F0D27"/>
    <w:rsid w:val="009F0F54"/>
    <w:rsid w:val="009F1CE0"/>
    <w:rsid w:val="009F3136"/>
    <w:rsid w:val="009F369D"/>
    <w:rsid w:val="009F4602"/>
    <w:rsid w:val="009F4B6A"/>
    <w:rsid w:val="009F4DE8"/>
    <w:rsid w:val="009F4E64"/>
    <w:rsid w:val="009F5AD5"/>
    <w:rsid w:val="009F6D10"/>
    <w:rsid w:val="009F7767"/>
    <w:rsid w:val="009F7A79"/>
    <w:rsid w:val="009F7ED2"/>
    <w:rsid w:val="00A007AA"/>
    <w:rsid w:val="00A01ACB"/>
    <w:rsid w:val="00A03427"/>
    <w:rsid w:val="00A03BB6"/>
    <w:rsid w:val="00A043A1"/>
    <w:rsid w:val="00A04469"/>
    <w:rsid w:val="00A05004"/>
    <w:rsid w:val="00A07754"/>
    <w:rsid w:val="00A109D4"/>
    <w:rsid w:val="00A12464"/>
    <w:rsid w:val="00A13B68"/>
    <w:rsid w:val="00A13C71"/>
    <w:rsid w:val="00A13FBD"/>
    <w:rsid w:val="00A153DC"/>
    <w:rsid w:val="00A15DDD"/>
    <w:rsid w:val="00A1629C"/>
    <w:rsid w:val="00A17FEB"/>
    <w:rsid w:val="00A21924"/>
    <w:rsid w:val="00A222A3"/>
    <w:rsid w:val="00A24534"/>
    <w:rsid w:val="00A25820"/>
    <w:rsid w:val="00A2657C"/>
    <w:rsid w:val="00A26C4B"/>
    <w:rsid w:val="00A27F44"/>
    <w:rsid w:val="00A30258"/>
    <w:rsid w:val="00A306EC"/>
    <w:rsid w:val="00A30FE3"/>
    <w:rsid w:val="00A31407"/>
    <w:rsid w:val="00A31557"/>
    <w:rsid w:val="00A323FD"/>
    <w:rsid w:val="00A33699"/>
    <w:rsid w:val="00A33B06"/>
    <w:rsid w:val="00A347B7"/>
    <w:rsid w:val="00A34C58"/>
    <w:rsid w:val="00A36F3E"/>
    <w:rsid w:val="00A37057"/>
    <w:rsid w:val="00A37DF6"/>
    <w:rsid w:val="00A40345"/>
    <w:rsid w:val="00A4127D"/>
    <w:rsid w:val="00A4218A"/>
    <w:rsid w:val="00A424BE"/>
    <w:rsid w:val="00A4361B"/>
    <w:rsid w:val="00A43929"/>
    <w:rsid w:val="00A44D10"/>
    <w:rsid w:val="00A4585C"/>
    <w:rsid w:val="00A46425"/>
    <w:rsid w:val="00A46DD1"/>
    <w:rsid w:val="00A52212"/>
    <w:rsid w:val="00A52BB5"/>
    <w:rsid w:val="00A5341E"/>
    <w:rsid w:val="00A547BF"/>
    <w:rsid w:val="00A54B83"/>
    <w:rsid w:val="00A568C8"/>
    <w:rsid w:val="00A57759"/>
    <w:rsid w:val="00A603EF"/>
    <w:rsid w:val="00A605BA"/>
    <w:rsid w:val="00A606B4"/>
    <w:rsid w:val="00A65547"/>
    <w:rsid w:val="00A7107E"/>
    <w:rsid w:val="00A73D7E"/>
    <w:rsid w:val="00A746B8"/>
    <w:rsid w:val="00A75142"/>
    <w:rsid w:val="00A8002B"/>
    <w:rsid w:val="00A808C5"/>
    <w:rsid w:val="00A81C02"/>
    <w:rsid w:val="00A81F24"/>
    <w:rsid w:val="00A82666"/>
    <w:rsid w:val="00A84B55"/>
    <w:rsid w:val="00A853C0"/>
    <w:rsid w:val="00A8541E"/>
    <w:rsid w:val="00A917E0"/>
    <w:rsid w:val="00A92116"/>
    <w:rsid w:val="00A92A4B"/>
    <w:rsid w:val="00A94099"/>
    <w:rsid w:val="00A956F6"/>
    <w:rsid w:val="00A95EB7"/>
    <w:rsid w:val="00AA00AC"/>
    <w:rsid w:val="00AA17CA"/>
    <w:rsid w:val="00AA2323"/>
    <w:rsid w:val="00AA2EBE"/>
    <w:rsid w:val="00AA3E51"/>
    <w:rsid w:val="00AA3F7A"/>
    <w:rsid w:val="00AA461C"/>
    <w:rsid w:val="00AA54D5"/>
    <w:rsid w:val="00AA54EA"/>
    <w:rsid w:val="00AA768E"/>
    <w:rsid w:val="00AB0907"/>
    <w:rsid w:val="00AB09AD"/>
    <w:rsid w:val="00AB2380"/>
    <w:rsid w:val="00AB2D36"/>
    <w:rsid w:val="00AB2DFF"/>
    <w:rsid w:val="00AB2F09"/>
    <w:rsid w:val="00AB3329"/>
    <w:rsid w:val="00AB39D5"/>
    <w:rsid w:val="00AB3B8F"/>
    <w:rsid w:val="00AB3F79"/>
    <w:rsid w:val="00AC0191"/>
    <w:rsid w:val="00AC15D4"/>
    <w:rsid w:val="00AC1CAD"/>
    <w:rsid w:val="00AC1E52"/>
    <w:rsid w:val="00AC2659"/>
    <w:rsid w:val="00AC27D5"/>
    <w:rsid w:val="00AC29F5"/>
    <w:rsid w:val="00AC2B7B"/>
    <w:rsid w:val="00AC4DDC"/>
    <w:rsid w:val="00AC4ECB"/>
    <w:rsid w:val="00AC5E87"/>
    <w:rsid w:val="00AC69AC"/>
    <w:rsid w:val="00AC7055"/>
    <w:rsid w:val="00AD0231"/>
    <w:rsid w:val="00AD0A70"/>
    <w:rsid w:val="00AD3462"/>
    <w:rsid w:val="00AD4305"/>
    <w:rsid w:val="00AD49A9"/>
    <w:rsid w:val="00AD533A"/>
    <w:rsid w:val="00AE06BB"/>
    <w:rsid w:val="00AE3E3A"/>
    <w:rsid w:val="00AE43A8"/>
    <w:rsid w:val="00AE43DC"/>
    <w:rsid w:val="00AE510A"/>
    <w:rsid w:val="00AE5114"/>
    <w:rsid w:val="00AE525F"/>
    <w:rsid w:val="00AE5417"/>
    <w:rsid w:val="00AE69D8"/>
    <w:rsid w:val="00AE6CC0"/>
    <w:rsid w:val="00AE76A1"/>
    <w:rsid w:val="00AF0257"/>
    <w:rsid w:val="00AF1D3E"/>
    <w:rsid w:val="00AF2CDF"/>
    <w:rsid w:val="00AF32CC"/>
    <w:rsid w:val="00AF419A"/>
    <w:rsid w:val="00AF4681"/>
    <w:rsid w:val="00AF718B"/>
    <w:rsid w:val="00B001DB"/>
    <w:rsid w:val="00B01316"/>
    <w:rsid w:val="00B01A49"/>
    <w:rsid w:val="00B01AEA"/>
    <w:rsid w:val="00B02FED"/>
    <w:rsid w:val="00B041BC"/>
    <w:rsid w:val="00B05F5F"/>
    <w:rsid w:val="00B061EB"/>
    <w:rsid w:val="00B06C9A"/>
    <w:rsid w:val="00B07982"/>
    <w:rsid w:val="00B11729"/>
    <w:rsid w:val="00B117B6"/>
    <w:rsid w:val="00B135FE"/>
    <w:rsid w:val="00B1397F"/>
    <w:rsid w:val="00B13FD4"/>
    <w:rsid w:val="00B14377"/>
    <w:rsid w:val="00B14782"/>
    <w:rsid w:val="00B162DD"/>
    <w:rsid w:val="00B16C8F"/>
    <w:rsid w:val="00B172AC"/>
    <w:rsid w:val="00B17CF2"/>
    <w:rsid w:val="00B17D4B"/>
    <w:rsid w:val="00B2319D"/>
    <w:rsid w:val="00B24B0C"/>
    <w:rsid w:val="00B24EC2"/>
    <w:rsid w:val="00B25D45"/>
    <w:rsid w:val="00B26353"/>
    <w:rsid w:val="00B300A2"/>
    <w:rsid w:val="00B30ADD"/>
    <w:rsid w:val="00B31822"/>
    <w:rsid w:val="00B32738"/>
    <w:rsid w:val="00B3414A"/>
    <w:rsid w:val="00B34205"/>
    <w:rsid w:val="00B346A3"/>
    <w:rsid w:val="00B34FB1"/>
    <w:rsid w:val="00B3589C"/>
    <w:rsid w:val="00B368C4"/>
    <w:rsid w:val="00B373DA"/>
    <w:rsid w:val="00B374D1"/>
    <w:rsid w:val="00B40ACD"/>
    <w:rsid w:val="00B40C1F"/>
    <w:rsid w:val="00B41E76"/>
    <w:rsid w:val="00B4238A"/>
    <w:rsid w:val="00B4297D"/>
    <w:rsid w:val="00B42BBF"/>
    <w:rsid w:val="00B42DC0"/>
    <w:rsid w:val="00B451E5"/>
    <w:rsid w:val="00B45C5B"/>
    <w:rsid w:val="00B45D3D"/>
    <w:rsid w:val="00B47D02"/>
    <w:rsid w:val="00B52080"/>
    <w:rsid w:val="00B522B2"/>
    <w:rsid w:val="00B5232F"/>
    <w:rsid w:val="00B52479"/>
    <w:rsid w:val="00B52921"/>
    <w:rsid w:val="00B52952"/>
    <w:rsid w:val="00B54AF3"/>
    <w:rsid w:val="00B64E73"/>
    <w:rsid w:val="00B64FBF"/>
    <w:rsid w:val="00B657FA"/>
    <w:rsid w:val="00B65CEA"/>
    <w:rsid w:val="00B65D1F"/>
    <w:rsid w:val="00B71DA0"/>
    <w:rsid w:val="00B729BC"/>
    <w:rsid w:val="00B73991"/>
    <w:rsid w:val="00B73A1D"/>
    <w:rsid w:val="00B73BC2"/>
    <w:rsid w:val="00B73C7E"/>
    <w:rsid w:val="00B73F36"/>
    <w:rsid w:val="00B75CC8"/>
    <w:rsid w:val="00B76711"/>
    <w:rsid w:val="00B77A57"/>
    <w:rsid w:val="00B802CD"/>
    <w:rsid w:val="00B80E50"/>
    <w:rsid w:val="00B821C4"/>
    <w:rsid w:val="00B824B4"/>
    <w:rsid w:val="00B8363F"/>
    <w:rsid w:val="00B84615"/>
    <w:rsid w:val="00B8489D"/>
    <w:rsid w:val="00B84E05"/>
    <w:rsid w:val="00B86736"/>
    <w:rsid w:val="00B86C88"/>
    <w:rsid w:val="00B87FFC"/>
    <w:rsid w:val="00B90F6C"/>
    <w:rsid w:val="00B91930"/>
    <w:rsid w:val="00B91FDE"/>
    <w:rsid w:val="00B92CB7"/>
    <w:rsid w:val="00B93AFD"/>
    <w:rsid w:val="00B93B54"/>
    <w:rsid w:val="00B947B3"/>
    <w:rsid w:val="00B95B4C"/>
    <w:rsid w:val="00B95F79"/>
    <w:rsid w:val="00B9778D"/>
    <w:rsid w:val="00BA05A0"/>
    <w:rsid w:val="00BA1700"/>
    <w:rsid w:val="00BA1F60"/>
    <w:rsid w:val="00BA234C"/>
    <w:rsid w:val="00BA270B"/>
    <w:rsid w:val="00BA3279"/>
    <w:rsid w:val="00BA34E0"/>
    <w:rsid w:val="00BA411C"/>
    <w:rsid w:val="00BA4858"/>
    <w:rsid w:val="00BA5898"/>
    <w:rsid w:val="00BA75FD"/>
    <w:rsid w:val="00BB0149"/>
    <w:rsid w:val="00BB3B71"/>
    <w:rsid w:val="00BB43D5"/>
    <w:rsid w:val="00BB5720"/>
    <w:rsid w:val="00BB5F4F"/>
    <w:rsid w:val="00BB6C8B"/>
    <w:rsid w:val="00BB79AD"/>
    <w:rsid w:val="00BB7A22"/>
    <w:rsid w:val="00BC0F1F"/>
    <w:rsid w:val="00BC1167"/>
    <w:rsid w:val="00BC165A"/>
    <w:rsid w:val="00BC1D63"/>
    <w:rsid w:val="00BC4645"/>
    <w:rsid w:val="00BC4AFF"/>
    <w:rsid w:val="00BC510C"/>
    <w:rsid w:val="00BC5D09"/>
    <w:rsid w:val="00BC666B"/>
    <w:rsid w:val="00BC6947"/>
    <w:rsid w:val="00BD0012"/>
    <w:rsid w:val="00BD33D3"/>
    <w:rsid w:val="00BD3855"/>
    <w:rsid w:val="00BD4562"/>
    <w:rsid w:val="00BD50FE"/>
    <w:rsid w:val="00BD5974"/>
    <w:rsid w:val="00BD6B17"/>
    <w:rsid w:val="00BD6C08"/>
    <w:rsid w:val="00BD74ED"/>
    <w:rsid w:val="00BE0AE9"/>
    <w:rsid w:val="00BE0F28"/>
    <w:rsid w:val="00BE4C5C"/>
    <w:rsid w:val="00BE50C6"/>
    <w:rsid w:val="00BE572A"/>
    <w:rsid w:val="00BE6AB9"/>
    <w:rsid w:val="00BF2628"/>
    <w:rsid w:val="00BF2926"/>
    <w:rsid w:val="00BF2BF3"/>
    <w:rsid w:val="00BF32AE"/>
    <w:rsid w:val="00BF523A"/>
    <w:rsid w:val="00BF7242"/>
    <w:rsid w:val="00C01581"/>
    <w:rsid w:val="00C01CCD"/>
    <w:rsid w:val="00C0225B"/>
    <w:rsid w:val="00C02D61"/>
    <w:rsid w:val="00C0311F"/>
    <w:rsid w:val="00C038A1"/>
    <w:rsid w:val="00C03E53"/>
    <w:rsid w:val="00C03F0E"/>
    <w:rsid w:val="00C04956"/>
    <w:rsid w:val="00C0547B"/>
    <w:rsid w:val="00C06CA4"/>
    <w:rsid w:val="00C107CA"/>
    <w:rsid w:val="00C1134B"/>
    <w:rsid w:val="00C12BFF"/>
    <w:rsid w:val="00C1362A"/>
    <w:rsid w:val="00C141DB"/>
    <w:rsid w:val="00C146FD"/>
    <w:rsid w:val="00C15383"/>
    <w:rsid w:val="00C2174B"/>
    <w:rsid w:val="00C21CB5"/>
    <w:rsid w:val="00C21FB2"/>
    <w:rsid w:val="00C238E9"/>
    <w:rsid w:val="00C24044"/>
    <w:rsid w:val="00C26488"/>
    <w:rsid w:val="00C27568"/>
    <w:rsid w:val="00C27D0D"/>
    <w:rsid w:val="00C30065"/>
    <w:rsid w:val="00C30BEA"/>
    <w:rsid w:val="00C3119F"/>
    <w:rsid w:val="00C32194"/>
    <w:rsid w:val="00C32E72"/>
    <w:rsid w:val="00C33DCE"/>
    <w:rsid w:val="00C34626"/>
    <w:rsid w:val="00C34647"/>
    <w:rsid w:val="00C34A6C"/>
    <w:rsid w:val="00C34CCF"/>
    <w:rsid w:val="00C35678"/>
    <w:rsid w:val="00C35838"/>
    <w:rsid w:val="00C35D77"/>
    <w:rsid w:val="00C35E4D"/>
    <w:rsid w:val="00C35EC3"/>
    <w:rsid w:val="00C36EB9"/>
    <w:rsid w:val="00C37A8C"/>
    <w:rsid w:val="00C37B11"/>
    <w:rsid w:val="00C40B8E"/>
    <w:rsid w:val="00C40BAD"/>
    <w:rsid w:val="00C40D1C"/>
    <w:rsid w:val="00C414A5"/>
    <w:rsid w:val="00C41E14"/>
    <w:rsid w:val="00C4310D"/>
    <w:rsid w:val="00C453C9"/>
    <w:rsid w:val="00C47D34"/>
    <w:rsid w:val="00C521D4"/>
    <w:rsid w:val="00C526BA"/>
    <w:rsid w:val="00C54852"/>
    <w:rsid w:val="00C566A3"/>
    <w:rsid w:val="00C57984"/>
    <w:rsid w:val="00C57B63"/>
    <w:rsid w:val="00C57D6A"/>
    <w:rsid w:val="00C615A2"/>
    <w:rsid w:val="00C633DE"/>
    <w:rsid w:val="00C6365C"/>
    <w:rsid w:val="00C63BAE"/>
    <w:rsid w:val="00C63CF0"/>
    <w:rsid w:val="00C64F23"/>
    <w:rsid w:val="00C64FFF"/>
    <w:rsid w:val="00C65AE5"/>
    <w:rsid w:val="00C665BC"/>
    <w:rsid w:val="00C66B60"/>
    <w:rsid w:val="00C67DB0"/>
    <w:rsid w:val="00C67E22"/>
    <w:rsid w:val="00C7029D"/>
    <w:rsid w:val="00C7206D"/>
    <w:rsid w:val="00C72AC9"/>
    <w:rsid w:val="00C73148"/>
    <w:rsid w:val="00C74369"/>
    <w:rsid w:val="00C74CF2"/>
    <w:rsid w:val="00C74F12"/>
    <w:rsid w:val="00C770EA"/>
    <w:rsid w:val="00C7759D"/>
    <w:rsid w:val="00C802B2"/>
    <w:rsid w:val="00C80E2A"/>
    <w:rsid w:val="00C810C0"/>
    <w:rsid w:val="00C81DE7"/>
    <w:rsid w:val="00C84198"/>
    <w:rsid w:val="00C8595F"/>
    <w:rsid w:val="00C86149"/>
    <w:rsid w:val="00C86EFB"/>
    <w:rsid w:val="00C90B37"/>
    <w:rsid w:val="00C91B35"/>
    <w:rsid w:val="00C939DA"/>
    <w:rsid w:val="00C95D4A"/>
    <w:rsid w:val="00C95DF9"/>
    <w:rsid w:val="00C970FC"/>
    <w:rsid w:val="00C971E1"/>
    <w:rsid w:val="00C97460"/>
    <w:rsid w:val="00C97969"/>
    <w:rsid w:val="00C97ADA"/>
    <w:rsid w:val="00CA04AF"/>
    <w:rsid w:val="00CA1B7F"/>
    <w:rsid w:val="00CA274F"/>
    <w:rsid w:val="00CA31C3"/>
    <w:rsid w:val="00CA60E1"/>
    <w:rsid w:val="00CB0214"/>
    <w:rsid w:val="00CB27CB"/>
    <w:rsid w:val="00CB2BC9"/>
    <w:rsid w:val="00CB34C3"/>
    <w:rsid w:val="00CB3696"/>
    <w:rsid w:val="00CB5236"/>
    <w:rsid w:val="00CB570E"/>
    <w:rsid w:val="00CB7342"/>
    <w:rsid w:val="00CC02A7"/>
    <w:rsid w:val="00CC1F54"/>
    <w:rsid w:val="00CC2831"/>
    <w:rsid w:val="00CC326E"/>
    <w:rsid w:val="00CC38C9"/>
    <w:rsid w:val="00CC40D8"/>
    <w:rsid w:val="00CC41CC"/>
    <w:rsid w:val="00CC4F9D"/>
    <w:rsid w:val="00CC6C96"/>
    <w:rsid w:val="00CC6CD9"/>
    <w:rsid w:val="00CC6EDC"/>
    <w:rsid w:val="00CC799D"/>
    <w:rsid w:val="00CD0AF9"/>
    <w:rsid w:val="00CD14B5"/>
    <w:rsid w:val="00CD2CE2"/>
    <w:rsid w:val="00CD351F"/>
    <w:rsid w:val="00CD3A42"/>
    <w:rsid w:val="00CD3AC8"/>
    <w:rsid w:val="00CD4190"/>
    <w:rsid w:val="00CD4316"/>
    <w:rsid w:val="00CD54DE"/>
    <w:rsid w:val="00CD6EA6"/>
    <w:rsid w:val="00CD6F58"/>
    <w:rsid w:val="00CE15E8"/>
    <w:rsid w:val="00CE1814"/>
    <w:rsid w:val="00CE2D9F"/>
    <w:rsid w:val="00CE2F41"/>
    <w:rsid w:val="00CE4E3E"/>
    <w:rsid w:val="00CE5598"/>
    <w:rsid w:val="00CE6D97"/>
    <w:rsid w:val="00CF0976"/>
    <w:rsid w:val="00CF1248"/>
    <w:rsid w:val="00CF1962"/>
    <w:rsid w:val="00CF347E"/>
    <w:rsid w:val="00CF4226"/>
    <w:rsid w:val="00CF50AC"/>
    <w:rsid w:val="00CF63D2"/>
    <w:rsid w:val="00CF66FB"/>
    <w:rsid w:val="00CF6CFC"/>
    <w:rsid w:val="00D00923"/>
    <w:rsid w:val="00D00A24"/>
    <w:rsid w:val="00D00E36"/>
    <w:rsid w:val="00D025E2"/>
    <w:rsid w:val="00D032CA"/>
    <w:rsid w:val="00D041A0"/>
    <w:rsid w:val="00D0466B"/>
    <w:rsid w:val="00D05615"/>
    <w:rsid w:val="00D05D93"/>
    <w:rsid w:val="00D074AC"/>
    <w:rsid w:val="00D07618"/>
    <w:rsid w:val="00D10AD3"/>
    <w:rsid w:val="00D1155E"/>
    <w:rsid w:val="00D11957"/>
    <w:rsid w:val="00D12ADB"/>
    <w:rsid w:val="00D13543"/>
    <w:rsid w:val="00D13BB2"/>
    <w:rsid w:val="00D14D30"/>
    <w:rsid w:val="00D17633"/>
    <w:rsid w:val="00D20397"/>
    <w:rsid w:val="00D20752"/>
    <w:rsid w:val="00D22B44"/>
    <w:rsid w:val="00D22D0B"/>
    <w:rsid w:val="00D2319E"/>
    <w:rsid w:val="00D260E9"/>
    <w:rsid w:val="00D26367"/>
    <w:rsid w:val="00D26F66"/>
    <w:rsid w:val="00D30185"/>
    <w:rsid w:val="00D329DD"/>
    <w:rsid w:val="00D32D93"/>
    <w:rsid w:val="00D34B85"/>
    <w:rsid w:val="00D36C46"/>
    <w:rsid w:val="00D373C0"/>
    <w:rsid w:val="00D402F4"/>
    <w:rsid w:val="00D40695"/>
    <w:rsid w:val="00D407D2"/>
    <w:rsid w:val="00D41668"/>
    <w:rsid w:val="00D44142"/>
    <w:rsid w:val="00D44A3D"/>
    <w:rsid w:val="00D45C42"/>
    <w:rsid w:val="00D4651F"/>
    <w:rsid w:val="00D4761C"/>
    <w:rsid w:val="00D51514"/>
    <w:rsid w:val="00D51D91"/>
    <w:rsid w:val="00D527FF"/>
    <w:rsid w:val="00D53AD0"/>
    <w:rsid w:val="00D542EE"/>
    <w:rsid w:val="00D55013"/>
    <w:rsid w:val="00D5502B"/>
    <w:rsid w:val="00D5627B"/>
    <w:rsid w:val="00D56820"/>
    <w:rsid w:val="00D5760D"/>
    <w:rsid w:val="00D6068F"/>
    <w:rsid w:val="00D611AB"/>
    <w:rsid w:val="00D62999"/>
    <w:rsid w:val="00D63E79"/>
    <w:rsid w:val="00D640FD"/>
    <w:rsid w:val="00D6495B"/>
    <w:rsid w:val="00D649DF"/>
    <w:rsid w:val="00D65131"/>
    <w:rsid w:val="00D65B6C"/>
    <w:rsid w:val="00D65FCD"/>
    <w:rsid w:val="00D660CE"/>
    <w:rsid w:val="00D66209"/>
    <w:rsid w:val="00D6647C"/>
    <w:rsid w:val="00D668F7"/>
    <w:rsid w:val="00D673D3"/>
    <w:rsid w:val="00D7002F"/>
    <w:rsid w:val="00D703A4"/>
    <w:rsid w:val="00D7131A"/>
    <w:rsid w:val="00D71FEC"/>
    <w:rsid w:val="00D7452B"/>
    <w:rsid w:val="00D76042"/>
    <w:rsid w:val="00D7684B"/>
    <w:rsid w:val="00D774AD"/>
    <w:rsid w:val="00D7750B"/>
    <w:rsid w:val="00D807D4"/>
    <w:rsid w:val="00D8203E"/>
    <w:rsid w:val="00D828B8"/>
    <w:rsid w:val="00D83164"/>
    <w:rsid w:val="00D8335F"/>
    <w:rsid w:val="00D836B4"/>
    <w:rsid w:val="00D856F7"/>
    <w:rsid w:val="00D86804"/>
    <w:rsid w:val="00D87CF2"/>
    <w:rsid w:val="00D90AB8"/>
    <w:rsid w:val="00D913A6"/>
    <w:rsid w:val="00D914C5"/>
    <w:rsid w:val="00D91530"/>
    <w:rsid w:val="00D9400A"/>
    <w:rsid w:val="00D94E2B"/>
    <w:rsid w:val="00D95306"/>
    <w:rsid w:val="00D95F9F"/>
    <w:rsid w:val="00D971E2"/>
    <w:rsid w:val="00DA03A1"/>
    <w:rsid w:val="00DA2FF1"/>
    <w:rsid w:val="00DA3247"/>
    <w:rsid w:val="00DA3CBA"/>
    <w:rsid w:val="00DA3F15"/>
    <w:rsid w:val="00DA3FD5"/>
    <w:rsid w:val="00DA48B8"/>
    <w:rsid w:val="00DA56D4"/>
    <w:rsid w:val="00DA712C"/>
    <w:rsid w:val="00DB00AE"/>
    <w:rsid w:val="00DB02C1"/>
    <w:rsid w:val="00DB1BE9"/>
    <w:rsid w:val="00DB1C25"/>
    <w:rsid w:val="00DB1D5B"/>
    <w:rsid w:val="00DB3434"/>
    <w:rsid w:val="00DB367C"/>
    <w:rsid w:val="00DB3DC4"/>
    <w:rsid w:val="00DB44DB"/>
    <w:rsid w:val="00DB50BA"/>
    <w:rsid w:val="00DB6139"/>
    <w:rsid w:val="00DB6BC4"/>
    <w:rsid w:val="00DB6E5A"/>
    <w:rsid w:val="00DB7236"/>
    <w:rsid w:val="00DB79E4"/>
    <w:rsid w:val="00DB7C52"/>
    <w:rsid w:val="00DC0050"/>
    <w:rsid w:val="00DC073D"/>
    <w:rsid w:val="00DC1335"/>
    <w:rsid w:val="00DC18C0"/>
    <w:rsid w:val="00DC3343"/>
    <w:rsid w:val="00DC3FDA"/>
    <w:rsid w:val="00DC6B5A"/>
    <w:rsid w:val="00DC706F"/>
    <w:rsid w:val="00DC745C"/>
    <w:rsid w:val="00DD36B2"/>
    <w:rsid w:val="00DD53F5"/>
    <w:rsid w:val="00DD5CE2"/>
    <w:rsid w:val="00DD63A8"/>
    <w:rsid w:val="00DD6E2C"/>
    <w:rsid w:val="00DD7233"/>
    <w:rsid w:val="00DE03E7"/>
    <w:rsid w:val="00DE1845"/>
    <w:rsid w:val="00DE1FCF"/>
    <w:rsid w:val="00DE2AE0"/>
    <w:rsid w:val="00DE394B"/>
    <w:rsid w:val="00DE60FB"/>
    <w:rsid w:val="00DE6986"/>
    <w:rsid w:val="00DE6DC2"/>
    <w:rsid w:val="00DE71BB"/>
    <w:rsid w:val="00DE7ECE"/>
    <w:rsid w:val="00DF0633"/>
    <w:rsid w:val="00DF219F"/>
    <w:rsid w:val="00DF2436"/>
    <w:rsid w:val="00DF291C"/>
    <w:rsid w:val="00DF2B22"/>
    <w:rsid w:val="00DF2D94"/>
    <w:rsid w:val="00DF5DF4"/>
    <w:rsid w:val="00DF7157"/>
    <w:rsid w:val="00E013C8"/>
    <w:rsid w:val="00E01488"/>
    <w:rsid w:val="00E023A9"/>
    <w:rsid w:val="00E024B7"/>
    <w:rsid w:val="00E028CC"/>
    <w:rsid w:val="00E02EE8"/>
    <w:rsid w:val="00E0458A"/>
    <w:rsid w:val="00E067B9"/>
    <w:rsid w:val="00E06D21"/>
    <w:rsid w:val="00E100A6"/>
    <w:rsid w:val="00E11223"/>
    <w:rsid w:val="00E11A76"/>
    <w:rsid w:val="00E1241B"/>
    <w:rsid w:val="00E133D0"/>
    <w:rsid w:val="00E13E13"/>
    <w:rsid w:val="00E14195"/>
    <w:rsid w:val="00E15DAC"/>
    <w:rsid w:val="00E174F3"/>
    <w:rsid w:val="00E20510"/>
    <w:rsid w:val="00E20915"/>
    <w:rsid w:val="00E20D7A"/>
    <w:rsid w:val="00E22D79"/>
    <w:rsid w:val="00E24E07"/>
    <w:rsid w:val="00E25AF6"/>
    <w:rsid w:val="00E26BED"/>
    <w:rsid w:val="00E27160"/>
    <w:rsid w:val="00E274DF"/>
    <w:rsid w:val="00E3026C"/>
    <w:rsid w:val="00E31759"/>
    <w:rsid w:val="00E32ACD"/>
    <w:rsid w:val="00E347E3"/>
    <w:rsid w:val="00E3534A"/>
    <w:rsid w:val="00E358B9"/>
    <w:rsid w:val="00E417D4"/>
    <w:rsid w:val="00E41AB2"/>
    <w:rsid w:val="00E42AEA"/>
    <w:rsid w:val="00E434EF"/>
    <w:rsid w:val="00E44CDF"/>
    <w:rsid w:val="00E4582E"/>
    <w:rsid w:val="00E45930"/>
    <w:rsid w:val="00E45BC1"/>
    <w:rsid w:val="00E463B8"/>
    <w:rsid w:val="00E47A56"/>
    <w:rsid w:val="00E50B7B"/>
    <w:rsid w:val="00E50FE8"/>
    <w:rsid w:val="00E51034"/>
    <w:rsid w:val="00E51B3C"/>
    <w:rsid w:val="00E53650"/>
    <w:rsid w:val="00E53E82"/>
    <w:rsid w:val="00E5421A"/>
    <w:rsid w:val="00E55AF0"/>
    <w:rsid w:val="00E5696B"/>
    <w:rsid w:val="00E56AFF"/>
    <w:rsid w:val="00E57106"/>
    <w:rsid w:val="00E5744B"/>
    <w:rsid w:val="00E630CB"/>
    <w:rsid w:val="00E6370E"/>
    <w:rsid w:val="00E64264"/>
    <w:rsid w:val="00E645BC"/>
    <w:rsid w:val="00E67B7D"/>
    <w:rsid w:val="00E67EE2"/>
    <w:rsid w:val="00E70B7D"/>
    <w:rsid w:val="00E70E86"/>
    <w:rsid w:val="00E71D00"/>
    <w:rsid w:val="00E7200F"/>
    <w:rsid w:val="00E720B4"/>
    <w:rsid w:val="00E73324"/>
    <w:rsid w:val="00E75A3C"/>
    <w:rsid w:val="00E76327"/>
    <w:rsid w:val="00E76D15"/>
    <w:rsid w:val="00E76ED4"/>
    <w:rsid w:val="00E77936"/>
    <w:rsid w:val="00E80582"/>
    <w:rsid w:val="00E808D0"/>
    <w:rsid w:val="00E817AA"/>
    <w:rsid w:val="00E81D24"/>
    <w:rsid w:val="00E82320"/>
    <w:rsid w:val="00E8431A"/>
    <w:rsid w:val="00E85209"/>
    <w:rsid w:val="00E852A4"/>
    <w:rsid w:val="00E870F6"/>
    <w:rsid w:val="00E87128"/>
    <w:rsid w:val="00E87F0D"/>
    <w:rsid w:val="00E90F9F"/>
    <w:rsid w:val="00E934E9"/>
    <w:rsid w:val="00E93958"/>
    <w:rsid w:val="00E939EA"/>
    <w:rsid w:val="00E93C6A"/>
    <w:rsid w:val="00E95AA9"/>
    <w:rsid w:val="00E95FC0"/>
    <w:rsid w:val="00EA1862"/>
    <w:rsid w:val="00EA255B"/>
    <w:rsid w:val="00EA33CB"/>
    <w:rsid w:val="00EA4D56"/>
    <w:rsid w:val="00EA5AE8"/>
    <w:rsid w:val="00EA5AEA"/>
    <w:rsid w:val="00EA5F39"/>
    <w:rsid w:val="00EA744B"/>
    <w:rsid w:val="00EB0740"/>
    <w:rsid w:val="00EB2FE0"/>
    <w:rsid w:val="00EB3193"/>
    <w:rsid w:val="00EB3294"/>
    <w:rsid w:val="00EB3652"/>
    <w:rsid w:val="00EB412B"/>
    <w:rsid w:val="00EB5B5A"/>
    <w:rsid w:val="00EC0A7A"/>
    <w:rsid w:val="00EC1386"/>
    <w:rsid w:val="00EC188E"/>
    <w:rsid w:val="00EC1CF6"/>
    <w:rsid w:val="00EC2BC0"/>
    <w:rsid w:val="00EC3336"/>
    <w:rsid w:val="00EC355A"/>
    <w:rsid w:val="00EC36E2"/>
    <w:rsid w:val="00EC3862"/>
    <w:rsid w:val="00EC3962"/>
    <w:rsid w:val="00EC3ECB"/>
    <w:rsid w:val="00EC40F9"/>
    <w:rsid w:val="00EC4AF7"/>
    <w:rsid w:val="00ED0B30"/>
    <w:rsid w:val="00ED15E1"/>
    <w:rsid w:val="00ED5C5A"/>
    <w:rsid w:val="00ED609D"/>
    <w:rsid w:val="00ED61E6"/>
    <w:rsid w:val="00ED69F5"/>
    <w:rsid w:val="00EE1104"/>
    <w:rsid w:val="00EE1831"/>
    <w:rsid w:val="00EE19B0"/>
    <w:rsid w:val="00EE34B9"/>
    <w:rsid w:val="00EE42FC"/>
    <w:rsid w:val="00EE46F7"/>
    <w:rsid w:val="00EE5124"/>
    <w:rsid w:val="00EE5140"/>
    <w:rsid w:val="00EE6710"/>
    <w:rsid w:val="00EE6A32"/>
    <w:rsid w:val="00EE7138"/>
    <w:rsid w:val="00EF03B4"/>
    <w:rsid w:val="00EF0426"/>
    <w:rsid w:val="00EF0770"/>
    <w:rsid w:val="00EF1637"/>
    <w:rsid w:val="00EF241F"/>
    <w:rsid w:val="00EF33B7"/>
    <w:rsid w:val="00EF4851"/>
    <w:rsid w:val="00EF5E1B"/>
    <w:rsid w:val="00EF6B7D"/>
    <w:rsid w:val="00F00D2C"/>
    <w:rsid w:val="00F016D6"/>
    <w:rsid w:val="00F02F3D"/>
    <w:rsid w:val="00F0369F"/>
    <w:rsid w:val="00F0614E"/>
    <w:rsid w:val="00F06C47"/>
    <w:rsid w:val="00F06F06"/>
    <w:rsid w:val="00F111CD"/>
    <w:rsid w:val="00F11439"/>
    <w:rsid w:val="00F12399"/>
    <w:rsid w:val="00F141F0"/>
    <w:rsid w:val="00F15014"/>
    <w:rsid w:val="00F154AC"/>
    <w:rsid w:val="00F15CFD"/>
    <w:rsid w:val="00F16B09"/>
    <w:rsid w:val="00F173AC"/>
    <w:rsid w:val="00F238F2"/>
    <w:rsid w:val="00F23C84"/>
    <w:rsid w:val="00F2479E"/>
    <w:rsid w:val="00F2626D"/>
    <w:rsid w:val="00F262C4"/>
    <w:rsid w:val="00F3003D"/>
    <w:rsid w:val="00F309A5"/>
    <w:rsid w:val="00F31FAE"/>
    <w:rsid w:val="00F327EA"/>
    <w:rsid w:val="00F3289C"/>
    <w:rsid w:val="00F328A6"/>
    <w:rsid w:val="00F348EA"/>
    <w:rsid w:val="00F354E8"/>
    <w:rsid w:val="00F35717"/>
    <w:rsid w:val="00F35D2A"/>
    <w:rsid w:val="00F3614B"/>
    <w:rsid w:val="00F4028E"/>
    <w:rsid w:val="00F4042A"/>
    <w:rsid w:val="00F4087D"/>
    <w:rsid w:val="00F42053"/>
    <w:rsid w:val="00F42E8A"/>
    <w:rsid w:val="00F43B95"/>
    <w:rsid w:val="00F445D9"/>
    <w:rsid w:val="00F4516C"/>
    <w:rsid w:val="00F46BE4"/>
    <w:rsid w:val="00F47BEB"/>
    <w:rsid w:val="00F5033D"/>
    <w:rsid w:val="00F5073E"/>
    <w:rsid w:val="00F513D4"/>
    <w:rsid w:val="00F51E32"/>
    <w:rsid w:val="00F52833"/>
    <w:rsid w:val="00F52A1D"/>
    <w:rsid w:val="00F53307"/>
    <w:rsid w:val="00F53986"/>
    <w:rsid w:val="00F54179"/>
    <w:rsid w:val="00F55B6E"/>
    <w:rsid w:val="00F56E75"/>
    <w:rsid w:val="00F57C99"/>
    <w:rsid w:val="00F6033D"/>
    <w:rsid w:val="00F60F1E"/>
    <w:rsid w:val="00F618F1"/>
    <w:rsid w:val="00F658AC"/>
    <w:rsid w:val="00F67C99"/>
    <w:rsid w:val="00F70B82"/>
    <w:rsid w:val="00F71206"/>
    <w:rsid w:val="00F71266"/>
    <w:rsid w:val="00F713F8"/>
    <w:rsid w:val="00F74536"/>
    <w:rsid w:val="00F74D3B"/>
    <w:rsid w:val="00F759C1"/>
    <w:rsid w:val="00F75B27"/>
    <w:rsid w:val="00F80915"/>
    <w:rsid w:val="00F80C3A"/>
    <w:rsid w:val="00F81EB9"/>
    <w:rsid w:val="00F82C9B"/>
    <w:rsid w:val="00F83B72"/>
    <w:rsid w:val="00F83E75"/>
    <w:rsid w:val="00F857C7"/>
    <w:rsid w:val="00F862CB"/>
    <w:rsid w:val="00F87A36"/>
    <w:rsid w:val="00F87FF7"/>
    <w:rsid w:val="00F90F99"/>
    <w:rsid w:val="00F91064"/>
    <w:rsid w:val="00F9284E"/>
    <w:rsid w:val="00F92982"/>
    <w:rsid w:val="00F9335F"/>
    <w:rsid w:val="00F933A5"/>
    <w:rsid w:val="00F938A5"/>
    <w:rsid w:val="00F95BDE"/>
    <w:rsid w:val="00F971A0"/>
    <w:rsid w:val="00F97A69"/>
    <w:rsid w:val="00FA17FB"/>
    <w:rsid w:val="00FA1BDD"/>
    <w:rsid w:val="00FA3247"/>
    <w:rsid w:val="00FA59DD"/>
    <w:rsid w:val="00FA671D"/>
    <w:rsid w:val="00FA67C0"/>
    <w:rsid w:val="00FA7C4F"/>
    <w:rsid w:val="00FB0334"/>
    <w:rsid w:val="00FB197E"/>
    <w:rsid w:val="00FB1F3C"/>
    <w:rsid w:val="00FB3C92"/>
    <w:rsid w:val="00FB3E9C"/>
    <w:rsid w:val="00FB483E"/>
    <w:rsid w:val="00FB5505"/>
    <w:rsid w:val="00FB5D94"/>
    <w:rsid w:val="00FB5F81"/>
    <w:rsid w:val="00FB6385"/>
    <w:rsid w:val="00FB6B1C"/>
    <w:rsid w:val="00FC0A12"/>
    <w:rsid w:val="00FC12CA"/>
    <w:rsid w:val="00FC1B52"/>
    <w:rsid w:val="00FC3F24"/>
    <w:rsid w:val="00FC44D9"/>
    <w:rsid w:val="00FC6155"/>
    <w:rsid w:val="00FC7043"/>
    <w:rsid w:val="00FC7613"/>
    <w:rsid w:val="00FC7A19"/>
    <w:rsid w:val="00FC7A84"/>
    <w:rsid w:val="00FD0863"/>
    <w:rsid w:val="00FD1380"/>
    <w:rsid w:val="00FD15D5"/>
    <w:rsid w:val="00FD1A70"/>
    <w:rsid w:val="00FD5E9F"/>
    <w:rsid w:val="00FD6E38"/>
    <w:rsid w:val="00FD7EBD"/>
    <w:rsid w:val="00FE1251"/>
    <w:rsid w:val="00FE16A9"/>
    <w:rsid w:val="00FE2F43"/>
    <w:rsid w:val="00FE30DC"/>
    <w:rsid w:val="00FE3454"/>
    <w:rsid w:val="00FE5B48"/>
    <w:rsid w:val="00FF0C1D"/>
    <w:rsid w:val="00FF1007"/>
    <w:rsid w:val="00FF114D"/>
    <w:rsid w:val="00FF14B2"/>
    <w:rsid w:val="00FF1F80"/>
    <w:rsid w:val="00FF23CF"/>
    <w:rsid w:val="00FF463B"/>
    <w:rsid w:val="00FF5766"/>
    <w:rsid w:val="00FF60CB"/>
    <w:rsid w:val="00FF63F6"/>
    <w:rsid w:val="00FF667B"/>
    <w:rsid w:val="00FF6AD6"/>
    <w:rsid w:val="00FF6E35"/>
    <w:rsid w:val="00FF7AE5"/>
    <w:rsid w:val="00FF7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BD6287"/>
  <w15:docId w15:val="{17DF9954-9B1A-4BEF-9685-E0387B2D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25B"/>
    <w:rPr>
      <w:rFonts w:ascii="Calibri" w:eastAsia="Calibri" w:hAnsi="Calibri" w:cs="Calibri"/>
    </w:rPr>
  </w:style>
  <w:style w:type="paragraph" w:styleId="Heading1">
    <w:name w:val="heading 1"/>
    <w:basedOn w:val="Normal"/>
    <w:link w:val="Heading1Char"/>
    <w:uiPriority w:val="9"/>
    <w:qFormat/>
    <w:rsid w:val="004B2F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3">
    <w:name w:val="heading 3"/>
    <w:basedOn w:val="Normal"/>
    <w:next w:val="Normal"/>
    <w:link w:val="Heading3Char"/>
    <w:uiPriority w:val="9"/>
    <w:semiHidden/>
    <w:unhideWhenUsed/>
    <w:qFormat/>
    <w:rsid w:val="00D00A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31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134"/>
    <w:rPr>
      <w:rFonts w:ascii="Calibri" w:eastAsia="Calibri" w:hAnsi="Calibri" w:cs="Calibri"/>
    </w:rPr>
  </w:style>
  <w:style w:type="character" w:customStyle="1" w:styleId="highlight">
    <w:name w:val="highlight"/>
    <w:basedOn w:val="DefaultParagraphFont"/>
    <w:rsid w:val="008F3134"/>
  </w:style>
  <w:style w:type="paragraph" w:styleId="BalloonText">
    <w:name w:val="Balloon Text"/>
    <w:basedOn w:val="Normal"/>
    <w:link w:val="BalloonTextChar"/>
    <w:uiPriority w:val="99"/>
    <w:semiHidden/>
    <w:unhideWhenUsed/>
    <w:rsid w:val="00740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33"/>
    <w:rPr>
      <w:rFonts w:ascii="Tahoma" w:eastAsia="Calibri" w:hAnsi="Tahoma" w:cs="Tahoma"/>
      <w:sz w:val="16"/>
      <w:szCs w:val="16"/>
    </w:rPr>
  </w:style>
  <w:style w:type="character" w:styleId="Hyperlink">
    <w:name w:val="Hyperlink"/>
    <w:basedOn w:val="DefaultParagraphFont"/>
    <w:uiPriority w:val="99"/>
    <w:unhideWhenUsed/>
    <w:rsid w:val="00F87FF7"/>
    <w:rPr>
      <w:color w:val="0000FF" w:themeColor="hyperlink"/>
      <w:u w:val="single"/>
    </w:rPr>
  </w:style>
  <w:style w:type="character" w:styleId="CommentReference">
    <w:name w:val="annotation reference"/>
    <w:basedOn w:val="DefaultParagraphFont"/>
    <w:uiPriority w:val="99"/>
    <w:semiHidden/>
    <w:unhideWhenUsed/>
    <w:rsid w:val="009E200C"/>
    <w:rPr>
      <w:sz w:val="16"/>
      <w:szCs w:val="16"/>
    </w:rPr>
  </w:style>
  <w:style w:type="paragraph" w:styleId="CommentText">
    <w:name w:val="annotation text"/>
    <w:basedOn w:val="Normal"/>
    <w:link w:val="CommentTextChar"/>
    <w:uiPriority w:val="99"/>
    <w:unhideWhenUsed/>
    <w:rsid w:val="009E200C"/>
    <w:pPr>
      <w:spacing w:line="240" w:lineRule="auto"/>
    </w:pPr>
    <w:rPr>
      <w:sz w:val="20"/>
      <w:szCs w:val="20"/>
    </w:rPr>
  </w:style>
  <w:style w:type="character" w:customStyle="1" w:styleId="CommentTextChar">
    <w:name w:val="Comment Text Char"/>
    <w:basedOn w:val="DefaultParagraphFont"/>
    <w:link w:val="CommentText"/>
    <w:uiPriority w:val="99"/>
    <w:rsid w:val="009E20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00C"/>
    <w:rPr>
      <w:b/>
      <w:bCs/>
    </w:rPr>
  </w:style>
  <w:style w:type="character" w:customStyle="1" w:styleId="CommentSubjectChar">
    <w:name w:val="Comment Subject Char"/>
    <w:basedOn w:val="CommentTextChar"/>
    <w:link w:val="CommentSubject"/>
    <w:uiPriority w:val="99"/>
    <w:semiHidden/>
    <w:rsid w:val="009E200C"/>
    <w:rPr>
      <w:rFonts w:ascii="Calibri" w:eastAsia="Calibri" w:hAnsi="Calibri" w:cs="Calibri"/>
      <w:b/>
      <w:bCs/>
      <w:sz w:val="20"/>
      <w:szCs w:val="20"/>
    </w:rPr>
  </w:style>
  <w:style w:type="table" w:styleId="TableGrid">
    <w:name w:val="Table Grid"/>
    <w:basedOn w:val="TableNormal"/>
    <w:uiPriority w:val="99"/>
    <w:rsid w:val="00B91FDE"/>
    <w:pPr>
      <w:spacing w:after="0" w:line="240" w:lineRule="auto"/>
    </w:pPr>
    <w:rPr>
      <w:rFonts w:ascii="Calibri" w:eastAsia="Calibri" w:hAnsi="Calibri" w:cs="Calibri"/>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2F11"/>
    <w:rPr>
      <w:rFonts w:ascii="Times New Roman" w:eastAsia="Times New Roman" w:hAnsi="Times New Roman" w:cs="Times New Roman"/>
      <w:b/>
      <w:bCs/>
      <w:kern w:val="36"/>
      <w:sz w:val="48"/>
      <w:szCs w:val="48"/>
      <w:lang w:eastAsia="de-DE"/>
    </w:rPr>
  </w:style>
  <w:style w:type="character" w:customStyle="1" w:styleId="Heading3Char">
    <w:name w:val="Heading 3 Char"/>
    <w:basedOn w:val="DefaultParagraphFont"/>
    <w:link w:val="Heading3"/>
    <w:uiPriority w:val="9"/>
    <w:semiHidden/>
    <w:rsid w:val="00D00A24"/>
    <w:rPr>
      <w:rFonts w:asciiTheme="majorHAnsi" w:eastAsiaTheme="majorEastAsia" w:hAnsiTheme="majorHAnsi" w:cstheme="majorBidi"/>
      <w:b/>
      <w:bCs/>
      <w:color w:val="4F81BD" w:themeColor="accent1"/>
    </w:rPr>
  </w:style>
  <w:style w:type="paragraph" w:styleId="Revision">
    <w:name w:val="Revision"/>
    <w:hidden/>
    <w:uiPriority w:val="99"/>
    <w:semiHidden/>
    <w:rsid w:val="00E56AFF"/>
    <w:pPr>
      <w:spacing w:after="0" w:line="240" w:lineRule="auto"/>
    </w:pPr>
    <w:rPr>
      <w:rFonts w:ascii="Calibri" w:eastAsia="Calibri" w:hAnsi="Calibri" w:cs="Calibri"/>
    </w:rPr>
  </w:style>
  <w:style w:type="paragraph" w:styleId="ListParagraph">
    <w:name w:val="List Paragraph"/>
    <w:basedOn w:val="Normal"/>
    <w:uiPriority w:val="34"/>
    <w:qFormat/>
    <w:rsid w:val="005D0D7F"/>
    <w:pPr>
      <w:ind w:left="720"/>
      <w:contextualSpacing/>
    </w:pPr>
  </w:style>
  <w:style w:type="paragraph" w:customStyle="1" w:styleId="EndNoteBibliography">
    <w:name w:val="EndNote Bibliography"/>
    <w:basedOn w:val="Normal"/>
    <w:link w:val="EndNoteBibliographyZchn"/>
    <w:rsid w:val="007B0FA2"/>
    <w:pPr>
      <w:spacing w:after="200" w:line="240" w:lineRule="auto"/>
      <w:jc w:val="both"/>
    </w:pPr>
    <w:rPr>
      <w:rFonts w:cs="Times New Roman"/>
      <w:noProof/>
      <w:lang w:val="x-none" w:eastAsia="x-none"/>
    </w:rPr>
  </w:style>
  <w:style w:type="character" w:customStyle="1" w:styleId="EndNoteBibliographyZchn">
    <w:name w:val="EndNote Bibliography Zchn"/>
    <w:link w:val="EndNoteBibliography"/>
    <w:rsid w:val="007B0FA2"/>
    <w:rPr>
      <w:rFonts w:ascii="Calibri" w:eastAsia="Calibri" w:hAnsi="Calibri" w:cs="Times New Roman"/>
      <w:noProof/>
      <w:lang w:val="x-none" w:eastAsia="x-none"/>
    </w:rPr>
  </w:style>
  <w:style w:type="paragraph" w:styleId="Header">
    <w:name w:val="header"/>
    <w:basedOn w:val="Normal"/>
    <w:link w:val="HeaderChar"/>
    <w:uiPriority w:val="99"/>
    <w:unhideWhenUsed/>
    <w:rsid w:val="00830B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0BCF"/>
    <w:rPr>
      <w:rFonts w:ascii="Calibri" w:eastAsia="Calibri" w:hAnsi="Calibri" w:cs="Calibri"/>
    </w:rPr>
  </w:style>
  <w:style w:type="paragraph" w:styleId="FootnoteText">
    <w:name w:val="footnote text"/>
    <w:basedOn w:val="Normal"/>
    <w:link w:val="FootnoteTextChar"/>
    <w:uiPriority w:val="99"/>
    <w:semiHidden/>
    <w:unhideWhenUsed/>
    <w:rsid w:val="00B72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9BC"/>
    <w:rPr>
      <w:rFonts w:ascii="Calibri" w:eastAsia="Calibri" w:hAnsi="Calibri" w:cs="Calibri"/>
      <w:sz w:val="20"/>
      <w:szCs w:val="20"/>
    </w:rPr>
  </w:style>
  <w:style w:type="character" w:styleId="FootnoteReference">
    <w:name w:val="footnote reference"/>
    <w:basedOn w:val="DefaultParagraphFont"/>
    <w:uiPriority w:val="99"/>
    <w:semiHidden/>
    <w:unhideWhenUsed/>
    <w:rsid w:val="00B72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8814">
      <w:bodyDiv w:val="1"/>
      <w:marLeft w:val="0"/>
      <w:marRight w:val="0"/>
      <w:marTop w:val="0"/>
      <w:marBottom w:val="0"/>
      <w:divBdr>
        <w:top w:val="none" w:sz="0" w:space="0" w:color="auto"/>
        <w:left w:val="none" w:sz="0" w:space="0" w:color="auto"/>
        <w:bottom w:val="none" w:sz="0" w:space="0" w:color="auto"/>
        <w:right w:val="none" w:sz="0" w:space="0" w:color="auto"/>
      </w:divBdr>
    </w:div>
    <w:div w:id="406922247">
      <w:bodyDiv w:val="1"/>
      <w:marLeft w:val="0"/>
      <w:marRight w:val="0"/>
      <w:marTop w:val="0"/>
      <w:marBottom w:val="0"/>
      <w:divBdr>
        <w:top w:val="none" w:sz="0" w:space="0" w:color="auto"/>
        <w:left w:val="none" w:sz="0" w:space="0" w:color="auto"/>
        <w:bottom w:val="none" w:sz="0" w:space="0" w:color="auto"/>
        <w:right w:val="none" w:sz="0" w:space="0" w:color="auto"/>
      </w:divBdr>
      <w:divsChild>
        <w:div w:id="103814926">
          <w:marLeft w:val="0"/>
          <w:marRight w:val="0"/>
          <w:marTop w:val="0"/>
          <w:marBottom w:val="0"/>
          <w:divBdr>
            <w:top w:val="none" w:sz="0" w:space="0" w:color="auto"/>
            <w:left w:val="none" w:sz="0" w:space="0" w:color="auto"/>
            <w:bottom w:val="none" w:sz="0" w:space="0" w:color="auto"/>
            <w:right w:val="none" w:sz="0" w:space="0" w:color="auto"/>
          </w:divBdr>
        </w:div>
        <w:div w:id="1885410373">
          <w:marLeft w:val="0"/>
          <w:marRight w:val="0"/>
          <w:marTop w:val="0"/>
          <w:marBottom w:val="0"/>
          <w:divBdr>
            <w:top w:val="none" w:sz="0" w:space="0" w:color="auto"/>
            <w:left w:val="none" w:sz="0" w:space="0" w:color="auto"/>
            <w:bottom w:val="none" w:sz="0" w:space="0" w:color="auto"/>
            <w:right w:val="none" w:sz="0" w:space="0" w:color="auto"/>
          </w:divBdr>
        </w:div>
      </w:divsChild>
    </w:div>
    <w:div w:id="527597136">
      <w:bodyDiv w:val="1"/>
      <w:marLeft w:val="0"/>
      <w:marRight w:val="0"/>
      <w:marTop w:val="0"/>
      <w:marBottom w:val="0"/>
      <w:divBdr>
        <w:top w:val="none" w:sz="0" w:space="0" w:color="auto"/>
        <w:left w:val="none" w:sz="0" w:space="0" w:color="auto"/>
        <w:bottom w:val="none" w:sz="0" w:space="0" w:color="auto"/>
        <w:right w:val="none" w:sz="0" w:space="0" w:color="auto"/>
      </w:divBdr>
      <w:divsChild>
        <w:div w:id="1522086546">
          <w:marLeft w:val="0"/>
          <w:marRight w:val="0"/>
          <w:marTop w:val="0"/>
          <w:marBottom w:val="0"/>
          <w:divBdr>
            <w:top w:val="none" w:sz="0" w:space="0" w:color="auto"/>
            <w:left w:val="none" w:sz="0" w:space="0" w:color="auto"/>
            <w:bottom w:val="none" w:sz="0" w:space="0" w:color="auto"/>
            <w:right w:val="none" w:sz="0" w:space="0" w:color="auto"/>
          </w:divBdr>
        </w:div>
        <w:div w:id="706683780">
          <w:marLeft w:val="0"/>
          <w:marRight w:val="0"/>
          <w:marTop w:val="0"/>
          <w:marBottom w:val="0"/>
          <w:divBdr>
            <w:top w:val="none" w:sz="0" w:space="0" w:color="auto"/>
            <w:left w:val="none" w:sz="0" w:space="0" w:color="auto"/>
            <w:bottom w:val="none" w:sz="0" w:space="0" w:color="auto"/>
            <w:right w:val="none" w:sz="0" w:space="0" w:color="auto"/>
          </w:divBdr>
        </w:div>
      </w:divsChild>
    </w:div>
    <w:div w:id="534390503">
      <w:bodyDiv w:val="1"/>
      <w:marLeft w:val="0"/>
      <w:marRight w:val="0"/>
      <w:marTop w:val="0"/>
      <w:marBottom w:val="0"/>
      <w:divBdr>
        <w:top w:val="none" w:sz="0" w:space="0" w:color="auto"/>
        <w:left w:val="none" w:sz="0" w:space="0" w:color="auto"/>
        <w:bottom w:val="none" w:sz="0" w:space="0" w:color="auto"/>
        <w:right w:val="none" w:sz="0" w:space="0" w:color="auto"/>
      </w:divBdr>
    </w:div>
    <w:div w:id="554007400">
      <w:bodyDiv w:val="1"/>
      <w:marLeft w:val="0"/>
      <w:marRight w:val="0"/>
      <w:marTop w:val="0"/>
      <w:marBottom w:val="0"/>
      <w:divBdr>
        <w:top w:val="none" w:sz="0" w:space="0" w:color="auto"/>
        <w:left w:val="none" w:sz="0" w:space="0" w:color="auto"/>
        <w:bottom w:val="none" w:sz="0" w:space="0" w:color="auto"/>
        <w:right w:val="none" w:sz="0" w:space="0" w:color="auto"/>
      </w:divBdr>
    </w:div>
    <w:div w:id="666976574">
      <w:bodyDiv w:val="1"/>
      <w:marLeft w:val="0"/>
      <w:marRight w:val="0"/>
      <w:marTop w:val="0"/>
      <w:marBottom w:val="0"/>
      <w:divBdr>
        <w:top w:val="none" w:sz="0" w:space="0" w:color="auto"/>
        <w:left w:val="none" w:sz="0" w:space="0" w:color="auto"/>
        <w:bottom w:val="none" w:sz="0" w:space="0" w:color="auto"/>
        <w:right w:val="none" w:sz="0" w:space="0" w:color="auto"/>
      </w:divBdr>
      <w:divsChild>
        <w:div w:id="1592935290">
          <w:marLeft w:val="0"/>
          <w:marRight w:val="0"/>
          <w:marTop w:val="0"/>
          <w:marBottom w:val="0"/>
          <w:divBdr>
            <w:top w:val="none" w:sz="0" w:space="0" w:color="auto"/>
            <w:left w:val="none" w:sz="0" w:space="0" w:color="auto"/>
            <w:bottom w:val="none" w:sz="0" w:space="0" w:color="auto"/>
            <w:right w:val="none" w:sz="0" w:space="0" w:color="auto"/>
          </w:divBdr>
        </w:div>
        <w:div w:id="946959409">
          <w:marLeft w:val="0"/>
          <w:marRight w:val="0"/>
          <w:marTop w:val="0"/>
          <w:marBottom w:val="0"/>
          <w:divBdr>
            <w:top w:val="none" w:sz="0" w:space="0" w:color="auto"/>
            <w:left w:val="none" w:sz="0" w:space="0" w:color="auto"/>
            <w:bottom w:val="none" w:sz="0" w:space="0" w:color="auto"/>
            <w:right w:val="none" w:sz="0" w:space="0" w:color="auto"/>
          </w:divBdr>
        </w:div>
      </w:divsChild>
    </w:div>
    <w:div w:id="787241630">
      <w:bodyDiv w:val="1"/>
      <w:marLeft w:val="0"/>
      <w:marRight w:val="0"/>
      <w:marTop w:val="0"/>
      <w:marBottom w:val="0"/>
      <w:divBdr>
        <w:top w:val="none" w:sz="0" w:space="0" w:color="auto"/>
        <w:left w:val="none" w:sz="0" w:space="0" w:color="auto"/>
        <w:bottom w:val="none" w:sz="0" w:space="0" w:color="auto"/>
        <w:right w:val="none" w:sz="0" w:space="0" w:color="auto"/>
      </w:divBdr>
      <w:divsChild>
        <w:div w:id="2012633901">
          <w:marLeft w:val="0"/>
          <w:marRight w:val="0"/>
          <w:marTop w:val="0"/>
          <w:marBottom w:val="0"/>
          <w:divBdr>
            <w:top w:val="none" w:sz="0" w:space="0" w:color="auto"/>
            <w:left w:val="none" w:sz="0" w:space="0" w:color="auto"/>
            <w:bottom w:val="none" w:sz="0" w:space="0" w:color="auto"/>
            <w:right w:val="none" w:sz="0" w:space="0" w:color="auto"/>
          </w:divBdr>
        </w:div>
        <w:div w:id="1716658803">
          <w:marLeft w:val="0"/>
          <w:marRight w:val="0"/>
          <w:marTop w:val="0"/>
          <w:marBottom w:val="0"/>
          <w:divBdr>
            <w:top w:val="none" w:sz="0" w:space="0" w:color="auto"/>
            <w:left w:val="none" w:sz="0" w:space="0" w:color="auto"/>
            <w:bottom w:val="none" w:sz="0" w:space="0" w:color="auto"/>
            <w:right w:val="none" w:sz="0" w:space="0" w:color="auto"/>
          </w:divBdr>
        </w:div>
      </w:divsChild>
    </w:div>
    <w:div w:id="931861612">
      <w:bodyDiv w:val="1"/>
      <w:marLeft w:val="0"/>
      <w:marRight w:val="0"/>
      <w:marTop w:val="0"/>
      <w:marBottom w:val="0"/>
      <w:divBdr>
        <w:top w:val="none" w:sz="0" w:space="0" w:color="auto"/>
        <w:left w:val="none" w:sz="0" w:space="0" w:color="auto"/>
        <w:bottom w:val="none" w:sz="0" w:space="0" w:color="auto"/>
        <w:right w:val="none" w:sz="0" w:space="0" w:color="auto"/>
      </w:divBdr>
      <w:divsChild>
        <w:div w:id="613830607">
          <w:marLeft w:val="0"/>
          <w:marRight w:val="0"/>
          <w:marTop w:val="0"/>
          <w:marBottom w:val="0"/>
          <w:divBdr>
            <w:top w:val="none" w:sz="0" w:space="0" w:color="auto"/>
            <w:left w:val="none" w:sz="0" w:space="0" w:color="auto"/>
            <w:bottom w:val="none" w:sz="0" w:space="0" w:color="auto"/>
            <w:right w:val="none" w:sz="0" w:space="0" w:color="auto"/>
          </w:divBdr>
        </w:div>
        <w:div w:id="1622102700">
          <w:marLeft w:val="0"/>
          <w:marRight w:val="0"/>
          <w:marTop w:val="0"/>
          <w:marBottom w:val="0"/>
          <w:divBdr>
            <w:top w:val="none" w:sz="0" w:space="0" w:color="auto"/>
            <w:left w:val="none" w:sz="0" w:space="0" w:color="auto"/>
            <w:bottom w:val="none" w:sz="0" w:space="0" w:color="auto"/>
            <w:right w:val="none" w:sz="0" w:space="0" w:color="auto"/>
          </w:divBdr>
        </w:div>
      </w:divsChild>
    </w:div>
    <w:div w:id="1012299823">
      <w:bodyDiv w:val="1"/>
      <w:marLeft w:val="0"/>
      <w:marRight w:val="0"/>
      <w:marTop w:val="0"/>
      <w:marBottom w:val="0"/>
      <w:divBdr>
        <w:top w:val="none" w:sz="0" w:space="0" w:color="auto"/>
        <w:left w:val="none" w:sz="0" w:space="0" w:color="auto"/>
        <w:bottom w:val="none" w:sz="0" w:space="0" w:color="auto"/>
        <w:right w:val="none" w:sz="0" w:space="0" w:color="auto"/>
      </w:divBdr>
      <w:divsChild>
        <w:div w:id="337731084">
          <w:marLeft w:val="0"/>
          <w:marRight w:val="0"/>
          <w:marTop w:val="0"/>
          <w:marBottom w:val="0"/>
          <w:divBdr>
            <w:top w:val="none" w:sz="0" w:space="0" w:color="auto"/>
            <w:left w:val="none" w:sz="0" w:space="0" w:color="auto"/>
            <w:bottom w:val="none" w:sz="0" w:space="0" w:color="auto"/>
            <w:right w:val="none" w:sz="0" w:space="0" w:color="auto"/>
          </w:divBdr>
        </w:div>
        <w:div w:id="615211630">
          <w:marLeft w:val="0"/>
          <w:marRight w:val="0"/>
          <w:marTop w:val="0"/>
          <w:marBottom w:val="0"/>
          <w:divBdr>
            <w:top w:val="none" w:sz="0" w:space="0" w:color="auto"/>
            <w:left w:val="none" w:sz="0" w:space="0" w:color="auto"/>
            <w:bottom w:val="none" w:sz="0" w:space="0" w:color="auto"/>
            <w:right w:val="none" w:sz="0" w:space="0" w:color="auto"/>
          </w:divBdr>
        </w:div>
      </w:divsChild>
    </w:div>
    <w:div w:id="1099838148">
      <w:bodyDiv w:val="1"/>
      <w:marLeft w:val="0"/>
      <w:marRight w:val="0"/>
      <w:marTop w:val="0"/>
      <w:marBottom w:val="0"/>
      <w:divBdr>
        <w:top w:val="none" w:sz="0" w:space="0" w:color="auto"/>
        <w:left w:val="none" w:sz="0" w:space="0" w:color="auto"/>
        <w:bottom w:val="none" w:sz="0" w:space="0" w:color="auto"/>
        <w:right w:val="none" w:sz="0" w:space="0" w:color="auto"/>
      </w:divBdr>
    </w:div>
    <w:div w:id="1157965330">
      <w:bodyDiv w:val="1"/>
      <w:marLeft w:val="0"/>
      <w:marRight w:val="0"/>
      <w:marTop w:val="0"/>
      <w:marBottom w:val="0"/>
      <w:divBdr>
        <w:top w:val="none" w:sz="0" w:space="0" w:color="auto"/>
        <w:left w:val="none" w:sz="0" w:space="0" w:color="auto"/>
        <w:bottom w:val="none" w:sz="0" w:space="0" w:color="auto"/>
        <w:right w:val="none" w:sz="0" w:space="0" w:color="auto"/>
      </w:divBdr>
      <w:divsChild>
        <w:div w:id="675960000">
          <w:marLeft w:val="0"/>
          <w:marRight w:val="0"/>
          <w:marTop w:val="0"/>
          <w:marBottom w:val="0"/>
          <w:divBdr>
            <w:top w:val="none" w:sz="0" w:space="0" w:color="auto"/>
            <w:left w:val="none" w:sz="0" w:space="0" w:color="auto"/>
            <w:bottom w:val="none" w:sz="0" w:space="0" w:color="auto"/>
            <w:right w:val="none" w:sz="0" w:space="0" w:color="auto"/>
          </w:divBdr>
        </w:div>
        <w:div w:id="1550192564">
          <w:marLeft w:val="0"/>
          <w:marRight w:val="0"/>
          <w:marTop w:val="0"/>
          <w:marBottom w:val="0"/>
          <w:divBdr>
            <w:top w:val="none" w:sz="0" w:space="0" w:color="auto"/>
            <w:left w:val="none" w:sz="0" w:space="0" w:color="auto"/>
            <w:bottom w:val="none" w:sz="0" w:space="0" w:color="auto"/>
            <w:right w:val="none" w:sz="0" w:space="0" w:color="auto"/>
          </w:divBdr>
        </w:div>
        <w:div w:id="200441543">
          <w:marLeft w:val="0"/>
          <w:marRight w:val="0"/>
          <w:marTop w:val="0"/>
          <w:marBottom w:val="0"/>
          <w:divBdr>
            <w:top w:val="none" w:sz="0" w:space="0" w:color="auto"/>
            <w:left w:val="none" w:sz="0" w:space="0" w:color="auto"/>
            <w:bottom w:val="none" w:sz="0" w:space="0" w:color="auto"/>
            <w:right w:val="none" w:sz="0" w:space="0" w:color="auto"/>
          </w:divBdr>
        </w:div>
        <w:div w:id="1224296798">
          <w:marLeft w:val="0"/>
          <w:marRight w:val="0"/>
          <w:marTop w:val="0"/>
          <w:marBottom w:val="0"/>
          <w:divBdr>
            <w:top w:val="none" w:sz="0" w:space="0" w:color="auto"/>
            <w:left w:val="none" w:sz="0" w:space="0" w:color="auto"/>
            <w:bottom w:val="none" w:sz="0" w:space="0" w:color="auto"/>
            <w:right w:val="none" w:sz="0" w:space="0" w:color="auto"/>
          </w:divBdr>
        </w:div>
        <w:div w:id="654381993">
          <w:marLeft w:val="0"/>
          <w:marRight w:val="0"/>
          <w:marTop w:val="0"/>
          <w:marBottom w:val="0"/>
          <w:divBdr>
            <w:top w:val="none" w:sz="0" w:space="0" w:color="auto"/>
            <w:left w:val="none" w:sz="0" w:space="0" w:color="auto"/>
            <w:bottom w:val="none" w:sz="0" w:space="0" w:color="auto"/>
            <w:right w:val="none" w:sz="0" w:space="0" w:color="auto"/>
          </w:divBdr>
        </w:div>
        <w:div w:id="1011300283">
          <w:marLeft w:val="0"/>
          <w:marRight w:val="0"/>
          <w:marTop w:val="0"/>
          <w:marBottom w:val="0"/>
          <w:divBdr>
            <w:top w:val="none" w:sz="0" w:space="0" w:color="auto"/>
            <w:left w:val="none" w:sz="0" w:space="0" w:color="auto"/>
            <w:bottom w:val="none" w:sz="0" w:space="0" w:color="auto"/>
            <w:right w:val="none" w:sz="0" w:space="0" w:color="auto"/>
          </w:divBdr>
        </w:div>
        <w:div w:id="666519808">
          <w:marLeft w:val="0"/>
          <w:marRight w:val="0"/>
          <w:marTop w:val="0"/>
          <w:marBottom w:val="0"/>
          <w:divBdr>
            <w:top w:val="none" w:sz="0" w:space="0" w:color="auto"/>
            <w:left w:val="none" w:sz="0" w:space="0" w:color="auto"/>
            <w:bottom w:val="none" w:sz="0" w:space="0" w:color="auto"/>
            <w:right w:val="none" w:sz="0" w:space="0" w:color="auto"/>
          </w:divBdr>
        </w:div>
        <w:div w:id="894320360">
          <w:marLeft w:val="0"/>
          <w:marRight w:val="0"/>
          <w:marTop w:val="0"/>
          <w:marBottom w:val="0"/>
          <w:divBdr>
            <w:top w:val="none" w:sz="0" w:space="0" w:color="auto"/>
            <w:left w:val="none" w:sz="0" w:space="0" w:color="auto"/>
            <w:bottom w:val="none" w:sz="0" w:space="0" w:color="auto"/>
            <w:right w:val="none" w:sz="0" w:space="0" w:color="auto"/>
          </w:divBdr>
        </w:div>
        <w:div w:id="1587035332">
          <w:marLeft w:val="0"/>
          <w:marRight w:val="0"/>
          <w:marTop w:val="0"/>
          <w:marBottom w:val="0"/>
          <w:divBdr>
            <w:top w:val="none" w:sz="0" w:space="0" w:color="auto"/>
            <w:left w:val="none" w:sz="0" w:space="0" w:color="auto"/>
            <w:bottom w:val="none" w:sz="0" w:space="0" w:color="auto"/>
            <w:right w:val="none" w:sz="0" w:space="0" w:color="auto"/>
          </w:divBdr>
        </w:div>
      </w:divsChild>
    </w:div>
    <w:div w:id="1470856562">
      <w:bodyDiv w:val="1"/>
      <w:marLeft w:val="0"/>
      <w:marRight w:val="0"/>
      <w:marTop w:val="0"/>
      <w:marBottom w:val="0"/>
      <w:divBdr>
        <w:top w:val="none" w:sz="0" w:space="0" w:color="auto"/>
        <w:left w:val="none" w:sz="0" w:space="0" w:color="auto"/>
        <w:bottom w:val="none" w:sz="0" w:space="0" w:color="auto"/>
        <w:right w:val="none" w:sz="0" w:space="0" w:color="auto"/>
      </w:divBdr>
    </w:div>
    <w:div w:id="1517112110">
      <w:bodyDiv w:val="1"/>
      <w:marLeft w:val="0"/>
      <w:marRight w:val="0"/>
      <w:marTop w:val="0"/>
      <w:marBottom w:val="0"/>
      <w:divBdr>
        <w:top w:val="none" w:sz="0" w:space="0" w:color="auto"/>
        <w:left w:val="none" w:sz="0" w:space="0" w:color="auto"/>
        <w:bottom w:val="none" w:sz="0" w:space="0" w:color="auto"/>
        <w:right w:val="none" w:sz="0" w:space="0" w:color="auto"/>
      </w:divBdr>
      <w:divsChild>
        <w:div w:id="1944416486">
          <w:marLeft w:val="0"/>
          <w:marRight w:val="0"/>
          <w:marTop w:val="0"/>
          <w:marBottom w:val="0"/>
          <w:divBdr>
            <w:top w:val="none" w:sz="0" w:space="0" w:color="auto"/>
            <w:left w:val="none" w:sz="0" w:space="0" w:color="auto"/>
            <w:bottom w:val="none" w:sz="0" w:space="0" w:color="auto"/>
            <w:right w:val="none" w:sz="0" w:space="0" w:color="auto"/>
          </w:divBdr>
          <w:divsChild>
            <w:div w:id="1945189410">
              <w:marLeft w:val="0"/>
              <w:marRight w:val="0"/>
              <w:marTop w:val="0"/>
              <w:marBottom w:val="0"/>
              <w:divBdr>
                <w:top w:val="none" w:sz="0" w:space="0" w:color="auto"/>
                <w:left w:val="none" w:sz="0" w:space="0" w:color="auto"/>
                <w:bottom w:val="none" w:sz="0" w:space="0" w:color="auto"/>
                <w:right w:val="none" w:sz="0" w:space="0" w:color="auto"/>
              </w:divBdr>
              <w:divsChild>
                <w:div w:id="1830780893">
                  <w:marLeft w:val="0"/>
                  <w:marRight w:val="0"/>
                  <w:marTop w:val="0"/>
                  <w:marBottom w:val="0"/>
                  <w:divBdr>
                    <w:top w:val="none" w:sz="0" w:space="0" w:color="auto"/>
                    <w:left w:val="none" w:sz="0" w:space="0" w:color="auto"/>
                    <w:bottom w:val="none" w:sz="0" w:space="0" w:color="auto"/>
                    <w:right w:val="none" w:sz="0" w:space="0" w:color="auto"/>
                  </w:divBdr>
                  <w:divsChild>
                    <w:div w:id="1905988902">
                      <w:marLeft w:val="0"/>
                      <w:marRight w:val="0"/>
                      <w:marTop w:val="0"/>
                      <w:marBottom w:val="0"/>
                      <w:divBdr>
                        <w:top w:val="none" w:sz="0" w:space="0" w:color="auto"/>
                        <w:left w:val="none" w:sz="0" w:space="0" w:color="auto"/>
                        <w:bottom w:val="none" w:sz="0" w:space="0" w:color="auto"/>
                        <w:right w:val="none" w:sz="0" w:space="0" w:color="auto"/>
                      </w:divBdr>
                      <w:divsChild>
                        <w:div w:id="1342969360">
                          <w:marLeft w:val="0"/>
                          <w:marRight w:val="0"/>
                          <w:marTop w:val="0"/>
                          <w:marBottom w:val="0"/>
                          <w:divBdr>
                            <w:top w:val="none" w:sz="0" w:space="0" w:color="auto"/>
                            <w:left w:val="none" w:sz="0" w:space="0" w:color="auto"/>
                            <w:bottom w:val="none" w:sz="0" w:space="0" w:color="auto"/>
                            <w:right w:val="none" w:sz="0" w:space="0" w:color="auto"/>
                          </w:divBdr>
                          <w:divsChild>
                            <w:div w:id="2065134425">
                              <w:marLeft w:val="0"/>
                              <w:marRight w:val="0"/>
                              <w:marTop w:val="0"/>
                              <w:marBottom w:val="0"/>
                              <w:divBdr>
                                <w:top w:val="none" w:sz="0" w:space="0" w:color="auto"/>
                                <w:left w:val="none" w:sz="0" w:space="0" w:color="auto"/>
                                <w:bottom w:val="none" w:sz="0" w:space="0" w:color="auto"/>
                                <w:right w:val="none" w:sz="0" w:space="0" w:color="auto"/>
                              </w:divBdr>
                              <w:divsChild>
                                <w:div w:id="656107911">
                                  <w:marLeft w:val="0"/>
                                  <w:marRight w:val="0"/>
                                  <w:marTop w:val="0"/>
                                  <w:marBottom w:val="0"/>
                                  <w:divBdr>
                                    <w:top w:val="none" w:sz="0" w:space="0" w:color="auto"/>
                                    <w:left w:val="none" w:sz="0" w:space="0" w:color="auto"/>
                                    <w:bottom w:val="none" w:sz="0" w:space="0" w:color="auto"/>
                                    <w:right w:val="none" w:sz="0" w:space="0" w:color="auto"/>
                                  </w:divBdr>
                                  <w:divsChild>
                                    <w:div w:id="727800656">
                                      <w:marLeft w:val="0"/>
                                      <w:marRight w:val="0"/>
                                      <w:marTop w:val="0"/>
                                      <w:marBottom w:val="0"/>
                                      <w:divBdr>
                                        <w:top w:val="none" w:sz="0" w:space="0" w:color="auto"/>
                                        <w:left w:val="none" w:sz="0" w:space="0" w:color="auto"/>
                                        <w:bottom w:val="none" w:sz="0" w:space="0" w:color="auto"/>
                                        <w:right w:val="none" w:sz="0" w:space="0" w:color="auto"/>
                                      </w:divBdr>
                                      <w:divsChild>
                                        <w:div w:id="1380782976">
                                          <w:marLeft w:val="0"/>
                                          <w:marRight w:val="0"/>
                                          <w:marTop w:val="0"/>
                                          <w:marBottom w:val="0"/>
                                          <w:divBdr>
                                            <w:top w:val="none" w:sz="0" w:space="0" w:color="auto"/>
                                            <w:left w:val="none" w:sz="0" w:space="0" w:color="auto"/>
                                            <w:bottom w:val="none" w:sz="0" w:space="0" w:color="auto"/>
                                            <w:right w:val="none" w:sz="0" w:space="0" w:color="auto"/>
                                          </w:divBdr>
                                          <w:divsChild>
                                            <w:div w:id="1957057204">
                                              <w:marLeft w:val="0"/>
                                              <w:marRight w:val="0"/>
                                              <w:marTop w:val="0"/>
                                              <w:marBottom w:val="0"/>
                                              <w:divBdr>
                                                <w:top w:val="none" w:sz="0" w:space="0" w:color="auto"/>
                                                <w:left w:val="none" w:sz="0" w:space="0" w:color="auto"/>
                                                <w:bottom w:val="none" w:sz="0" w:space="0" w:color="auto"/>
                                                <w:right w:val="none" w:sz="0" w:space="0" w:color="auto"/>
                                              </w:divBdr>
                                              <w:divsChild>
                                                <w:div w:id="16470635">
                                                  <w:marLeft w:val="0"/>
                                                  <w:marRight w:val="0"/>
                                                  <w:marTop w:val="0"/>
                                                  <w:marBottom w:val="0"/>
                                                  <w:divBdr>
                                                    <w:top w:val="none" w:sz="0" w:space="0" w:color="auto"/>
                                                    <w:left w:val="none" w:sz="0" w:space="0" w:color="auto"/>
                                                    <w:bottom w:val="none" w:sz="0" w:space="0" w:color="auto"/>
                                                    <w:right w:val="none" w:sz="0" w:space="0" w:color="auto"/>
                                                  </w:divBdr>
                                                  <w:divsChild>
                                                    <w:div w:id="15163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020626">
      <w:bodyDiv w:val="1"/>
      <w:marLeft w:val="0"/>
      <w:marRight w:val="0"/>
      <w:marTop w:val="0"/>
      <w:marBottom w:val="0"/>
      <w:divBdr>
        <w:top w:val="none" w:sz="0" w:space="0" w:color="auto"/>
        <w:left w:val="none" w:sz="0" w:space="0" w:color="auto"/>
        <w:bottom w:val="none" w:sz="0" w:space="0" w:color="auto"/>
        <w:right w:val="none" w:sz="0" w:space="0" w:color="auto"/>
      </w:divBdr>
    </w:div>
    <w:div w:id="1665813118">
      <w:bodyDiv w:val="1"/>
      <w:marLeft w:val="0"/>
      <w:marRight w:val="0"/>
      <w:marTop w:val="0"/>
      <w:marBottom w:val="0"/>
      <w:divBdr>
        <w:top w:val="none" w:sz="0" w:space="0" w:color="auto"/>
        <w:left w:val="none" w:sz="0" w:space="0" w:color="auto"/>
        <w:bottom w:val="none" w:sz="0" w:space="0" w:color="auto"/>
        <w:right w:val="none" w:sz="0" w:space="0" w:color="auto"/>
      </w:divBdr>
    </w:div>
    <w:div w:id="1796100367">
      <w:bodyDiv w:val="1"/>
      <w:marLeft w:val="0"/>
      <w:marRight w:val="0"/>
      <w:marTop w:val="0"/>
      <w:marBottom w:val="0"/>
      <w:divBdr>
        <w:top w:val="none" w:sz="0" w:space="0" w:color="auto"/>
        <w:left w:val="none" w:sz="0" w:space="0" w:color="auto"/>
        <w:bottom w:val="none" w:sz="0" w:space="0" w:color="auto"/>
        <w:right w:val="none" w:sz="0" w:space="0" w:color="auto"/>
      </w:divBdr>
      <w:divsChild>
        <w:div w:id="718086843">
          <w:marLeft w:val="0"/>
          <w:marRight w:val="0"/>
          <w:marTop w:val="0"/>
          <w:marBottom w:val="0"/>
          <w:divBdr>
            <w:top w:val="none" w:sz="0" w:space="0" w:color="auto"/>
            <w:left w:val="none" w:sz="0" w:space="0" w:color="auto"/>
            <w:bottom w:val="none" w:sz="0" w:space="0" w:color="auto"/>
            <w:right w:val="none" w:sz="0" w:space="0" w:color="auto"/>
          </w:divBdr>
          <w:divsChild>
            <w:div w:id="1876845535">
              <w:marLeft w:val="0"/>
              <w:marRight w:val="0"/>
              <w:marTop w:val="0"/>
              <w:marBottom w:val="0"/>
              <w:divBdr>
                <w:top w:val="none" w:sz="0" w:space="0" w:color="auto"/>
                <w:left w:val="none" w:sz="0" w:space="0" w:color="auto"/>
                <w:bottom w:val="none" w:sz="0" w:space="0" w:color="auto"/>
                <w:right w:val="none" w:sz="0" w:space="0" w:color="auto"/>
              </w:divBdr>
            </w:div>
            <w:div w:id="2085377336">
              <w:marLeft w:val="0"/>
              <w:marRight w:val="0"/>
              <w:marTop w:val="0"/>
              <w:marBottom w:val="0"/>
              <w:divBdr>
                <w:top w:val="none" w:sz="0" w:space="0" w:color="auto"/>
                <w:left w:val="none" w:sz="0" w:space="0" w:color="auto"/>
                <w:bottom w:val="none" w:sz="0" w:space="0" w:color="auto"/>
                <w:right w:val="none" w:sz="0" w:space="0" w:color="auto"/>
              </w:divBdr>
            </w:div>
            <w:div w:id="1973362242">
              <w:marLeft w:val="0"/>
              <w:marRight w:val="0"/>
              <w:marTop w:val="0"/>
              <w:marBottom w:val="0"/>
              <w:divBdr>
                <w:top w:val="none" w:sz="0" w:space="0" w:color="auto"/>
                <w:left w:val="none" w:sz="0" w:space="0" w:color="auto"/>
                <w:bottom w:val="none" w:sz="0" w:space="0" w:color="auto"/>
                <w:right w:val="none" w:sz="0" w:space="0" w:color="auto"/>
              </w:divBdr>
            </w:div>
            <w:div w:id="1672180727">
              <w:marLeft w:val="0"/>
              <w:marRight w:val="0"/>
              <w:marTop w:val="0"/>
              <w:marBottom w:val="0"/>
              <w:divBdr>
                <w:top w:val="none" w:sz="0" w:space="0" w:color="auto"/>
                <w:left w:val="none" w:sz="0" w:space="0" w:color="auto"/>
                <w:bottom w:val="none" w:sz="0" w:space="0" w:color="auto"/>
                <w:right w:val="none" w:sz="0" w:space="0" w:color="auto"/>
              </w:divBdr>
            </w:div>
            <w:div w:id="1900020655">
              <w:marLeft w:val="0"/>
              <w:marRight w:val="0"/>
              <w:marTop w:val="0"/>
              <w:marBottom w:val="0"/>
              <w:divBdr>
                <w:top w:val="none" w:sz="0" w:space="0" w:color="auto"/>
                <w:left w:val="none" w:sz="0" w:space="0" w:color="auto"/>
                <w:bottom w:val="none" w:sz="0" w:space="0" w:color="auto"/>
                <w:right w:val="none" w:sz="0" w:space="0" w:color="auto"/>
              </w:divBdr>
            </w:div>
            <w:div w:id="1653944162">
              <w:marLeft w:val="0"/>
              <w:marRight w:val="0"/>
              <w:marTop w:val="0"/>
              <w:marBottom w:val="0"/>
              <w:divBdr>
                <w:top w:val="none" w:sz="0" w:space="0" w:color="auto"/>
                <w:left w:val="none" w:sz="0" w:space="0" w:color="auto"/>
                <w:bottom w:val="none" w:sz="0" w:space="0" w:color="auto"/>
                <w:right w:val="none" w:sz="0" w:space="0" w:color="auto"/>
              </w:divBdr>
            </w:div>
            <w:div w:id="1779177290">
              <w:marLeft w:val="0"/>
              <w:marRight w:val="0"/>
              <w:marTop w:val="0"/>
              <w:marBottom w:val="0"/>
              <w:divBdr>
                <w:top w:val="none" w:sz="0" w:space="0" w:color="auto"/>
                <w:left w:val="none" w:sz="0" w:space="0" w:color="auto"/>
                <w:bottom w:val="none" w:sz="0" w:space="0" w:color="auto"/>
                <w:right w:val="none" w:sz="0" w:space="0" w:color="auto"/>
              </w:divBdr>
            </w:div>
            <w:div w:id="2020505035">
              <w:marLeft w:val="0"/>
              <w:marRight w:val="0"/>
              <w:marTop w:val="0"/>
              <w:marBottom w:val="0"/>
              <w:divBdr>
                <w:top w:val="none" w:sz="0" w:space="0" w:color="auto"/>
                <w:left w:val="none" w:sz="0" w:space="0" w:color="auto"/>
                <w:bottom w:val="none" w:sz="0" w:space="0" w:color="auto"/>
                <w:right w:val="none" w:sz="0" w:space="0" w:color="auto"/>
              </w:divBdr>
            </w:div>
            <w:div w:id="406075738">
              <w:marLeft w:val="0"/>
              <w:marRight w:val="0"/>
              <w:marTop w:val="0"/>
              <w:marBottom w:val="0"/>
              <w:divBdr>
                <w:top w:val="none" w:sz="0" w:space="0" w:color="auto"/>
                <w:left w:val="none" w:sz="0" w:space="0" w:color="auto"/>
                <w:bottom w:val="none" w:sz="0" w:space="0" w:color="auto"/>
                <w:right w:val="none" w:sz="0" w:space="0" w:color="auto"/>
              </w:divBdr>
            </w:div>
            <w:div w:id="1415979030">
              <w:marLeft w:val="0"/>
              <w:marRight w:val="0"/>
              <w:marTop w:val="0"/>
              <w:marBottom w:val="0"/>
              <w:divBdr>
                <w:top w:val="none" w:sz="0" w:space="0" w:color="auto"/>
                <w:left w:val="none" w:sz="0" w:space="0" w:color="auto"/>
                <w:bottom w:val="none" w:sz="0" w:space="0" w:color="auto"/>
                <w:right w:val="none" w:sz="0" w:space="0" w:color="auto"/>
              </w:divBdr>
            </w:div>
            <w:div w:id="114566752">
              <w:marLeft w:val="0"/>
              <w:marRight w:val="0"/>
              <w:marTop w:val="0"/>
              <w:marBottom w:val="0"/>
              <w:divBdr>
                <w:top w:val="none" w:sz="0" w:space="0" w:color="auto"/>
                <w:left w:val="none" w:sz="0" w:space="0" w:color="auto"/>
                <w:bottom w:val="none" w:sz="0" w:space="0" w:color="auto"/>
                <w:right w:val="none" w:sz="0" w:space="0" w:color="auto"/>
              </w:divBdr>
            </w:div>
            <w:div w:id="838736707">
              <w:marLeft w:val="0"/>
              <w:marRight w:val="0"/>
              <w:marTop w:val="0"/>
              <w:marBottom w:val="0"/>
              <w:divBdr>
                <w:top w:val="none" w:sz="0" w:space="0" w:color="auto"/>
                <w:left w:val="none" w:sz="0" w:space="0" w:color="auto"/>
                <w:bottom w:val="none" w:sz="0" w:space="0" w:color="auto"/>
                <w:right w:val="none" w:sz="0" w:space="0" w:color="auto"/>
              </w:divBdr>
            </w:div>
            <w:div w:id="1662418492">
              <w:marLeft w:val="0"/>
              <w:marRight w:val="0"/>
              <w:marTop w:val="0"/>
              <w:marBottom w:val="0"/>
              <w:divBdr>
                <w:top w:val="none" w:sz="0" w:space="0" w:color="auto"/>
                <w:left w:val="none" w:sz="0" w:space="0" w:color="auto"/>
                <w:bottom w:val="none" w:sz="0" w:space="0" w:color="auto"/>
                <w:right w:val="none" w:sz="0" w:space="0" w:color="auto"/>
              </w:divBdr>
            </w:div>
            <w:div w:id="2040927727">
              <w:marLeft w:val="0"/>
              <w:marRight w:val="0"/>
              <w:marTop w:val="0"/>
              <w:marBottom w:val="0"/>
              <w:divBdr>
                <w:top w:val="none" w:sz="0" w:space="0" w:color="auto"/>
                <w:left w:val="none" w:sz="0" w:space="0" w:color="auto"/>
                <w:bottom w:val="none" w:sz="0" w:space="0" w:color="auto"/>
                <w:right w:val="none" w:sz="0" w:space="0" w:color="auto"/>
              </w:divBdr>
            </w:div>
            <w:div w:id="212082606">
              <w:marLeft w:val="0"/>
              <w:marRight w:val="0"/>
              <w:marTop w:val="0"/>
              <w:marBottom w:val="0"/>
              <w:divBdr>
                <w:top w:val="none" w:sz="0" w:space="0" w:color="auto"/>
                <w:left w:val="none" w:sz="0" w:space="0" w:color="auto"/>
                <w:bottom w:val="none" w:sz="0" w:space="0" w:color="auto"/>
                <w:right w:val="none" w:sz="0" w:space="0" w:color="auto"/>
              </w:divBdr>
            </w:div>
            <w:div w:id="1723551373">
              <w:marLeft w:val="0"/>
              <w:marRight w:val="0"/>
              <w:marTop w:val="0"/>
              <w:marBottom w:val="0"/>
              <w:divBdr>
                <w:top w:val="none" w:sz="0" w:space="0" w:color="auto"/>
                <w:left w:val="none" w:sz="0" w:space="0" w:color="auto"/>
                <w:bottom w:val="none" w:sz="0" w:space="0" w:color="auto"/>
                <w:right w:val="none" w:sz="0" w:space="0" w:color="auto"/>
              </w:divBdr>
            </w:div>
            <w:div w:id="130288804">
              <w:marLeft w:val="0"/>
              <w:marRight w:val="0"/>
              <w:marTop w:val="0"/>
              <w:marBottom w:val="0"/>
              <w:divBdr>
                <w:top w:val="none" w:sz="0" w:space="0" w:color="auto"/>
                <w:left w:val="none" w:sz="0" w:space="0" w:color="auto"/>
                <w:bottom w:val="none" w:sz="0" w:space="0" w:color="auto"/>
                <w:right w:val="none" w:sz="0" w:space="0" w:color="auto"/>
              </w:divBdr>
            </w:div>
            <w:div w:id="1816028318">
              <w:marLeft w:val="0"/>
              <w:marRight w:val="0"/>
              <w:marTop w:val="0"/>
              <w:marBottom w:val="0"/>
              <w:divBdr>
                <w:top w:val="none" w:sz="0" w:space="0" w:color="auto"/>
                <w:left w:val="none" w:sz="0" w:space="0" w:color="auto"/>
                <w:bottom w:val="none" w:sz="0" w:space="0" w:color="auto"/>
                <w:right w:val="none" w:sz="0" w:space="0" w:color="auto"/>
              </w:divBdr>
            </w:div>
            <w:div w:id="389814492">
              <w:marLeft w:val="0"/>
              <w:marRight w:val="0"/>
              <w:marTop w:val="0"/>
              <w:marBottom w:val="0"/>
              <w:divBdr>
                <w:top w:val="none" w:sz="0" w:space="0" w:color="auto"/>
                <w:left w:val="none" w:sz="0" w:space="0" w:color="auto"/>
                <w:bottom w:val="none" w:sz="0" w:space="0" w:color="auto"/>
                <w:right w:val="none" w:sz="0" w:space="0" w:color="auto"/>
              </w:divBdr>
            </w:div>
            <w:div w:id="1033530489">
              <w:marLeft w:val="0"/>
              <w:marRight w:val="0"/>
              <w:marTop w:val="0"/>
              <w:marBottom w:val="0"/>
              <w:divBdr>
                <w:top w:val="none" w:sz="0" w:space="0" w:color="auto"/>
                <w:left w:val="none" w:sz="0" w:space="0" w:color="auto"/>
                <w:bottom w:val="none" w:sz="0" w:space="0" w:color="auto"/>
                <w:right w:val="none" w:sz="0" w:space="0" w:color="auto"/>
              </w:divBdr>
            </w:div>
            <w:div w:id="2045253788">
              <w:marLeft w:val="0"/>
              <w:marRight w:val="0"/>
              <w:marTop w:val="0"/>
              <w:marBottom w:val="0"/>
              <w:divBdr>
                <w:top w:val="none" w:sz="0" w:space="0" w:color="auto"/>
                <w:left w:val="none" w:sz="0" w:space="0" w:color="auto"/>
                <w:bottom w:val="none" w:sz="0" w:space="0" w:color="auto"/>
                <w:right w:val="none" w:sz="0" w:space="0" w:color="auto"/>
              </w:divBdr>
            </w:div>
            <w:div w:id="586118083">
              <w:marLeft w:val="0"/>
              <w:marRight w:val="0"/>
              <w:marTop w:val="0"/>
              <w:marBottom w:val="0"/>
              <w:divBdr>
                <w:top w:val="none" w:sz="0" w:space="0" w:color="auto"/>
                <w:left w:val="none" w:sz="0" w:space="0" w:color="auto"/>
                <w:bottom w:val="none" w:sz="0" w:space="0" w:color="auto"/>
                <w:right w:val="none" w:sz="0" w:space="0" w:color="auto"/>
              </w:divBdr>
            </w:div>
            <w:div w:id="1014966054">
              <w:marLeft w:val="0"/>
              <w:marRight w:val="0"/>
              <w:marTop w:val="0"/>
              <w:marBottom w:val="0"/>
              <w:divBdr>
                <w:top w:val="none" w:sz="0" w:space="0" w:color="auto"/>
                <w:left w:val="none" w:sz="0" w:space="0" w:color="auto"/>
                <w:bottom w:val="none" w:sz="0" w:space="0" w:color="auto"/>
                <w:right w:val="none" w:sz="0" w:space="0" w:color="auto"/>
              </w:divBdr>
            </w:div>
            <w:div w:id="2080126610">
              <w:marLeft w:val="0"/>
              <w:marRight w:val="0"/>
              <w:marTop w:val="0"/>
              <w:marBottom w:val="0"/>
              <w:divBdr>
                <w:top w:val="none" w:sz="0" w:space="0" w:color="auto"/>
                <w:left w:val="none" w:sz="0" w:space="0" w:color="auto"/>
                <w:bottom w:val="none" w:sz="0" w:space="0" w:color="auto"/>
                <w:right w:val="none" w:sz="0" w:space="0" w:color="auto"/>
              </w:divBdr>
            </w:div>
            <w:div w:id="609750157">
              <w:marLeft w:val="0"/>
              <w:marRight w:val="0"/>
              <w:marTop w:val="0"/>
              <w:marBottom w:val="0"/>
              <w:divBdr>
                <w:top w:val="none" w:sz="0" w:space="0" w:color="auto"/>
                <w:left w:val="none" w:sz="0" w:space="0" w:color="auto"/>
                <w:bottom w:val="none" w:sz="0" w:space="0" w:color="auto"/>
                <w:right w:val="none" w:sz="0" w:space="0" w:color="auto"/>
              </w:divBdr>
            </w:div>
            <w:div w:id="2121339202">
              <w:marLeft w:val="0"/>
              <w:marRight w:val="0"/>
              <w:marTop w:val="0"/>
              <w:marBottom w:val="0"/>
              <w:divBdr>
                <w:top w:val="none" w:sz="0" w:space="0" w:color="auto"/>
                <w:left w:val="none" w:sz="0" w:space="0" w:color="auto"/>
                <w:bottom w:val="none" w:sz="0" w:space="0" w:color="auto"/>
                <w:right w:val="none" w:sz="0" w:space="0" w:color="auto"/>
              </w:divBdr>
            </w:div>
            <w:div w:id="699015135">
              <w:marLeft w:val="0"/>
              <w:marRight w:val="0"/>
              <w:marTop w:val="0"/>
              <w:marBottom w:val="0"/>
              <w:divBdr>
                <w:top w:val="none" w:sz="0" w:space="0" w:color="auto"/>
                <w:left w:val="none" w:sz="0" w:space="0" w:color="auto"/>
                <w:bottom w:val="none" w:sz="0" w:space="0" w:color="auto"/>
                <w:right w:val="none" w:sz="0" w:space="0" w:color="auto"/>
              </w:divBdr>
            </w:div>
            <w:div w:id="1307854838">
              <w:marLeft w:val="0"/>
              <w:marRight w:val="0"/>
              <w:marTop w:val="0"/>
              <w:marBottom w:val="0"/>
              <w:divBdr>
                <w:top w:val="none" w:sz="0" w:space="0" w:color="auto"/>
                <w:left w:val="none" w:sz="0" w:space="0" w:color="auto"/>
                <w:bottom w:val="none" w:sz="0" w:space="0" w:color="auto"/>
                <w:right w:val="none" w:sz="0" w:space="0" w:color="auto"/>
              </w:divBdr>
            </w:div>
            <w:div w:id="1021592214">
              <w:marLeft w:val="0"/>
              <w:marRight w:val="0"/>
              <w:marTop w:val="0"/>
              <w:marBottom w:val="0"/>
              <w:divBdr>
                <w:top w:val="none" w:sz="0" w:space="0" w:color="auto"/>
                <w:left w:val="none" w:sz="0" w:space="0" w:color="auto"/>
                <w:bottom w:val="none" w:sz="0" w:space="0" w:color="auto"/>
                <w:right w:val="none" w:sz="0" w:space="0" w:color="auto"/>
              </w:divBdr>
            </w:div>
            <w:div w:id="299186963">
              <w:marLeft w:val="0"/>
              <w:marRight w:val="0"/>
              <w:marTop w:val="0"/>
              <w:marBottom w:val="0"/>
              <w:divBdr>
                <w:top w:val="none" w:sz="0" w:space="0" w:color="auto"/>
                <w:left w:val="none" w:sz="0" w:space="0" w:color="auto"/>
                <w:bottom w:val="none" w:sz="0" w:space="0" w:color="auto"/>
                <w:right w:val="none" w:sz="0" w:space="0" w:color="auto"/>
              </w:divBdr>
            </w:div>
            <w:div w:id="1715233528">
              <w:marLeft w:val="0"/>
              <w:marRight w:val="0"/>
              <w:marTop w:val="0"/>
              <w:marBottom w:val="0"/>
              <w:divBdr>
                <w:top w:val="none" w:sz="0" w:space="0" w:color="auto"/>
                <w:left w:val="none" w:sz="0" w:space="0" w:color="auto"/>
                <w:bottom w:val="none" w:sz="0" w:space="0" w:color="auto"/>
                <w:right w:val="none" w:sz="0" w:space="0" w:color="auto"/>
              </w:divBdr>
            </w:div>
            <w:div w:id="1642463806">
              <w:marLeft w:val="0"/>
              <w:marRight w:val="0"/>
              <w:marTop w:val="0"/>
              <w:marBottom w:val="0"/>
              <w:divBdr>
                <w:top w:val="none" w:sz="0" w:space="0" w:color="auto"/>
                <w:left w:val="none" w:sz="0" w:space="0" w:color="auto"/>
                <w:bottom w:val="none" w:sz="0" w:space="0" w:color="auto"/>
                <w:right w:val="none" w:sz="0" w:space="0" w:color="auto"/>
              </w:divBdr>
            </w:div>
            <w:div w:id="52236779">
              <w:marLeft w:val="0"/>
              <w:marRight w:val="0"/>
              <w:marTop w:val="0"/>
              <w:marBottom w:val="0"/>
              <w:divBdr>
                <w:top w:val="none" w:sz="0" w:space="0" w:color="auto"/>
                <w:left w:val="none" w:sz="0" w:space="0" w:color="auto"/>
                <w:bottom w:val="none" w:sz="0" w:space="0" w:color="auto"/>
                <w:right w:val="none" w:sz="0" w:space="0" w:color="auto"/>
              </w:divBdr>
            </w:div>
            <w:div w:id="1741902486">
              <w:marLeft w:val="0"/>
              <w:marRight w:val="0"/>
              <w:marTop w:val="0"/>
              <w:marBottom w:val="0"/>
              <w:divBdr>
                <w:top w:val="none" w:sz="0" w:space="0" w:color="auto"/>
                <w:left w:val="none" w:sz="0" w:space="0" w:color="auto"/>
                <w:bottom w:val="none" w:sz="0" w:space="0" w:color="auto"/>
                <w:right w:val="none" w:sz="0" w:space="0" w:color="auto"/>
              </w:divBdr>
            </w:div>
            <w:div w:id="1591044287">
              <w:marLeft w:val="0"/>
              <w:marRight w:val="0"/>
              <w:marTop w:val="0"/>
              <w:marBottom w:val="0"/>
              <w:divBdr>
                <w:top w:val="none" w:sz="0" w:space="0" w:color="auto"/>
                <w:left w:val="none" w:sz="0" w:space="0" w:color="auto"/>
                <w:bottom w:val="none" w:sz="0" w:space="0" w:color="auto"/>
                <w:right w:val="none" w:sz="0" w:space="0" w:color="auto"/>
              </w:divBdr>
            </w:div>
            <w:div w:id="382142288">
              <w:marLeft w:val="0"/>
              <w:marRight w:val="0"/>
              <w:marTop w:val="0"/>
              <w:marBottom w:val="0"/>
              <w:divBdr>
                <w:top w:val="none" w:sz="0" w:space="0" w:color="auto"/>
                <w:left w:val="none" w:sz="0" w:space="0" w:color="auto"/>
                <w:bottom w:val="none" w:sz="0" w:space="0" w:color="auto"/>
                <w:right w:val="none" w:sz="0" w:space="0" w:color="auto"/>
              </w:divBdr>
            </w:div>
            <w:div w:id="168834458">
              <w:marLeft w:val="0"/>
              <w:marRight w:val="0"/>
              <w:marTop w:val="0"/>
              <w:marBottom w:val="0"/>
              <w:divBdr>
                <w:top w:val="none" w:sz="0" w:space="0" w:color="auto"/>
                <w:left w:val="none" w:sz="0" w:space="0" w:color="auto"/>
                <w:bottom w:val="none" w:sz="0" w:space="0" w:color="auto"/>
                <w:right w:val="none" w:sz="0" w:space="0" w:color="auto"/>
              </w:divBdr>
            </w:div>
            <w:div w:id="1607230617">
              <w:marLeft w:val="0"/>
              <w:marRight w:val="0"/>
              <w:marTop w:val="0"/>
              <w:marBottom w:val="0"/>
              <w:divBdr>
                <w:top w:val="none" w:sz="0" w:space="0" w:color="auto"/>
                <w:left w:val="none" w:sz="0" w:space="0" w:color="auto"/>
                <w:bottom w:val="none" w:sz="0" w:space="0" w:color="auto"/>
                <w:right w:val="none" w:sz="0" w:space="0" w:color="auto"/>
              </w:divBdr>
            </w:div>
            <w:div w:id="2008551313">
              <w:marLeft w:val="0"/>
              <w:marRight w:val="0"/>
              <w:marTop w:val="0"/>
              <w:marBottom w:val="0"/>
              <w:divBdr>
                <w:top w:val="none" w:sz="0" w:space="0" w:color="auto"/>
                <w:left w:val="none" w:sz="0" w:space="0" w:color="auto"/>
                <w:bottom w:val="none" w:sz="0" w:space="0" w:color="auto"/>
                <w:right w:val="none" w:sz="0" w:space="0" w:color="auto"/>
              </w:divBdr>
            </w:div>
            <w:div w:id="783497574">
              <w:marLeft w:val="0"/>
              <w:marRight w:val="0"/>
              <w:marTop w:val="0"/>
              <w:marBottom w:val="0"/>
              <w:divBdr>
                <w:top w:val="none" w:sz="0" w:space="0" w:color="auto"/>
                <w:left w:val="none" w:sz="0" w:space="0" w:color="auto"/>
                <w:bottom w:val="none" w:sz="0" w:space="0" w:color="auto"/>
                <w:right w:val="none" w:sz="0" w:space="0" w:color="auto"/>
              </w:divBdr>
            </w:div>
            <w:div w:id="395710501">
              <w:marLeft w:val="0"/>
              <w:marRight w:val="0"/>
              <w:marTop w:val="0"/>
              <w:marBottom w:val="0"/>
              <w:divBdr>
                <w:top w:val="none" w:sz="0" w:space="0" w:color="auto"/>
                <w:left w:val="none" w:sz="0" w:space="0" w:color="auto"/>
                <w:bottom w:val="none" w:sz="0" w:space="0" w:color="auto"/>
                <w:right w:val="none" w:sz="0" w:space="0" w:color="auto"/>
              </w:divBdr>
            </w:div>
            <w:div w:id="15717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chke@bips.uni-brem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tobacco/mpower/publications/en/" TargetMode="External"/><Relationship Id="rId5" Type="http://schemas.openxmlformats.org/officeDocument/2006/relationships/webSettings" Target="webSettings.xml"/><Relationship Id="rId10" Type="http://schemas.openxmlformats.org/officeDocument/2006/relationships/hyperlink" Target="http://www.who.int/mediacentre/factsheets/fs339/en/" TargetMode="External"/><Relationship Id="rId4" Type="http://schemas.openxmlformats.org/officeDocument/2006/relationships/settings" Target="settings.xml"/><Relationship Id="rId9" Type="http://schemas.openxmlformats.org/officeDocument/2006/relationships/hyperlink" Target="mailto:helmer@bips.uni-breme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944E-9BDA-44F9-B72C-038EF495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5851</Words>
  <Characters>33354</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BIPS</Company>
  <LinksUpToDate>false</LinksUpToDate>
  <CharactersWithSpaces>39127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Pischke</dc:creator>
  <cp:lastModifiedBy>Robert Dempsey</cp:lastModifiedBy>
  <cp:revision>3</cp:revision>
  <cp:lastPrinted>2015-07-14T09:40:00Z</cp:lastPrinted>
  <dcterms:created xsi:type="dcterms:W3CDTF">2015-07-23T07:46:00Z</dcterms:created>
  <dcterms:modified xsi:type="dcterms:W3CDTF">2015-07-23T07:47:00Z</dcterms:modified>
</cp:coreProperties>
</file>